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28642D0" w14:textId="77777777">
        <w:trPr>
          <w:cantSplit/>
        </w:trPr>
        <w:tc>
          <w:tcPr>
            <w:tcW w:w="6911" w:type="dxa"/>
          </w:tcPr>
          <w:p w14:paraId="7B1882DE"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76616C57" w14:textId="77777777" w:rsidR="00700D1F" w:rsidRDefault="008418F5" w:rsidP="008418F5">
            <w:pPr>
              <w:spacing w:before="0"/>
            </w:pPr>
            <w:bookmarkStart w:id="1" w:name="ditulogo"/>
            <w:bookmarkEnd w:id="1"/>
            <w:r>
              <w:rPr>
                <w:noProof/>
                <w:lang w:val="en-US" w:eastAsia="zh-CN"/>
              </w:rPr>
              <w:drawing>
                <wp:inline distT="0" distB="0" distL="0" distR="0" wp14:anchorId="4F61DEBD" wp14:editId="78AAD01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14D326C" w14:textId="77777777">
        <w:trPr>
          <w:cantSplit/>
        </w:trPr>
        <w:tc>
          <w:tcPr>
            <w:tcW w:w="6911" w:type="dxa"/>
            <w:tcBorders>
              <w:bottom w:val="single" w:sz="12" w:space="0" w:color="auto"/>
            </w:tcBorders>
          </w:tcPr>
          <w:p w14:paraId="43BDED1E"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83E83A5" w14:textId="77777777" w:rsidR="00700D1F" w:rsidRPr="00617BE4" w:rsidRDefault="00700D1F" w:rsidP="00001B77">
            <w:pPr>
              <w:spacing w:before="0"/>
              <w:rPr>
                <w:rFonts w:ascii="Verdana" w:hAnsi="Verdana"/>
                <w:szCs w:val="24"/>
              </w:rPr>
            </w:pPr>
          </w:p>
        </w:tc>
      </w:tr>
      <w:tr w:rsidR="00700D1F" w:rsidRPr="00617BE4" w14:paraId="595B4630" w14:textId="77777777">
        <w:trPr>
          <w:cantSplit/>
        </w:trPr>
        <w:tc>
          <w:tcPr>
            <w:tcW w:w="6911" w:type="dxa"/>
            <w:tcBorders>
              <w:top w:val="single" w:sz="12" w:space="0" w:color="auto"/>
            </w:tcBorders>
          </w:tcPr>
          <w:p w14:paraId="49943F23"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746FCC0" w14:textId="77777777" w:rsidR="00700D1F" w:rsidRPr="00617BE4" w:rsidRDefault="00700D1F" w:rsidP="00001B77">
            <w:pPr>
              <w:spacing w:before="0"/>
              <w:rPr>
                <w:rFonts w:ascii="Verdana" w:hAnsi="Verdana"/>
                <w:szCs w:val="24"/>
              </w:rPr>
            </w:pPr>
          </w:p>
        </w:tc>
      </w:tr>
      <w:tr w:rsidR="00700D1F" w14:paraId="634B4588" w14:textId="77777777">
        <w:trPr>
          <w:cantSplit/>
          <w:trHeight w:val="23"/>
        </w:trPr>
        <w:tc>
          <w:tcPr>
            <w:tcW w:w="6911" w:type="dxa"/>
            <w:vMerge w:val="restart"/>
          </w:tcPr>
          <w:p w14:paraId="1DA0839E" w14:textId="77777777" w:rsidR="00700D1F" w:rsidRPr="00FC5386" w:rsidRDefault="00700D1F" w:rsidP="002D75DD">
            <w:pPr>
              <w:tabs>
                <w:tab w:val="left" w:pos="851"/>
              </w:tabs>
              <w:spacing w:before="0"/>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2D75DD" w:rsidRPr="002D75DD">
              <w:rPr>
                <w:b/>
                <w:szCs w:val="24"/>
                <w:lang w:eastAsia="zh-CN"/>
              </w:rPr>
              <w:t>ADM 15</w:t>
            </w:r>
          </w:p>
        </w:tc>
        <w:tc>
          <w:tcPr>
            <w:tcW w:w="3120" w:type="dxa"/>
          </w:tcPr>
          <w:p w14:paraId="31E6189E"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2D75DD">
              <w:rPr>
                <w:rFonts w:hint="eastAsia"/>
                <w:b/>
                <w:bCs/>
                <w:szCs w:val="24"/>
                <w:lang w:eastAsia="zh-CN"/>
              </w:rPr>
              <w:t>44</w:t>
            </w:r>
            <w:r w:rsidRPr="00FC5386">
              <w:rPr>
                <w:b/>
                <w:bCs/>
                <w:szCs w:val="24"/>
                <w:lang w:eastAsia="zh-CN"/>
              </w:rPr>
              <w:t>-C</w:t>
            </w:r>
          </w:p>
        </w:tc>
      </w:tr>
      <w:bookmarkEnd w:id="2"/>
      <w:tr w:rsidR="00700D1F" w14:paraId="205E70D4" w14:textId="77777777">
        <w:trPr>
          <w:cantSplit/>
          <w:trHeight w:val="23"/>
        </w:trPr>
        <w:tc>
          <w:tcPr>
            <w:tcW w:w="6911" w:type="dxa"/>
            <w:vMerge/>
          </w:tcPr>
          <w:p w14:paraId="59B74DF8" w14:textId="77777777" w:rsidR="00700D1F" w:rsidRDefault="00700D1F" w:rsidP="00001B77">
            <w:pPr>
              <w:tabs>
                <w:tab w:val="left" w:pos="851"/>
              </w:tabs>
              <w:rPr>
                <w:b/>
                <w:lang w:eastAsia="zh-CN"/>
              </w:rPr>
            </w:pPr>
          </w:p>
        </w:tc>
        <w:tc>
          <w:tcPr>
            <w:tcW w:w="3120" w:type="dxa"/>
          </w:tcPr>
          <w:p w14:paraId="6836FB95" w14:textId="77777777" w:rsidR="00700D1F" w:rsidRPr="00FC5386" w:rsidRDefault="002D75DD" w:rsidP="00D453EE">
            <w:pPr>
              <w:tabs>
                <w:tab w:val="left" w:pos="993"/>
              </w:tabs>
              <w:spacing w:before="0"/>
              <w:rPr>
                <w:b/>
                <w:bCs/>
                <w:szCs w:val="24"/>
                <w:lang w:eastAsia="zh-CN"/>
              </w:rPr>
            </w:pPr>
            <w:r w:rsidRPr="002D75DD">
              <w:rPr>
                <w:b/>
                <w:bCs/>
                <w:szCs w:val="24"/>
                <w:lang w:eastAsia="zh-CN"/>
              </w:rPr>
              <w:t>202</w:t>
            </w:r>
            <w:r>
              <w:rPr>
                <w:rFonts w:hint="eastAsia"/>
                <w:b/>
                <w:bCs/>
                <w:szCs w:val="24"/>
                <w:lang w:eastAsia="zh-CN"/>
              </w:rPr>
              <w:t>2</w:t>
            </w:r>
            <w:r w:rsidRPr="002D75DD">
              <w:rPr>
                <w:rFonts w:hint="eastAsia"/>
                <w:b/>
                <w:bCs/>
                <w:szCs w:val="24"/>
                <w:lang w:eastAsia="zh-CN"/>
              </w:rPr>
              <w:t>年</w:t>
            </w:r>
            <w:r w:rsidRPr="002D75DD">
              <w:rPr>
                <w:b/>
                <w:bCs/>
                <w:szCs w:val="24"/>
                <w:lang w:eastAsia="zh-CN"/>
              </w:rPr>
              <w:t>2</w:t>
            </w:r>
            <w:r w:rsidRPr="002D75DD">
              <w:rPr>
                <w:rFonts w:hint="eastAsia"/>
                <w:b/>
                <w:bCs/>
                <w:szCs w:val="24"/>
                <w:lang w:eastAsia="zh-CN"/>
              </w:rPr>
              <w:t>月</w:t>
            </w:r>
            <w:r w:rsidR="009675F0">
              <w:rPr>
                <w:rFonts w:hint="eastAsia"/>
                <w:b/>
                <w:bCs/>
                <w:szCs w:val="24"/>
                <w:lang w:eastAsia="zh-CN"/>
              </w:rPr>
              <w:t>1</w:t>
            </w:r>
            <w:r w:rsidR="009675F0">
              <w:rPr>
                <w:b/>
                <w:bCs/>
                <w:szCs w:val="24"/>
                <w:lang w:eastAsia="zh-CN"/>
              </w:rPr>
              <w:t>8</w:t>
            </w:r>
            <w:r w:rsidRPr="002D75DD">
              <w:rPr>
                <w:rFonts w:hint="eastAsia"/>
                <w:b/>
                <w:bCs/>
                <w:szCs w:val="24"/>
                <w:lang w:eastAsia="zh-CN"/>
              </w:rPr>
              <w:t>日</w:t>
            </w:r>
          </w:p>
        </w:tc>
      </w:tr>
      <w:tr w:rsidR="00700D1F" w14:paraId="5B0DD22D" w14:textId="77777777">
        <w:trPr>
          <w:cantSplit/>
          <w:trHeight w:val="23"/>
        </w:trPr>
        <w:tc>
          <w:tcPr>
            <w:tcW w:w="6911" w:type="dxa"/>
            <w:vMerge/>
          </w:tcPr>
          <w:p w14:paraId="621B257E" w14:textId="77777777" w:rsidR="00700D1F" w:rsidRDefault="00700D1F" w:rsidP="00001B77">
            <w:pPr>
              <w:tabs>
                <w:tab w:val="left" w:pos="851"/>
              </w:tabs>
              <w:rPr>
                <w:b/>
                <w:lang w:eastAsia="zh-CN"/>
              </w:rPr>
            </w:pPr>
          </w:p>
        </w:tc>
        <w:tc>
          <w:tcPr>
            <w:tcW w:w="3120" w:type="dxa"/>
          </w:tcPr>
          <w:p w14:paraId="467A409E"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B6968CE" w14:textId="77777777">
        <w:trPr>
          <w:cantSplit/>
        </w:trPr>
        <w:tc>
          <w:tcPr>
            <w:tcW w:w="10031" w:type="dxa"/>
          </w:tcPr>
          <w:p w14:paraId="3C44EDF3"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2D75DD" w14:paraId="07985660" w14:textId="77777777">
        <w:trPr>
          <w:cantSplit/>
        </w:trPr>
        <w:tc>
          <w:tcPr>
            <w:tcW w:w="10031" w:type="dxa"/>
          </w:tcPr>
          <w:p w14:paraId="55E68565" w14:textId="77777777" w:rsidR="002D75DD" w:rsidRDefault="002D75DD" w:rsidP="002D75DD">
            <w:pPr>
              <w:pStyle w:val="Title1"/>
              <w:rPr>
                <w:bCs/>
                <w:lang w:eastAsia="zh-CN"/>
              </w:rPr>
            </w:pPr>
            <w:r w:rsidRPr="005C4F94">
              <w:rPr>
                <w:rFonts w:hint="eastAsia"/>
                <w:lang w:eastAsia="zh-CN"/>
              </w:rPr>
              <w:t>内部审计员有关内部审计活动的报告</w:t>
            </w:r>
          </w:p>
        </w:tc>
      </w:tr>
    </w:tbl>
    <w:p w14:paraId="7A365CD0"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16C1F056"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1293A3C2"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44FDF742" w14:textId="77777777" w:rsidR="00B40A53" w:rsidRPr="008418F5" w:rsidRDefault="002D75DD">
            <w:pPr>
              <w:ind w:firstLineChars="200" w:firstLine="480"/>
              <w:rPr>
                <w:szCs w:val="22"/>
                <w:lang w:eastAsia="zh-CN"/>
              </w:rPr>
            </w:pPr>
            <w:r w:rsidRPr="002D75DD">
              <w:rPr>
                <w:szCs w:val="22"/>
                <w:lang w:eastAsia="zh-CN"/>
              </w:rPr>
              <w:t>本报告</w:t>
            </w:r>
            <w:r w:rsidRPr="002D75DD">
              <w:rPr>
                <w:rFonts w:hint="eastAsia"/>
                <w:szCs w:val="22"/>
                <w:lang w:eastAsia="zh-CN"/>
              </w:rPr>
              <w:t>概述了</w:t>
            </w:r>
            <w:r w:rsidRPr="002D75DD">
              <w:rPr>
                <w:szCs w:val="22"/>
                <w:lang w:eastAsia="zh-CN"/>
              </w:rPr>
              <w:t>2021</w:t>
            </w:r>
            <w:r w:rsidRPr="002D75DD">
              <w:rPr>
                <w:szCs w:val="22"/>
                <w:lang w:eastAsia="zh-CN"/>
              </w:rPr>
              <w:t>年</w:t>
            </w:r>
            <w:r w:rsidRPr="002D75DD">
              <w:rPr>
                <w:szCs w:val="22"/>
                <w:lang w:eastAsia="zh-CN"/>
              </w:rPr>
              <w:t>4</w:t>
            </w:r>
            <w:r w:rsidRPr="002D75DD">
              <w:rPr>
                <w:szCs w:val="22"/>
                <w:lang w:eastAsia="zh-CN"/>
              </w:rPr>
              <w:t>月至</w:t>
            </w:r>
            <w:r w:rsidRPr="002D75DD">
              <w:rPr>
                <w:szCs w:val="22"/>
                <w:lang w:eastAsia="zh-CN"/>
              </w:rPr>
              <w:t>20</w:t>
            </w:r>
            <w:r w:rsidRPr="002D75DD">
              <w:rPr>
                <w:rFonts w:hint="eastAsia"/>
                <w:szCs w:val="22"/>
                <w:lang w:eastAsia="zh-CN"/>
              </w:rPr>
              <w:t>2</w:t>
            </w:r>
            <w:r w:rsidRPr="002D75DD">
              <w:rPr>
                <w:szCs w:val="22"/>
                <w:lang w:eastAsia="zh-CN"/>
              </w:rPr>
              <w:t>2</w:t>
            </w:r>
            <w:r w:rsidRPr="002D75DD">
              <w:rPr>
                <w:szCs w:val="22"/>
                <w:lang w:eastAsia="zh-CN"/>
              </w:rPr>
              <w:t>年</w:t>
            </w:r>
            <w:r w:rsidRPr="002D75DD">
              <w:rPr>
                <w:szCs w:val="22"/>
                <w:lang w:eastAsia="zh-CN"/>
              </w:rPr>
              <w:t>1</w:t>
            </w:r>
            <w:r w:rsidRPr="002D75DD">
              <w:rPr>
                <w:szCs w:val="22"/>
                <w:lang w:eastAsia="zh-CN"/>
              </w:rPr>
              <w:t>月</w:t>
            </w:r>
            <w:r w:rsidRPr="002D75DD">
              <w:rPr>
                <w:rFonts w:hint="eastAsia"/>
                <w:szCs w:val="22"/>
                <w:lang w:eastAsia="zh-CN"/>
              </w:rPr>
              <w:t>期间的各项</w:t>
            </w:r>
            <w:r w:rsidRPr="002D75DD">
              <w:rPr>
                <w:szCs w:val="22"/>
                <w:lang w:eastAsia="zh-CN"/>
              </w:rPr>
              <w:t>内部审计活动。</w:t>
            </w:r>
          </w:p>
          <w:p w14:paraId="5E037824" w14:textId="77777777" w:rsidR="00B40A53" w:rsidRPr="003C2E37" w:rsidRDefault="00B40A53" w:rsidP="003C2E37">
            <w:pPr>
              <w:pStyle w:val="Headingb"/>
              <w:rPr>
                <w:lang w:eastAsia="zh-CN"/>
              </w:rPr>
            </w:pPr>
            <w:r>
              <w:rPr>
                <w:rFonts w:hint="eastAsia"/>
                <w:lang w:eastAsia="zh-CN"/>
              </w:rPr>
              <w:t>需采取的行动</w:t>
            </w:r>
          </w:p>
          <w:p w14:paraId="4624DCC3" w14:textId="77777777" w:rsidR="00B40A53" w:rsidRPr="008418F5" w:rsidRDefault="002D75DD" w:rsidP="00B40A53">
            <w:pPr>
              <w:pStyle w:val="BodyTextIndent3"/>
              <w:spacing w:before="120"/>
              <w:ind w:firstLineChars="200" w:firstLine="480"/>
              <w:textAlignment w:val="baseline"/>
              <w:rPr>
                <w:sz w:val="24"/>
                <w:szCs w:val="22"/>
                <w:lang w:val="en-GB"/>
              </w:rPr>
            </w:pPr>
            <w:r w:rsidRPr="002D75DD">
              <w:rPr>
                <w:rFonts w:hint="eastAsia"/>
                <w:sz w:val="24"/>
                <w:szCs w:val="22"/>
                <w:lang w:val="en-GB"/>
              </w:rPr>
              <w:t>本报告转呈理事会</w:t>
            </w:r>
            <w:r w:rsidRPr="002D75DD">
              <w:rPr>
                <w:rFonts w:hint="eastAsia"/>
                <w:b/>
                <w:bCs/>
                <w:sz w:val="24"/>
                <w:szCs w:val="22"/>
                <w:lang w:val="en-GB"/>
              </w:rPr>
              <w:t>审议</w:t>
            </w:r>
            <w:r w:rsidRPr="002D75DD">
              <w:rPr>
                <w:rFonts w:hint="eastAsia"/>
                <w:sz w:val="24"/>
                <w:szCs w:val="22"/>
                <w:lang w:val="en-GB"/>
              </w:rPr>
              <w:t>。</w:t>
            </w:r>
          </w:p>
          <w:p w14:paraId="0F35FCF5" w14:textId="77777777" w:rsidR="00B40A53" w:rsidRDefault="00B40A53">
            <w:pPr>
              <w:jc w:val="center"/>
              <w:rPr>
                <w:sz w:val="28"/>
                <w:szCs w:val="22"/>
                <w:lang w:eastAsia="zh-CN"/>
              </w:rPr>
            </w:pPr>
            <w:r>
              <w:rPr>
                <w:sz w:val="28"/>
                <w:szCs w:val="22"/>
                <w:lang w:eastAsia="zh-CN"/>
              </w:rPr>
              <w:t>______________</w:t>
            </w:r>
          </w:p>
          <w:p w14:paraId="25360DDC" w14:textId="77777777" w:rsidR="009164A9" w:rsidRPr="008418F5" w:rsidRDefault="009164A9" w:rsidP="003C2E37">
            <w:pPr>
              <w:pStyle w:val="Headingb"/>
              <w:rPr>
                <w:lang w:eastAsia="zh-CN"/>
              </w:rPr>
            </w:pPr>
            <w:r w:rsidRPr="00FC5386">
              <w:rPr>
                <w:rFonts w:hint="eastAsia"/>
                <w:lang w:eastAsia="zh-CN"/>
              </w:rPr>
              <w:t>参考文件</w:t>
            </w:r>
          </w:p>
          <w:p w14:paraId="25BE7602" w14:textId="77777777" w:rsidR="00B40A53" w:rsidRPr="002D75DD" w:rsidRDefault="008A4DF6" w:rsidP="00ED42DA">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eastAsia="STKaiti"/>
                <w:caps/>
                <w:sz w:val="24"/>
                <w:szCs w:val="22"/>
                <w:lang w:eastAsia="zh-CN"/>
              </w:rPr>
            </w:pPr>
            <w:r>
              <w:fldChar w:fldCharType="begin"/>
            </w:r>
            <w:r>
              <w:rPr>
                <w:lang w:eastAsia="zh-CN"/>
              </w:rPr>
              <w:instrText xml:space="preserve"> HYPERLINK "https://www.itu.int/en/council/Documents/Financial-Regulations/S-GEN-REG_RGTFIN-2018-PDF-C.pdf" </w:instrText>
            </w:r>
            <w:r>
              <w:fldChar w:fldCharType="separate"/>
            </w:r>
            <w:r w:rsidR="002D75DD" w:rsidRPr="002D75DD">
              <w:rPr>
                <w:rStyle w:val="Hyperlink"/>
                <w:rFonts w:eastAsia="STKaiti" w:cs="Microsoft YaHei" w:hint="eastAsia"/>
                <w:sz w:val="24"/>
                <w:szCs w:val="24"/>
                <w:lang w:eastAsia="zh-CN"/>
              </w:rPr>
              <w:t>国际电联《财务规则和财务细则》（</w:t>
            </w:r>
            <w:r w:rsidR="002D75DD" w:rsidRPr="002D75DD">
              <w:rPr>
                <w:rStyle w:val="Hyperlink"/>
                <w:rFonts w:eastAsia="STKaiti" w:hint="eastAsia"/>
                <w:sz w:val="24"/>
                <w:szCs w:val="24"/>
                <w:lang w:eastAsia="zh-CN"/>
              </w:rPr>
              <w:t>2018</w:t>
            </w:r>
            <w:r w:rsidR="002D75DD" w:rsidRPr="002D75DD">
              <w:rPr>
                <w:rStyle w:val="Hyperlink"/>
                <w:rFonts w:eastAsia="STKaiti" w:cs="Microsoft YaHei" w:hint="eastAsia"/>
                <w:sz w:val="24"/>
                <w:szCs w:val="24"/>
                <w:lang w:eastAsia="zh-CN"/>
              </w:rPr>
              <w:t>年）第</w:t>
            </w:r>
            <w:r w:rsidR="002D75DD" w:rsidRPr="002D75DD">
              <w:rPr>
                <w:rStyle w:val="Hyperlink"/>
                <w:rFonts w:eastAsia="STKaiti" w:hint="eastAsia"/>
                <w:sz w:val="24"/>
                <w:szCs w:val="24"/>
                <w:lang w:eastAsia="zh-CN"/>
              </w:rPr>
              <w:t>29</w:t>
            </w:r>
            <w:r w:rsidR="002D75DD" w:rsidRPr="002D75DD">
              <w:rPr>
                <w:rStyle w:val="Hyperlink"/>
                <w:rFonts w:eastAsia="STKaiti" w:cs="Microsoft YaHei" w:hint="eastAsia"/>
                <w:sz w:val="24"/>
                <w:szCs w:val="24"/>
                <w:lang w:eastAsia="zh-CN"/>
              </w:rPr>
              <w:t>条</w:t>
            </w:r>
            <w:r>
              <w:rPr>
                <w:rStyle w:val="Hyperlink"/>
                <w:rFonts w:eastAsia="STKaiti" w:cs="Microsoft YaHei"/>
                <w:sz w:val="24"/>
                <w:szCs w:val="24"/>
                <w:lang w:eastAsia="zh-CN"/>
              </w:rPr>
              <w:fldChar w:fldCharType="end"/>
            </w:r>
          </w:p>
        </w:tc>
      </w:tr>
    </w:tbl>
    <w:p w14:paraId="292DE344" w14:textId="77777777" w:rsidR="002D75DD" w:rsidRPr="007A1444" w:rsidRDefault="002D75DD" w:rsidP="007A1444">
      <w:pPr>
        <w:pStyle w:val="Heading1"/>
        <w:tabs>
          <w:tab w:val="center" w:pos="4819"/>
        </w:tabs>
        <w:rPr>
          <w:lang w:eastAsia="zh-CN"/>
        </w:rPr>
      </w:pPr>
      <w:r w:rsidRPr="00E508E8">
        <w:rPr>
          <w:rFonts w:hint="eastAsia"/>
          <w:lang w:eastAsia="zh-CN"/>
        </w:rPr>
        <w:t>引言</w:t>
      </w:r>
    </w:p>
    <w:p w14:paraId="6074813E"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1F2F3D">
        <w:rPr>
          <w:szCs w:val="24"/>
          <w:lang w:eastAsia="zh-CN"/>
        </w:rPr>
        <w:t>1</w:t>
      </w:r>
      <w:r w:rsidRPr="001F2F3D">
        <w:rPr>
          <w:szCs w:val="24"/>
          <w:lang w:eastAsia="zh-CN"/>
        </w:rPr>
        <w:tab/>
      </w:r>
      <w:r w:rsidRPr="001F2F3D">
        <w:rPr>
          <w:szCs w:val="24"/>
          <w:lang w:eastAsia="zh-CN"/>
        </w:rPr>
        <w:t>按照《财务规则》（</w:t>
      </w:r>
      <w:r w:rsidRPr="001F2F3D">
        <w:rPr>
          <w:szCs w:val="24"/>
          <w:lang w:eastAsia="zh-CN"/>
        </w:rPr>
        <w:t>2010</w:t>
      </w:r>
      <w:r w:rsidRPr="001F2F3D">
        <w:rPr>
          <w:szCs w:val="24"/>
          <w:lang w:eastAsia="zh-CN"/>
        </w:rPr>
        <w:t>年）第</w:t>
      </w:r>
      <w:r w:rsidRPr="001F2F3D">
        <w:rPr>
          <w:szCs w:val="24"/>
          <w:lang w:eastAsia="zh-CN"/>
        </w:rPr>
        <w:t>29</w:t>
      </w:r>
      <w:r w:rsidRPr="001F2F3D">
        <w:rPr>
          <w:szCs w:val="24"/>
          <w:lang w:eastAsia="zh-CN"/>
        </w:rPr>
        <w:t>条要求编写的本报告现转呈</w:t>
      </w:r>
      <w:r w:rsidRPr="001F2F3D">
        <w:rPr>
          <w:rFonts w:hint="eastAsia"/>
          <w:szCs w:val="24"/>
          <w:lang w:eastAsia="zh-CN"/>
        </w:rPr>
        <w:t>国际电联（</w:t>
      </w:r>
      <w:r w:rsidRPr="001F2F3D">
        <w:rPr>
          <w:rFonts w:hint="eastAsia"/>
          <w:szCs w:val="24"/>
          <w:lang w:eastAsia="zh-CN"/>
        </w:rPr>
        <w:t>ITU</w:t>
      </w:r>
      <w:r w:rsidRPr="001F2F3D">
        <w:rPr>
          <w:rFonts w:hint="eastAsia"/>
          <w:szCs w:val="24"/>
          <w:lang w:eastAsia="zh-CN"/>
        </w:rPr>
        <w:t>）</w:t>
      </w:r>
      <w:r w:rsidRPr="001F2F3D">
        <w:rPr>
          <w:szCs w:val="24"/>
          <w:lang w:eastAsia="zh-CN"/>
        </w:rPr>
        <w:t>理事会。依据</w:t>
      </w:r>
      <w:r w:rsidRPr="001F2F3D">
        <w:rPr>
          <w:rFonts w:hint="eastAsia"/>
          <w:szCs w:val="24"/>
          <w:lang w:eastAsia="zh-CN"/>
        </w:rPr>
        <w:t>《</w:t>
      </w:r>
      <w:r w:rsidRPr="001F2F3D">
        <w:rPr>
          <w:szCs w:val="24"/>
          <w:lang w:eastAsia="zh-CN"/>
        </w:rPr>
        <w:t>国际电联内部审计章程</w:t>
      </w:r>
      <w:r w:rsidRPr="001F2F3D">
        <w:rPr>
          <w:rFonts w:hint="eastAsia"/>
          <w:szCs w:val="24"/>
          <w:lang w:eastAsia="zh-CN"/>
        </w:rPr>
        <w:t>》</w:t>
      </w:r>
      <w:r w:rsidRPr="001F2F3D">
        <w:rPr>
          <w:rStyle w:val="FootnoteReference"/>
          <w:lang w:val="en-US"/>
        </w:rPr>
        <w:footnoteReference w:id="1"/>
      </w:r>
      <w:r w:rsidRPr="001F2F3D">
        <w:rPr>
          <w:szCs w:val="24"/>
          <w:lang w:eastAsia="zh-CN"/>
        </w:rPr>
        <w:t>，本报告已提交秘书长并转呈理事会审议。本报告</w:t>
      </w:r>
      <w:r w:rsidRPr="001F2F3D">
        <w:rPr>
          <w:rFonts w:hint="eastAsia"/>
          <w:szCs w:val="24"/>
          <w:lang w:eastAsia="zh-CN"/>
        </w:rPr>
        <w:t>涵盖</w:t>
      </w:r>
      <w:r w:rsidRPr="001F2F3D">
        <w:rPr>
          <w:szCs w:val="24"/>
          <w:lang w:eastAsia="zh-CN"/>
        </w:rPr>
        <w:t>2021</w:t>
      </w:r>
      <w:r w:rsidRPr="001F2F3D">
        <w:rPr>
          <w:szCs w:val="24"/>
          <w:lang w:eastAsia="zh-CN"/>
        </w:rPr>
        <w:t>年</w:t>
      </w:r>
      <w:r w:rsidRPr="001F2F3D">
        <w:rPr>
          <w:rFonts w:hint="eastAsia"/>
          <w:szCs w:val="24"/>
          <w:lang w:eastAsia="zh-CN"/>
        </w:rPr>
        <w:t>4</w:t>
      </w:r>
      <w:r w:rsidRPr="001F2F3D">
        <w:rPr>
          <w:szCs w:val="24"/>
          <w:lang w:eastAsia="zh-CN"/>
        </w:rPr>
        <w:t>月至</w:t>
      </w:r>
      <w:r w:rsidRPr="001F2F3D">
        <w:rPr>
          <w:szCs w:val="24"/>
          <w:lang w:eastAsia="zh-CN"/>
        </w:rPr>
        <w:t>20</w:t>
      </w:r>
      <w:r w:rsidRPr="001F2F3D">
        <w:rPr>
          <w:rFonts w:hint="eastAsia"/>
          <w:szCs w:val="24"/>
          <w:lang w:eastAsia="zh-CN"/>
        </w:rPr>
        <w:t>2</w:t>
      </w:r>
      <w:r w:rsidRPr="001F2F3D">
        <w:rPr>
          <w:szCs w:val="24"/>
          <w:lang w:eastAsia="zh-CN"/>
        </w:rPr>
        <w:t>2</w:t>
      </w:r>
      <w:r w:rsidRPr="001F2F3D">
        <w:rPr>
          <w:szCs w:val="24"/>
          <w:lang w:eastAsia="zh-CN"/>
        </w:rPr>
        <w:t>年</w:t>
      </w:r>
      <w:r w:rsidRPr="001F2F3D">
        <w:rPr>
          <w:szCs w:val="24"/>
          <w:lang w:eastAsia="zh-CN"/>
        </w:rPr>
        <w:t>1</w:t>
      </w:r>
      <w:r w:rsidRPr="001F2F3D">
        <w:rPr>
          <w:szCs w:val="24"/>
          <w:lang w:eastAsia="zh-CN"/>
        </w:rPr>
        <w:t>月期间开展的活动。</w:t>
      </w:r>
    </w:p>
    <w:p w14:paraId="708F03AF"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1F2F3D">
        <w:rPr>
          <w:rFonts w:hint="eastAsia"/>
          <w:szCs w:val="24"/>
          <w:lang w:eastAsia="zh-CN"/>
        </w:rPr>
        <w:t>2</w:t>
      </w:r>
      <w:r w:rsidRPr="001F2F3D">
        <w:rPr>
          <w:rFonts w:hint="eastAsia"/>
          <w:szCs w:val="24"/>
          <w:lang w:eastAsia="zh-CN"/>
        </w:rPr>
        <w:tab/>
      </w:r>
      <w:r w:rsidRPr="001F2F3D">
        <w:rPr>
          <w:szCs w:val="24"/>
          <w:lang w:eastAsia="zh-CN"/>
        </w:rPr>
        <w:t>在报告期内，内部审计处</w:t>
      </w:r>
      <w:r w:rsidRPr="001F2F3D">
        <w:rPr>
          <w:rFonts w:hint="eastAsia"/>
          <w:szCs w:val="24"/>
          <w:lang w:eastAsia="zh-CN"/>
        </w:rPr>
        <w:t>截至</w:t>
      </w:r>
      <w:r w:rsidRPr="001F2F3D">
        <w:rPr>
          <w:rFonts w:hint="eastAsia"/>
          <w:szCs w:val="24"/>
          <w:lang w:eastAsia="zh-CN"/>
        </w:rPr>
        <w:t>2</w:t>
      </w:r>
      <w:r w:rsidRPr="001F2F3D">
        <w:rPr>
          <w:szCs w:val="24"/>
          <w:lang w:eastAsia="zh-CN"/>
        </w:rPr>
        <w:t>021</w:t>
      </w:r>
      <w:r w:rsidRPr="001F2F3D">
        <w:rPr>
          <w:rFonts w:hint="eastAsia"/>
          <w:szCs w:val="24"/>
          <w:lang w:eastAsia="zh-CN"/>
        </w:rPr>
        <w:t>年</w:t>
      </w:r>
      <w:r w:rsidRPr="001F2F3D">
        <w:rPr>
          <w:rFonts w:hint="eastAsia"/>
          <w:szCs w:val="24"/>
          <w:lang w:eastAsia="zh-CN"/>
        </w:rPr>
        <w:t>9</w:t>
      </w:r>
      <w:r w:rsidRPr="001F2F3D">
        <w:rPr>
          <w:rFonts w:hint="eastAsia"/>
          <w:szCs w:val="24"/>
          <w:lang w:eastAsia="zh-CN"/>
        </w:rPr>
        <w:t>月</w:t>
      </w:r>
      <w:r w:rsidRPr="001F2F3D">
        <w:rPr>
          <w:szCs w:val="24"/>
          <w:lang w:eastAsia="zh-CN"/>
        </w:rPr>
        <w:t>由</w:t>
      </w:r>
      <w:r w:rsidRPr="001F2F3D">
        <w:rPr>
          <w:rFonts w:hint="eastAsia"/>
          <w:szCs w:val="24"/>
          <w:lang w:eastAsia="zh-CN"/>
        </w:rPr>
        <w:t>三</w:t>
      </w:r>
      <w:r w:rsidRPr="001F2F3D">
        <w:rPr>
          <w:szCs w:val="24"/>
          <w:lang w:eastAsia="zh-CN"/>
        </w:rPr>
        <w:t>名专业类职员</w:t>
      </w:r>
      <w:r w:rsidRPr="001F2F3D">
        <w:rPr>
          <w:szCs w:val="24"/>
          <w:lang w:eastAsia="zh-CN"/>
        </w:rPr>
        <w:t xml:space="preserve"> – </w:t>
      </w:r>
      <w:r w:rsidRPr="001F2F3D">
        <w:rPr>
          <w:szCs w:val="24"/>
          <w:lang w:eastAsia="zh-CN"/>
        </w:rPr>
        <w:t>一名</w:t>
      </w:r>
      <w:r w:rsidRPr="001F2F3D">
        <w:rPr>
          <w:szCs w:val="24"/>
          <w:lang w:eastAsia="zh-CN"/>
        </w:rPr>
        <w:t>P.5</w:t>
      </w:r>
      <w:r w:rsidRPr="001F2F3D">
        <w:rPr>
          <w:szCs w:val="24"/>
          <w:lang w:eastAsia="zh-CN"/>
        </w:rPr>
        <w:t>（处长）</w:t>
      </w:r>
      <w:r w:rsidRPr="001F2F3D">
        <w:rPr>
          <w:rFonts w:hint="eastAsia"/>
          <w:szCs w:val="24"/>
          <w:lang w:eastAsia="zh-CN"/>
        </w:rPr>
        <w:t>、一名</w:t>
      </w:r>
      <w:r w:rsidRPr="001F2F3D">
        <w:rPr>
          <w:rFonts w:hint="eastAsia"/>
          <w:szCs w:val="24"/>
          <w:lang w:eastAsia="zh-CN"/>
        </w:rPr>
        <w:t>P.</w:t>
      </w:r>
      <w:r w:rsidRPr="001F2F3D">
        <w:rPr>
          <w:szCs w:val="24"/>
          <w:lang w:eastAsia="zh-CN"/>
        </w:rPr>
        <w:t>3</w:t>
      </w:r>
      <w:r w:rsidRPr="001F2F3D">
        <w:rPr>
          <w:szCs w:val="24"/>
          <w:lang w:eastAsia="zh-CN"/>
        </w:rPr>
        <w:t>（内部审计员）和一名</w:t>
      </w:r>
      <w:r w:rsidRPr="001F2F3D">
        <w:rPr>
          <w:szCs w:val="24"/>
          <w:lang w:eastAsia="zh-CN"/>
        </w:rPr>
        <w:t>P.2</w:t>
      </w:r>
      <w:r w:rsidRPr="001F2F3D">
        <w:rPr>
          <w:szCs w:val="24"/>
          <w:lang w:eastAsia="zh-CN"/>
        </w:rPr>
        <w:t>（初级审计员）</w:t>
      </w:r>
      <w:r w:rsidRPr="001F2F3D">
        <w:rPr>
          <w:rFonts w:hint="eastAsia"/>
          <w:szCs w:val="24"/>
          <w:lang w:eastAsia="zh-CN"/>
        </w:rPr>
        <w:t>组</w:t>
      </w:r>
      <w:r w:rsidRPr="001F2F3D">
        <w:rPr>
          <w:szCs w:val="24"/>
          <w:lang w:eastAsia="zh-CN"/>
        </w:rPr>
        <w:t>成。</w:t>
      </w:r>
      <w:r w:rsidRPr="001F2F3D">
        <w:rPr>
          <w:rFonts w:hint="eastAsia"/>
          <w:szCs w:val="24"/>
          <w:lang w:eastAsia="zh-CN"/>
        </w:rPr>
        <w:t>自</w:t>
      </w:r>
      <w:r w:rsidRPr="001F2F3D">
        <w:rPr>
          <w:rFonts w:hint="eastAsia"/>
          <w:szCs w:val="24"/>
          <w:lang w:eastAsia="zh-CN"/>
        </w:rPr>
        <w:t>2</w:t>
      </w:r>
      <w:r w:rsidRPr="001F2F3D">
        <w:rPr>
          <w:szCs w:val="24"/>
          <w:lang w:eastAsia="zh-CN"/>
        </w:rPr>
        <w:t>021</w:t>
      </w:r>
      <w:r w:rsidRPr="001F2F3D">
        <w:rPr>
          <w:rFonts w:hint="eastAsia"/>
          <w:szCs w:val="24"/>
          <w:lang w:eastAsia="zh-CN"/>
        </w:rPr>
        <w:t>年</w:t>
      </w:r>
      <w:r w:rsidRPr="001F2F3D">
        <w:rPr>
          <w:rFonts w:hint="eastAsia"/>
          <w:szCs w:val="24"/>
          <w:lang w:eastAsia="zh-CN"/>
        </w:rPr>
        <w:t>1</w:t>
      </w:r>
      <w:r w:rsidRPr="001F2F3D">
        <w:rPr>
          <w:szCs w:val="24"/>
          <w:lang w:eastAsia="zh-CN"/>
        </w:rPr>
        <w:t>0</w:t>
      </w:r>
      <w:r w:rsidRPr="001F2F3D">
        <w:rPr>
          <w:rFonts w:hint="eastAsia"/>
          <w:szCs w:val="24"/>
          <w:lang w:eastAsia="zh-CN"/>
        </w:rPr>
        <w:t>月起，</w:t>
      </w:r>
      <w:r w:rsidRPr="001F2F3D">
        <w:rPr>
          <w:rFonts w:hint="eastAsia"/>
          <w:szCs w:val="24"/>
          <w:lang w:eastAsia="zh-CN"/>
        </w:rPr>
        <w:t>P</w:t>
      </w:r>
      <w:r w:rsidRPr="001F2F3D">
        <w:rPr>
          <w:szCs w:val="24"/>
          <w:lang w:eastAsia="zh-CN"/>
        </w:rPr>
        <w:t>.4</w:t>
      </w:r>
      <w:r w:rsidRPr="001F2F3D">
        <w:rPr>
          <w:rFonts w:hint="eastAsia"/>
          <w:szCs w:val="24"/>
          <w:lang w:eastAsia="zh-CN"/>
        </w:rPr>
        <w:t>（高级审计员）职位得到填补，并任命一名</w:t>
      </w:r>
      <w:r w:rsidRPr="001F2F3D">
        <w:rPr>
          <w:rFonts w:hint="eastAsia"/>
          <w:szCs w:val="24"/>
          <w:lang w:eastAsia="zh-CN"/>
        </w:rPr>
        <w:t>P.3</w:t>
      </w:r>
      <w:r w:rsidRPr="001F2F3D">
        <w:rPr>
          <w:rFonts w:hint="eastAsia"/>
          <w:szCs w:val="24"/>
          <w:lang w:eastAsia="zh-CN"/>
        </w:rPr>
        <w:t>临时任职人员，任期为</w:t>
      </w:r>
      <w:r w:rsidRPr="001F2F3D">
        <w:rPr>
          <w:rFonts w:hint="eastAsia"/>
          <w:szCs w:val="24"/>
          <w:lang w:eastAsia="zh-CN"/>
        </w:rPr>
        <w:t>2021</w:t>
      </w:r>
      <w:r w:rsidRPr="001F2F3D">
        <w:rPr>
          <w:rFonts w:hint="eastAsia"/>
          <w:szCs w:val="24"/>
          <w:lang w:eastAsia="zh-CN"/>
        </w:rPr>
        <w:t>年</w:t>
      </w:r>
      <w:r w:rsidRPr="001F2F3D">
        <w:rPr>
          <w:rFonts w:hint="eastAsia"/>
          <w:szCs w:val="24"/>
          <w:lang w:eastAsia="zh-CN"/>
        </w:rPr>
        <w:t>11</w:t>
      </w:r>
      <w:r w:rsidRPr="001F2F3D">
        <w:rPr>
          <w:rFonts w:hint="eastAsia"/>
          <w:szCs w:val="24"/>
          <w:lang w:eastAsia="zh-CN"/>
        </w:rPr>
        <w:t>月</w:t>
      </w:r>
      <w:r w:rsidRPr="001F2F3D">
        <w:rPr>
          <w:rFonts w:hint="eastAsia"/>
          <w:szCs w:val="24"/>
          <w:lang w:eastAsia="zh-CN"/>
        </w:rPr>
        <w:t>1</w:t>
      </w:r>
      <w:r w:rsidRPr="001F2F3D">
        <w:rPr>
          <w:rFonts w:hint="eastAsia"/>
          <w:szCs w:val="24"/>
          <w:lang w:eastAsia="zh-CN"/>
        </w:rPr>
        <w:t>日至</w:t>
      </w:r>
      <w:r w:rsidRPr="001F2F3D">
        <w:rPr>
          <w:rFonts w:hint="eastAsia"/>
          <w:szCs w:val="24"/>
          <w:lang w:eastAsia="zh-CN"/>
        </w:rPr>
        <w:t>2022</w:t>
      </w:r>
      <w:r w:rsidRPr="001F2F3D">
        <w:rPr>
          <w:rFonts w:hint="eastAsia"/>
          <w:szCs w:val="24"/>
          <w:lang w:eastAsia="zh-CN"/>
        </w:rPr>
        <w:t>年</w:t>
      </w:r>
      <w:r w:rsidRPr="001F2F3D">
        <w:rPr>
          <w:rFonts w:hint="eastAsia"/>
          <w:szCs w:val="24"/>
          <w:lang w:eastAsia="zh-CN"/>
        </w:rPr>
        <w:t>3</w:t>
      </w:r>
      <w:r w:rsidRPr="001F2F3D">
        <w:rPr>
          <w:rFonts w:hint="eastAsia"/>
          <w:szCs w:val="24"/>
          <w:lang w:eastAsia="zh-CN"/>
        </w:rPr>
        <w:t>月</w:t>
      </w:r>
      <w:r w:rsidRPr="001F2F3D">
        <w:rPr>
          <w:rFonts w:hint="eastAsia"/>
          <w:szCs w:val="24"/>
          <w:lang w:eastAsia="zh-CN"/>
        </w:rPr>
        <w:t>31</w:t>
      </w:r>
      <w:r w:rsidRPr="001F2F3D">
        <w:rPr>
          <w:rFonts w:hint="eastAsia"/>
          <w:szCs w:val="24"/>
          <w:lang w:eastAsia="zh-CN"/>
        </w:rPr>
        <w:t>日。</w:t>
      </w:r>
      <w:r w:rsidRPr="001F2F3D">
        <w:rPr>
          <w:rFonts w:hint="eastAsia"/>
          <w:szCs w:val="24"/>
          <w:lang w:eastAsia="zh-CN"/>
        </w:rPr>
        <w:t>P</w:t>
      </w:r>
      <w:r w:rsidRPr="001F2F3D">
        <w:rPr>
          <w:szCs w:val="24"/>
          <w:lang w:eastAsia="zh-CN"/>
        </w:rPr>
        <w:t>.</w:t>
      </w:r>
      <w:r w:rsidRPr="001F2F3D">
        <w:rPr>
          <w:rFonts w:hint="eastAsia"/>
          <w:szCs w:val="24"/>
          <w:lang w:eastAsia="zh-CN"/>
        </w:rPr>
        <w:t>3</w:t>
      </w:r>
      <w:r w:rsidRPr="001F2F3D">
        <w:rPr>
          <w:rFonts w:hint="eastAsia"/>
          <w:szCs w:val="24"/>
          <w:lang w:eastAsia="zh-CN"/>
        </w:rPr>
        <w:t>定期职位的空缺已公布，预计将在</w:t>
      </w:r>
      <w:r w:rsidRPr="001F2F3D">
        <w:rPr>
          <w:rFonts w:hint="eastAsia"/>
          <w:szCs w:val="24"/>
          <w:lang w:eastAsia="zh-CN"/>
        </w:rPr>
        <w:t>2022</w:t>
      </w:r>
      <w:r w:rsidRPr="001F2F3D">
        <w:rPr>
          <w:rFonts w:hint="eastAsia"/>
          <w:szCs w:val="24"/>
          <w:lang w:eastAsia="zh-CN"/>
        </w:rPr>
        <w:t>年中期得到填补。与</w:t>
      </w:r>
      <w:r w:rsidRPr="001F2F3D">
        <w:rPr>
          <w:rFonts w:hint="eastAsia"/>
          <w:szCs w:val="24"/>
          <w:lang w:eastAsia="zh-CN"/>
        </w:rPr>
        <w:t>2</w:t>
      </w:r>
      <w:r w:rsidRPr="001F2F3D">
        <w:rPr>
          <w:szCs w:val="24"/>
          <w:lang w:eastAsia="zh-CN"/>
        </w:rPr>
        <w:t>021</w:t>
      </w:r>
      <w:r w:rsidRPr="001F2F3D">
        <w:rPr>
          <w:rFonts w:hint="eastAsia"/>
          <w:szCs w:val="24"/>
          <w:lang w:eastAsia="zh-CN"/>
        </w:rPr>
        <w:t>年类似，该处目前有四个专业类职位，其中一个空缺有待在</w:t>
      </w:r>
      <w:r w:rsidRPr="001F2F3D">
        <w:rPr>
          <w:rFonts w:hint="eastAsia"/>
          <w:szCs w:val="24"/>
          <w:lang w:eastAsia="zh-CN"/>
        </w:rPr>
        <w:t>202</w:t>
      </w:r>
      <w:r w:rsidRPr="001F2F3D">
        <w:rPr>
          <w:szCs w:val="24"/>
          <w:lang w:eastAsia="zh-CN"/>
        </w:rPr>
        <w:t>2</w:t>
      </w:r>
      <w:r w:rsidRPr="001F2F3D">
        <w:rPr>
          <w:rFonts w:hint="eastAsia"/>
          <w:szCs w:val="24"/>
          <w:lang w:eastAsia="zh-CN"/>
        </w:rPr>
        <w:t>年期间招聘。</w:t>
      </w:r>
    </w:p>
    <w:p w14:paraId="398D3A73"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1F2F3D">
        <w:rPr>
          <w:szCs w:val="24"/>
          <w:lang w:val="en-US" w:eastAsia="zh-CN"/>
        </w:rPr>
        <w:t>3</w:t>
      </w:r>
      <w:r w:rsidRPr="001F2F3D">
        <w:rPr>
          <w:szCs w:val="24"/>
          <w:lang w:val="en-US" w:eastAsia="zh-CN"/>
        </w:rPr>
        <w:tab/>
      </w:r>
      <w:r w:rsidRPr="001F2F3D">
        <w:rPr>
          <w:szCs w:val="24"/>
          <w:lang w:eastAsia="zh-CN"/>
        </w:rPr>
        <w:t>内部审计处（</w:t>
      </w:r>
      <w:r w:rsidRPr="001F2F3D">
        <w:rPr>
          <w:szCs w:val="24"/>
          <w:lang w:eastAsia="zh-CN"/>
        </w:rPr>
        <w:t>IA</w:t>
      </w:r>
      <w:r w:rsidRPr="001F2F3D">
        <w:rPr>
          <w:szCs w:val="24"/>
          <w:lang w:eastAsia="zh-CN"/>
        </w:rPr>
        <w:t>）确认，根据《内部审计专业做法国际标准》、内部审计师协会（</w:t>
      </w:r>
      <w:r w:rsidRPr="001F2F3D">
        <w:rPr>
          <w:szCs w:val="24"/>
          <w:lang w:eastAsia="zh-CN"/>
        </w:rPr>
        <w:t>IIA</w:t>
      </w:r>
      <w:r w:rsidRPr="001F2F3D">
        <w:rPr>
          <w:szCs w:val="24"/>
          <w:lang w:eastAsia="zh-CN"/>
        </w:rPr>
        <w:t>）</w:t>
      </w:r>
      <w:r w:rsidRPr="001F2F3D">
        <w:rPr>
          <w:rStyle w:val="FootnoteReference"/>
          <w:lang w:val="en-US"/>
        </w:rPr>
        <w:footnoteReference w:id="2"/>
      </w:r>
      <w:r w:rsidRPr="001F2F3D">
        <w:rPr>
          <w:szCs w:val="24"/>
          <w:lang w:eastAsia="zh-CN"/>
        </w:rPr>
        <w:t>制定的《道德准则》以及</w:t>
      </w:r>
      <w:r w:rsidRPr="001F2F3D">
        <w:rPr>
          <w:rFonts w:hint="eastAsia"/>
          <w:szCs w:val="24"/>
          <w:lang w:eastAsia="zh-CN"/>
        </w:rPr>
        <w:t>《</w:t>
      </w:r>
      <w:r w:rsidRPr="001F2F3D">
        <w:rPr>
          <w:szCs w:val="24"/>
          <w:lang w:eastAsia="zh-CN"/>
        </w:rPr>
        <w:t>国际电联内部审计章程</w:t>
      </w:r>
      <w:r w:rsidRPr="001F2F3D">
        <w:rPr>
          <w:rFonts w:hint="eastAsia"/>
          <w:szCs w:val="24"/>
          <w:lang w:eastAsia="zh-CN"/>
        </w:rPr>
        <w:t>》</w:t>
      </w:r>
      <w:r w:rsidRPr="001F2F3D">
        <w:rPr>
          <w:rStyle w:val="FootnoteReference"/>
          <w:lang w:val="en-US"/>
        </w:rPr>
        <w:footnoteReference w:id="3"/>
      </w:r>
      <w:r w:rsidRPr="001F2F3D">
        <w:rPr>
          <w:szCs w:val="24"/>
          <w:lang w:eastAsia="zh-CN"/>
        </w:rPr>
        <w:t>的规定</w:t>
      </w:r>
      <w:r w:rsidRPr="001F2F3D">
        <w:rPr>
          <w:rFonts w:hint="eastAsia"/>
          <w:szCs w:val="24"/>
          <w:lang w:eastAsia="zh-CN"/>
        </w:rPr>
        <w:t>开展审计工作</w:t>
      </w:r>
      <w:r w:rsidRPr="001F2F3D">
        <w:rPr>
          <w:szCs w:val="24"/>
          <w:lang w:eastAsia="zh-CN"/>
        </w:rPr>
        <w:t>。此外，</w:t>
      </w:r>
      <w:r w:rsidRPr="001F2F3D">
        <w:rPr>
          <w:szCs w:val="24"/>
          <w:lang w:eastAsia="zh-CN"/>
        </w:rPr>
        <w:lastRenderedPageBreak/>
        <w:t>内部审计处还确认，对于报告期内所审计的一切活动，该</w:t>
      </w:r>
      <w:r w:rsidRPr="001F2F3D">
        <w:rPr>
          <w:rFonts w:hint="eastAsia"/>
          <w:szCs w:val="24"/>
          <w:lang w:eastAsia="zh-CN"/>
        </w:rPr>
        <w:t>处员工</w:t>
      </w:r>
      <w:r w:rsidRPr="001F2F3D">
        <w:rPr>
          <w:szCs w:val="24"/>
          <w:lang w:eastAsia="zh-CN"/>
        </w:rPr>
        <w:t>既无管理权也</w:t>
      </w:r>
      <w:r w:rsidRPr="001F2F3D">
        <w:rPr>
          <w:rFonts w:hint="eastAsia"/>
          <w:szCs w:val="24"/>
          <w:lang w:eastAsia="zh-CN"/>
        </w:rPr>
        <w:t>不</w:t>
      </w:r>
      <w:r w:rsidRPr="001F2F3D">
        <w:rPr>
          <w:szCs w:val="24"/>
          <w:lang w:eastAsia="zh-CN"/>
        </w:rPr>
        <w:t>承担任何责任，且未在国际电联内部承担任何</w:t>
      </w:r>
      <w:r w:rsidRPr="001F2F3D">
        <w:rPr>
          <w:rFonts w:hint="eastAsia"/>
          <w:szCs w:val="24"/>
          <w:lang w:eastAsia="zh-CN"/>
        </w:rPr>
        <w:t>会计</w:t>
      </w:r>
      <w:r w:rsidRPr="001F2F3D">
        <w:rPr>
          <w:szCs w:val="24"/>
          <w:lang w:eastAsia="zh-CN"/>
        </w:rPr>
        <w:t>或日常运作工作。</w:t>
      </w:r>
    </w:p>
    <w:p w14:paraId="7A081A93" w14:textId="77777777" w:rsidR="002D75DD" w:rsidRPr="00E508E8" w:rsidRDefault="002D75DD" w:rsidP="007A1444">
      <w:pPr>
        <w:pStyle w:val="Heading1"/>
        <w:tabs>
          <w:tab w:val="center" w:pos="4819"/>
        </w:tabs>
        <w:rPr>
          <w:lang w:eastAsia="zh-CN"/>
        </w:rPr>
      </w:pPr>
      <w:r w:rsidRPr="00E508E8">
        <w:rPr>
          <w:lang w:eastAsia="zh-CN"/>
        </w:rPr>
        <w:t>内部审计活动的方向和范围</w:t>
      </w:r>
    </w:p>
    <w:p w14:paraId="23F08093"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1F2F3D">
        <w:rPr>
          <w:szCs w:val="24"/>
          <w:lang w:eastAsia="zh-CN"/>
        </w:rPr>
        <w:t>4</w:t>
      </w:r>
      <w:r w:rsidRPr="001F2F3D">
        <w:rPr>
          <w:szCs w:val="24"/>
          <w:lang w:eastAsia="zh-CN"/>
        </w:rPr>
        <w:tab/>
      </w:r>
      <w:bookmarkStart w:id="3" w:name="lt_pId032"/>
      <w:r w:rsidRPr="001F2F3D">
        <w:rPr>
          <w:szCs w:val="24"/>
          <w:lang w:eastAsia="zh-CN"/>
        </w:rPr>
        <w:t>根据</w:t>
      </w:r>
      <w:r w:rsidRPr="001F2F3D">
        <w:rPr>
          <w:rFonts w:hint="eastAsia"/>
          <w:szCs w:val="24"/>
          <w:lang w:eastAsia="zh-CN"/>
        </w:rPr>
        <w:t>2</w:t>
      </w:r>
      <w:r w:rsidRPr="001F2F3D">
        <w:rPr>
          <w:szCs w:val="24"/>
          <w:lang w:eastAsia="zh-CN"/>
        </w:rPr>
        <w:t>021</w:t>
      </w:r>
      <w:r w:rsidRPr="001F2F3D">
        <w:rPr>
          <w:rFonts w:hint="eastAsia"/>
          <w:szCs w:val="24"/>
          <w:lang w:eastAsia="zh-CN"/>
        </w:rPr>
        <w:t>年《</w:t>
      </w:r>
      <w:r w:rsidRPr="001F2F3D">
        <w:rPr>
          <w:szCs w:val="24"/>
          <w:lang w:eastAsia="zh-CN"/>
        </w:rPr>
        <w:t>内部审计章程</w:t>
      </w:r>
      <w:r w:rsidRPr="001F2F3D">
        <w:rPr>
          <w:rFonts w:hint="eastAsia"/>
          <w:szCs w:val="24"/>
          <w:lang w:eastAsia="zh-CN"/>
        </w:rPr>
        <w:t>》</w:t>
      </w:r>
      <w:r w:rsidRPr="001F2F3D">
        <w:rPr>
          <w:szCs w:val="24"/>
          <w:lang w:eastAsia="zh-CN"/>
        </w:rPr>
        <w:t>，内部审计计划</w:t>
      </w:r>
      <w:r w:rsidRPr="001F2F3D">
        <w:rPr>
          <w:rFonts w:hint="eastAsia"/>
          <w:szCs w:val="24"/>
          <w:lang w:eastAsia="zh-CN"/>
        </w:rPr>
        <w:t>经</w:t>
      </w:r>
      <w:r w:rsidRPr="001F2F3D">
        <w:rPr>
          <w:szCs w:val="24"/>
          <w:lang w:eastAsia="zh-CN"/>
        </w:rPr>
        <w:t>独立管理顾问委员会（</w:t>
      </w:r>
      <w:r w:rsidRPr="001F2F3D">
        <w:rPr>
          <w:szCs w:val="24"/>
          <w:lang w:eastAsia="zh-CN"/>
        </w:rPr>
        <w:t>IMAC</w:t>
      </w:r>
      <w:r w:rsidRPr="001F2F3D">
        <w:rPr>
          <w:szCs w:val="24"/>
          <w:lang w:eastAsia="zh-CN"/>
        </w:rPr>
        <w:t>）</w:t>
      </w:r>
      <w:r w:rsidRPr="001F2F3D">
        <w:rPr>
          <w:rFonts w:hint="eastAsia"/>
          <w:szCs w:val="24"/>
          <w:lang w:eastAsia="zh-CN"/>
        </w:rPr>
        <w:t>第</w:t>
      </w:r>
      <w:r w:rsidRPr="001F2F3D">
        <w:rPr>
          <w:rFonts w:hint="eastAsia"/>
          <w:szCs w:val="24"/>
          <w:lang w:eastAsia="zh-CN"/>
        </w:rPr>
        <w:t>28</w:t>
      </w:r>
      <w:r w:rsidRPr="001F2F3D">
        <w:rPr>
          <w:rFonts w:hint="eastAsia"/>
          <w:szCs w:val="24"/>
          <w:lang w:eastAsia="zh-CN"/>
        </w:rPr>
        <w:t>次会议</w:t>
      </w:r>
      <w:r w:rsidRPr="001F2F3D">
        <w:rPr>
          <w:szCs w:val="24"/>
          <w:lang w:eastAsia="zh-CN"/>
        </w:rPr>
        <w:t>审议并</w:t>
      </w:r>
      <w:r w:rsidRPr="001F2F3D">
        <w:rPr>
          <w:rFonts w:hint="eastAsia"/>
          <w:szCs w:val="24"/>
          <w:lang w:eastAsia="zh-CN"/>
        </w:rPr>
        <w:t>于</w:t>
      </w:r>
      <w:bookmarkEnd w:id="3"/>
      <w:r w:rsidRPr="001F2F3D">
        <w:rPr>
          <w:rFonts w:hint="eastAsia"/>
          <w:szCs w:val="24"/>
          <w:lang w:eastAsia="zh-CN"/>
        </w:rPr>
        <w:t>2021</w:t>
      </w:r>
      <w:r w:rsidRPr="001F2F3D">
        <w:rPr>
          <w:rFonts w:hint="eastAsia"/>
          <w:szCs w:val="24"/>
          <w:lang w:eastAsia="zh-CN"/>
        </w:rPr>
        <w:t>年</w:t>
      </w:r>
      <w:r w:rsidRPr="001F2F3D">
        <w:rPr>
          <w:rFonts w:hint="eastAsia"/>
          <w:szCs w:val="24"/>
          <w:lang w:eastAsia="zh-CN"/>
        </w:rPr>
        <w:t>3</w:t>
      </w:r>
      <w:r w:rsidRPr="001F2F3D">
        <w:rPr>
          <w:rFonts w:hint="eastAsia"/>
          <w:szCs w:val="24"/>
          <w:lang w:eastAsia="zh-CN"/>
        </w:rPr>
        <w:t>月</w:t>
      </w:r>
      <w:r w:rsidRPr="001F2F3D">
        <w:rPr>
          <w:rFonts w:hint="eastAsia"/>
          <w:szCs w:val="24"/>
          <w:lang w:eastAsia="zh-CN"/>
        </w:rPr>
        <w:t>29</w:t>
      </w:r>
      <w:r w:rsidRPr="001F2F3D">
        <w:rPr>
          <w:rFonts w:hint="eastAsia"/>
          <w:szCs w:val="24"/>
          <w:lang w:eastAsia="zh-CN"/>
        </w:rPr>
        <w:t>日获得</w:t>
      </w:r>
      <w:r w:rsidRPr="001F2F3D">
        <w:rPr>
          <w:szCs w:val="24"/>
          <w:lang w:eastAsia="zh-CN"/>
        </w:rPr>
        <w:t>秘书长批准。</w:t>
      </w:r>
      <w:r w:rsidRPr="001F2F3D">
        <w:rPr>
          <w:rFonts w:hint="eastAsia"/>
          <w:szCs w:val="24"/>
          <w:lang w:eastAsia="zh-CN"/>
        </w:rPr>
        <w:t>分配用于</w:t>
      </w:r>
      <w:r w:rsidRPr="001F2F3D">
        <w:rPr>
          <w:rFonts w:hint="eastAsia"/>
          <w:szCs w:val="24"/>
          <w:lang w:eastAsia="zh-CN"/>
        </w:rPr>
        <w:t>2021</w:t>
      </w:r>
      <w:r w:rsidRPr="001F2F3D">
        <w:rPr>
          <w:rFonts w:hint="eastAsia"/>
          <w:szCs w:val="24"/>
          <w:lang w:eastAsia="zh-CN"/>
        </w:rPr>
        <w:t>年调查工作的时间已尽可能减少，以便使内部审计处履行其核心职责。内部审计处的调查工作基于《</w:t>
      </w:r>
      <w:r w:rsidRPr="001F2F3D">
        <w:rPr>
          <w:szCs w:val="24"/>
          <w:lang w:eastAsia="zh-CN"/>
        </w:rPr>
        <w:t>内部审计章程</w:t>
      </w:r>
      <w:r w:rsidRPr="001F2F3D">
        <w:rPr>
          <w:rFonts w:hint="eastAsia"/>
          <w:szCs w:val="24"/>
          <w:lang w:eastAsia="zh-CN"/>
        </w:rPr>
        <w:t>》，其中亦</w:t>
      </w:r>
      <w:r w:rsidRPr="001F2F3D">
        <w:rPr>
          <w:szCs w:val="24"/>
          <w:lang w:eastAsia="zh-CN"/>
        </w:rPr>
        <w:t>规定</w:t>
      </w:r>
      <w:r w:rsidRPr="00603047">
        <w:rPr>
          <w:rFonts w:eastAsia="STKaiti"/>
          <w:szCs w:val="24"/>
          <w:lang w:eastAsia="zh-CN"/>
        </w:rPr>
        <w:t>内部审计</w:t>
      </w:r>
      <w:r w:rsidRPr="00603047">
        <w:rPr>
          <w:rFonts w:eastAsia="STKaiti" w:hint="eastAsia"/>
          <w:szCs w:val="24"/>
          <w:lang w:eastAsia="zh-CN"/>
        </w:rPr>
        <w:t>处须</w:t>
      </w:r>
      <w:r w:rsidRPr="00603047">
        <w:rPr>
          <w:rFonts w:eastAsia="STKaiti"/>
          <w:szCs w:val="24"/>
          <w:lang w:eastAsia="zh-CN"/>
        </w:rPr>
        <w:t>调查</w:t>
      </w:r>
      <w:r w:rsidRPr="00603047">
        <w:rPr>
          <w:rFonts w:eastAsia="STKaiti" w:hint="eastAsia"/>
          <w:szCs w:val="24"/>
          <w:lang w:eastAsia="zh-CN"/>
        </w:rPr>
        <w:t>舞弊或</w:t>
      </w:r>
      <w:r w:rsidRPr="00603047">
        <w:rPr>
          <w:rFonts w:eastAsia="STKaiti"/>
          <w:szCs w:val="24"/>
          <w:lang w:eastAsia="zh-CN"/>
        </w:rPr>
        <w:t>管理不善的指控或假定，同时内部审计</w:t>
      </w:r>
      <w:r w:rsidRPr="00603047">
        <w:rPr>
          <w:rFonts w:eastAsia="STKaiti" w:hint="eastAsia"/>
          <w:szCs w:val="24"/>
          <w:lang w:eastAsia="zh-CN"/>
        </w:rPr>
        <w:t>处</w:t>
      </w:r>
      <w:r w:rsidRPr="00603047">
        <w:rPr>
          <w:rFonts w:eastAsia="STKaiti"/>
          <w:szCs w:val="24"/>
          <w:lang w:eastAsia="zh-CN"/>
        </w:rPr>
        <w:t>可在国际电联内部提供咨询服务</w:t>
      </w:r>
      <w:r w:rsidRPr="001F2F3D">
        <w:rPr>
          <w:szCs w:val="24"/>
          <w:lang w:eastAsia="zh-CN"/>
        </w:rPr>
        <w:t>。</w:t>
      </w:r>
      <w:r w:rsidRPr="001F2F3D">
        <w:rPr>
          <w:rFonts w:hint="eastAsia"/>
          <w:szCs w:val="24"/>
          <w:lang w:eastAsia="zh-CN"/>
        </w:rPr>
        <w:t>用于此类调查工作的时间的确仅限于完成之前的调查工作和</w:t>
      </w:r>
      <w:r w:rsidRPr="001F2F3D">
        <w:rPr>
          <w:rFonts w:hint="eastAsia"/>
          <w:szCs w:val="24"/>
          <w:lang w:eastAsia="zh-CN"/>
        </w:rPr>
        <w:t>/</w:t>
      </w:r>
      <w:r w:rsidRPr="001F2F3D">
        <w:rPr>
          <w:rFonts w:hint="eastAsia"/>
          <w:szCs w:val="24"/>
          <w:lang w:eastAsia="zh-CN"/>
        </w:rPr>
        <w:t>或向外部引入的调查顾问提供有限协助。</w:t>
      </w:r>
      <w:r w:rsidRPr="001F2F3D">
        <w:rPr>
          <w:rFonts w:hint="eastAsia"/>
          <w:szCs w:val="24"/>
          <w:lang w:eastAsia="zh-CN"/>
        </w:rPr>
        <w:t>2022</w:t>
      </w:r>
      <w:r w:rsidRPr="001F2F3D">
        <w:rPr>
          <w:rFonts w:hint="eastAsia"/>
          <w:szCs w:val="24"/>
          <w:lang w:eastAsia="zh-CN"/>
        </w:rPr>
        <w:t>年，国际电联调查员职位的任职人员（直接向秘书长报告）已上任。</w:t>
      </w:r>
    </w:p>
    <w:p w14:paraId="5C8154F4"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1F2F3D">
        <w:rPr>
          <w:szCs w:val="24"/>
          <w:lang w:val="en-US" w:eastAsia="zh-CN"/>
        </w:rPr>
        <w:t>5</w:t>
      </w:r>
      <w:r w:rsidRPr="001F2F3D">
        <w:rPr>
          <w:szCs w:val="24"/>
          <w:lang w:val="en-US" w:eastAsia="zh-CN"/>
        </w:rPr>
        <w:tab/>
      </w:r>
      <w:r w:rsidRPr="001F2F3D">
        <w:rPr>
          <w:szCs w:val="24"/>
          <w:lang w:val="en-US" w:eastAsia="zh-CN"/>
        </w:rPr>
        <w:t>内部审计处与国际电联外部审计员</w:t>
      </w:r>
      <w:r w:rsidRPr="001F2F3D">
        <w:rPr>
          <w:rFonts w:hint="eastAsia"/>
          <w:szCs w:val="24"/>
          <w:lang w:val="en-US" w:eastAsia="zh-CN"/>
        </w:rPr>
        <w:t>以及</w:t>
      </w:r>
      <w:r w:rsidRPr="001F2F3D">
        <w:rPr>
          <w:szCs w:val="24"/>
          <w:lang w:val="en-US" w:eastAsia="zh-CN"/>
        </w:rPr>
        <w:t>IMAC</w:t>
      </w:r>
      <w:r w:rsidRPr="001F2F3D">
        <w:rPr>
          <w:rFonts w:hint="eastAsia"/>
          <w:szCs w:val="24"/>
          <w:lang w:val="en-US" w:eastAsia="zh-CN"/>
        </w:rPr>
        <w:t>系统</w:t>
      </w:r>
      <w:r w:rsidRPr="001F2F3D">
        <w:rPr>
          <w:szCs w:val="24"/>
          <w:lang w:val="en-US" w:eastAsia="zh-CN"/>
        </w:rPr>
        <w:t>地</w:t>
      </w:r>
      <w:r w:rsidRPr="001F2F3D">
        <w:rPr>
          <w:rFonts w:hint="eastAsia"/>
          <w:szCs w:val="24"/>
          <w:lang w:val="en-US" w:eastAsia="zh-CN"/>
        </w:rPr>
        <w:t>共享</w:t>
      </w:r>
      <w:r w:rsidRPr="001F2F3D">
        <w:rPr>
          <w:szCs w:val="24"/>
          <w:lang w:val="en-US" w:eastAsia="zh-CN"/>
        </w:rPr>
        <w:t>内部审计报告副本。根据国际电联《财务规则》第</w:t>
      </w:r>
      <w:r w:rsidRPr="001F2F3D">
        <w:rPr>
          <w:szCs w:val="24"/>
          <w:lang w:val="en-US" w:eastAsia="zh-CN"/>
        </w:rPr>
        <w:t>29.5</w:t>
      </w:r>
      <w:r w:rsidRPr="001F2F3D">
        <w:rPr>
          <w:szCs w:val="24"/>
          <w:lang w:val="en-US" w:eastAsia="zh-CN"/>
        </w:rPr>
        <w:t>款，内部审计最终报告可提供给成员国或其指定的代表。自</w:t>
      </w:r>
      <w:r w:rsidRPr="001F2F3D">
        <w:rPr>
          <w:szCs w:val="24"/>
          <w:lang w:val="en-US" w:eastAsia="zh-CN"/>
        </w:rPr>
        <w:t>2015</w:t>
      </w:r>
      <w:r w:rsidRPr="001F2F3D">
        <w:rPr>
          <w:szCs w:val="24"/>
          <w:lang w:val="en-US" w:eastAsia="zh-CN"/>
        </w:rPr>
        <w:t>年</w:t>
      </w:r>
      <w:r w:rsidRPr="001F2F3D">
        <w:rPr>
          <w:szCs w:val="24"/>
          <w:lang w:val="en-US" w:eastAsia="zh-CN"/>
        </w:rPr>
        <w:t>10</w:t>
      </w:r>
      <w:r w:rsidRPr="001F2F3D">
        <w:rPr>
          <w:szCs w:val="24"/>
          <w:lang w:val="en-US" w:eastAsia="zh-CN"/>
        </w:rPr>
        <w:t>月以来，一项方便获取内部审计报告的机制已投入使用。在本报告期内，</w:t>
      </w:r>
      <w:r w:rsidRPr="001F2F3D">
        <w:rPr>
          <w:rFonts w:hint="eastAsia"/>
          <w:szCs w:val="24"/>
          <w:lang w:val="en-US" w:eastAsia="zh-CN"/>
        </w:rPr>
        <w:t>未</w:t>
      </w:r>
      <w:r w:rsidRPr="001F2F3D">
        <w:rPr>
          <w:szCs w:val="24"/>
          <w:lang w:val="en-US" w:eastAsia="zh-CN"/>
        </w:rPr>
        <w:t>通过在线机制收到</w:t>
      </w:r>
      <w:r w:rsidRPr="001F2F3D">
        <w:rPr>
          <w:rFonts w:hint="eastAsia"/>
          <w:szCs w:val="24"/>
          <w:lang w:val="en-US" w:eastAsia="zh-CN"/>
        </w:rPr>
        <w:t>任何获取</w:t>
      </w:r>
      <w:r w:rsidRPr="001F2F3D">
        <w:rPr>
          <w:szCs w:val="24"/>
          <w:lang w:val="en-US" w:eastAsia="zh-CN"/>
        </w:rPr>
        <w:t>内部审计报告的要求</w:t>
      </w:r>
      <w:r w:rsidRPr="001F2F3D">
        <w:rPr>
          <w:rFonts w:hint="eastAsia"/>
          <w:szCs w:val="24"/>
          <w:lang w:val="en-US" w:eastAsia="zh-CN"/>
        </w:rPr>
        <w:t>。</w:t>
      </w:r>
    </w:p>
    <w:p w14:paraId="68A4EE67" w14:textId="77777777" w:rsidR="002D75DD" w:rsidRPr="00F15CE2" w:rsidRDefault="002D75DD" w:rsidP="007A1444">
      <w:pPr>
        <w:pStyle w:val="Heading1"/>
        <w:tabs>
          <w:tab w:val="center" w:pos="4819"/>
        </w:tabs>
        <w:rPr>
          <w:lang w:eastAsia="zh-CN"/>
        </w:rPr>
      </w:pPr>
      <w:r w:rsidRPr="00F15CE2">
        <w:rPr>
          <w:lang w:eastAsia="zh-CN"/>
        </w:rPr>
        <w:t>鉴证的</w:t>
      </w:r>
      <w:r>
        <w:rPr>
          <w:rFonts w:hint="eastAsia"/>
          <w:lang w:eastAsia="zh-CN"/>
        </w:rPr>
        <w:t>目标</w:t>
      </w:r>
      <w:r w:rsidRPr="00F15CE2">
        <w:rPr>
          <w:lang w:eastAsia="zh-CN"/>
        </w:rPr>
        <w:t>和结论</w:t>
      </w:r>
    </w:p>
    <w:p w14:paraId="1A5AD67D"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1F2F3D">
        <w:rPr>
          <w:szCs w:val="24"/>
          <w:lang w:val="en-US" w:eastAsia="zh-CN"/>
        </w:rPr>
        <w:t>6</w:t>
      </w:r>
      <w:r w:rsidRPr="001F2F3D">
        <w:rPr>
          <w:szCs w:val="24"/>
          <w:lang w:val="en-US" w:eastAsia="zh-CN"/>
        </w:rPr>
        <w:tab/>
      </w:r>
      <w:r w:rsidRPr="001F2F3D">
        <w:rPr>
          <w:szCs w:val="24"/>
          <w:lang w:val="en-US" w:eastAsia="zh-CN"/>
        </w:rPr>
        <w:t>鉴证</w:t>
      </w:r>
      <w:r w:rsidRPr="001F2F3D">
        <w:rPr>
          <w:rFonts w:hint="eastAsia"/>
          <w:szCs w:val="24"/>
          <w:lang w:val="en-US" w:eastAsia="zh-CN"/>
        </w:rPr>
        <w:t>的目标是</w:t>
      </w:r>
      <w:r w:rsidRPr="001F2F3D">
        <w:rPr>
          <w:szCs w:val="24"/>
          <w:lang w:val="en-US" w:eastAsia="zh-CN"/>
        </w:rPr>
        <w:t>评估</w:t>
      </w:r>
      <w:r w:rsidRPr="001F2F3D">
        <w:rPr>
          <w:rFonts w:hint="eastAsia"/>
          <w:szCs w:val="24"/>
          <w:lang w:val="en-US" w:eastAsia="zh-CN"/>
        </w:rPr>
        <w:t>：</w:t>
      </w:r>
      <w:proofErr w:type="spellStart"/>
      <w:r w:rsidR="00603047" w:rsidRPr="00603047">
        <w:rPr>
          <w:szCs w:val="24"/>
          <w:lang w:eastAsia="zh-CN"/>
        </w:rPr>
        <w:t>i</w:t>
      </w:r>
      <w:proofErr w:type="spellEnd"/>
      <w:r w:rsidR="00603047" w:rsidRPr="00603047">
        <w:rPr>
          <w:szCs w:val="24"/>
          <w:lang w:eastAsia="zh-CN"/>
        </w:rPr>
        <w:t>)</w:t>
      </w:r>
      <w:r w:rsidR="00603047">
        <w:rPr>
          <w:szCs w:val="24"/>
          <w:lang w:eastAsia="zh-CN"/>
        </w:rPr>
        <w:t xml:space="preserve"> </w:t>
      </w:r>
      <w:r w:rsidRPr="001F2F3D">
        <w:rPr>
          <w:szCs w:val="24"/>
          <w:lang w:val="en-US" w:eastAsia="zh-CN"/>
        </w:rPr>
        <w:t>经审计的国际电联</w:t>
      </w:r>
      <w:r w:rsidRPr="001F2F3D">
        <w:rPr>
          <w:rFonts w:hint="eastAsia"/>
          <w:szCs w:val="24"/>
          <w:lang w:val="en-US" w:eastAsia="zh-CN"/>
        </w:rPr>
        <w:t>运作</w:t>
      </w:r>
      <w:r w:rsidRPr="001F2F3D">
        <w:rPr>
          <w:szCs w:val="24"/>
          <w:lang w:val="en-US" w:eastAsia="zh-CN"/>
        </w:rPr>
        <w:t>的</w:t>
      </w:r>
      <w:r w:rsidRPr="001F2F3D">
        <w:rPr>
          <w:rFonts w:hint="eastAsia"/>
          <w:szCs w:val="24"/>
          <w:lang w:val="en-US" w:eastAsia="zh-CN"/>
        </w:rPr>
        <w:t>治理方面；</w:t>
      </w:r>
      <w:proofErr w:type="spellStart"/>
      <w:r w:rsidR="00603047">
        <w:rPr>
          <w:rFonts w:hint="eastAsia"/>
          <w:szCs w:val="24"/>
          <w:lang w:val="en-US" w:eastAsia="zh-CN"/>
        </w:rPr>
        <w:t>i</w:t>
      </w:r>
      <w:r w:rsidR="00603047" w:rsidRPr="00603047">
        <w:rPr>
          <w:szCs w:val="24"/>
          <w:lang w:eastAsia="zh-CN"/>
        </w:rPr>
        <w:t>i</w:t>
      </w:r>
      <w:proofErr w:type="spellEnd"/>
      <w:r w:rsidR="00603047" w:rsidRPr="00603047">
        <w:rPr>
          <w:szCs w:val="24"/>
          <w:lang w:eastAsia="zh-CN"/>
        </w:rPr>
        <w:t>)</w:t>
      </w:r>
      <w:r w:rsidR="00603047">
        <w:rPr>
          <w:szCs w:val="24"/>
          <w:lang w:eastAsia="zh-CN"/>
        </w:rPr>
        <w:t xml:space="preserve"> </w:t>
      </w:r>
      <w:r w:rsidRPr="001F2F3D">
        <w:rPr>
          <w:szCs w:val="24"/>
          <w:lang w:val="en-US" w:eastAsia="zh-CN"/>
        </w:rPr>
        <w:t>风险管理做法</w:t>
      </w:r>
      <w:r w:rsidRPr="001F2F3D">
        <w:rPr>
          <w:rFonts w:hint="eastAsia"/>
          <w:szCs w:val="24"/>
          <w:lang w:val="en-US" w:eastAsia="zh-CN"/>
        </w:rPr>
        <w:t>；和</w:t>
      </w:r>
      <w:r w:rsidRPr="001F2F3D">
        <w:rPr>
          <w:szCs w:val="24"/>
          <w:lang w:val="en-US" w:eastAsia="zh-CN"/>
        </w:rPr>
        <w:t>iii</w:t>
      </w:r>
      <w:r w:rsidR="00603047">
        <w:rPr>
          <w:szCs w:val="24"/>
          <w:lang w:val="en-US" w:eastAsia="zh-CN"/>
        </w:rPr>
        <w:t>) </w:t>
      </w:r>
      <w:r w:rsidRPr="001F2F3D">
        <w:rPr>
          <w:szCs w:val="24"/>
          <w:lang w:val="en-US" w:eastAsia="zh-CN"/>
        </w:rPr>
        <w:t>（内部）控制的有效性。依据影响和可能出现的</w:t>
      </w:r>
      <w:r w:rsidRPr="001F2F3D">
        <w:rPr>
          <w:rFonts w:hint="eastAsia"/>
          <w:szCs w:val="24"/>
          <w:lang w:val="en-US" w:eastAsia="zh-CN"/>
        </w:rPr>
        <w:t>缺陷对</w:t>
      </w:r>
      <w:r w:rsidRPr="001F2F3D">
        <w:rPr>
          <w:szCs w:val="24"/>
          <w:lang w:val="en-US" w:eastAsia="zh-CN"/>
        </w:rPr>
        <w:t>审计产生的建议划分轻重缓急（高、中、低）。</w:t>
      </w:r>
    </w:p>
    <w:p w14:paraId="29E3308F"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1F2F3D">
        <w:rPr>
          <w:szCs w:val="24"/>
          <w:lang w:val="en-US" w:eastAsia="zh-CN"/>
        </w:rPr>
        <w:t>7</w:t>
      </w:r>
      <w:r w:rsidRPr="001F2F3D">
        <w:rPr>
          <w:szCs w:val="24"/>
          <w:lang w:val="en-US" w:eastAsia="zh-CN"/>
        </w:rPr>
        <w:tab/>
      </w:r>
      <w:r w:rsidRPr="001F2F3D">
        <w:rPr>
          <w:szCs w:val="24"/>
          <w:lang w:val="en-US" w:eastAsia="zh-CN"/>
        </w:rPr>
        <w:t>内部审计处</w:t>
      </w:r>
      <w:r w:rsidRPr="001F2F3D">
        <w:rPr>
          <w:rFonts w:hint="eastAsia"/>
          <w:szCs w:val="24"/>
          <w:lang w:val="en-US" w:eastAsia="zh-CN"/>
        </w:rPr>
        <w:t>根据需要</w:t>
      </w:r>
      <w:r w:rsidRPr="001F2F3D">
        <w:rPr>
          <w:szCs w:val="24"/>
          <w:lang w:val="en-US" w:eastAsia="zh-CN"/>
        </w:rPr>
        <w:t>随时对建议行动的落实予以跟进。</w:t>
      </w:r>
      <w:r w:rsidRPr="001F2F3D">
        <w:rPr>
          <w:rFonts w:hint="eastAsia"/>
          <w:szCs w:val="24"/>
          <w:lang w:val="en-US" w:eastAsia="zh-CN"/>
        </w:rPr>
        <w:t>自</w:t>
      </w:r>
      <w:r w:rsidRPr="001F2F3D">
        <w:rPr>
          <w:rFonts w:hint="eastAsia"/>
          <w:szCs w:val="24"/>
          <w:lang w:val="en-US" w:eastAsia="zh-CN"/>
        </w:rPr>
        <w:t>2021</w:t>
      </w:r>
      <w:r w:rsidRPr="001F2F3D">
        <w:rPr>
          <w:rFonts w:hint="eastAsia"/>
          <w:szCs w:val="24"/>
          <w:lang w:val="en-US" w:eastAsia="zh-CN"/>
        </w:rPr>
        <w:t>年初以来，为此目的在整个国际电联范围内提供了一个合规信息概览，方便相关管理人员跟踪建议的执行情况，但并不免除内部审计处根据</w:t>
      </w:r>
      <w:r w:rsidRPr="001F2F3D">
        <w:rPr>
          <w:rFonts w:hint="eastAsia"/>
          <w:szCs w:val="24"/>
          <w:lang w:val="en-US" w:eastAsia="zh-CN"/>
        </w:rPr>
        <w:t>IIA</w:t>
      </w:r>
      <w:r w:rsidRPr="001F2F3D">
        <w:rPr>
          <w:rFonts w:hint="eastAsia"/>
          <w:szCs w:val="24"/>
          <w:lang w:val="en-US" w:eastAsia="zh-CN"/>
        </w:rPr>
        <w:t>标准</w:t>
      </w:r>
      <w:r w:rsidRPr="001F2F3D">
        <w:rPr>
          <w:rFonts w:hint="eastAsia"/>
          <w:szCs w:val="24"/>
          <w:lang w:val="en-US" w:eastAsia="zh-CN"/>
        </w:rPr>
        <w:t>2500</w:t>
      </w:r>
      <w:r w:rsidRPr="00C12339">
        <w:rPr>
          <w:rStyle w:val="FootnoteReference"/>
        </w:rPr>
        <w:footnoteReference w:id="4"/>
      </w:r>
      <w:r w:rsidRPr="001F2F3D">
        <w:rPr>
          <w:rFonts w:hint="eastAsia"/>
          <w:szCs w:val="24"/>
          <w:lang w:val="en-US" w:eastAsia="zh-CN"/>
        </w:rPr>
        <w:t>对先前提出的建议予以跟进的责任。</w:t>
      </w:r>
    </w:p>
    <w:p w14:paraId="0BCAABCE" w14:textId="77777777" w:rsidR="00E07996" w:rsidRDefault="002D75DD" w:rsidP="00E07996">
      <w:pPr>
        <w:ind w:firstLineChars="200" w:firstLine="480"/>
        <w:rPr>
          <w:rFonts w:ascii="STKaiti" w:eastAsia="STKaiti" w:hAnsi="STKaiti"/>
          <w:szCs w:val="24"/>
          <w:lang w:eastAsia="zh-CN"/>
        </w:rPr>
      </w:pPr>
      <w:r w:rsidRPr="001F2F3D">
        <w:rPr>
          <w:rFonts w:ascii="STKaiti" w:eastAsia="STKaiti" w:hAnsi="STKaiti" w:hint="eastAsia"/>
          <w:szCs w:val="24"/>
          <w:lang w:eastAsia="zh-CN"/>
        </w:rPr>
        <w:t>已开展以下鉴证：</w:t>
      </w:r>
    </w:p>
    <w:p w14:paraId="792DA6BE" w14:textId="77777777" w:rsidR="002D75DD" w:rsidRPr="00AC5FF6" w:rsidRDefault="002D75DD" w:rsidP="00C0096F">
      <w:pPr>
        <w:pStyle w:val="Headingb"/>
        <w:tabs>
          <w:tab w:val="clear" w:pos="794"/>
          <w:tab w:val="left" w:pos="567"/>
        </w:tabs>
        <w:rPr>
          <w:rFonts w:eastAsia="STKaiti"/>
          <w:lang w:eastAsia="zh-CN"/>
        </w:rPr>
      </w:pPr>
      <w:r w:rsidRPr="00AC5FF6">
        <w:rPr>
          <w:rFonts w:eastAsia="STKaiti"/>
          <w:lang w:eastAsia="zh-CN"/>
        </w:rPr>
        <w:t>A</w:t>
      </w:r>
      <w:r w:rsidRPr="00AC5FF6">
        <w:rPr>
          <w:rFonts w:eastAsia="STKaiti"/>
          <w:lang w:eastAsia="zh-CN"/>
        </w:rPr>
        <w:tab/>
      </w:r>
      <w:r w:rsidRPr="00AC5FF6">
        <w:rPr>
          <w:rFonts w:eastAsia="STKaiti" w:hint="eastAsia"/>
          <w:lang w:eastAsia="zh-CN"/>
        </w:rPr>
        <w:t>对国际电联职员待遇的审计检查</w:t>
      </w:r>
    </w:p>
    <w:p w14:paraId="6762CDF8"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1F2F3D">
        <w:rPr>
          <w:rFonts w:hint="eastAsia"/>
          <w:szCs w:val="24"/>
          <w:lang w:eastAsia="zh-CN"/>
        </w:rPr>
        <w:t>8</w:t>
      </w:r>
      <w:r w:rsidRPr="001F2F3D">
        <w:rPr>
          <w:szCs w:val="24"/>
          <w:lang w:eastAsia="zh-CN"/>
        </w:rPr>
        <w:tab/>
      </w:r>
      <w:r w:rsidRPr="001F2F3D">
        <w:rPr>
          <w:rFonts w:hint="eastAsia"/>
          <w:szCs w:val="24"/>
          <w:lang w:eastAsia="zh-CN"/>
        </w:rPr>
        <w:t>内部审计处对国际电联职员待遇开展了审计检查，所涉时间段为</w:t>
      </w:r>
      <w:r w:rsidRPr="001F2F3D">
        <w:rPr>
          <w:rFonts w:hint="eastAsia"/>
          <w:szCs w:val="24"/>
          <w:lang w:eastAsia="zh-CN"/>
        </w:rPr>
        <w:t>2012</w:t>
      </w:r>
      <w:r w:rsidRPr="001F2F3D">
        <w:rPr>
          <w:rFonts w:hint="eastAsia"/>
          <w:szCs w:val="24"/>
          <w:lang w:eastAsia="zh-CN"/>
        </w:rPr>
        <w:t>年</w:t>
      </w:r>
      <w:r w:rsidRPr="001F2F3D">
        <w:rPr>
          <w:rFonts w:hint="eastAsia"/>
          <w:szCs w:val="24"/>
          <w:lang w:eastAsia="zh-CN"/>
        </w:rPr>
        <w:t>1</w:t>
      </w:r>
      <w:r w:rsidRPr="001F2F3D">
        <w:rPr>
          <w:rFonts w:hint="eastAsia"/>
          <w:szCs w:val="24"/>
          <w:lang w:eastAsia="zh-CN"/>
        </w:rPr>
        <w:t>月至</w:t>
      </w:r>
      <w:r w:rsidRPr="001F2F3D">
        <w:rPr>
          <w:rFonts w:hint="eastAsia"/>
          <w:szCs w:val="24"/>
          <w:lang w:eastAsia="zh-CN"/>
        </w:rPr>
        <w:t>2019</w:t>
      </w:r>
      <w:r w:rsidRPr="001F2F3D">
        <w:rPr>
          <w:rFonts w:hint="eastAsia"/>
          <w:szCs w:val="24"/>
          <w:lang w:eastAsia="zh-CN"/>
        </w:rPr>
        <w:t>年</w:t>
      </w:r>
      <w:r w:rsidRPr="001F2F3D">
        <w:rPr>
          <w:rFonts w:hint="eastAsia"/>
          <w:szCs w:val="24"/>
          <w:lang w:eastAsia="zh-CN"/>
        </w:rPr>
        <w:t>12</w:t>
      </w:r>
      <w:r w:rsidRPr="001F2F3D">
        <w:rPr>
          <w:rFonts w:hint="eastAsia"/>
          <w:szCs w:val="24"/>
          <w:lang w:eastAsia="zh-CN"/>
        </w:rPr>
        <w:t>月，尤其针对教育补助金、房租补贴和配偶津贴。</w:t>
      </w:r>
    </w:p>
    <w:p w14:paraId="5484822D"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1F2F3D">
        <w:rPr>
          <w:szCs w:val="24"/>
          <w:lang w:val="en-US" w:eastAsia="zh-CN"/>
        </w:rPr>
        <w:t>9</w:t>
      </w:r>
      <w:r w:rsidRPr="001F2F3D">
        <w:rPr>
          <w:szCs w:val="24"/>
          <w:lang w:val="en-US" w:eastAsia="zh-CN"/>
        </w:rPr>
        <w:tab/>
      </w:r>
      <w:r w:rsidRPr="001F2F3D">
        <w:rPr>
          <w:rFonts w:hint="eastAsia"/>
          <w:szCs w:val="24"/>
          <w:lang w:val="en-US" w:eastAsia="zh-CN"/>
        </w:rPr>
        <w:t>内部</w:t>
      </w:r>
      <w:r w:rsidRPr="001F2F3D">
        <w:rPr>
          <w:szCs w:val="24"/>
          <w:lang w:val="en-US" w:eastAsia="zh-CN"/>
        </w:rPr>
        <w:t>审计</w:t>
      </w:r>
      <w:r w:rsidRPr="001F2F3D">
        <w:rPr>
          <w:rFonts w:hint="eastAsia"/>
          <w:szCs w:val="24"/>
          <w:lang w:val="en-US" w:eastAsia="zh-CN"/>
        </w:rPr>
        <w:t>处</w:t>
      </w:r>
      <w:r w:rsidRPr="001F2F3D">
        <w:rPr>
          <w:szCs w:val="24"/>
          <w:lang w:val="en-US" w:eastAsia="zh-CN"/>
        </w:rPr>
        <w:t>得</w:t>
      </w:r>
      <w:r w:rsidRPr="001F2F3D">
        <w:rPr>
          <w:rFonts w:hint="eastAsia"/>
          <w:szCs w:val="24"/>
          <w:lang w:val="en-US" w:eastAsia="zh-CN"/>
        </w:rPr>
        <w:t>出</w:t>
      </w:r>
      <w:r w:rsidRPr="001F2F3D">
        <w:rPr>
          <w:szCs w:val="24"/>
          <w:lang w:val="en-US" w:eastAsia="zh-CN"/>
        </w:rPr>
        <w:t>结论，下列若干问题具有</w:t>
      </w:r>
      <w:r w:rsidRPr="001F2F3D">
        <w:rPr>
          <w:rFonts w:hint="eastAsia"/>
          <w:szCs w:val="24"/>
          <w:lang w:val="en-US" w:eastAsia="zh-CN"/>
        </w:rPr>
        <w:t>高度优先性</w:t>
      </w:r>
      <w:r w:rsidRPr="001F2F3D">
        <w:rPr>
          <w:szCs w:val="24"/>
          <w:lang w:val="en-US" w:eastAsia="zh-CN"/>
        </w:rPr>
        <w:t>：</w:t>
      </w:r>
    </w:p>
    <w:p w14:paraId="7A82E571" w14:textId="77777777" w:rsidR="002D75DD" w:rsidRPr="001F2F3D" w:rsidRDefault="002D75DD" w:rsidP="00C0096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sidRPr="001F2F3D">
        <w:rPr>
          <w:lang w:eastAsia="zh-CN"/>
        </w:rPr>
        <w:t>a)</w:t>
      </w:r>
      <w:r w:rsidRPr="001F2F3D">
        <w:rPr>
          <w:lang w:eastAsia="zh-CN"/>
        </w:rPr>
        <w:tab/>
      </w:r>
      <w:r w:rsidRPr="001F2F3D">
        <w:rPr>
          <w:rFonts w:hint="eastAsia"/>
          <w:lang w:eastAsia="zh-CN"/>
        </w:rPr>
        <w:t>现行政策对于职员而言不够详细、明确或内容不够翔实。在房租补贴方面，专门针对国际电联的政策缺失。</w:t>
      </w:r>
      <w:r w:rsidRPr="00F277C7">
        <w:rPr>
          <w:rFonts w:hint="eastAsia"/>
          <w:u w:val="single"/>
          <w:lang w:eastAsia="zh-CN"/>
        </w:rPr>
        <w:t>建议</w:t>
      </w:r>
      <w:r w:rsidRPr="001F2F3D">
        <w:rPr>
          <w:rFonts w:hint="eastAsia"/>
          <w:lang w:eastAsia="zh-CN"/>
        </w:rPr>
        <w:t>审查员工教育补助金</w:t>
      </w:r>
      <w:r w:rsidRPr="00F277C7">
        <w:rPr>
          <w:rFonts w:hint="eastAsia"/>
          <w:u w:val="single"/>
          <w:lang w:eastAsia="zh-CN"/>
        </w:rPr>
        <w:t>提前支取金额</w:t>
      </w:r>
      <w:r w:rsidRPr="001F2F3D">
        <w:rPr>
          <w:rFonts w:hint="eastAsia"/>
          <w:lang w:eastAsia="zh-CN"/>
        </w:rPr>
        <w:t>和申领表格，纳入一份有关期望员工提交的支持文件的要求清单。还建议对有关教育补助金提前支取金额的政策进行审查，并且针对房租补贴的政策和指南应载有与国际公务员制度委员会（</w:t>
      </w:r>
      <w:r w:rsidRPr="001F2F3D">
        <w:rPr>
          <w:rFonts w:hint="eastAsia"/>
          <w:lang w:eastAsia="zh-CN"/>
        </w:rPr>
        <w:t>ICSC</w:t>
      </w:r>
      <w:r w:rsidRPr="001F2F3D">
        <w:rPr>
          <w:rFonts w:hint="eastAsia"/>
          <w:lang w:eastAsia="zh-CN"/>
        </w:rPr>
        <w:t>）限值和指导一致的信息。此外，在最新的扶养津贴政策文件中，应考虑</w:t>
      </w:r>
      <w:proofErr w:type="spellStart"/>
      <w:r w:rsidR="00A3279E" w:rsidRPr="00A3279E">
        <w:rPr>
          <w:lang w:eastAsia="zh-CN"/>
        </w:rPr>
        <w:t>i</w:t>
      </w:r>
      <w:proofErr w:type="spellEnd"/>
      <w:r w:rsidR="00A3279E" w:rsidRPr="00A3279E">
        <w:rPr>
          <w:lang w:eastAsia="zh-CN"/>
        </w:rPr>
        <w:t>)</w:t>
      </w:r>
      <w:r w:rsidR="00A3279E">
        <w:rPr>
          <w:lang w:eastAsia="zh-CN"/>
        </w:rPr>
        <w:t xml:space="preserve"> </w:t>
      </w:r>
      <w:r w:rsidRPr="001F2F3D">
        <w:rPr>
          <w:rFonts w:hint="eastAsia"/>
          <w:lang w:eastAsia="zh-CN"/>
        </w:rPr>
        <w:t>配偶收入，包括含养恤金、残疾津贴、失业救济金和投资收益在内的所有直接和间接收</w:t>
      </w:r>
      <w:r w:rsidRPr="001F2F3D">
        <w:rPr>
          <w:rFonts w:hint="eastAsia"/>
          <w:lang w:eastAsia="zh-CN"/>
        </w:rPr>
        <w:lastRenderedPageBreak/>
        <w:t>入，和</w:t>
      </w:r>
      <w:r w:rsidR="00A3279E" w:rsidRPr="00A3279E">
        <w:rPr>
          <w:lang w:eastAsia="zh-CN"/>
        </w:rPr>
        <w:t>i</w:t>
      </w:r>
      <w:r w:rsidR="00A3279E">
        <w:rPr>
          <w:rFonts w:hint="eastAsia"/>
          <w:lang w:eastAsia="zh-CN"/>
        </w:rPr>
        <w:t>i</w:t>
      </w:r>
      <w:r w:rsidR="00A3279E" w:rsidRPr="00A3279E">
        <w:rPr>
          <w:lang w:eastAsia="zh-CN"/>
        </w:rPr>
        <w:t>)</w:t>
      </w:r>
      <w:r w:rsidR="00011077">
        <w:rPr>
          <w:lang w:eastAsia="zh-CN"/>
        </w:rPr>
        <w:t xml:space="preserve"> </w:t>
      </w:r>
      <w:r w:rsidRPr="001F2F3D">
        <w:rPr>
          <w:rFonts w:hint="eastAsia"/>
          <w:lang w:eastAsia="zh-CN"/>
        </w:rPr>
        <w:t>对于为零收入配偶申领配偶津贴的员工，除提供已签名的申报表外，还要求提供适用的国家税收系统的零收入证明。</w:t>
      </w:r>
    </w:p>
    <w:p w14:paraId="0AA90BE0" w14:textId="77777777" w:rsidR="002D75DD" w:rsidRPr="001F2F3D" w:rsidRDefault="002D75DD" w:rsidP="00C0096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sidRPr="001F2F3D">
        <w:rPr>
          <w:szCs w:val="24"/>
          <w:lang w:eastAsia="zh-CN"/>
        </w:rPr>
        <w:t>b)</w:t>
      </w:r>
      <w:r w:rsidRPr="001F2F3D">
        <w:rPr>
          <w:szCs w:val="24"/>
          <w:lang w:eastAsia="zh-CN"/>
        </w:rPr>
        <w:tab/>
      </w:r>
      <w:r w:rsidRPr="001F2F3D">
        <w:rPr>
          <w:rFonts w:hint="eastAsia"/>
          <w:szCs w:val="24"/>
          <w:lang w:eastAsia="zh-CN"/>
        </w:rPr>
        <w:t>人力资源管理部（</w:t>
      </w:r>
      <w:r w:rsidRPr="001F2F3D">
        <w:rPr>
          <w:rFonts w:hint="eastAsia"/>
          <w:szCs w:val="24"/>
          <w:lang w:eastAsia="zh-CN"/>
        </w:rPr>
        <w:t>HRMD</w:t>
      </w:r>
      <w:r w:rsidRPr="001F2F3D">
        <w:rPr>
          <w:rFonts w:hint="eastAsia"/>
          <w:szCs w:val="24"/>
          <w:lang w:eastAsia="zh-CN"/>
        </w:rPr>
        <w:t>）员工对自己的职责不清楚，导致任务疏漏和自主权不明确。</w:t>
      </w:r>
      <w:r w:rsidRPr="00F277C7">
        <w:rPr>
          <w:rFonts w:hint="eastAsia"/>
          <w:szCs w:val="24"/>
          <w:u w:val="single"/>
          <w:lang w:eastAsia="zh-CN"/>
        </w:rPr>
        <w:t>建议</w:t>
      </w:r>
      <w:r w:rsidRPr="001F2F3D">
        <w:rPr>
          <w:rFonts w:hint="eastAsia"/>
          <w:szCs w:val="24"/>
          <w:lang w:eastAsia="zh-CN"/>
        </w:rPr>
        <w:t>对结构和分工，以及各</w:t>
      </w:r>
      <w:r w:rsidRPr="001F2F3D">
        <w:rPr>
          <w:rFonts w:hint="eastAsia"/>
          <w:szCs w:val="24"/>
          <w:lang w:eastAsia="zh-CN"/>
        </w:rPr>
        <w:t>HRMD</w:t>
      </w:r>
      <w:r w:rsidRPr="001F2F3D">
        <w:rPr>
          <w:rFonts w:hint="eastAsia"/>
          <w:szCs w:val="24"/>
          <w:lang w:eastAsia="zh-CN"/>
        </w:rPr>
        <w:t>团队的确切程序、作用和职责进行审查和调整。</w:t>
      </w:r>
    </w:p>
    <w:p w14:paraId="1239528A" w14:textId="77777777" w:rsidR="002D75DD" w:rsidRPr="001F2F3D" w:rsidRDefault="002D75DD" w:rsidP="00C0096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sidRPr="001F2F3D">
        <w:rPr>
          <w:szCs w:val="24"/>
          <w:lang w:eastAsia="zh-CN"/>
        </w:rPr>
        <w:t>c)</w:t>
      </w:r>
      <w:r w:rsidRPr="001F2F3D">
        <w:rPr>
          <w:szCs w:val="24"/>
          <w:lang w:eastAsia="zh-CN"/>
        </w:rPr>
        <w:tab/>
      </w:r>
      <w:r w:rsidRPr="001F2F3D">
        <w:rPr>
          <w:rFonts w:hint="eastAsia"/>
          <w:szCs w:val="24"/>
          <w:lang w:eastAsia="zh-CN"/>
        </w:rPr>
        <w:t>员工提交的待遇申报资料中的示警</w:t>
      </w:r>
      <w:r w:rsidRPr="001F2F3D">
        <w:rPr>
          <w:rFonts w:hint="eastAsia"/>
          <w:szCs w:val="24"/>
          <w:lang w:eastAsia="zh-CN"/>
        </w:rPr>
        <w:t>/</w:t>
      </w:r>
      <w:r w:rsidRPr="001F2F3D">
        <w:rPr>
          <w:rFonts w:hint="eastAsia"/>
          <w:szCs w:val="24"/>
          <w:lang w:eastAsia="zh-CN"/>
        </w:rPr>
        <w:t>舞弊</w:t>
      </w:r>
      <w:r w:rsidRPr="001F2F3D">
        <w:rPr>
          <w:rFonts w:hint="eastAsia"/>
          <w:szCs w:val="24"/>
          <w:lang w:eastAsia="zh-CN"/>
        </w:rPr>
        <w:t>/</w:t>
      </w:r>
      <w:r w:rsidRPr="001F2F3D">
        <w:rPr>
          <w:rFonts w:hint="eastAsia"/>
          <w:szCs w:val="24"/>
          <w:lang w:eastAsia="zh-CN"/>
        </w:rPr>
        <w:t>错报并非总能被发现，导致对舞弊的认识</w:t>
      </w:r>
      <w:r w:rsidRPr="001F2F3D">
        <w:rPr>
          <w:rFonts w:hint="eastAsia"/>
          <w:szCs w:val="24"/>
          <w:lang w:eastAsia="zh-CN"/>
        </w:rPr>
        <w:t>/</w:t>
      </w:r>
      <w:r w:rsidRPr="001F2F3D">
        <w:rPr>
          <w:rFonts w:hint="eastAsia"/>
          <w:szCs w:val="24"/>
          <w:lang w:eastAsia="zh-CN"/>
        </w:rPr>
        <w:t>缓解措施缺乏。</w:t>
      </w:r>
      <w:r w:rsidRPr="006D34ED">
        <w:rPr>
          <w:rFonts w:hint="eastAsia"/>
          <w:szCs w:val="24"/>
          <w:u w:val="single"/>
          <w:lang w:eastAsia="zh-CN"/>
        </w:rPr>
        <w:t>建议</w:t>
      </w:r>
      <w:r w:rsidRPr="001F2F3D">
        <w:rPr>
          <w:rFonts w:hint="eastAsia"/>
          <w:szCs w:val="24"/>
          <w:lang w:eastAsia="zh-CN"/>
        </w:rPr>
        <w:t>利用任务轮岗防止一名职员完全控制一项职能，并为参与处理待遇的</w:t>
      </w:r>
      <w:r w:rsidRPr="001F2F3D">
        <w:rPr>
          <w:rFonts w:hint="eastAsia"/>
          <w:szCs w:val="24"/>
          <w:lang w:eastAsia="zh-CN"/>
        </w:rPr>
        <w:t>HRMD</w:t>
      </w:r>
      <w:r w:rsidRPr="001F2F3D">
        <w:rPr>
          <w:rFonts w:hint="eastAsia"/>
          <w:szCs w:val="24"/>
          <w:lang w:eastAsia="zh-CN"/>
        </w:rPr>
        <w:t>员工定期组织舞弊防范意识培训和知识共享。</w:t>
      </w:r>
    </w:p>
    <w:p w14:paraId="3C203A85" w14:textId="77777777" w:rsidR="002D75DD" w:rsidRPr="001F2F3D" w:rsidRDefault="002D75DD" w:rsidP="00C0096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sidRPr="001F2F3D">
        <w:rPr>
          <w:szCs w:val="24"/>
          <w:lang w:eastAsia="zh-CN"/>
        </w:rPr>
        <w:t>d)</w:t>
      </w:r>
      <w:r w:rsidRPr="001F2F3D">
        <w:rPr>
          <w:szCs w:val="24"/>
          <w:lang w:eastAsia="zh-CN"/>
        </w:rPr>
        <w:tab/>
      </w:r>
      <w:r w:rsidRPr="001F2F3D">
        <w:rPr>
          <w:rFonts w:hint="eastAsia"/>
          <w:szCs w:val="24"/>
          <w:lang w:eastAsia="zh-CN"/>
        </w:rPr>
        <w:t>对待遇和待遇资格的检查</w:t>
      </w:r>
      <w:r w:rsidRPr="001F2F3D">
        <w:rPr>
          <w:rFonts w:hint="eastAsia"/>
          <w:szCs w:val="24"/>
          <w:lang w:eastAsia="zh-CN"/>
        </w:rPr>
        <w:t>/</w:t>
      </w:r>
      <w:r w:rsidRPr="001F2F3D">
        <w:rPr>
          <w:rFonts w:hint="eastAsia"/>
          <w:szCs w:val="24"/>
          <w:lang w:eastAsia="zh-CN"/>
        </w:rPr>
        <w:t>处理未正确进行，导致内部控制不力且无效。</w:t>
      </w:r>
      <w:r w:rsidRPr="00632BB7">
        <w:rPr>
          <w:rFonts w:hint="eastAsia"/>
          <w:szCs w:val="24"/>
          <w:u w:val="single"/>
          <w:lang w:eastAsia="zh-CN"/>
        </w:rPr>
        <w:t>建议</w:t>
      </w:r>
      <w:r w:rsidRPr="001F2F3D">
        <w:rPr>
          <w:rFonts w:hint="eastAsia"/>
          <w:szCs w:val="24"/>
          <w:lang w:eastAsia="zh-CN"/>
        </w:rPr>
        <w:t>审查过去</w:t>
      </w:r>
      <w:r w:rsidRPr="001F2F3D">
        <w:rPr>
          <w:rFonts w:hint="eastAsia"/>
          <w:szCs w:val="24"/>
          <w:lang w:eastAsia="zh-CN"/>
        </w:rPr>
        <w:t>5-10</w:t>
      </w:r>
      <w:r w:rsidRPr="001F2F3D">
        <w:rPr>
          <w:rFonts w:hint="eastAsia"/>
          <w:szCs w:val="24"/>
          <w:lang w:eastAsia="zh-CN"/>
        </w:rPr>
        <w:t>年内（在</w:t>
      </w:r>
      <w:r w:rsidRPr="001F2F3D">
        <w:rPr>
          <w:rFonts w:hint="eastAsia"/>
          <w:szCs w:val="24"/>
          <w:lang w:eastAsia="zh-CN"/>
        </w:rPr>
        <w:t>2017</w:t>
      </w:r>
      <w:r w:rsidRPr="001F2F3D">
        <w:rPr>
          <w:rFonts w:hint="eastAsia"/>
          <w:szCs w:val="24"/>
          <w:lang w:eastAsia="zh-CN"/>
        </w:rPr>
        <w:t>年变更之前）结付的教育补助金待遇，并考虑纠正除本次检查发现的关于可受理费用的错误之外的任何其他错误。此外，</w:t>
      </w:r>
      <w:r w:rsidRPr="00632BB7">
        <w:rPr>
          <w:rFonts w:hint="eastAsia"/>
          <w:szCs w:val="24"/>
          <w:u w:val="single"/>
          <w:lang w:eastAsia="zh-CN"/>
        </w:rPr>
        <w:t>建议</w:t>
      </w:r>
      <w:r w:rsidRPr="001F2F3D">
        <w:rPr>
          <w:rFonts w:hint="eastAsia"/>
          <w:szCs w:val="24"/>
          <w:lang w:eastAsia="zh-CN"/>
        </w:rPr>
        <w:t>领取扶养津贴的资格申请每年（或根据需要更频繁地）以统一方式提出，并且仅依据员工提供的已确认、经证实的最新信息支付扶养津贴。最后，</w:t>
      </w:r>
      <w:r w:rsidRPr="00632BB7">
        <w:rPr>
          <w:rFonts w:hint="eastAsia"/>
          <w:szCs w:val="24"/>
          <w:u w:val="single"/>
          <w:lang w:eastAsia="zh-CN"/>
        </w:rPr>
        <w:t>建议</w:t>
      </w:r>
      <w:r w:rsidRPr="001F2F3D">
        <w:rPr>
          <w:rFonts w:hint="eastAsia"/>
          <w:szCs w:val="24"/>
          <w:lang w:eastAsia="zh-CN"/>
        </w:rPr>
        <w:t>施行一项要求，即</w:t>
      </w:r>
      <w:r w:rsidRPr="001F2F3D">
        <w:rPr>
          <w:rFonts w:hint="eastAsia"/>
          <w:szCs w:val="24"/>
          <w:lang w:eastAsia="zh-CN"/>
        </w:rPr>
        <w:t>HRMD</w:t>
      </w:r>
      <w:r w:rsidRPr="001F2F3D">
        <w:rPr>
          <w:rFonts w:hint="eastAsia"/>
          <w:szCs w:val="24"/>
          <w:lang w:eastAsia="zh-CN"/>
        </w:rPr>
        <w:t>批准津贴资格和计算津贴数额使用的所有支持文件、计算工作文件和任何其他文件均保存在完整、可查询的档案系统中。</w:t>
      </w:r>
    </w:p>
    <w:p w14:paraId="3B71D79C"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1F2F3D">
        <w:rPr>
          <w:szCs w:val="24"/>
          <w:lang w:val="en-US" w:eastAsia="zh-CN"/>
        </w:rPr>
        <w:t>10</w:t>
      </w:r>
      <w:r w:rsidRPr="001F2F3D">
        <w:rPr>
          <w:szCs w:val="24"/>
          <w:lang w:val="en-US" w:eastAsia="zh-CN"/>
        </w:rPr>
        <w:tab/>
      </w:r>
      <w:r w:rsidRPr="001F2F3D">
        <w:rPr>
          <w:rFonts w:hint="eastAsia"/>
          <w:szCs w:val="24"/>
          <w:lang w:val="en-US" w:eastAsia="zh-CN"/>
        </w:rPr>
        <w:t>HRMD</w:t>
      </w:r>
      <w:r w:rsidRPr="001F2F3D">
        <w:rPr>
          <w:rFonts w:hint="eastAsia"/>
          <w:szCs w:val="24"/>
          <w:lang w:val="en-US" w:eastAsia="zh-CN"/>
        </w:rPr>
        <w:t>管理层同意许多建议，但对其中一些表示不同意，因为这些拟议行动已是现行管理做法。内部审计处认为，这些现行管理做法无法证明有助于就员工待遇处理的相关治理、风险管理和控制有效性向秘书长提供保证。</w:t>
      </w:r>
    </w:p>
    <w:p w14:paraId="1969469A" w14:textId="77777777" w:rsidR="002D75DD" w:rsidRPr="00C0096F" w:rsidRDefault="002D75DD" w:rsidP="00C0096F">
      <w:pPr>
        <w:pStyle w:val="Headingb"/>
        <w:tabs>
          <w:tab w:val="clear" w:pos="794"/>
          <w:tab w:val="left" w:pos="567"/>
        </w:tabs>
        <w:rPr>
          <w:rFonts w:eastAsia="STKaiti"/>
          <w:szCs w:val="24"/>
          <w:lang w:eastAsia="zh-CN"/>
        </w:rPr>
      </w:pPr>
      <w:r w:rsidRPr="00C0096F">
        <w:rPr>
          <w:rFonts w:eastAsia="STKaiti"/>
          <w:szCs w:val="24"/>
          <w:lang w:eastAsia="zh-CN"/>
        </w:rPr>
        <w:t>B</w:t>
      </w:r>
      <w:r w:rsidRPr="00C0096F">
        <w:rPr>
          <w:rFonts w:eastAsia="STKaiti"/>
          <w:szCs w:val="24"/>
          <w:lang w:eastAsia="zh-CN"/>
        </w:rPr>
        <w:tab/>
      </w:r>
      <w:r w:rsidRPr="00C0096F">
        <w:rPr>
          <w:rFonts w:eastAsia="STKaiti" w:hint="eastAsia"/>
          <w:szCs w:val="24"/>
          <w:lang w:eastAsia="zh-CN"/>
        </w:rPr>
        <w:t>对由自愿捐款和信托基金供资的计划、项目和补充活动的审计</w:t>
      </w:r>
    </w:p>
    <w:p w14:paraId="76C64DFF" w14:textId="77777777" w:rsidR="002D75DD" w:rsidRPr="00071BF9"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1F2F3D">
        <w:rPr>
          <w:szCs w:val="24"/>
          <w:lang w:val="en-US" w:eastAsia="zh-CN"/>
        </w:rPr>
        <w:t>11</w:t>
      </w:r>
      <w:r w:rsidRPr="001F2F3D">
        <w:rPr>
          <w:szCs w:val="24"/>
          <w:lang w:val="en-US" w:eastAsia="zh-CN"/>
        </w:rPr>
        <w:tab/>
      </w:r>
      <w:r w:rsidRPr="00071BF9">
        <w:rPr>
          <w:rFonts w:hint="eastAsia"/>
          <w:szCs w:val="24"/>
          <w:lang w:val="en-US" w:eastAsia="zh-CN"/>
        </w:rPr>
        <w:t>内部审计处对由自愿捐款（</w:t>
      </w:r>
      <w:r w:rsidRPr="00071BF9">
        <w:rPr>
          <w:rFonts w:eastAsia="STKaiti" w:hint="eastAsia"/>
          <w:szCs w:val="24"/>
          <w:lang w:eastAsia="zh-CN"/>
        </w:rPr>
        <w:t>VC</w:t>
      </w:r>
      <w:r w:rsidRPr="00071BF9">
        <w:rPr>
          <w:rFonts w:hint="eastAsia"/>
          <w:szCs w:val="24"/>
          <w:lang w:val="en-US" w:eastAsia="zh-CN"/>
        </w:rPr>
        <w:t>）和信托基金（</w:t>
      </w:r>
      <w:proofErr w:type="spellStart"/>
      <w:r w:rsidRPr="00071BF9">
        <w:rPr>
          <w:rFonts w:eastAsia="STKaiti" w:hint="eastAsia"/>
          <w:szCs w:val="24"/>
          <w:lang w:eastAsia="zh-CN"/>
        </w:rPr>
        <w:t>FiT</w:t>
      </w:r>
      <w:proofErr w:type="spellEnd"/>
      <w:r w:rsidRPr="00071BF9">
        <w:rPr>
          <w:rFonts w:hint="eastAsia"/>
          <w:szCs w:val="24"/>
          <w:lang w:val="en-US" w:eastAsia="zh-CN"/>
        </w:rPr>
        <w:t>）供资的计划、项目和补充活动（</w:t>
      </w:r>
      <w:r w:rsidRPr="00071BF9">
        <w:rPr>
          <w:rFonts w:eastAsia="STKaiti" w:hint="eastAsia"/>
          <w:szCs w:val="24"/>
          <w:lang w:eastAsia="zh-CN"/>
        </w:rPr>
        <w:t>PPSA</w:t>
      </w:r>
      <w:r w:rsidRPr="00071BF9">
        <w:rPr>
          <w:rFonts w:hint="eastAsia"/>
          <w:szCs w:val="24"/>
          <w:lang w:val="en-US" w:eastAsia="zh-CN"/>
        </w:rPr>
        <w:t>）开展了审计，所涉时间段为</w:t>
      </w:r>
      <w:r w:rsidRPr="00071BF9">
        <w:rPr>
          <w:rFonts w:hint="eastAsia"/>
          <w:szCs w:val="24"/>
          <w:lang w:val="en-US" w:eastAsia="zh-CN"/>
        </w:rPr>
        <w:t>2016</w:t>
      </w:r>
      <w:r w:rsidRPr="00071BF9">
        <w:rPr>
          <w:rFonts w:hint="eastAsia"/>
          <w:szCs w:val="24"/>
          <w:lang w:val="en-US" w:eastAsia="zh-CN"/>
        </w:rPr>
        <w:t>年</w:t>
      </w:r>
      <w:r w:rsidRPr="00071BF9">
        <w:rPr>
          <w:rFonts w:hint="eastAsia"/>
          <w:szCs w:val="24"/>
          <w:lang w:val="en-US" w:eastAsia="zh-CN"/>
        </w:rPr>
        <w:t>1</w:t>
      </w:r>
      <w:r w:rsidRPr="00071BF9">
        <w:rPr>
          <w:rFonts w:hint="eastAsia"/>
          <w:szCs w:val="24"/>
          <w:lang w:val="en-US" w:eastAsia="zh-CN"/>
        </w:rPr>
        <w:t>月至</w:t>
      </w:r>
      <w:r w:rsidRPr="00071BF9">
        <w:rPr>
          <w:rFonts w:hint="eastAsia"/>
          <w:szCs w:val="24"/>
          <w:lang w:val="en-US" w:eastAsia="zh-CN"/>
        </w:rPr>
        <w:t>2020</w:t>
      </w:r>
      <w:r w:rsidRPr="00071BF9">
        <w:rPr>
          <w:rFonts w:hint="eastAsia"/>
          <w:szCs w:val="24"/>
          <w:lang w:val="en-US" w:eastAsia="zh-CN"/>
        </w:rPr>
        <w:t>年</w:t>
      </w:r>
      <w:r w:rsidRPr="00071BF9">
        <w:rPr>
          <w:rFonts w:hint="eastAsia"/>
          <w:szCs w:val="24"/>
          <w:lang w:val="en-US" w:eastAsia="zh-CN"/>
        </w:rPr>
        <w:t>12</w:t>
      </w:r>
      <w:r w:rsidRPr="00071BF9">
        <w:rPr>
          <w:rFonts w:hint="eastAsia"/>
          <w:szCs w:val="24"/>
          <w:lang w:val="en-US" w:eastAsia="zh-CN"/>
        </w:rPr>
        <w:t>月。审计范围不包括电信发展局（</w:t>
      </w:r>
      <w:r w:rsidRPr="00071BF9">
        <w:rPr>
          <w:rFonts w:hint="eastAsia"/>
          <w:szCs w:val="24"/>
          <w:lang w:val="en-US" w:eastAsia="zh-CN"/>
        </w:rPr>
        <w:t>BDT</w:t>
      </w:r>
      <w:r w:rsidRPr="00071BF9">
        <w:rPr>
          <w:rFonts w:hint="eastAsia"/>
          <w:szCs w:val="24"/>
          <w:lang w:val="en-US" w:eastAsia="zh-CN"/>
        </w:rPr>
        <w:t>）项目（已在</w:t>
      </w:r>
      <w:r w:rsidRPr="00071BF9">
        <w:rPr>
          <w:rFonts w:hint="eastAsia"/>
          <w:szCs w:val="24"/>
          <w:lang w:val="en-US" w:eastAsia="zh-CN"/>
        </w:rPr>
        <w:t>2019/2020</w:t>
      </w:r>
      <w:r w:rsidRPr="00071BF9">
        <w:rPr>
          <w:rFonts w:hint="eastAsia"/>
          <w:szCs w:val="24"/>
          <w:lang w:val="en-US" w:eastAsia="zh-CN"/>
        </w:rPr>
        <w:t>年期间审计）和国际电联世界电信展。</w:t>
      </w:r>
    </w:p>
    <w:p w14:paraId="30AB177D" w14:textId="77777777" w:rsidR="002D75DD" w:rsidRPr="001F2F3D" w:rsidRDefault="002D75DD" w:rsidP="0024161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1F2F3D">
        <w:rPr>
          <w:szCs w:val="24"/>
          <w:lang w:val="en-US" w:eastAsia="zh-CN"/>
        </w:rPr>
        <w:t>12</w:t>
      </w:r>
      <w:r w:rsidRPr="001F2F3D">
        <w:rPr>
          <w:szCs w:val="24"/>
          <w:lang w:val="en-US" w:eastAsia="zh-CN"/>
        </w:rPr>
        <w:tab/>
      </w:r>
      <w:r w:rsidRPr="001F2F3D">
        <w:rPr>
          <w:rFonts w:hint="eastAsia"/>
          <w:szCs w:val="24"/>
          <w:lang w:val="en-US" w:eastAsia="zh-CN"/>
        </w:rPr>
        <w:t>内部</w:t>
      </w:r>
      <w:r w:rsidRPr="001F2F3D">
        <w:rPr>
          <w:szCs w:val="24"/>
          <w:lang w:val="en-US" w:eastAsia="zh-CN"/>
        </w:rPr>
        <w:t>审计</w:t>
      </w:r>
      <w:r w:rsidRPr="001F2F3D">
        <w:rPr>
          <w:rFonts w:hint="eastAsia"/>
          <w:szCs w:val="24"/>
          <w:lang w:val="en-US" w:eastAsia="zh-CN"/>
        </w:rPr>
        <w:t>处</w:t>
      </w:r>
      <w:r w:rsidRPr="001F2F3D">
        <w:rPr>
          <w:szCs w:val="24"/>
          <w:lang w:val="en-US" w:eastAsia="zh-CN"/>
        </w:rPr>
        <w:t>得</w:t>
      </w:r>
      <w:r w:rsidRPr="001F2F3D">
        <w:rPr>
          <w:rFonts w:hint="eastAsia"/>
          <w:szCs w:val="24"/>
          <w:lang w:val="en-US" w:eastAsia="zh-CN"/>
        </w:rPr>
        <w:t>出</w:t>
      </w:r>
      <w:r w:rsidRPr="001F2F3D">
        <w:rPr>
          <w:szCs w:val="24"/>
          <w:lang w:val="en-US" w:eastAsia="zh-CN"/>
        </w:rPr>
        <w:t>结论，下列若干问题具有</w:t>
      </w:r>
      <w:r w:rsidRPr="001F2F3D">
        <w:rPr>
          <w:rFonts w:hint="eastAsia"/>
          <w:szCs w:val="24"/>
          <w:lang w:val="en-US" w:eastAsia="zh-CN"/>
        </w:rPr>
        <w:t>关键性（下文</w:t>
      </w:r>
      <w:r w:rsidRPr="001F2F3D">
        <w:rPr>
          <w:rFonts w:hint="eastAsia"/>
          <w:szCs w:val="24"/>
          <w:lang w:val="en-US" w:eastAsia="zh-CN"/>
        </w:rPr>
        <w:t>a</w:t>
      </w:r>
      <w:r w:rsidRPr="001F2F3D">
        <w:rPr>
          <w:rFonts w:hint="eastAsia"/>
          <w:szCs w:val="24"/>
          <w:lang w:val="en-US" w:eastAsia="zh-CN"/>
        </w:rPr>
        <w:t>段）和高度优先性（下文</w:t>
      </w:r>
      <w:r w:rsidRPr="001F2F3D">
        <w:rPr>
          <w:rFonts w:hint="eastAsia"/>
          <w:szCs w:val="24"/>
          <w:lang w:val="en-US" w:eastAsia="zh-CN"/>
        </w:rPr>
        <w:t>b</w:t>
      </w:r>
      <w:r w:rsidRPr="001F2F3D">
        <w:rPr>
          <w:rFonts w:hint="eastAsia"/>
          <w:szCs w:val="24"/>
          <w:lang w:val="en-US" w:eastAsia="zh-CN"/>
        </w:rPr>
        <w:t>段）</w:t>
      </w:r>
      <w:r w:rsidRPr="001F2F3D">
        <w:rPr>
          <w:szCs w:val="24"/>
          <w:lang w:val="en-US" w:eastAsia="zh-CN"/>
        </w:rPr>
        <w:t>：</w:t>
      </w:r>
    </w:p>
    <w:p w14:paraId="2EB0E6F6" w14:textId="77777777" w:rsidR="002D75DD" w:rsidRPr="001F2F3D" w:rsidRDefault="002D75DD" w:rsidP="00C0096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sidRPr="001F2F3D">
        <w:rPr>
          <w:szCs w:val="24"/>
          <w:lang w:eastAsia="zh-CN"/>
        </w:rPr>
        <w:t>a)</w:t>
      </w:r>
      <w:r w:rsidRPr="001F2F3D">
        <w:rPr>
          <w:szCs w:val="24"/>
          <w:lang w:eastAsia="zh-CN"/>
        </w:rPr>
        <w:tab/>
      </w:r>
      <w:r w:rsidRPr="001F2F3D">
        <w:rPr>
          <w:rFonts w:hint="eastAsia"/>
          <w:szCs w:val="24"/>
          <w:lang w:eastAsia="zh-CN"/>
        </w:rPr>
        <w:t>尽管与新的捐助方和合作伙伴合作促进</w:t>
      </w:r>
      <w:r w:rsidRPr="00C7552A">
        <w:rPr>
          <w:rFonts w:asciiTheme="minorHAnsi" w:eastAsia="STKaiti" w:hAnsiTheme="minorHAnsi"/>
          <w:szCs w:val="24"/>
          <w:lang w:eastAsia="zh-CN"/>
        </w:rPr>
        <w:t>PPSA</w:t>
      </w:r>
      <w:r w:rsidRPr="001F2F3D">
        <w:rPr>
          <w:rFonts w:hint="eastAsia"/>
          <w:szCs w:val="24"/>
          <w:lang w:eastAsia="zh-CN"/>
        </w:rPr>
        <w:t>目标的实现很重要，但是存在国际电联面对的私营部门新捐助方利益与国际电联不一致的风险。因此，在接受新捐助方的捐款之前，开展尽职调查并记录在案至关重要。由此，</w:t>
      </w:r>
      <w:r w:rsidRPr="001F2F3D">
        <w:rPr>
          <w:rFonts w:hint="eastAsia"/>
          <w:szCs w:val="24"/>
          <w:u w:val="single"/>
          <w:lang w:eastAsia="zh-CN"/>
        </w:rPr>
        <w:t>建议</w:t>
      </w:r>
      <w:r w:rsidRPr="001F2F3D">
        <w:rPr>
          <w:rFonts w:hint="eastAsia"/>
          <w:szCs w:val="24"/>
          <w:lang w:eastAsia="zh-CN"/>
        </w:rPr>
        <w:t>各管理人员之间协调对新捐助方</w:t>
      </w:r>
      <w:r w:rsidRPr="001F2F3D">
        <w:rPr>
          <w:rFonts w:hint="eastAsia"/>
          <w:szCs w:val="24"/>
          <w:lang w:eastAsia="zh-CN"/>
        </w:rPr>
        <w:t>/</w:t>
      </w:r>
      <w:r w:rsidRPr="001F2F3D">
        <w:rPr>
          <w:rFonts w:hint="eastAsia"/>
          <w:szCs w:val="24"/>
          <w:lang w:eastAsia="zh-CN"/>
        </w:rPr>
        <w:t>合作伙伴的正式尽职调查。战略规划和成员部管理层特别表示，该部门可以发挥整个国际电联范围内对尽职调查的协调作用，并已开始此方面的工作。</w:t>
      </w:r>
    </w:p>
    <w:p w14:paraId="539928F5" w14:textId="77777777" w:rsidR="002D75DD" w:rsidRPr="001F2F3D" w:rsidRDefault="002D75DD" w:rsidP="00C0096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sidRPr="001F2F3D">
        <w:rPr>
          <w:szCs w:val="24"/>
          <w:lang w:eastAsia="zh-CN"/>
        </w:rPr>
        <w:t>b)</w:t>
      </w:r>
      <w:r w:rsidRPr="001F2F3D">
        <w:rPr>
          <w:szCs w:val="24"/>
          <w:lang w:eastAsia="zh-CN"/>
        </w:rPr>
        <w:tab/>
      </w:r>
      <w:r w:rsidRPr="001F2F3D">
        <w:rPr>
          <w:rFonts w:hint="eastAsia"/>
          <w:szCs w:val="24"/>
          <w:lang w:eastAsia="zh-CN"/>
        </w:rPr>
        <w:t>关于自愿捐款和信托基金之间的区别以及活动的定义，信托基金和自愿捐款以一系列方式得到使用，从为正常预算和预算外活动供资，到作为允许资金使用的灵活结算机制，无论计划目标、活动或划拨的预算如何。对作用和职责的定义</w:t>
      </w:r>
      <w:r w:rsidRPr="001F2F3D">
        <w:rPr>
          <w:rFonts w:hint="eastAsia"/>
          <w:szCs w:val="24"/>
          <w:lang w:eastAsia="zh-CN"/>
        </w:rPr>
        <w:t>/</w:t>
      </w:r>
      <w:r w:rsidRPr="001F2F3D">
        <w:rPr>
          <w:rFonts w:hint="eastAsia"/>
          <w:szCs w:val="24"/>
          <w:lang w:eastAsia="zh-CN"/>
        </w:rPr>
        <w:t>理解还是不清楚，并且组织结构以及作用和职责明确性不足，可能阻碍国际电联通过</w:t>
      </w:r>
      <w:r w:rsidRPr="00CA4F4E">
        <w:rPr>
          <w:rFonts w:asciiTheme="minorHAnsi" w:eastAsia="STKaiti" w:hAnsiTheme="minorHAnsi" w:hint="eastAsia"/>
          <w:szCs w:val="24"/>
          <w:lang w:eastAsia="zh-CN"/>
        </w:rPr>
        <w:t>PPSA</w:t>
      </w:r>
      <w:r w:rsidRPr="001F2F3D">
        <w:rPr>
          <w:rFonts w:hint="eastAsia"/>
          <w:szCs w:val="24"/>
          <w:lang w:eastAsia="zh-CN"/>
        </w:rPr>
        <w:t>实现其目标。</w:t>
      </w:r>
      <w:r w:rsidRPr="001F2F3D">
        <w:rPr>
          <w:rFonts w:hint="eastAsia"/>
          <w:szCs w:val="24"/>
          <w:u w:val="single"/>
          <w:lang w:eastAsia="zh-CN"/>
        </w:rPr>
        <w:t>建议</w:t>
      </w:r>
      <w:r w:rsidRPr="001F2F3D">
        <w:rPr>
          <w:rFonts w:hint="eastAsia"/>
          <w:szCs w:val="24"/>
          <w:lang w:eastAsia="zh-CN"/>
        </w:rPr>
        <w:t>通过一项围绕自愿捐款和信托基金的详细政策指导，并明确与行政和运作管理及控制相关的作用和职责。</w:t>
      </w:r>
    </w:p>
    <w:p w14:paraId="35C524AF" w14:textId="77777777" w:rsidR="002D75DD" w:rsidRPr="00D110E5" w:rsidRDefault="002D75DD" w:rsidP="00A53AF2">
      <w:pPr>
        <w:ind w:firstLineChars="200" w:firstLine="480"/>
        <w:rPr>
          <w:szCs w:val="24"/>
          <w:lang w:eastAsia="zh-CN"/>
        </w:rPr>
      </w:pPr>
      <w:r w:rsidRPr="00D110E5">
        <w:rPr>
          <w:rFonts w:hint="eastAsia"/>
          <w:szCs w:val="24"/>
          <w:lang w:eastAsia="zh-CN"/>
        </w:rPr>
        <w:t>另外，没有适当的项目方法，预期项目结果面临无法实现的风险。再者，无法解决项目设计中的漏洞和随后的实施挑战，可能对项目目标的实现造成不利影响。</w:t>
      </w:r>
      <w:r w:rsidRPr="00D110E5">
        <w:rPr>
          <w:rFonts w:hint="eastAsia"/>
          <w:szCs w:val="24"/>
          <w:u w:val="single"/>
          <w:lang w:eastAsia="zh-CN"/>
        </w:rPr>
        <w:t>建议</w:t>
      </w:r>
      <w:r w:rsidRPr="00D110E5">
        <w:rPr>
          <w:rFonts w:hint="eastAsia"/>
          <w:szCs w:val="24"/>
          <w:lang w:eastAsia="zh-CN"/>
        </w:rPr>
        <w:t>制定并通过适当的项目管理导则。内部审计处还发现，有时自愿捐款、信托基金或赞助的标准模板未统一予以使用，同时针对顾问的选择和管理存在风险。至于</w:t>
      </w:r>
      <w:r w:rsidRPr="00D110E5">
        <w:rPr>
          <w:rFonts w:asciiTheme="minorHAnsi" w:eastAsia="STKaiti" w:hAnsiTheme="minorHAnsi"/>
          <w:szCs w:val="24"/>
          <w:lang w:eastAsia="zh-CN"/>
        </w:rPr>
        <w:t>PPSA</w:t>
      </w:r>
      <w:r w:rsidRPr="00D110E5">
        <w:rPr>
          <w:rFonts w:hint="eastAsia"/>
          <w:szCs w:val="24"/>
          <w:lang w:eastAsia="zh-CN"/>
        </w:rPr>
        <w:t>风险评估，缺乏具体或“实际”风险识别</w:t>
      </w:r>
      <w:r w:rsidRPr="00D110E5">
        <w:rPr>
          <w:rFonts w:hint="eastAsia"/>
          <w:szCs w:val="24"/>
          <w:lang w:eastAsia="zh-CN"/>
        </w:rPr>
        <w:t>/</w:t>
      </w:r>
      <w:r w:rsidRPr="00D110E5">
        <w:rPr>
          <w:rFonts w:hint="eastAsia"/>
          <w:szCs w:val="24"/>
          <w:lang w:eastAsia="zh-CN"/>
        </w:rPr>
        <w:t>评估</w:t>
      </w:r>
      <w:r w:rsidRPr="00D110E5">
        <w:rPr>
          <w:rFonts w:hint="eastAsia"/>
          <w:szCs w:val="24"/>
          <w:lang w:eastAsia="zh-CN"/>
        </w:rPr>
        <w:t>/</w:t>
      </w:r>
      <w:r w:rsidRPr="00D110E5">
        <w:rPr>
          <w:rFonts w:hint="eastAsia"/>
          <w:szCs w:val="24"/>
          <w:lang w:eastAsia="zh-CN"/>
        </w:rPr>
        <w:t>监测。在一些项目协议中，风险评估似乎为通用型。缺乏风险管理程序可对</w:t>
      </w:r>
      <w:r w:rsidRPr="00D110E5">
        <w:rPr>
          <w:rFonts w:hint="eastAsia"/>
          <w:szCs w:val="24"/>
          <w:lang w:eastAsia="zh-CN"/>
        </w:rPr>
        <w:t>PPSA</w:t>
      </w:r>
      <w:r w:rsidRPr="00D110E5">
        <w:rPr>
          <w:rFonts w:hint="eastAsia"/>
          <w:szCs w:val="24"/>
          <w:lang w:eastAsia="zh-CN"/>
        </w:rPr>
        <w:t>的落实产生不利影响。此外，对于已审查的一些</w:t>
      </w:r>
      <w:r w:rsidRPr="00D110E5">
        <w:rPr>
          <w:rFonts w:asciiTheme="minorHAnsi" w:eastAsia="STKaiti" w:hAnsiTheme="minorHAnsi"/>
          <w:szCs w:val="24"/>
          <w:lang w:eastAsia="zh-CN"/>
        </w:rPr>
        <w:t>PPSA</w:t>
      </w:r>
      <w:r w:rsidRPr="00D110E5">
        <w:rPr>
          <w:rFonts w:hint="eastAsia"/>
          <w:szCs w:val="24"/>
          <w:lang w:eastAsia="zh-CN"/>
        </w:rPr>
        <w:t>，很难找到背景信息，并且内部审计处发现，审计范围内</w:t>
      </w:r>
      <w:r w:rsidRPr="00D110E5">
        <w:rPr>
          <w:rFonts w:asciiTheme="minorHAnsi" w:eastAsia="STKaiti" w:hAnsiTheme="minorHAnsi"/>
          <w:szCs w:val="24"/>
          <w:lang w:eastAsia="zh-CN"/>
        </w:rPr>
        <w:t>PPSA</w:t>
      </w:r>
      <w:r w:rsidRPr="00D110E5">
        <w:rPr>
          <w:rFonts w:hint="eastAsia"/>
          <w:szCs w:val="24"/>
          <w:lang w:eastAsia="zh-CN"/>
        </w:rPr>
        <w:t>的相关信息通报和通信工具无效，无法视为能够充分支持</w:t>
      </w:r>
      <w:r w:rsidRPr="00D110E5">
        <w:rPr>
          <w:rFonts w:asciiTheme="minorHAnsi" w:eastAsia="STKaiti" w:hAnsiTheme="minorHAnsi"/>
          <w:szCs w:val="24"/>
          <w:lang w:eastAsia="zh-CN"/>
        </w:rPr>
        <w:t>PPSA</w:t>
      </w:r>
      <w:r w:rsidRPr="00D110E5">
        <w:rPr>
          <w:rFonts w:hint="eastAsia"/>
          <w:szCs w:val="24"/>
          <w:lang w:eastAsia="zh-CN"/>
        </w:rPr>
        <w:t>目</w:t>
      </w:r>
      <w:r w:rsidRPr="00D110E5">
        <w:rPr>
          <w:rFonts w:hint="eastAsia"/>
          <w:szCs w:val="24"/>
          <w:lang w:eastAsia="zh-CN"/>
        </w:rPr>
        <w:lastRenderedPageBreak/>
        <w:t>标。</w:t>
      </w:r>
      <w:r w:rsidRPr="00D110E5">
        <w:rPr>
          <w:rFonts w:hint="eastAsia"/>
          <w:szCs w:val="24"/>
          <w:u w:val="single"/>
          <w:lang w:eastAsia="zh-CN"/>
        </w:rPr>
        <w:t>建议</w:t>
      </w:r>
      <w:r w:rsidRPr="00D110E5">
        <w:rPr>
          <w:rFonts w:hint="eastAsia"/>
          <w:szCs w:val="24"/>
          <w:lang w:eastAsia="zh-CN"/>
        </w:rPr>
        <w:t>确定并落实适当的文件制作和通信工具，更好地支持</w:t>
      </w:r>
      <w:r w:rsidRPr="00D110E5">
        <w:rPr>
          <w:rFonts w:asciiTheme="minorHAnsi" w:eastAsia="STKaiti" w:hAnsiTheme="minorHAnsi" w:hint="eastAsia"/>
          <w:szCs w:val="24"/>
          <w:lang w:eastAsia="zh-CN"/>
        </w:rPr>
        <w:t>PPSA</w:t>
      </w:r>
      <w:r w:rsidRPr="00D110E5">
        <w:rPr>
          <w:rFonts w:hint="eastAsia"/>
          <w:szCs w:val="24"/>
          <w:lang w:eastAsia="zh-CN"/>
        </w:rPr>
        <w:t>的信息获取和流动（包括有关</w:t>
      </w:r>
      <w:r w:rsidRPr="00D110E5">
        <w:rPr>
          <w:rFonts w:asciiTheme="minorHAnsi" w:eastAsia="STKaiti" w:hAnsiTheme="minorHAnsi" w:hint="eastAsia"/>
          <w:szCs w:val="24"/>
          <w:lang w:eastAsia="zh-CN"/>
        </w:rPr>
        <w:t>PPSA</w:t>
      </w:r>
      <w:r w:rsidRPr="00D110E5">
        <w:rPr>
          <w:rFonts w:hint="eastAsia"/>
          <w:szCs w:val="24"/>
          <w:lang w:eastAsia="zh-CN"/>
        </w:rPr>
        <w:t>的文件和信息中央机构存储库）。</w:t>
      </w:r>
    </w:p>
    <w:p w14:paraId="671D13B4" w14:textId="77777777" w:rsidR="002D75DD" w:rsidRPr="001F2F3D" w:rsidRDefault="002D75DD" w:rsidP="00A53AF2">
      <w:pPr>
        <w:ind w:firstLineChars="200" w:firstLine="480"/>
        <w:rPr>
          <w:szCs w:val="24"/>
          <w:lang w:eastAsia="zh-CN"/>
        </w:rPr>
      </w:pPr>
      <w:r w:rsidRPr="001F2F3D">
        <w:rPr>
          <w:rFonts w:hint="eastAsia"/>
          <w:szCs w:val="24"/>
          <w:lang w:eastAsia="zh-CN"/>
        </w:rPr>
        <w:t>最后，内部审计处注意到，针对财务和资产管理、专家差旅和审计范围内</w:t>
      </w:r>
      <w:r w:rsidRPr="001F2F3D">
        <w:rPr>
          <w:rFonts w:hint="eastAsia"/>
          <w:szCs w:val="24"/>
          <w:lang w:eastAsia="zh-CN"/>
        </w:rPr>
        <w:t>PPSA</w:t>
      </w:r>
      <w:r w:rsidRPr="001F2F3D">
        <w:rPr>
          <w:rFonts w:hint="eastAsia"/>
          <w:szCs w:val="24"/>
          <w:lang w:eastAsia="zh-CN"/>
        </w:rPr>
        <w:t>与会补贴的内部控制部分有效。针对顾问的内部控制无效。由于内部审计处已在之前的审计任务中建议作为关键优先重点加强对特别服务协定（</w:t>
      </w:r>
      <w:r w:rsidRPr="001F2F3D">
        <w:rPr>
          <w:rFonts w:hint="eastAsia"/>
          <w:szCs w:val="24"/>
          <w:lang w:eastAsia="zh-CN"/>
        </w:rPr>
        <w:t>SSA</w:t>
      </w:r>
      <w:r w:rsidRPr="001F2F3D">
        <w:rPr>
          <w:rFonts w:hint="eastAsia"/>
          <w:szCs w:val="24"/>
          <w:lang w:eastAsia="zh-CN"/>
        </w:rPr>
        <w:t>）的控制，内部审计处重申建议考虑使国际电联能够充分处理</w:t>
      </w:r>
      <w:r w:rsidRPr="001F2F3D">
        <w:rPr>
          <w:rFonts w:hint="eastAsia"/>
          <w:szCs w:val="24"/>
          <w:lang w:eastAsia="zh-CN"/>
        </w:rPr>
        <w:t>SSA</w:t>
      </w:r>
      <w:r w:rsidRPr="001F2F3D">
        <w:rPr>
          <w:rFonts w:hint="eastAsia"/>
          <w:szCs w:val="24"/>
          <w:lang w:eastAsia="zh-CN"/>
        </w:rPr>
        <w:t>招聘和管理的程序和做法的紧迫、必要需求。还</w:t>
      </w:r>
      <w:r w:rsidRPr="001F2F3D">
        <w:rPr>
          <w:rFonts w:hint="eastAsia"/>
          <w:szCs w:val="24"/>
          <w:u w:val="single"/>
          <w:lang w:eastAsia="zh-CN"/>
        </w:rPr>
        <w:t>建议</w:t>
      </w:r>
      <w:r w:rsidRPr="001F2F3D">
        <w:rPr>
          <w:rFonts w:hint="eastAsia"/>
          <w:szCs w:val="24"/>
          <w:lang w:eastAsia="zh-CN"/>
        </w:rPr>
        <w:t>加强对上述各个领域的控制，并明确已完成项目的相关剩余资金。</w:t>
      </w:r>
    </w:p>
    <w:p w14:paraId="6189E131" w14:textId="77777777" w:rsidR="002D75DD" w:rsidRPr="001F2F3D" w:rsidRDefault="00C0096F" w:rsidP="00C0096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Pr>
          <w:szCs w:val="24"/>
          <w:lang w:val="en-US" w:eastAsia="zh-CN"/>
        </w:rPr>
        <w:t>13</w:t>
      </w:r>
      <w:r w:rsidR="002D75DD" w:rsidRPr="001F2F3D">
        <w:rPr>
          <w:szCs w:val="24"/>
          <w:lang w:val="en-US" w:eastAsia="zh-CN"/>
        </w:rPr>
        <w:tab/>
      </w:r>
      <w:r w:rsidR="002D75DD" w:rsidRPr="001F2F3D">
        <w:rPr>
          <w:rFonts w:hint="eastAsia"/>
          <w:szCs w:val="24"/>
          <w:lang w:val="en-US" w:eastAsia="zh-CN"/>
        </w:rPr>
        <w:t>管理层同意建议，并表示将努力迅速执行。</w:t>
      </w:r>
    </w:p>
    <w:p w14:paraId="0190F7DC" w14:textId="77777777" w:rsidR="002D75DD" w:rsidRPr="007A1444" w:rsidRDefault="002D75DD" w:rsidP="007A1444">
      <w:pPr>
        <w:pStyle w:val="Heading1"/>
        <w:tabs>
          <w:tab w:val="center" w:pos="4819"/>
        </w:tabs>
        <w:rPr>
          <w:lang w:eastAsia="zh-CN"/>
        </w:rPr>
      </w:pPr>
      <w:r w:rsidRPr="007A1444">
        <w:rPr>
          <w:rFonts w:hint="eastAsia"/>
          <w:lang w:eastAsia="zh-CN"/>
        </w:rPr>
        <w:t>内部</w:t>
      </w:r>
      <w:r w:rsidRPr="007A1444">
        <w:rPr>
          <w:lang w:eastAsia="zh-CN"/>
        </w:rPr>
        <w:t>审计</w:t>
      </w:r>
      <w:r w:rsidRPr="007A1444">
        <w:rPr>
          <w:rFonts w:hint="eastAsia"/>
          <w:lang w:eastAsia="zh-CN"/>
        </w:rPr>
        <w:t>处开展</w:t>
      </w:r>
      <w:r w:rsidRPr="007A1444">
        <w:rPr>
          <w:lang w:eastAsia="zh-CN"/>
        </w:rPr>
        <w:t>的咨询服务</w:t>
      </w:r>
    </w:p>
    <w:p w14:paraId="31816B58" w14:textId="77777777" w:rsidR="002D75DD" w:rsidRPr="001F2F3D" w:rsidRDefault="002D75DD" w:rsidP="00D110E5">
      <w:pPr>
        <w:pStyle w:val="Headingb"/>
        <w:tabs>
          <w:tab w:val="clear" w:pos="794"/>
          <w:tab w:val="left" w:pos="567"/>
        </w:tabs>
        <w:rPr>
          <w:rFonts w:ascii="STKaiti" w:eastAsia="STKaiti" w:hAnsi="STKaiti"/>
          <w:i/>
          <w:szCs w:val="24"/>
          <w:lang w:eastAsia="zh-CN"/>
        </w:rPr>
      </w:pPr>
      <w:r w:rsidRPr="001F2F3D">
        <w:rPr>
          <w:rFonts w:ascii="STKaiti" w:eastAsia="STKaiti" w:hAnsi="STKaiti" w:hint="eastAsia"/>
          <w:szCs w:val="24"/>
          <w:lang w:eastAsia="zh-CN"/>
        </w:rPr>
        <w:t>法务审计</w:t>
      </w:r>
    </w:p>
    <w:p w14:paraId="4CFFE031"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1F2F3D">
        <w:rPr>
          <w:szCs w:val="24"/>
          <w:lang w:val="en-US" w:eastAsia="zh-CN"/>
        </w:rPr>
        <w:t>14</w:t>
      </w:r>
      <w:r w:rsidRPr="001F2F3D">
        <w:rPr>
          <w:szCs w:val="24"/>
          <w:lang w:val="en-US" w:eastAsia="zh-CN"/>
        </w:rPr>
        <w:tab/>
      </w:r>
      <w:r w:rsidRPr="001F2F3D">
        <w:rPr>
          <w:rFonts w:hint="eastAsia"/>
          <w:szCs w:val="24"/>
          <w:lang w:val="en-US" w:eastAsia="zh-CN"/>
        </w:rPr>
        <w:t>理事会</w:t>
      </w:r>
      <w:r w:rsidRPr="001F2F3D">
        <w:rPr>
          <w:rFonts w:hint="eastAsia"/>
          <w:szCs w:val="24"/>
          <w:lang w:val="en-US" w:eastAsia="zh-CN"/>
        </w:rPr>
        <w:t>2</w:t>
      </w:r>
      <w:r w:rsidRPr="001F2F3D">
        <w:rPr>
          <w:szCs w:val="24"/>
          <w:lang w:val="en-US" w:eastAsia="zh-CN"/>
        </w:rPr>
        <w:t>019</w:t>
      </w:r>
      <w:r w:rsidRPr="001F2F3D">
        <w:rPr>
          <w:rFonts w:hint="eastAsia"/>
          <w:szCs w:val="24"/>
          <w:lang w:val="en-US" w:eastAsia="zh-CN"/>
        </w:rPr>
        <w:t>年会议通过了</w:t>
      </w:r>
      <w:r w:rsidRPr="001F2F3D">
        <w:fldChar w:fldCharType="begin"/>
      </w:r>
      <w:r w:rsidRPr="001F2F3D">
        <w:rPr>
          <w:szCs w:val="24"/>
          <w:lang w:eastAsia="zh-CN"/>
        </w:rPr>
        <w:instrText xml:space="preserve"> HYPERLINK "https://www.itu.int/md/S19-CL-C-0130/en" </w:instrText>
      </w:r>
      <w:r w:rsidRPr="001F2F3D">
        <w:fldChar w:fldCharType="separate"/>
      </w:r>
      <w:r w:rsidRPr="001F2F3D">
        <w:rPr>
          <w:rStyle w:val="Hyperlink"/>
          <w:rFonts w:hint="eastAsia"/>
          <w:szCs w:val="24"/>
          <w:lang w:val="en-US" w:eastAsia="zh-CN"/>
        </w:rPr>
        <w:t>第</w:t>
      </w:r>
      <w:r w:rsidRPr="001F2F3D">
        <w:rPr>
          <w:rStyle w:val="Hyperlink"/>
          <w:rFonts w:hint="eastAsia"/>
          <w:szCs w:val="24"/>
          <w:lang w:val="en-US" w:eastAsia="zh-CN"/>
        </w:rPr>
        <w:t>613</w:t>
      </w:r>
      <w:r w:rsidRPr="001F2F3D">
        <w:rPr>
          <w:rStyle w:val="Hyperlink"/>
          <w:rFonts w:hint="eastAsia"/>
          <w:szCs w:val="24"/>
          <w:lang w:val="en-US" w:eastAsia="zh-CN"/>
        </w:rPr>
        <w:t>号决定</w:t>
      </w:r>
      <w:r w:rsidRPr="001F2F3D">
        <w:rPr>
          <w:rStyle w:val="Hyperlink"/>
          <w:szCs w:val="24"/>
          <w:lang w:val="en-US" w:eastAsia="zh-CN"/>
        </w:rPr>
        <w:fldChar w:fldCharType="end"/>
      </w:r>
      <w:r w:rsidRPr="001F2F3D">
        <w:rPr>
          <w:rFonts w:hint="eastAsia"/>
          <w:szCs w:val="24"/>
          <w:lang w:val="en-US" w:eastAsia="zh-CN"/>
        </w:rPr>
        <w:t>，其中责成秘书长开展法务审计。</w:t>
      </w:r>
      <w:r w:rsidRPr="001F2F3D">
        <w:rPr>
          <w:rFonts w:hint="eastAsia"/>
          <w:szCs w:val="24"/>
          <w:lang w:val="en-US" w:eastAsia="zh-CN"/>
        </w:rPr>
        <w:t>2021</w:t>
      </w:r>
      <w:r w:rsidRPr="001F2F3D">
        <w:rPr>
          <w:rFonts w:hint="eastAsia"/>
          <w:szCs w:val="24"/>
          <w:lang w:val="en-US" w:eastAsia="zh-CN"/>
        </w:rPr>
        <w:t>年</w:t>
      </w:r>
      <w:r w:rsidRPr="001F2F3D">
        <w:rPr>
          <w:rFonts w:hint="eastAsia"/>
          <w:szCs w:val="24"/>
          <w:lang w:val="en-US" w:eastAsia="zh-CN"/>
        </w:rPr>
        <w:t>1</w:t>
      </w:r>
      <w:r w:rsidRPr="001F2F3D">
        <w:rPr>
          <w:rFonts w:hint="eastAsia"/>
          <w:szCs w:val="24"/>
          <w:lang w:val="en-US" w:eastAsia="zh-CN"/>
        </w:rPr>
        <w:t>月，一家专门从事金融犯罪调查的外部企业受委托，与作为秘书处联系人的内部审计处开展法务审计工作。咨询公司普华永道向</w:t>
      </w:r>
      <w:r w:rsidRPr="001F2F3D">
        <w:rPr>
          <w:rFonts w:hint="eastAsia"/>
          <w:szCs w:val="24"/>
          <w:lang w:val="en-US" w:eastAsia="zh-CN"/>
        </w:rPr>
        <w:t>2021</w:t>
      </w:r>
      <w:r w:rsidRPr="001F2F3D">
        <w:rPr>
          <w:rFonts w:hint="eastAsia"/>
          <w:szCs w:val="24"/>
          <w:lang w:val="en-US" w:eastAsia="zh-CN"/>
        </w:rPr>
        <w:t>年理事磋商会虚拟会议提交了法务审计报告，并表示最终报告会在</w:t>
      </w:r>
      <w:r w:rsidRPr="001F2F3D">
        <w:rPr>
          <w:rFonts w:hint="eastAsia"/>
          <w:szCs w:val="24"/>
          <w:lang w:val="en-US" w:eastAsia="zh-CN"/>
        </w:rPr>
        <w:t>2021</w:t>
      </w:r>
      <w:r w:rsidRPr="001F2F3D">
        <w:rPr>
          <w:rFonts w:hint="eastAsia"/>
          <w:szCs w:val="24"/>
          <w:lang w:val="en-US" w:eastAsia="zh-CN"/>
        </w:rPr>
        <w:t>年</w:t>
      </w:r>
      <w:r w:rsidRPr="001F2F3D">
        <w:rPr>
          <w:rFonts w:hint="eastAsia"/>
          <w:szCs w:val="24"/>
          <w:lang w:val="en-US" w:eastAsia="zh-CN"/>
        </w:rPr>
        <w:t>9</w:t>
      </w:r>
      <w:r w:rsidRPr="001F2F3D">
        <w:rPr>
          <w:rFonts w:hint="eastAsia"/>
          <w:szCs w:val="24"/>
          <w:lang w:val="en-US" w:eastAsia="zh-CN"/>
        </w:rPr>
        <w:t>月提供，对初步审查报告中的结论进行补充。普华永道的法务审计最终报告在</w:t>
      </w:r>
      <w:r w:rsidRPr="001F2F3D">
        <w:rPr>
          <w:rFonts w:hint="eastAsia"/>
          <w:szCs w:val="24"/>
          <w:lang w:val="en-US" w:eastAsia="zh-CN"/>
        </w:rPr>
        <w:t>2021</w:t>
      </w:r>
      <w:r w:rsidRPr="001F2F3D">
        <w:rPr>
          <w:rFonts w:hint="eastAsia"/>
          <w:szCs w:val="24"/>
          <w:lang w:val="en-US" w:eastAsia="zh-CN"/>
        </w:rPr>
        <w:t>年</w:t>
      </w:r>
      <w:r w:rsidRPr="001F2F3D">
        <w:rPr>
          <w:rFonts w:hint="eastAsia"/>
          <w:szCs w:val="24"/>
          <w:lang w:val="en-US" w:eastAsia="zh-CN"/>
        </w:rPr>
        <w:t>9</w:t>
      </w:r>
      <w:r w:rsidRPr="001F2F3D">
        <w:rPr>
          <w:rFonts w:hint="eastAsia"/>
          <w:szCs w:val="24"/>
          <w:lang w:val="en-US" w:eastAsia="zh-CN"/>
        </w:rPr>
        <w:t>月</w:t>
      </w:r>
      <w:r w:rsidRPr="001F2F3D">
        <w:rPr>
          <w:rFonts w:hint="eastAsia"/>
          <w:szCs w:val="24"/>
          <w:lang w:val="en-US" w:eastAsia="zh-CN"/>
        </w:rPr>
        <w:t>20</w:t>
      </w:r>
      <w:r w:rsidRPr="001F2F3D">
        <w:rPr>
          <w:rFonts w:hint="eastAsia"/>
          <w:szCs w:val="24"/>
          <w:lang w:val="en-US" w:eastAsia="zh-CN"/>
        </w:rPr>
        <w:t>和</w:t>
      </w:r>
      <w:r w:rsidRPr="001F2F3D">
        <w:rPr>
          <w:rFonts w:hint="eastAsia"/>
          <w:szCs w:val="24"/>
          <w:lang w:val="en-US" w:eastAsia="zh-CN"/>
        </w:rPr>
        <w:t>21</w:t>
      </w:r>
      <w:r w:rsidRPr="001F2F3D">
        <w:rPr>
          <w:rFonts w:hint="eastAsia"/>
          <w:szCs w:val="24"/>
          <w:lang w:val="en-US" w:eastAsia="zh-CN"/>
        </w:rPr>
        <w:t>日以虚拟方式召开的理事会财务和人力资源工作组（</w:t>
      </w:r>
      <w:r w:rsidRPr="001F2F3D">
        <w:rPr>
          <w:rFonts w:hint="eastAsia"/>
          <w:szCs w:val="24"/>
          <w:lang w:val="en-US" w:eastAsia="zh-CN"/>
        </w:rPr>
        <w:t>CWG-FHR</w:t>
      </w:r>
      <w:r w:rsidRPr="001F2F3D">
        <w:rPr>
          <w:rFonts w:hint="eastAsia"/>
          <w:szCs w:val="24"/>
          <w:lang w:val="en-US" w:eastAsia="zh-CN"/>
        </w:rPr>
        <w:t>）第</w:t>
      </w:r>
      <w:r w:rsidRPr="001F2F3D">
        <w:rPr>
          <w:rFonts w:hint="eastAsia"/>
          <w:szCs w:val="24"/>
          <w:lang w:val="en-US" w:eastAsia="zh-CN"/>
        </w:rPr>
        <w:t>14</w:t>
      </w:r>
      <w:r w:rsidRPr="001F2F3D">
        <w:rPr>
          <w:rFonts w:hint="eastAsia"/>
          <w:szCs w:val="24"/>
          <w:lang w:val="en-US" w:eastAsia="zh-CN"/>
        </w:rPr>
        <w:t>次会议期间进行介绍。得出的结论为，</w:t>
      </w:r>
      <w:r w:rsidRPr="00ED42DA">
        <w:rPr>
          <w:rFonts w:eastAsia="STKaiti" w:hint="eastAsia"/>
          <w:szCs w:val="24"/>
          <w:lang w:val="en-US" w:eastAsia="zh-CN"/>
        </w:rPr>
        <w:t>“秘书处将向</w:t>
      </w:r>
      <w:r w:rsidRPr="00ED42DA">
        <w:rPr>
          <w:rFonts w:eastAsia="STKaiti" w:hint="eastAsia"/>
          <w:szCs w:val="24"/>
          <w:lang w:val="en-US" w:eastAsia="zh-CN"/>
        </w:rPr>
        <w:t>CWG-FHR</w:t>
      </w:r>
      <w:r w:rsidRPr="00ED42DA">
        <w:rPr>
          <w:rFonts w:eastAsia="STKaiti" w:hint="eastAsia"/>
          <w:szCs w:val="24"/>
          <w:lang w:val="en-US" w:eastAsia="zh-CN"/>
        </w:rPr>
        <w:t>下次会议提供有关行动跟进的最新情况”</w:t>
      </w:r>
      <w:r w:rsidRPr="001F2F3D">
        <w:rPr>
          <w:rFonts w:hint="eastAsia"/>
          <w:szCs w:val="24"/>
          <w:lang w:val="en-US" w:eastAsia="zh-CN"/>
        </w:rPr>
        <w:t>。内部审计处为</w:t>
      </w:r>
      <w:r w:rsidRPr="001F2F3D">
        <w:rPr>
          <w:rFonts w:hint="eastAsia"/>
          <w:szCs w:val="24"/>
          <w:lang w:val="en-US" w:eastAsia="zh-CN"/>
        </w:rPr>
        <w:t>2022</w:t>
      </w:r>
      <w:r w:rsidRPr="001F2F3D">
        <w:rPr>
          <w:rFonts w:hint="eastAsia"/>
          <w:szCs w:val="24"/>
          <w:lang w:val="en-US" w:eastAsia="zh-CN"/>
        </w:rPr>
        <w:t>年</w:t>
      </w:r>
      <w:r w:rsidRPr="001F2F3D">
        <w:rPr>
          <w:rFonts w:hint="eastAsia"/>
          <w:szCs w:val="24"/>
          <w:lang w:val="en-US" w:eastAsia="zh-CN"/>
        </w:rPr>
        <w:t>1</w:t>
      </w:r>
      <w:r w:rsidRPr="001F2F3D">
        <w:rPr>
          <w:rFonts w:hint="eastAsia"/>
          <w:szCs w:val="24"/>
          <w:lang w:val="en-US" w:eastAsia="zh-CN"/>
        </w:rPr>
        <w:t>月</w:t>
      </w:r>
      <w:r w:rsidRPr="001F2F3D">
        <w:rPr>
          <w:rFonts w:hint="eastAsia"/>
          <w:szCs w:val="24"/>
          <w:lang w:val="en-US" w:eastAsia="zh-CN"/>
        </w:rPr>
        <w:t>11</w:t>
      </w:r>
      <w:r w:rsidRPr="001F2F3D">
        <w:rPr>
          <w:rFonts w:hint="eastAsia"/>
          <w:szCs w:val="24"/>
          <w:lang w:val="en-US" w:eastAsia="zh-CN"/>
        </w:rPr>
        <w:t>和</w:t>
      </w:r>
      <w:r w:rsidRPr="001F2F3D">
        <w:rPr>
          <w:rFonts w:hint="eastAsia"/>
          <w:szCs w:val="24"/>
          <w:lang w:val="en-US" w:eastAsia="zh-CN"/>
        </w:rPr>
        <w:t>12</w:t>
      </w:r>
      <w:r w:rsidRPr="001F2F3D">
        <w:rPr>
          <w:rFonts w:hint="eastAsia"/>
          <w:szCs w:val="24"/>
          <w:lang w:val="en-US" w:eastAsia="zh-CN"/>
        </w:rPr>
        <w:t>日以虚拟方式召开的</w:t>
      </w:r>
      <w:r w:rsidRPr="001F2F3D">
        <w:rPr>
          <w:rFonts w:hint="eastAsia"/>
          <w:szCs w:val="24"/>
          <w:lang w:val="en-US" w:eastAsia="zh-CN"/>
        </w:rPr>
        <w:t>CWG-FHR</w:t>
      </w:r>
      <w:r w:rsidRPr="001F2F3D">
        <w:rPr>
          <w:rFonts w:hint="eastAsia"/>
          <w:szCs w:val="24"/>
          <w:lang w:val="en-US" w:eastAsia="zh-CN"/>
        </w:rPr>
        <w:t>第</w:t>
      </w:r>
      <w:r w:rsidRPr="001F2F3D">
        <w:rPr>
          <w:rFonts w:hint="eastAsia"/>
          <w:szCs w:val="24"/>
          <w:lang w:val="en-US" w:eastAsia="zh-CN"/>
        </w:rPr>
        <w:t>15</w:t>
      </w:r>
      <w:r w:rsidRPr="001F2F3D">
        <w:rPr>
          <w:rFonts w:hint="eastAsia"/>
          <w:szCs w:val="24"/>
          <w:lang w:val="en-US" w:eastAsia="zh-CN"/>
        </w:rPr>
        <w:t>次会议协调并编拟了秘书处概要文件（</w:t>
      </w:r>
      <w:r w:rsidR="00926FC8">
        <w:fldChar w:fldCharType="begin"/>
      </w:r>
      <w:r w:rsidR="00926FC8">
        <w:rPr>
          <w:lang w:eastAsia="zh-CN"/>
        </w:rPr>
        <w:instrText xml:space="preserve"> HYPERLINK "https://www.itu.int/md/S22-CWGFHR15-C-0003/en" </w:instrText>
      </w:r>
      <w:r w:rsidR="00926FC8">
        <w:fldChar w:fldCharType="separate"/>
      </w:r>
      <w:r w:rsidRPr="001F2F3D">
        <w:rPr>
          <w:rStyle w:val="Hyperlink"/>
          <w:rFonts w:hint="eastAsia"/>
          <w:szCs w:val="24"/>
          <w:lang w:val="en-US" w:eastAsia="zh-CN"/>
        </w:rPr>
        <w:t>CWG-FHR-15/3</w:t>
      </w:r>
      <w:r w:rsidR="00926FC8">
        <w:rPr>
          <w:rStyle w:val="Hyperlink"/>
          <w:szCs w:val="24"/>
          <w:lang w:val="en-US" w:eastAsia="zh-CN"/>
        </w:rPr>
        <w:fldChar w:fldCharType="end"/>
      </w:r>
      <w:r w:rsidRPr="001F2F3D">
        <w:rPr>
          <w:rFonts w:hint="eastAsia"/>
          <w:szCs w:val="24"/>
          <w:lang w:val="en-US" w:eastAsia="zh-CN"/>
        </w:rPr>
        <w:t>），其中载有普华永道拟议行动的</w:t>
      </w:r>
      <w:r w:rsidRPr="001F2F3D">
        <w:rPr>
          <w:rFonts w:hint="eastAsia"/>
          <w:szCs w:val="24"/>
          <w:u w:val="single"/>
          <w:lang w:val="en-US" w:eastAsia="zh-CN"/>
        </w:rPr>
        <w:t>落实情况</w:t>
      </w:r>
      <w:r w:rsidRPr="001F2F3D">
        <w:rPr>
          <w:rFonts w:hint="eastAsia"/>
          <w:szCs w:val="24"/>
          <w:lang w:val="en-US" w:eastAsia="zh-CN"/>
        </w:rPr>
        <w:t>。</w:t>
      </w:r>
    </w:p>
    <w:p w14:paraId="0F489940" w14:textId="77777777" w:rsidR="002D75DD" w:rsidRPr="007A1444" w:rsidRDefault="002D75DD" w:rsidP="007A1444">
      <w:pPr>
        <w:pStyle w:val="Heading1"/>
        <w:tabs>
          <w:tab w:val="center" w:pos="4819"/>
        </w:tabs>
        <w:rPr>
          <w:lang w:eastAsia="zh-CN"/>
        </w:rPr>
      </w:pPr>
      <w:r w:rsidRPr="007A1444">
        <w:rPr>
          <w:rFonts w:hint="eastAsia"/>
          <w:lang w:eastAsia="zh-CN"/>
        </w:rPr>
        <w:t>对内部审计建议的跟进</w:t>
      </w:r>
    </w:p>
    <w:p w14:paraId="6F2BD529" w14:textId="77777777" w:rsidR="002D75DD" w:rsidRPr="001F2F3D" w:rsidRDefault="002D75DD" w:rsidP="00C0096F">
      <w:pPr>
        <w:tabs>
          <w:tab w:val="clear" w:pos="794"/>
          <w:tab w:val="clear" w:pos="1191"/>
          <w:tab w:val="clear" w:pos="1588"/>
          <w:tab w:val="clear" w:pos="1985"/>
          <w:tab w:val="left" w:pos="567"/>
          <w:tab w:val="left" w:pos="1134"/>
          <w:tab w:val="left" w:pos="1701"/>
          <w:tab w:val="left" w:pos="2268"/>
          <w:tab w:val="left" w:pos="2835"/>
        </w:tabs>
        <w:spacing w:after="240"/>
        <w:rPr>
          <w:szCs w:val="24"/>
          <w:lang w:val="en-US" w:eastAsia="zh-CN"/>
        </w:rPr>
      </w:pPr>
      <w:r w:rsidRPr="001F2F3D">
        <w:rPr>
          <w:szCs w:val="24"/>
          <w:lang w:val="en-US" w:eastAsia="zh-CN"/>
        </w:rPr>
        <w:t>15</w:t>
      </w:r>
      <w:r w:rsidRPr="001F2F3D">
        <w:rPr>
          <w:szCs w:val="24"/>
          <w:lang w:val="en-US" w:eastAsia="zh-CN"/>
        </w:rPr>
        <w:tab/>
      </w:r>
      <w:r w:rsidRPr="001F2F3D">
        <w:rPr>
          <w:rFonts w:hint="eastAsia"/>
          <w:szCs w:val="24"/>
          <w:lang w:val="en-US" w:eastAsia="zh-CN"/>
        </w:rPr>
        <w:t>在整个报告期内，内部审计处继续对以往审计报告提出的各项建议予以跟进。注意到，在过去</w:t>
      </w:r>
      <w:r w:rsidRPr="001F2F3D">
        <w:rPr>
          <w:rFonts w:hint="eastAsia"/>
          <w:szCs w:val="24"/>
          <w:lang w:val="en-US" w:eastAsia="zh-CN"/>
        </w:rPr>
        <w:t>12</w:t>
      </w:r>
      <w:r w:rsidRPr="001F2F3D">
        <w:rPr>
          <w:rFonts w:hint="eastAsia"/>
          <w:szCs w:val="24"/>
          <w:lang w:val="en-US" w:eastAsia="zh-CN"/>
        </w:rPr>
        <w:t>个月取得了进一步进展，实施统计数据（截至</w:t>
      </w:r>
      <w:r w:rsidRPr="001F2F3D">
        <w:rPr>
          <w:rFonts w:hint="eastAsia"/>
          <w:szCs w:val="24"/>
          <w:lang w:val="en-US" w:eastAsia="zh-CN"/>
        </w:rPr>
        <w:t>2022</w:t>
      </w:r>
      <w:r w:rsidRPr="001F2F3D">
        <w:rPr>
          <w:rFonts w:hint="eastAsia"/>
          <w:szCs w:val="24"/>
          <w:lang w:val="en-US" w:eastAsia="zh-CN"/>
        </w:rPr>
        <w:t>年</w:t>
      </w:r>
      <w:r w:rsidRPr="001F2F3D">
        <w:rPr>
          <w:szCs w:val="24"/>
          <w:lang w:val="en-US" w:eastAsia="zh-CN"/>
        </w:rPr>
        <w:t>1</w:t>
      </w:r>
      <w:r w:rsidRPr="001F2F3D">
        <w:rPr>
          <w:rFonts w:hint="eastAsia"/>
          <w:szCs w:val="24"/>
          <w:lang w:val="en-US" w:eastAsia="zh-CN"/>
        </w:rPr>
        <w:t>月</w:t>
      </w:r>
      <w:r w:rsidRPr="001F2F3D">
        <w:rPr>
          <w:rFonts w:hint="eastAsia"/>
          <w:szCs w:val="24"/>
          <w:lang w:val="en-US" w:eastAsia="zh-CN"/>
        </w:rPr>
        <w:t>31</w:t>
      </w:r>
      <w:r w:rsidRPr="001F2F3D">
        <w:rPr>
          <w:rFonts w:hint="eastAsia"/>
          <w:szCs w:val="24"/>
          <w:lang w:val="en-US" w:eastAsia="zh-CN"/>
        </w:rPr>
        <w:t>日）如下：</w:t>
      </w:r>
    </w:p>
    <w:tbl>
      <w:tblPr>
        <w:tblW w:w="9629" w:type="dxa"/>
        <w:jc w:val="center"/>
        <w:tblLayout w:type="fixed"/>
        <w:tblLook w:val="04A0" w:firstRow="1" w:lastRow="0" w:firstColumn="1" w:lastColumn="0" w:noHBand="0" w:noVBand="1"/>
      </w:tblPr>
      <w:tblGrid>
        <w:gridCol w:w="1725"/>
        <w:gridCol w:w="654"/>
        <w:gridCol w:w="655"/>
        <w:gridCol w:w="654"/>
        <w:gridCol w:w="655"/>
        <w:gridCol w:w="655"/>
        <w:gridCol w:w="654"/>
        <w:gridCol w:w="655"/>
        <w:gridCol w:w="655"/>
        <w:gridCol w:w="654"/>
        <w:gridCol w:w="655"/>
        <w:gridCol w:w="655"/>
        <w:gridCol w:w="703"/>
      </w:tblGrid>
      <w:tr w:rsidR="00A53AF2" w:rsidRPr="00A53AF2" w14:paraId="062008C0" w14:textId="77777777" w:rsidTr="00926FC8">
        <w:trPr>
          <w:trHeight w:val="232"/>
          <w:jc w:val="center"/>
        </w:trPr>
        <w:tc>
          <w:tcPr>
            <w:tcW w:w="172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F9D6679" w14:textId="77777777" w:rsidR="002D75DD" w:rsidRPr="00A53AF2" w:rsidRDefault="002D75DD" w:rsidP="00ED42DA">
            <w:pPr>
              <w:pStyle w:val="Tablehead"/>
              <w:jc w:val="left"/>
              <w:rPr>
                <w:sz w:val="16"/>
                <w:szCs w:val="16"/>
              </w:rPr>
            </w:pPr>
            <w:proofErr w:type="spellStart"/>
            <w:r w:rsidRPr="00A53AF2">
              <w:rPr>
                <w:sz w:val="16"/>
                <w:szCs w:val="16"/>
                <w:lang w:val="en-US"/>
              </w:rPr>
              <w:t>年份</w:t>
            </w:r>
            <w:proofErr w:type="spellEnd"/>
          </w:p>
        </w:tc>
        <w:tc>
          <w:tcPr>
            <w:tcW w:w="654" w:type="dxa"/>
            <w:tcBorders>
              <w:top w:val="single" w:sz="8" w:space="0" w:color="auto"/>
              <w:left w:val="nil"/>
              <w:bottom w:val="single" w:sz="8" w:space="0" w:color="auto"/>
              <w:right w:val="single" w:sz="8" w:space="0" w:color="auto"/>
            </w:tcBorders>
            <w:shd w:val="clear" w:color="000000" w:fill="000000"/>
            <w:noWrap/>
            <w:vAlign w:val="center"/>
            <w:hideMark/>
          </w:tcPr>
          <w:p w14:paraId="54713567" w14:textId="77777777" w:rsidR="002D75DD" w:rsidRPr="00A53AF2" w:rsidRDefault="002D75DD" w:rsidP="00ED42DA">
            <w:pPr>
              <w:pStyle w:val="Tablehead"/>
              <w:rPr>
                <w:sz w:val="16"/>
                <w:szCs w:val="16"/>
                <w:lang w:eastAsia="en-GB"/>
              </w:rPr>
            </w:pPr>
            <w:r w:rsidRPr="00A53AF2">
              <w:rPr>
                <w:sz w:val="16"/>
                <w:szCs w:val="16"/>
                <w:lang w:eastAsia="en-GB"/>
              </w:rPr>
              <w:t>2011</w:t>
            </w:r>
          </w:p>
        </w:tc>
        <w:tc>
          <w:tcPr>
            <w:tcW w:w="655" w:type="dxa"/>
            <w:tcBorders>
              <w:top w:val="single" w:sz="8" w:space="0" w:color="auto"/>
              <w:left w:val="nil"/>
              <w:bottom w:val="single" w:sz="8" w:space="0" w:color="auto"/>
              <w:right w:val="single" w:sz="8" w:space="0" w:color="auto"/>
            </w:tcBorders>
            <w:shd w:val="clear" w:color="000000" w:fill="000000"/>
            <w:noWrap/>
            <w:vAlign w:val="center"/>
            <w:hideMark/>
          </w:tcPr>
          <w:p w14:paraId="161A9D97" w14:textId="77777777" w:rsidR="002D75DD" w:rsidRPr="00A53AF2" w:rsidRDefault="002D75DD" w:rsidP="00ED42DA">
            <w:pPr>
              <w:pStyle w:val="Tablehead"/>
              <w:rPr>
                <w:sz w:val="16"/>
                <w:szCs w:val="16"/>
                <w:lang w:eastAsia="en-GB"/>
              </w:rPr>
            </w:pPr>
            <w:r w:rsidRPr="00A53AF2">
              <w:rPr>
                <w:sz w:val="16"/>
                <w:szCs w:val="16"/>
                <w:lang w:eastAsia="en-GB"/>
              </w:rPr>
              <w:t>2012</w:t>
            </w:r>
          </w:p>
        </w:tc>
        <w:tc>
          <w:tcPr>
            <w:tcW w:w="654" w:type="dxa"/>
            <w:tcBorders>
              <w:top w:val="single" w:sz="8" w:space="0" w:color="auto"/>
              <w:left w:val="nil"/>
              <w:bottom w:val="single" w:sz="8" w:space="0" w:color="auto"/>
              <w:right w:val="single" w:sz="8" w:space="0" w:color="auto"/>
            </w:tcBorders>
            <w:shd w:val="clear" w:color="000000" w:fill="000000"/>
            <w:noWrap/>
            <w:vAlign w:val="center"/>
            <w:hideMark/>
          </w:tcPr>
          <w:p w14:paraId="161C7649" w14:textId="77777777" w:rsidR="002D75DD" w:rsidRPr="00A53AF2" w:rsidRDefault="002D75DD" w:rsidP="00ED42DA">
            <w:pPr>
              <w:pStyle w:val="Tablehead"/>
              <w:rPr>
                <w:sz w:val="16"/>
                <w:szCs w:val="16"/>
                <w:lang w:eastAsia="en-GB"/>
              </w:rPr>
            </w:pPr>
            <w:r w:rsidRPr="00A53AF2">
              <w:rPr>
                <w:sz w:val="16"/>
                <w:szCs w:val="16"/>
                <w:lang w:eastAsia="en-GB"/>
              </w:rPr>
              <w:t>2013</w:t>
            </w:r>
          </w:p>
        </w:tc>
        <w:tc>
          <w:tcPr>
            <w:tcW w:w="655" w:type="dxa"/>
            <w:tcBorders>
              <w:top w:val="single" w:sz="8" w:space="0" w:color="auto"/>
              <w:left w:val="nil"/>
              <w:bottom w:val="single" w:sz="8" w:space="0" w:color="auto"/>
              <w:right w:val="single" w:sz="8" w:space="0" w:color="auto"/>
            </w:tcBorders>
            <w:shd w:val="clear" w:color="000000" w:fill="000000"/>
            <w:noWrap/>
            <w:vAlign w:val="center"/>
            <w:hideMark/>
          </w:tcPr>
          <w:p w14:paraId="5CF28C7C" w14:textId="77777777" w:rsidR="002D75DD" w:rsidRPr="00A53AF2" w:rsidRDefault="002D75DD" w:rsidP="00ED42DA">
            <w:pPr>
              <w:pStyle w:val="Tablehead"/>
              <w:rPr>
                <w:sz w:val="16"/>
                <w:szCs w:val="16"/>
                <w:lang w:eastAsia="en-GB"/>
              </w:rPr>
            </w:pPr>
            <w:r w:rsidRPr="00A53AF2">
              <w:rPr>
                <w:sz w:val="16"/>
                <w:szCs w:val="16"/>
                <w:lang w:eastAsia="en-GB"/>
              </w:rPr>
              <w:t>2014</w:t>
            </w:r>
          </w:p>
        </w:tc>
        <w:tc>
          <w:tcPr>
            <w:tcW w:w="655" w:type="dxa"/>
            <w:tcBorders>
              <w:top w:val="single" w:sz="8" w:space="0" w:color="auto"/>
              <w:left w:val="nil"/>
              <w:bottom w:val="single" w:sz="8" w:space="0" w:color="auto"/>
              <w:right w:val="single" w:sz="8" w:space="0" w:color="auto"/>
            </w:tcBorders>
            <w:shd w:val="clear" w:color="000000" w:fill="000000"/>
            <w:noWrap/>
            <w:vAlign w:val="center"/>
            <w:hideMark/>
          </w:tcPr>
          <w:p w14:paraId="60045334" w14:textId="77777777" w:rsidR="002D75DD" w:rsidRPr="00A53AF2" w:rsidRDefault="002D75DD" w:rsidP="00ED42DA">
            <w:pPr>
              <w:pStyle w:val="Tablehead"/>
              <w:rPr>
                <w:sz w:val="16"/>
                <w:szCs w:val="16"/>
                <w:lang w:eastAsia="en-GB"/>
              </w:rPr>
            </w:pPr>
            <w:r w:rsidRPr="00A53AF2">
              <w:rPr>
                <w:sz w:val="16"/>
                <w:szCs w:val="16"/>
                <w:lang w:eastAsia="en-GB"/>
              </w:rPr>
              <w:t>2015</w:t>
            </w:r>
          </w:p>
        </w:tc>
        <w:tc>
          <w:tcPr>
            <w:tcW w:w="654" w:type="dxa"/>
            <w:tcBorders>
              <w:top w:val="single" w:sz="8" w:space="0" w:color="auto"/>
              <w:left w:val="nil"/>
              <w:bottom w:val="single" w:sz="8" w:space="0" w:color="auto"/>
              <w:right w:val="single" w:sz="8" w:space="0" w:color="auto"/>
            </w:tcBorders>
            <w:shd w:val="clear" w:color="000000" w:fill="000000"/>
            <w:noWrap/>
            <w:vAlign w:val="center"/>
            <w:hideMark/>
          </w:tcPr>
          <w:p w14:paraId="20F8C9C9" w14:textId="77777777" w:rsidR="002D75DD" w:rsidRPr="00A53AF2" w:rsidRDefault="002D75DD" w:rsidP="00ED42DA">
            <w:pPr>
              <w:pStyle w:val="Tablehead"/>
              <w:rPr>
                <w:sz w:val="16"/>
                <w:szCs w:val="16"/>
                <w:lang w:eastAsia="en-GB"/>
              </w:rPr>
            </w:pPr>
            <w:r w:rsidRPr="00A53AF2">
              <w:rPr>
                <w:sz w:val="16"/>
                <w:szCs w:val="16"/>
                <w:lang w:eastAsia="en-GB"/>
              </w:rPr>
              <w:t>2016</w:t>
            </w:r>
          </w:p>
        </w:tc>
        <w:tc>
          <w:tcPr>
            <w:tcW w:w="655" w:type="dxa"/>
            <w:tcBorders>
              <w:top w:val="single" w:sz="8" w:space="0" w:color="auto"/>
              <w:left w:val="nil"/>
              <w:bottom w:val="single" w:sz="8" w:space="0" w:color="auto"/>
              <w:right w:val="single" w:sz="8" w:space="0" w:color="auto"/>
            </w:tcBorders>
            <w:shd w:val="clear" w:color="000000" w:fill="000000"/>
            <w:noWrap/>
            <w:vAlign w:val="center"/>
            <w:hideMark/>
          </w:tcPr>
          <w:p w14:paraId="0361D9F9" w14:textId="77777777" w:rsidR="002D75DD" w:rsidRPr="00A53AF2" w:rsidRDefault="002D75DD" w:rsidP="00ED42DA">
            <w:pPr>
              <w:pStyle w:val="Tablehead"/>
              <w:rPr>
                <w:sz w:val="16"/>
                <w:szCs w:val="16"/>
                <w:lang w:eastAsia="en-GB"/>
              </w:rPr>
            </w:pPr>
            <w:r w:rsidRPr="00A53AF2">
              <w:rPr>
                <w:sz w:val="16"/>
                <w:szCs w:val="16"/>
                <w:lang w:eastAsia="en-GB"/>
              </w:rPr>
              <w:t>2017</w:t>
            </w:r>
          </w:p>
        </w:tc>
        <w:tc>
          <w:tcPr>
            <w:tcW w:w="655" w:type="dxa"/>
            <w:tcBorders>
              <w:top w:val="single" w:sz="8" w:space="0" w:color="auto"/>
              <w:left w:val="nil"/>
              <w:bottom w:val="single" w:sz="8" w:space="0" w:color="auto"/>
              <w:right w:val="single" w:sz="8" w:space="0" w:color="auto"/>
            </w:tcBorders>
            <w:shd w:val="clear" w:color="000000" w:fill="000000"/>
            <w:noWrap/>
            <w:vAlign w:val="center"/>
            <w:hideMark/>
          </w:tcPr>
          <w:p w14:paraId="5BF3D08A" w14:textId="77777777" w:rsidR="002D75DD" w:rsidRPr="00A53AF2" w:rsidRDefault="002D75DD" w:rsidP="00ED42DA">
            <w:pPr>
              <w:pStyle w:val="Tablehead"/>
              <w:rPr>
                <w:sz w:val="16"/>
                <w:szCs w:val="16"/>
                <w:lang w:eastAsia="en-GB"/>
              </w:rPr>
            </w:pPr>
            <w:r w:rsidRPr="00A53AF2">
              <w:rPr>
                <w:sz w:val="16"/>
                <w:szCs w:val="16"/>
                <w:lang w:eastAsia="en-GB"/>
              </w:rPr>
              <w:t>2018</w:t>
            </w:r>
          </w:p>
        </w:tc>
        <w:tc>
          <w:tcPr>
            <w:tcW w:w="654" w:type="dxa"/>
            <w:tcBorders>
              <w:top w:val="single" w:sz="8" w:space="0" w:color="auto"/>
              <w:left w:val="nil"/>
              <w:bottom w:val="single" w:sz="8" w:space="0" w:color="auto"/>
              <w:right w:val="single" w:sz="8" w:space="0" w:color="auto"/>
            </w:tcBorders>
            <w:shd w:val="clear" w:color="000000" w:fill="000000"/>
            <w:noWrap/>
            <w:vAlign w:val="center"/>
            <w:hideMark/>
          </w:tcPr>
          <w:p w14:paraId="339428FB" w14:textId="77777777" w:rsidR="002D75DD" w:rsidRPr="00A53AF2" w:rsidRDefault="002D75DD" w:rsidP="00ED42DA">
            <w:pPr>
              <w:pStyle w:val="Tablehead"/>
              <w:rPr>
                <w:sz w:val="16"/>
                <w:szCs w:val="16"/>
                <w:lang w:eastAsia="en-GB"/>
              </w:rPr>
            </w:pPr>
            <w:r w:rsidRPr="00A53AF2">
              <w:rPr>
                <w:sz w:val="16"/>
                <w:szCs w:val="16"/>
                <w:lang w:eastAsia="en-GB"/>
              </w:rPr>
              <w:t>2019</w:t>
            </w:r>
          </w:p>
        </w:tc>
        <w:tc>
          <w:tcPr>
            <w:tcW w:w="655" w:type="dxa"/>
            <w:tcBorders>
              <w:top w:val="single" w:sz="8" w:space="0" w:color="auto"/>
              <w:left w:val="nil"/>
              <w:bottom w:val="single" w:sz="8" w:space="0" w:color="auto"/>
              <w:right w:val="single" w:sz="8" w:space="0" w:color="auto"/>
            </w:tcBorders>
            <w:shd w:val="clear" w:color="000000" w:fill="000000"/>
            <w:vAlign w:val="center"/>
          </w:tcPr>
          <w:p w14:paraId="55F4FFC5" w14:textId="77777777" w:rsidR="002D75DD" w:rsidRPr="00A53AF2" w:rsidRDefault="002D75DD" w:rsidP="00ED42DA">
            <w:pPr>
              <w:pStyle w:val="Tablehead"/>
              <w:rPr>
                <w:sz w:val="16"/>
                <w:szCs w:val="16"/>
                <w:lang w:eastAsia="en-GB"/>
              </w:rPr>
            </w:pPr>
            <w:r w:rsidRPr="00A53AF2">
              <w:rPr>
                <w:sz w:val="16"/>
                <w:szCs w:val="16"/>
                <w:lang w:eastAsia="en-GB"/>
              </w:rPr>
              <w:t>2020</w:t>
            </w:r>
          </w:p>
        </w:tc>
        <w:tc>
          <w:tcPr>
            <w:tcW w:w="655" w:type="dxa"/>
            <w:tcBorders>
              <w:top w:val="single" w:sz="8" w:space="0" w:color="auto"/>
              <w:left w:val="nil"/>
              <w:bottom w:val="single" w:sz="8" w:space="0" w:color="auto"/>
              <w:right w:val="single" w:sz="8" w:space="0" w:color="auto"/>
            </w:tcBorders>
            <w:shd w:val="clear" w:color="000000" w:fill="000000"/>
            <w:vAlign w:val="center"/>
          </w:tcPr>
          <w:p w14:paraId="3305198F" w14:textId="77777777" w:rsidR="002D75DD" w:rsidRPr="00A53AF2" w:rsidRDefault="002D75DD" w:rsidP="00ED42DA">
            <w:pPr>
              <w:pStyle w:val="Tablehead"/>
              <w:rPr>
                <w:sz w:val="16"/>
                <w:szCs w:val="16"/>
                <w:lang w:eastAsia="en-GB"/>
              </w:rPr>
            </w:pPr>
            <w:r w:rsidRPr="00A53AF2">
              <w:rPr>
                <w:sz w:val="16"/>
                <w:szCs w:val="16"/>
                <w:lang w:eastAsia="en-GB"/>
              </w:rPr>
              <w:t>2021</w:t>
            </w:r>
          </w:p>
        </w:tc>
        <w:tc>
          <w:tcPr>
            <w:tcW w:w="703" w:type="dxa"/>
            <w:tcBorders>
              <w:top w:val="single" w:sz="8" w:space="0" w:color="auto"/>
              <w:left w:val="nil"/>
              <w:bottom w:val="single" w:sz="8" w:space="0" w:color="auto"/>
              <w:right w:val="single" w:sz="8" w:space="0" w:color="auto"/>
            </w:tcBorders>
            <w:shd w:val="clear" w:color="000000" w:fill="000000"/>
            <w:noWrap/>
            <w:vAlign w:val="center"/>
            <w:hideMark/>
          </w:tcPr>
          <w:p w14:paraId="65B2597D" w14:textId="77777777" w:rsidR="002D75DD" w:rsidRPr="00A53AF2" w:rsidRDefault="002D75DD" w:rsidP="00ED42DA">
            <w:pPr>
              <w:pStyle w:val="Tablehead"/>
              <w:rPr>
                <w:sz w:val="16"/>
                <w:szCs w:val="16"/>
                <w:lang w:eastAsia="en-GB"/>
              </w:rPr>
            </w:pPr>
            <w:proofErr w:type="spellStart"/>
            <w:r w:rsidRPr="00A53AF2">
              <w:rPr>
                <w:rFonts w:hint="eastAsia"/>
                <w:sz w:val="16"/>
                <w:szCs w:val="16"/>
              </w:rPr>
              <w:t>合计</w:t>
            </w:r>
            <w:proofErr w:type="spellEnd"/>
          </w:p>
        </w:tc>
      </w:tr>
      <w:tr w:rsidR="002D75DD" w:rsidRPr="00A53AF2" w14:paraId="19A2EFC0" w14:textId="77777777" w:rsidTr="00926FC8">
        <w:trPr>
          <w:trHeight w:val="244"/>
          <w:jc w:val="center"/>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C564A" w14:textId="77777777" w:rsidR="002D75DD" w:rsidRPr="00A53AF2" w:rsidRDefault="002D75DD" w:rsidP="00ED42DA">
            <w:pPr>
              <w:pStyle w:val="Tabletext"/>
              <w:rPr>
                <w:sz w:val="16"/>
                <w:szCs w:val="16"/>
              </w:rPr>
            </w:pPr>
            <w:proofErr w:type="spellStart"/>
            <w:r w:rsidRPr="00A53AF2">
              <w:rPr>
                <w:sz w:val="16"/>
                <w:szCs w:val="16"/>
                <w:lang w:val="en-US"/>
              </w:rPr>
              <w:t>审计报告</w:t>
            </w:r>
            <w:proofErr w:type="spellEnd"/>
            <w:r w:rsidRPr="00A53AF2">
              <w:rPr>
                <w:rFonts w:hint="eastAsia"/>
                <w:sz w:val="16"/>
                <w:szCs w:val="16"/>
                <w:lang w:val="en-US" w:eastAsia="zh-CN"/>
              </w:rPr>
              <w:t>/</w:t>
            </w:r>
            <w:r w:rsidRPr="00A53AF2">
              <w:rPr>
                <w:rFonts w:hint="eastAsia"/>
                <w:sz w:val="16"/>
                <w:szCs w:val="16"/>
                <w:lang w:val="en-US" w:eastAsia="zh-CN"/>
              </w:rPr>
              <w:t>记录</w:t>
            </w:r>
            <w:proofErr w:type="spellStart"/>
            <w:r w:rsidRPr="00A53AF2">
              <w:rPr>
                <w:sz w:val="16"/>
                <w:szCs w:val="16"/>
                <w:lang w:val="en-US"/>
              </w:rPr>
              <w:t>的数量</w:t>
            </w:r>
            <w:proofErr w:type="spellEnd"/>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0C8712A1"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4E25161"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14:paraId="6958B420"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4</w:t>
            </w:r>
          </w:p>
        </w:tc>
        <w:tc>
          <w:tcPr>
            <w:tcW w:w="655" w:type="dxa"/>
            <w:tcBorders>
              <w:top w:val="single" w:sz="4" w:space="0" w:color="auto"/>
              <w:left w:val="nil"/>
              <w:bottom w:val="single" w:sz="4" w:space="0" w:color="auto"/>
              <w:right w:val="nil"/>
            </w:tcBorders>
            <w:shd w:val="clear" w:color="000000" w:fill="FFFFFF"/>
            <w:noWrap/>
            <w:vAlign w:val="center"/>
            <w:hideMark/>
          </w:tcPr>
          <w:p w14:paraId="0B03312E"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4</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1482675D"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7</w:t>
            </w:r>
          </w:p>
        </w:tc>
        <w:tc>
          <w:tcPr>
            <w:tcW w:w="654" w:type="dxa"/>
            <w:tcBorders>
              <w:top w:val="single" w:sz="4" w:space="0" w:color="auto"/>
              <w:left w:val="single" w:sz="4" w:space="0" w:color="auto"/>
              <w:bottom w:val="single" w:sz="4" w:space="0" w:color="auto"/>
              <w:right w:val="nil"/>
            </w:tcBorders>
            <w:shd w:val="clear" w:color="000000" w:fill="FFFFFF"/>
            <w:noWrap/>
            <w:vAlign w:val="center"/>
            <w:hideMark/>
          </w:tcPr>
          <w:p w14:paraId="69C4105B"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4</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21B46E65"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6</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21FBCB6C"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4</w:t>
            </w:r>
          </w:p>
        </w:tc>
        <w:tc>
          <w:tcPr>
            <w:tcW w:w="654" w:type="dxa"/>
            <w:tcBorders>
              <w:top w:val="single" w:sz="4" w:space="0" w:color="auto"/>
              <w:left w:val="single" w:sz="4" w:space="0" w:color="auto"/>
              <w:bottom w:val="single" w:sz="4" w:space="0" w:color="auto"/>
              <w:right w:val="nil"/>
            </w:tcBorders>
            <w:shd w:val="clear" w:color="000000" w:fill="FFFFFF"/>
            <w:noWrap/>
            <w:vAlign w:val="center"/>
            <w:hideMark/>
          </w:tcPr>
          <w:p w14:paraId="53B7A096"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69876BB"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w:t>
            </w:r>
          </w:p>
        </w:tc>
        <w:tc>
          <w:tcPr>
            <w:tcW w:w="655" w:type="dxa"/>
            <w:tcBorders>
              <w:top w:val="single" w:sz="4" w:space="0" w:color="auto"/>
              <w:left w:val="single" w:sz="4" w:space="0" w:color="auto"/>
              <w:bottom w:val="single" w:sz="4" w:space="0" w:color="auto"/>
              <w:right w:val="single" w:sz="4" w:space="0" w:color="auto"/>
            </w:tcBorders>
            <w:vAlign w:val="center"/>
          </w:tcPr>
          <w:p w14:paraId="620FAE69"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w:t>
            </w:r>
          </w:p>
        </w:tc>
        <w:tc>
          <w:tcPr>
            <w:tcW w:w="70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EA2E11E" w14:textId="77777777" w:rsidR="002D75DD" w:rsidRPr="00A53AF2" w:rsidRDefault="002D75DD" w:rsidP="00ED42DA">
            <w:pPr>
              <w:pStyle w:val="Tabletext"/>
              <w:jc w:val="center"/>
              <w:rPr>
                <w:b/>
                <w:bCs/>
                <w:color w:val="000000"/>
                <w:sz w:val="16"/>
                <w:szCs w:val="16"/>
                <w:lang w:eastAsia="en-GB"/>
              </w:rPr>
            </w:pPr>
            <w:r w:rsidRPr="00A53AF2">
              <w:rPr>
                <w:b/>
                <w:bCs/>
                <w:color w:val="000000"/>
                <w:sz w:val="16"/>
                <w:szCs w:val="16"/>
                <w:lang w:eastAsia="en-GB"/>
              </w:rPr>
              <w:t>37</w:t>
            </w:r>
          </w:p>
        </w:tc>
      </w:tr>
      <w:tr w:rsidR="002D75DD" w:rsidRPr="00A53AF2" w14:paraId="4305B0A2" w14:textId="77777777" w:rsidTr="00926FC8">
        <w:trPr>
          <w:trHeight w:val="244"/>
          <w:jc w:val="center"/>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466E7" w14:textId="77777777" w:rsidR="002D75DD" w:rsidRPr="00A53AF2" w:rsidRDefault="002D75DD" w:rsidP="00ED42DA">
            <w:pPr>
              <w:pStyle w:val="Tabletext"/>
              <w:rPr>
                <w:sz w:val="16"/>
                <w:szCs w:val="16"/>
              </w:rPr>
            </w:pPr>
            <w:r w:rsidRPr="00A53AF2">
              <w:rPr>
                <w:sz w:val="16"/>
                <w:szCs w:val="16"/>
                <w:lang w:val="en-US" w:eastAsia="zh-CN"/>
              </w:rPr>
              <w:t>建议</w:t>
            </w:r>
            <w:r w:rsidRPr="00A53AF2">
              <w:rPr>
                <w:sz w:val="16"/>
                <w:szCs w:val="16"/>
                <w:lang w:val="en-US" w:eastAsia="zh-CN"/>
              </w:rPr>
              <w:t xml:space="preserve"> – </w:t>
            </w:r>
            <w:r w:rsidRPr="00A53AF2">
              <w:rPr>
                <w:sz w:val="16"/>
                <w:szCs w:val="16"/>
                <w:lang w:val="en-US" w:eastAsia="zh-CN"/>
              </w:rPr>
              <w:t>总量</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617C70B3"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17</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7DFC797C"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14:paraId="59CD90EB"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113</w:t>
            </w:r>
          </w:p>
        </w:tc>
        <w:tc>
          <w:tcPr>
            <w:tcW w:w="655" w:type="dxa"/>
            <w:tcBorders>
              <w:top w:val="single" w:sz="4" w:space="0" w:color="auto"/>
              <w:left w:val="nil"/>
              <w:bottom w:val="single" w:sz="4" w:space="0" w:color="auto"/>
              <w:right w:val="nil"/>
            </w:tcBorders>
            <w:shd w:val="clear" w:color="000000" w:fill="FFFFFF"/>
            <w:noWrap/>
            <w:vAlign w:val="center"/>
            <w:hideMark/>
          </w:tcPr>
          <w:p w14:paraId="3E3D5F6A"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55</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53822964"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34</w:t>
            </w:r>
          </w:p>
        </w:tc>
        <w:tc>
          <w:tcPr>
            <w:tcW w:w="654" w:type="dxa"/>
            <w:tcBorders>
              <w:top w:val="single" w:sz="4" w:space="0" w:color="auto"/>
              <w:left w:val="single" w:sz="4" w:space="0" w:color="auto"/>
              <w:bottom w:val="single" w:sz="4" w:space="0" w:color="auto"/>
              <w:right w:val="nil"/>
            </w:tcBorders>
            <w:shd w:val="clear" w:color="000000" w:fill="FFFFFF"/>
            <w:noWrap/>
            <w:vAlign w:val="center"/>
            <w:hideMark/>
          </w:tcPr>
          <w:p w14:paraId="437AD0E5"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22</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59ACCCCA"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35</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553934ED"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26</w:t>
            </w:r>
          </w:p>
        </w:tc>
        <w:tc>
          <w:tcPr>
            <w:tcW w:w="654" w:type="dxa"/>
            <w:tcBorders>
              <w:top w:val="single" w:sz="4" w:space="0" w:color="auto"/>
              <w:left w:val="single" w:sz="4" w:space="0" w:color="auto"/>
              <w:bottom w:val="single" w:sz="4" w:space="0" w:color="auto"/>
              <w:right w:val="nil"/>
            </w:tcBorders>
            <w:shd w:val="clear" w:color="000000" w:fill="FFFFFF"/>
            <w:noWrap/>
            <w:vAlign w:val="center"/>
            <w:hideMark/>
          </w:tcPr>
          <w:p w14:paraId="0EB0563F"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DE962D0"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9</w:t>
            </w:r>
          </w:p>
        </w:tc>
        <w:tc>
          <w:tcPr>
            <w:tcW w:w="655" w:type="dxa"/>
            <w:tcBorders>
              <w:top w:val="single" w:sz="4" w:space="0" w:color="auto"/>
              <w:left w:val="single" w:sz="4" w:space="0" w:color="auto"/>
              <w:bottom w:val="single" w:sz="4" w:space="0" w:color="auto"/>
              <w:right w:val="single" w:sz="4" w:space="0" w:color="auto"/>
            </w:tcBorders>
            <w:vAlign w:val="center"/>
          </w:tcPr>
          <w:p w14:paraId="1D809AAF"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19</w:t>
            </w:r>
          </w:p>
        </w:tc>
        <w:tc>
          <w:tcPr>
            <w:tcW w:w="70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9BAEC3C" w14:textId="77777777" w:rsidR="002D75DD" w:rsidRPr="00A53AF2" w:rsidRDefault="002D75DD" w:rsidP="00ED42DA">
            <w:pPr>
              <w:pStyle w:val="Tabletext"/>
              <w:jc w:val="center"/>
              <w:rPr>
                <w:b/>
                <w:bCs/>
                <w:color w:val="000000"/>
                <w:sz w:val="16"/>
                <w:szCs w:val="16"/>
                <w:lang w:eastAsia="en-GB"/>
              </w:rPr>
            </w:pPr>
            <w:r w:rsidRPr="00A53AF2">
              <w:rPr>
                <w:b/>
                <w:bCs/>
                <w:color w:val="000000"/>
                <w:sz w:val="16"/>
                <w:szCs w:val="16"/>
                <w:lang w:eastAsia="en-GB"/>
              </w:rPr>
              <w:t>345</w:t>
            </w:r>
          </w:p>
        </w:tc>
      </w:tr>
      <w:tr w:rsidR="002D75DD" w:rsidRPr="00A53AF2" w14:paraId="09032EA5" w14:textId="77777777" w:rsidTr="00926FC8">
        <w:trPr>
          <w:trHeight w:val="244"/>
          <w:jc w:val="center"/>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613D6" w14:textId="77777777" w:rsidR="002D75DD" w:rsidRPr="00A53AF2" w:rsidRDefault="002D75DD" w:rsidP="00ED42DA">
            <w:pPr>
              <w:pStyle w:val="Tabletext"/>
              <w:rPr>
                <w:sz w:val="16"/>
                <w:szCs w:val="16"/>
              </w:rPr>
            </w:pPr>
            <w:r w:rsidRPr="00A53AF2">
              <w:rPr>
                <w:sz w:val="16"/>
                <w:szCs w:val="16"/>
                <w:lang w:val="en-CA" w:eastAsia="zh-CN"/>
              </w:rPr>
              <w:tab/>
            </w:r>
            <w:r w:rsidRPr="00A53AF2">
              <w:rPr>
                <w:sz w:val="16"/>
                <w:szCs w:val="16"/>
                <w:lang w:val="en-US" w:eastAsia="zh-CN"/>
              </w:rPr>
              <w:t>实施中</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14:paraId="1D43E28B"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5056B441"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14:paraId="294DFF93"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4</w:t>
            </w:r>
          </w:p>
        </w:tc>
        <w:tc>
          <w:tcPr>
            <w:tcW w:w="655" w:type="dxa"/>
            <w:tcBorders>
              <w:top w:val="single" w:sz="4" w:space="0" w:color="auto"/>
              <w:left w:val="nil"/>
              <w:bottom w:val="single" w:sz="4" w:space="0" w:color="auto"/>
              <w:right w:val="nil"/>
            </w:tcBorders>
            <w:shd w:val="clear" w:color="000000" w:fill="FFFFFF"/>
            <w:noWrap/>
            <w:vAlign w:val="center"/>
            <w:hideMark/>
          </w:tcPr>
          <w:p w14:paraId="30527BB3"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67605EF0"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4" w:type="dxa"/>
            <w:tcBorders>
              <w:top w:val="single" w:sz="4" w:space="0" w:color="auto"/>
              <w:left w:val="single" w:sz="4" w:space="0" w:color="auto"/>
              <w:bottom w:val="single" w:sz="4" w:space="0" w:color="auto"/>
              <w:right w:val="nil"/>
            </w:tcBorders>
            <w:shd w:val="clear" w:color="000000" w:fill="FFFFFF"/>
            <w:noWrap/>
            <w:vAlign w:val="center"/>
            <w:hideMark/>
          </w:tcPr>
          <w:p w14:paraId="77270004"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6</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2E3889B2"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13</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4A074F66"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10</w:t>
            </w:r>
          </w:p>
        </w:tc>
        <w:tc>
          <w:tcPr>
            <w:tcW w:w="654" w:type="dxa"/>
            <w:tcBorders>
              <w:top w:val="single" w:sz="4" w:space="0" w:color="auto"/>
              <w:left w:val="single" w:sz="4" w:space="0" w:color="auto"/>
              <w:bottom w:val="single" w:sz="4" w:space="0" w:color="auto"/>
              <w:right w:val="nil"/>
            </w:tcBorders>
            <w:shd w:val="clear" w:color="000000" w:fill="FFFFFF"/>
            <w:noWrap/>
            <w:vAlign w:val="center"/>
            <w:hideMark/>
          </w:tcPr>
          <w:p w14:paraId="157DDED0"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3</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8D9947A"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4</w:t>
            </w:r>
          </w:p>
        </w:tc>
        <w:tc>
          <w:tcPr>
            <w:tcW w:w="655" w:type="dxa"/>
            <w:tcBorders>
              <w:top w:val="single" w:sz="4" w:space="0" w:color="auto"/>
              <w:left w:val="single" w:sz="4" w:space="0" w:color="auto"/>
              <w:bottom w:val="single" w:sz="4" w:space="0" w:color="auto"/>
              <w:right w:val="single" w:sz="4" w:space="0" w:color="auto"/>
            </w:tcBorders>
            <w:vAlign w:val="center"/>
          </w:tcPr>
          <w:p w14:paraId="6E21C7A9"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13</w:t>
            </w:r>
          </w:p>
        </w:tc>
        <w:tc>
          <w:tcPr>
            <w:tcW w:w="70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0F59934" w14:textId="77777777" w:rsidR="002D75DD" w:rsidRPr="00A53AF2" w:rsidRDefault="002D75DD" w:rsidP="00ED42DA">
            <w:pPr>
              <w:pStyle w:val="Tabletext"/>
              <w:jc w:val="center"/>
              <w:rPr>
                <w:b/>
                <w:bCs/>
                <w:color w:val="000000"/>
                <w:sz w:val="16"/>
                <w:szCs w:val="16"/>
                <w:lang w:eastAsia="en-GB"/>
              </w:rPr>
            </w:pPr>
            <w:r w:rsidRPr="00A53AF2">
              <w:rPr>
                <w:b/>
                <w:bCs/>
                <w:color w:val="000000"/>
                <w:sz w:val="16"/>
                <w:szCs w:val="16"/>
                <w:lang w:eastAsia="en-GB"/>
              </w:rPr>
              <w:t>55</w:t>
            </w:r>
          </w:p>
        </w:tc>
      </w:tr>
      <w:tr w:rsidR="002D75DD" w:rsidRPr="00A53AF2" w14:paraId="6B9B1E2C" w14:textId="77777777" w:rsidTr="00926FC8">
        <w:trPr>
          <w:trHeight w:val="244"/>
          <w:jc w:val="center"/>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1FBF" w14:textId="77777777" w:rsidR="002D75DD" w:rsidRPr="00A53AF2" w:rsidRDefault="002D75DD" w:rsidP="00ED42DA">
            <w:pPr>
              <w:pStyle w:val="Tabletext"/>
              <w:rPr>
                <w:sz w:val="16"/>
                <w:szCs w:val="16"/>
              </w:rPr>
            </w:pPr>
            <w:r w:rsidRPr="00A53AF2">
              <w:rPr>
                <w:sz w:val="16"/>
                <w:szCs w:val="16"/>
                <w:lang w:val="en-CA" w:eastAsia="zh-CN"/>
              </w:rPr>
              <w:tab/>
            </w:r>
            <w:r w:rsidRPr="00A53AF2">
              <w:rPr>
                <w:sz w:val="16"/>
                <w:szCs w:val="16"/>
                <w:lang w:val="en-US" w:eastAsia="zh-CN"/>
              </w:rPr>
              <w:t>延迟</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14:paraId="43CBB7E1"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3</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795A163D"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14:paraId="10142AC2"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single" w:sz="4" w:space="0" w:color="auto"/>
              <w:left w:val="nil"/>
              <w:bottom w:val="single" w:sz="4" w:space="0" w:color="auto"/>
              <w:right w:val="nil"/>
            </w:tcBorders>
            <w:shd w:val="clear" w:color="000000" w:fill="FFFFFF"/>
            <w:noWrap/>
            <w:vAlign w:val="center"/>
            <w:hideMark/>
          </w:tcPr>
          <w:p w14:paraId="70B90D0B"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06366486"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4" w:type="dxa"/>
            <w:tcBorders>
              <w:top w:val="single" w:sz="4" w:space="0" w:color="auto"/>
              <w:left w:val="single" w:sz="4" w:space="0" w:color="auto"/>
              <w:bottom w:val="single" w:sz="4" w:space="0" w:color="auto"/>
              <w:right w:val="nil"/>
            </w:tcBorders>
            <w:shd w:val="clear" w:color="000000" w:fill="FFFFFF"/>
            <w:noWrap/>
            <w:vAlign w:val="center"/>
            <w:hideMark/>
          </w:tcPr>
          <w:p w14:paraId="6FBB102A"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766810E4"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115D01ED"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4" w:type="dxa"/>
            <w:tcBorders>
              <w:top w:val="single" w:sz="4" w:space="0" w:color="auto"/>
              <w:left w:val="single" w:sz="4" w:space="0" w:color="auto"/>
              <w:bottom w:val="single" w:sz="4" w:space="0" w:color="auto"/>
              <w:right w:val="nil"/>
            </w:tcBorders>
            <w:shd w:val="clear" w:color="000000" w:fill="FFFFFF"/>
            <w:noWrap/>
            <w:vAlign w:val="center"/>
            <w:hideMark/>
          </w:tcPr>
          <w:p w14:paraId="381FA7C1"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1737BF8"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single" w:sz="4" w:space="0" w:color="auto"/>
              <w:left w:val="single" w:sz="4" w:space="0" w:color="auto"/>
              <w:bottom w:val="single" w:sz="4" w:space="0" w:color="auto"/>
              <w:right w:val="single" w:sz="4" w:space="0" w:color="auto"/>
            </w:tcBorders>
            <w:vAlign w:val="center"/>
          </w:tcPr>
          <w:p w14:paraId="36679F4D"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4</w:t>
            </w:r>
          </w:p>
        </w:tc>
        <w:tc>
          <w:tcPr>
            <w:tcW w:w="70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0572E61" w14:textId="77777777" w:rsidR="002D75DD" w:rsidRPr="00A53AF2" w:rsidRDefault="002D75DD" w:rsidP="00ED42DA">
            <w:pPr>
              <w:pStyle w:val="Tabletext"/>
              <w:jc w:val="center"/>
              <w:rPr>
                <w:b/>
                <w:bCs/>
                <w:color w:val="000000"/>
                <w:sz w:val="16"/>
                <w:szCs w:val="16"/>
                <w:lang w:eastAsia="en-GB"/>
              </w:rPr>
            </w:pPr>
            <w:r w:rsidRPr="00A53AF2">
              <w:rPr>
                <w:b/>
                <w:bCs/>
                <w:color w:val="000000"/>
                <w:sz w:val="16"/>
                <w:szCs w:val="16"/>
                <w:lang w:eastAsia="en-GB"/>
              </w:rPr>
              <w:t>7</w:t>
            </w:r>
          </w:p>
        </w:tc>
      </w:tr>
      <w:tr w:rsidR="002D75DD" w:rsidRPr="00A53AF2" w14:paraId="64D2DC17" w14:textId="77777777" w:rsidTr="00926FC8">
        <w:trPr>
          <w:trHeight w:val="244"/>
          <w:jc w:val="center"/>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15D25" w14:textId="77777777" w:rsidR="002D75DD" w:rsidRPr="00A53AF2" w:rsidRDefault="002D75DD" w:rsidP="00ED42DA">
            <w:pPr>
              <w:pStyle w:val="Tabletext"/>
              <w:rPr>
                <w:sz w:val="16"/>
                <w:szCs w:val="16"/>
              </w:rPr>
            </w:pPr>
            <w:r w:rsidRPr="00A53AF2">
              <w:rPr>
                <w:sz w:val="16"/>
                <w:szCs w:val="16"/>
                <w:lang w:val="en-CA" w:eastAsia="zh-CN"/>
              </w:rPr>
              <w:tab/>
            </w:r>
            <w:r w:rsidRPr="00A53AF2">
              <w:rPr>
                <w:sz w:val="16"/>
                <w:szCs w:val="16"/>
                <w:lang w:val="en-US" w:eastAsia="zh-CN"/>
              </w:rPr>
              <w:t>完成</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14:paraId="38BF224B"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14</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17936686"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14:paraId="0CD0DCE7"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109</w:t>
            </w:r>
          </w:p>
        </w:tc>
        <w:tc>
          <w:tcPr>
            <w:tcW w:w="655" w:type="dxa"/>
            <w:tcBorders>
              <w:top w:val="single" w:sz="4" w:space="0" w:color="auto"/>
              <w:left w:val="nil"/>
              <w:bottom w:val="single" w:sz="4" w:space="0" w:color="auto"/>
              <w:right w:val="nil"/>
            </w:tcBorders>
            <w:shd w:val="clear" w:color="000000" w:fill="FFFFFF"/>
            <w:noWrap/>
            <w:vAlign w:val="center"/>
            <w:hideMark/>
          </w:tcPr>
          <w:p w14:paraId="43B74290"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53</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68817470"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34</w:t>
            </w:r>
          </w:p>
        </w:tc>
        <w:tc>
          <w:tcPr>
            <w:tcW w:w="654" w:type="dxa"/>
            <w:tcBorders>
              <w:top w:val="single" w:sz="4" w:space="0" w:color="auto"/>
              <w:left w:val="single" w:sz="4" w:space="0" w:color="auto"/>
              <w:bottom w:val="single" w:sz="4" w:space="0" w:color="auto"/>
              <w:right w:val="nil"/>
            </w:tcBorders>
            <w:shd w:val="clear" w:color="000000" w:fill="FFFFFF"/>
            <w:noWrap/>
            <w:vAlign w:val="center"/>
            <w:hideMark/>
          </w:tcPr>
          <w:p w14:paraId="495CDCA1"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16</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0A88F491"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22</w:t>
            </w:r>
          </w:p>
        </w:tc>
        <w:tc>
          <w:tcPr>
            <w:tcW w:w="655" w:type="dxa"/>
            <w:tcBorders>
              <w:top w:val="single" w:sz="4" w:space="0" w:color="auto"/>
              <w:left w:val="single" w:sz="4" w:space="0" w:color="auto"/>
              <w:bottom w:val="single" w:sz="4" w:space="0" w:color="auto"/>
              <w:right w:val="nil"/>
            </w:tcBorders>
            <w:shd w:val="clear" w:color="000000" w:fill="FFFFFF"/>
            <w:noWrap/>
            <w:vAlign w:val="center"/>
            <w:hideMark/>
          </w:tcPr>
          <w:p w14:paraId="431B1D9E"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16</w:t>
            </w:r>
          </w:p>
        </w:tc>
        <w:tc>
          <w:tcPr>
            <w:tcW w:w="654" w:type="dxa"/>
            <w:tcBorders>
              <w:top w:val="single" w:sz="4" w:space="0" w:color="auto"/>
              <w:left w:val="single" w:sz="4" w:space="0" w:color="auto"/>
              <w:bottom w:val="single" w:sz="4" w:space="0" w:color="auto"/>
              <w:right w:val="nil"/>
            </w:tcBorders>
            <w:shd w:val="clear" w:color="000000" w:fill="FFFFFF"/>
            <w:noWrap/>
            <w:vAlign w:val="center"/>
            <w:hideMark/>
          </w:tcPr>
          <w:p w14:paraId="024C000F"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12</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8AAE1C4"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5</w:t>
            </w:r>
          </w:p>
        </w:tc>
        <w:tc>
          <w:tcPr>
            <w:tcW w:w="655" w:type="dxa"/>
            <w:tcBorders>
              <w:top w:val="single" w:sz="4" w:space="0" w:color="auto"/>
              <w:left w:val="single" w:sz="4" w:space="0" w:color="auto"/>
              <w:bottom w:val="single" w:sz="4" w:space="0" w:color="auto"/>
              <w:right w:val="single" w:sz="4" w:space="0" w:color="auto"/>
            </w:tcBorders>
            <w:vAlign w:val="center"/>
          </w:tcPr>
          <w:p w14:paraId="0EA3FD64"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w:t>
            </w:r>
          </w:p>
        </w:tc>
        <w:tc>
          <w:tcPr>
            <w:tcW w:w="70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3C9FFF" w14:textId="77777777" w:rsidR="002D75DD" w:rsidRPr="00A53AF2" w:rsidRDefault="002D75DD" w:rsidP="00ED42DA">
            <w:pPr>
              <w:pStyle w:val="Tabletext"/>
              <w:jc w:val="center"/>
              <w:rPr>
                <w:b/>
                <w:bCs/>
                <w:color w:val="000000"/>
                <w:sz w:val="16"/>
                <w:szCs w:val="16"/>
                <w:lang w:eastAsia="en-GB"/>
              </w:rPr>
            </w:pPr>
            <w:r w:rsidRPr="00A53AF2">
              <w:rPr>
                <w:b/>
                <w:bCs/>
                <w:color w:val="000000"/>
                <w:sz w:val="16"/>
                <w:szCs w:val="16"/>
                <w:lang w:eastAsia="en-GB"/>
              </w:rPr>
              <w:t>283</w:t>
            </w:r>
          </w:p>
        </w:tc>
      </w:tr>
      <w:tr w:rsidR="002D75DD" w:rsidRPr="00A53AF2" w14:paraId="664415C1" w14:textId="77777777" w:rsidTr="00926FC8">
        <w:trPr>
          <w:trHeight w:val="244"/>
          <w:jc w:val="center"/>
        </w:trPr>
        <w:tc>
          <w:tcPr>
            <w:tcW w:w="1725" w:type="dxa"/>
            <w:tcBorders>
              <w:top w:val="single" w:sz="4" w:space="0" w:color="auto"/>
              <w:left w:val="nil"/>
              <w:bottom w:val="nil"/>
              <w:right w:val="nil"/>
            </w:tcBorders>
            <w:shd w:val="clear" w:color="auto" w:fill="auto"/>
            <w:noWrap/>
            <w:vAlign w:val="bottom"/>
            <w:hideMark/>
          </w:tcPr>
          <w:p w14:paraId="08525220" w14:textId="77777777" w:rsidR="002D75DD" w:rsidRPr="00A53AF2" w:rsidRDefault="002D75DD" w:rsidP="00ED42DA">
            <w:pPr>
              <w:pStyle w:val="Tabletext"/>
              <w:rPr>
                <w:b/>
                <w:bCs/>
                <w:sz w:val="16"/>
                <w:szCs w:val="16"/>
              </w:rPr>
            </w:pPr>
          </w:p>
        </w:tc>
        <w:tc>
          <w:tcPr>
            <w:tcW w:w="654" w:type="dxa"/>
            <w:tcBorders>
              <w:top w:val="single" w:sz="4" w:space="0" w:color="auto"/>
              <w:left w:val="nil"/>
              <w:bottom w:val="nil"/>
              <w:right w:val="nil"/>
            </w:tcBorders>
            <w:shd w:val="clear" w:color="000000" w:fill="FFFFFF"/>
            <w:noWrap/>
            <w:vAlign w:val="center"/>
            <w:hideMark/>
          </w:tcPr>
          <w:p w14:paraId="59253B17" w14:textId="77777777" w:rsidR="002D75DD" w:rsidRPr="00A53AF2" w:rsidRDefault="002D75DD" w:rsidP="00ED42DA">
            <w:pPr>
              <w:pStyle w:val="Tabletext"/>
              <w:jc w:val="center"/>
              <w:rPr>
                <w:color w:val="000000"/>
                <w:sz w:val="16"/>
                <w:szCs w:val="16"/>
                <w:lang w:eastAsia="en-GB"/>
              </w:rPr>
            </w:pPr>
          </w:p>
        </w:tc>
        <w:tc>
          <w:tcPr>
            <w:tcW w:w="655" w:type="dxa"/>
            <w:tcBorders>
              <w:top w:val="single" w:sz="4" w:space="0" w:color="auto"/>
              <w:left w:val="nil"/>
              <w:bottom w:val="nil"/>
              <w:right w:val="nil"/>
            </w:tcBorders>
            <w:shd w:val="clear" w:color="auto" w:fill="auto"/>
            <w:noWrap/>
            <w:vAlign w:val="bottom"/>
            <w:hideMark/>
          </w:tcPr>
          <w:p w14:paraId="0458B44E" w14:textId="77777777" w:rsidR="002D75DD" w:rsidRPr="00A53AF2" w:rsidRDefault="002D75DD" w:rsidP="00ED42DA">
            <w:pPr>
              <w:pStyle w:val="Tabletext"/>
              <w:jc w:val="center"/>
              <w:rPr>
                <w:color w:val="000000"/>
                <w:sz w:val="16"/>
                <w:szCs w:val="16"/>
                <w:lang w:eastAsia="en-GB"/>
              </w:rPr>
            </w:pPr>
          </w:p>
        </w:tc>
        <w:tc>
          <w:tcPr>
            <w:tcW w:w="654" w:type="dxa"/>
            <w:tcBorders>
              <w:top w:val="single" w:sz="4" w:space="0" w:color="auto"/>
              <w:left w:val="nil"/>
              <w:bottom w:val="nil"/>
              <w:right w:val="nil"/>
            </w:tcBorders>
            <w:shd w:val="clear" w:color="000000" w:fill="FFFFFF"/>
            <w:noWrap/>
            <w:vAlign w:val="center"/>
            <w:hideMark/>
          </w:tcPr>
          <w:p w14:paraId="5A09CABC" w14:textId="77777777" w:rsidR="002D75DD" w:rsidRPr="00A53AF2" w:rsidRDefault="002D75DD" w:rsidP="00ED42DA">
            <w:pPr>
              <w:pStyle w:val="Tabletext"/>
              <w:jc w:val="center"/>
              <w:rPr>
                <w:color w:val="000000"/>
                <w:sz w:val="16"/>
                <w:szCs w:val="16"/>
                <w:lang w:eastAsia="en-GB"/>
              </w:rPr>
            </w:pPr>
          </w:p>
        </w:tc>
        <w:tc>
          <w:tcPr>
            <w:tcW w:w="655" w:type="dxa"/>
            <w:tcBorders>
              <w:top w:val="single" w:sz="4" w:space="0" w:color="auto"/>
              <w:left w:val="nil"/>
              <w:bottom w:val="nil"/>
              <w:right w:val="nil"/>
            </w:tcBorders>
            <w:shd w:val="clear" w:color="000000" w:fill="FFFFFF"/>
            <w:noWrap/>
            <w:vAlign w:val="center"/>
            <w:hideMark/>
          </w:tcPr>
          <w:p w14:paraId="44B36331" w14:textId="77777777" w:rsidR="002D75DD" w:rsidRPr="00A53AF2" w:rsidRDefault="002D75DD" w:rsidP="00ED42DA">
            <w:pPr>
              <w:pStyle w:val="Tabletext"/>
              <w:jc w:val="center"/>
              <w:rPr>
                <w:color w:val="000000"/>
                <w:sz w:val="16"/>
                <w:szCs w:val="16"/>
                <w:lang w:eastAsia="en-GB"/>
              </w:rPr>
            </w:pPr>
          </w:p>
        </w:tc>
        <w:tc>
          <w:tcPr>
            <w:tcW w:w="655" w:type="dxa"/>
            <w:tcBorders>
              <w:top w:val="single" w:sz="4" w:space="0" w:color="auto"/>
              <w:left w:val="nil"/>
              <w:bottom w:val="nil"/>
              <w:right w:val="nil"/>
            </w:tcBorders>
            <w:shd w:val="clear" w:color="000000" w:fill="FFFFFF"/>
            <w:noWrap/>
            <w:vAlign w:val="center"/>
            <w:hideMark/>
          </w:tcPr>
          <w:p w14:paraId="30F120EC" w14:textId="77777777" w:rsidR="002D75DD" w:rsidRPr="00A53AF2" w:rsidRDefault="002D75DD" w:rsidP="00ED42DA">
            <w:pPr>
              <w:pStyle w:val="Tabletext"/>
              <w:jc w:val="center"/>
              <w:rPr>
                <w:color w:val="000000"/>
                <w:sz w:val="16"/>
                <w:szCs w:val="16"/>
                <w:lang w:eastAsia="en-GB"/>
              </w:rPr>
            </w:pPr>
          </w:p>
        </w:tc>
        <w:tc>
          <w:tcPr>
            <w:tcW w:w="654" w:type="dxa"/>
            <w:tcBorders>
              <w:top w:val="single" w:sz="4" w:space="0" w:color="auto"/>
              <w:left w:val="nil"/>
              <w:bottom w:val="nil"/>
              <w:right w:val="nil"/>
            </w:tcBorders>
            <w:shd w:val="clear" w:color="000000" w:fill="FFFFFF"/>
            <w:noWrap/>
            <w:vAlign w:val="center"/>
            <w:hideMark/>
          </w:tcPr>
          <w:p w14:paraId="2D88DA92" w14:textId="77777777" w:rsidR="002D75DD" w:rsidRPr="00A53AF2" w:rsidRDefault="002D75DD" w:rsidP="00ED42DA">
            <w:pPr>
              <w:pStyle w:val="Tabletext"/>
              <w:jc w:val="center"/>
              <w:rPr>
                <w:color w:val="000000"/>
                <w:sz w:val="16"/>
                <w:szCs w:val="16"/>
                <w:lang w:eastAsia="en-GB"/>
              </w:rPr>
            </w:pPr>
          </w:p>
        </w:tc>
        <w:tc>
          <w:tcPr>
            <w:tcW w:w="655" w:type="dxa"/>
            <w:tcBorders>
              <w:top w:val="single" w:sz="4" w:space="0" w:color="auto"/>
              <w:left w:val="nil"/>
              <w:bottom w:val="nil"/>
              <w:right w:val="nil"/>
            </w:tcBorders>
            <w:shd w:val="clear" w:color="000000" w:fill="FFFFFF"/>
            <w:noWrap/>
            <w:vAlign w:val="center"/>
            <w:hideMark/>
          </w:tcPr>
          <w:p w14:paraId="7635EEE6" w14:textId="77777777" w:rsidR="002D75DD" w:rsidRPr="00A53AF2" w:rsidRDefault="002D75DD" w:rsidP="00ED42DA">
            <w:pPr>
              <w:pStyle w:val="Tabletext"/>
              <w:jc w:val="center"/>
              <w:rPr>
                <w:color w:val="000000"/>
                <w:sz w:val="16"/>
                <w:szCs w:val="16"/>
                <w:lang w:eastAsia="en-GB"/>
              </w:rPr>
            </w:pPr>
          </w:p>
        </w:tc>
        <w:tc>
          <w:tcPr>
            <w:tcW w:w="655" w:type="dxa"/>
            <w:tcBorders>
              <w:top w:val="single" w:sz="4" w:space="0" w:color="auto"/>
              <w:left w:val="nil"/>
              <w:bottom w:val="nil"/>
              <w:right w:val="nil"/>
            </w:tcBorders>
            <w:shd w:val="clear" w:color="000000" w:fill="FFFFFF"/>
            <w:noWrap/>
            <w:vAlign w:val="center"/>
            <w:hideMark/>
          </w:tcPr>
          <w:p w14:paraId="0E1AE1EC" w14:textId="77777777" w:rsidR="002D75DD" w:rsidRPr="00A53AF2" w:rsidRDefault="002D75DD" w:rsidP="00ED42DA">
            <w:pPr>
              <w:pStyle w:val="Tabletext"/>
              <w:jc w:val="center"/>
              <w:rPr>
                <w:color w:val="000000"/>
                <w:sz w:val="16"/>
                <w:szCs w:val="16"/>
                <w:lang w:eastAsia="en-GB"/>
              </w:rPr>
            </w:pPr>
          </w:p>
        </w:tc>
        <w:tc>
          <w:tcPr>
            <w:tcW w:w="654" w:type="dxa"/>
            <w:tcBorders>
              <w:top w:val="single" w:sz="4" w:space="0" w:color="auto"/>
              <w:left w:val="nil"/>
              <w:bottom w:val="nil"/>
              <w:right w:val="nil"/>
            </w:tcBorders>
            <w:shd w:val="clear" w:color="000000" w:fill="FFFFFF"/>
            <w:noWrap/>
            <w:vAlign w:val="center"/>
            <w:hideMark/>
          </w:tcPr>
          <w:p w14:paraId="3859D1A8" w14:textId="77777777" w:rsidR="002D75DD" w:rsidRPr="00A53AF2" w:rsidRDefault="002D75DD" w:rsidP="00ED42DA">
            <w:pPr>
              <w:pStyle w:val="Tabletext"/>
              <w:jc w:val="center"/>
              <w:rPr>
                <w:b/>
                <w:bCs/>
                <w:color w:val="000000"/>
                <w:sz w:val="16"/>
                <w:szCs w:val="16"/>
                <w:lang w:eastAsia="en-GB"/>
              </w:rPr>
            </w:pPr>
          </w:p>
        </w:tc>
        <w:tc>
          <w:tcPr>
            <w:tcW w:w="655" w:type="dxa"/>
            <w:tcBorders>
              <w:top w:val="single" w:sz="4" w:space="0" w:color="auto"/>
              <w:left w:val="nil"/>
              <w:bottom w:val="nil"/>
              <w:right w:val="nil"/>
            </w:tcBorders>
            <w:shd w:val="clear" w:color="auto" w:fill="FFFFFF" w:themeFill="background1"/>
            <w:vAlign w:val="center"/>
          </w:tcPr>
          <w:p w14:paraId="68CCF956" w14:textId="77777777" w:rsidR="002D75DD" w:rsidRPr="00A53AF2" w:rsidRDefault="002D75DD" w:rsidP="00ED42DA">
            <w:pPr>
              <w:pStyle w:val="Tabletext"/>
              <w:jc w:val="center"/>
              <w:rPr>
                <w:b/>
                <w:bCs/>
                <w:color w:val="000000"/>
                <w:sz w:val="16"/>
                <w:szCs w:val="16"/>
                <w:lang w:eastAsia="en-GB"/>
              </w:rPr>
            </w:pPr>
          </w:p>
        </w:tc>
        <w:tc>
          <w:tcPr>
            <w:tcW w:w="655" w:type="dxa"/>
            <w:tcBorders>
              <w:top w:val="single" w:sz="4" w:space="0" w:color="auto"/>
              <w:left w:val="nil"/>
              <w:bottom w:val="nil"/>
              <w:right w:val="nil"/>
            </w:tcBorders>
            <w:shd w:val="clear" w:color="auto" w:fill="FFFFFF" w:themeFill="background1"/>
            <w:vAlign w:val="center"/>
          </w:tcPr>
          <w:p w14:paraId="1A865A3F" w14:textId="77777777" w:rsidR="002D75DD" w:rsidRPr="00A53AF2" w:rsidRDefault="002D75DD" w:rsidP="00ED42DA">
            <w:pPr>
              <w:pStyle w:val="Tabletext"/>
              <w:jc w:val="center"/>
              <w:rPr>
                <w:b/>
                <w:bCs/>
                <w:color w:val="000000"/>
                <w:sz w:val="16"/>
                <w:szCs w:val="16"/>
                <w:lang w:eastAsia="en-GB"/>
              </w:rPr>
            </w:pPr>
          </w:p>
        </w:tc>
        <w:tc>
          <w:tcPr>
            <w:tcW w:w="703" w:type="dxa"/>
            <w:tcBorders>
              <w:top w:val="single" w:sz="4" w:space="0" w:color="auto"/>
              <w:left w:val="nil"/>
              <w:bottom w:val="nil"/>
              <w:right w:val="nil"/>
            </w:tcBorders>
            <w:shd w:val="clear" w:color="auto" w:fill="FFFFFF" w:themeFill="background1"/>
            <w:noWrap/>
            <w:vAlign w:val="bottom"/>
            <w:hideMark/>
          </w:tcPr>
          <w:p w14:paraId="2F40DBFC" w14:textId="77777777" w:rsidR="002D75DD" w:rsidRPr="00A53AF2" w:rsidRDefault="002D75DD" w:rsidP="00ED42DA">
            <w:pPr>
              <w:pStyle w:val="Tabletext"/>
              <w:jc w:val="center"/>
              <w:rPr>
                <w:color w:val="000000"/>
                <w:sz w:val="16"/>
                <w:szCs w:val="16"/>
                <w:lang w:eastAsia="en-GB"/>
              </w:rPr>
            </w:pPr>
          </w:p>
        </w:tc>
      </w:tr>
      <w:tr w:rsidR="002D75DD" w:rsidRPr="00A53AF2" w14:paraId="25B6561E" w14:textId="77777777" w:rsidTr="00926FC8">
        <w:trPr>
          <w:trHeight w:val="244"/>
          <w:jc w:val="center"/>
        </w:trPr>
        <w:tc>
          <w:tcPr>
            <w:tcW w:w="17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D038AB1" w14:textId="77777777" w:rsidR="002D75DD" w:rsidRPr="00A53AF2" w:rsidRDefault="002D75DD" w:rsidP="00ED42DA">
            <w:pPr>
              <w:pStyle w:val="Tabletext"/>
              <w:rPr>
                <w:sz w:val="16"/>
                <w:szCs w:val="16"/>
                <w:lang w:eastAsia="zh-CN"/>
              </w:rPr>
            </w:pPr>
            <w:r w:rsidRPr="00A53AF2">
              <w:rPr>
                <w:sz w:val="16"/>
                <w:szCs w:val="16"/>
                <w:lang w:val="en-US" w:eastAsia="zh-CN"/>
              </w:rPr>
              <w:t>实施中建议所占百分比</w:t>
            </w:r>
          </w:p>
        </w:tc>
        <w:tc>
          <w:tcPr>
            <w:tcW w:w="654" w:type="dxa"/>
            <w:tcBorders>
              <w:top w:val="single" w:sz="8" w:space="0" w:color="auto"/>
              <w:left w:val="nil"/>
              <w:bottom w:val="single" w:sz="8" w:space="0" w:color="auto"/>
              <w:right w:val="single" w:sz="4" w:space="0" w:color="auto"/>
            </w:tcBorders>
            <w:shd w:val="clear" w:color="auto" w:fill="auto"/>
            <w:noWrap/>
            <w:vAlign w:val="center"/>
            <w:hideMark/>
          </w:tcPr>
          <w:p w14:paraId="6BEC929F"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single" w:sz="8" w:space="0" w:color="auto"/>
              <w:left w:val="nil"/>
              <w:bottom w:val="single" w:sz="8" w:space="0" w:color="auto"/>
              <w:right w:val="single" w:sz="4" w:space="0" w:color="auto"/>
            </w:tcBorders>
            <w:shd w:val="clear" w:color="auto" w:fill="auto"/>
            <w:noWrap/>
            <w:vAlign w:val="center"/>
            <w:hideMark/>
          </w:tcPr>
          <w:p w14:paraId="6DC1D44C"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w:t>
            </w:r>
          </w:p>
        </w:tc>
        <w:tc>
          <w:tcPr>
            <w:tcW w:w="654" w:type="dxa"/>
            <w:tcBorders>
              <w:top w:val="single" w:sz="8" w:space="0" w:color="auto"/>
              <w:left w:val="nil"/>
              <w:bottom w:val="single" w:sz="8" w:space="0" w:color="auto"/>
              <w:right w:val="single" w:sz="4" w:space="0" w:color="auto"/>
            </w:tcBorders>
            <w:shd w:val="clear" w:color="auto" w:fill="auto"/>
            <w:noWrap/>
            <w:vAlign w:val="center"/>
            <w:hideMark/>
          </w:tcPr>
          <w:p w14:paraId="3FFA4F3C"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4%</w:t>
            </w:r>
          </w:p>
        </w:tc>
        <w:tc>
          <w:tcPr>
            <w:tcW w:w="655" w:type="dxa"/>
            <w:tcBorders>
              <w:top w:val="single" w:sz="8" w:space="0" w:color="auto"/>
              <w:left w:val="nil"/>
              <w:bottom w:val="single" w:sz="8" w:space="0" w:color="auto"/>
              <w:right w:val="single" w:sz="4" w:space="0" w:color="auto"/>
            </w:tcBorders>
            <w:shd w:val="clear" w:color="auto" w:fill="auto"/>
            <w:noWrap/>
            <w:vAlign w:val="center"/>
            <w:hideMark/>
          </w:tcPr>
          <w:p w14:paraId="00BE92BB"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4%</w:t>
            </w:r>
          </w:p>
        </w:tc>
        <w:tc>
          <w:tcPr>
            <w:tcW w:w="655" w:type="dxa"/>
            <w:tcBorders>
              <w:top w:val="single" w:sz="8" w:space="0" w:color="auto"/>
              <w:left w:val="nil"/>
              <w:bottom w:val="single" w:sz="8" w:space="0" w:color="auto"/>
              <w:right w:val="single" w:sz="4" w:space="0" w:color="auto"/>
            </w:tcBorders>
            <w:shd w:val="clear" w:color="auto" w:fill="auto"/>
            <w:noWrap/>
            <w:vAlign w:val="center"/>
            <w:hideMark/>
          </w:tcPr>
          <w:p w14:paraId="2A0FD2EC"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4" w:type="dxa"/>
            <w:tcBorders>
              <w:top w:val="single" w:sz="8" w:space="0" w:color="auto"/>
              <w:left w:val="nil"/>
              <w:bottom w:val="single" w:sz="8" w:space="0" w:color="auto"/>
              <w:right w:val="single" w:sz="4" w:space="0" w:color="auto"/>
            </w:tcBorders>
            <w:shd w:val="clear" w:color="auto" w:fill="auto"/>
            <w:noWrap/>
            <w:vAlign w:val="center"/>
            <w:hideMark/>
          </w:tcPr>
          <w:p w14:paraId="3C1B6A0C"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27%</w:t>
            </w:r>
          </w:p>
        </w:tc>
        <w:tc>
          <w:tcPr>
            <w:tcW w:w="655" w:type="dxa"/>
            <w:tcBorders>
              <w:top w:val="single" w:sz="8" w:space="0" w:color="auto"/>
              <w:left w:val="nil"/>
              <w:bottom w:val="single" w:sz="8" w:space="0" w:color="auto"/>
              <w:right w:val="nil"/>
            </w:tcBorders>
            <w:shd w:val="clear" w:color="auto" w:fill="auto"/>
            <w:noWrap/>
            <w:vAlign w:val="center"/>
            <w:hideMark/>
          </w:tcPr>
          <w:p w14:paraId="02C02A30"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37%</w:t>
            </w:r>
          </w:p>
        </w:tc>
        <w:tc>
          <w:tcPr>
            <w:tcW w:w="655" w:type="dxa"/>
            <w:tcBorders>
              <w:top w:val="single" w:sz="8" w:space="0" w:color="auto"/>
              <w:left w:val="single" w:sz="4" w:space="0" w:color="auto"/>
              <w:bottom w:val="single" w:sz="8" w:space="0" w:color="auto"/>
              <w:right w:val="nil"/>
            </w:tcBorders>
            <w:shd w:val="clear" w:color="auto" w:fill="auto"/>
            <w:noWrap/>
            <w:vAlign w:val="center"/>
            <w:hideMark/>
          </w:tcPr>
          <w:p w14:paraId="211F2ABD"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38%</w:t>
            </w:r>
          </w:p>
        </w:tc>
        <w:tc>
          <w:tcPr>
            <w:tcW w:w="654" w:type="dxa"/>
            <w:tcBorders>
              <w:top w:val="single" w:sz="8" w:space="0" w:color="auto"/>
              <w:left w:val="single" w:sz="4" w:space="0" w:color="auto"/>
              <w:bottom w:val="single" w:sz="8" w:space="0" w:color="auto"/>
              <w:right w:val="nil"/>
            </w:tcBorders>
            <w:shd w:val="clear" w:color="auto" w:fill="auto"/>
            <w:noWrap/>
            <w:vAlign w:val="center"/>
            <w:hideMark/>
          </w:tcPr>
          <w:p w14:paraId="43B74A16"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20%</w:t>
            </w:r>
          </w:p>
        </w:tc>
        <w:tc>
          <w:tcPr>
            <w:tcW w:w="655" w:type="dxa"/>
            <w:tcBorders>
              <w:top w:val="single" w:sz="8" w:space="0" w:color="auto"/>
              <w:left w:val="single" w:sz="4" w:space="0" w:color="auto"/>
              <w:bottom w:val="single" w:sz="8" w:space="0" w:color="auto"/>
              <w:right w:val="single" w:sz="4" w:space="0" w:color="auto"/>
            </w:tcBorders>
            <w:vAlign w:val="center"/>
          </w:tcPr>
          <w:p w14:paraId="69A20C06"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44%</w:t>
            </w:r>
          </w:p>
        </w:tc>
        <w:tc>
          <w:tcPr>
            <w:tcW w:w="655"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08B440D0"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68%</w:t>
            </w:r>
          </w:p>
        </w:tc>
        <w:tc>
          <w:tcPr>
            <w:tcW w:w="703" w:type="dxa"/>
            <w:tcBorders>
              <w:top w:val="single" w:sz="8" w:space="0" w:color="auto"/>
              <w:left w:val="single" w:sz="4" w:space="0" w:color="auto"/>
              <w:bottom w:val="single" w:sz="8" w:space="0" w:color="auto"/>
              <w:right w:val="single" w:sz="8" w:space="0" w:color="auto"/>
            </w:tcBorders>
            <w:shd w:val="clear" w:color="auto" w:fill="A6A6A6" w:themeFill="background1" w:themeFillShade="A6"/>
            <w:noWrap/>
            <w:vAlign w:val="center"/>
            <w:hideMark/>
          </w:tcPr>
          <w:p w14:paraId="06271DFE" w14:textId="77777777" w:rsidR="002D75DD" w:rsidRPr="00A53AF2" w:rsidRDefault="002D75DD" w:rsidP="00ED42DA">
            <w:pPr>
              <w:pStyle w:val="Tabletext"/>
              <w:jc w:val="center"/>
              <w:rPr>
                <w:b/>
                <w:bCs/>
                <w:color w:val="000000"/>
                <w:sz w:val="16"/>
                <w:szCs w:val="16"/>
                <w:lang w:eastAsia="en-GB"/>
              </w:rPr>
            </w:pPr>
            <w:r w:rsidRPr="00A53AF2">
              <w:rPr>
                <w:b/>
                <w:bCs/>
                <w:color w:val="000000"/>
                <w:sz w:val="16"/>
                <w:szCs w:val="16"/>
                <w:lang w:eastAsia="en-GB"/>
              </w:rPr>
              <w:t>16%</w:t>
            </w:r>
          </w:p>
        </w:tc>
      </w:tr>
      <w:tr w:rsidR="002D75DD" w:rsidRPr="00A53AF2" w14:paraId="48BA9C07" w14:textId="77777777" w:rsidTr="00926FC8">
        <w:trPr>
          <w:trHeight w:val="244"/>
          <w:jc w:val="center"/>
        </w:trPr>
        <w:tc>
          <w:tcPr>
            <w:tcW w:w="1725" w:type="dxa"/>
            <w:tcBorders>
              <w:top w:val="nil"/>
              <w:left w:val="single" w:sz="8" w:space="0" w:color="auto"/>
              <w:bottom w:val="single" w:sz="8" w:space="0" w:color="auto"/>
              <w:right w:val="single" w:sz="4" w:space="0" w:color="auto"/>
            </w:tcBorders>
            <w:shd w:val="clear" w:color="auto" w:fill="auto"/>
            <w:noWrap/>
            <w:vAlign w:val="bottom"/>
            <w:hideMark/>
          </w:tcPr>
          <w:p w14:paraId="5F128341" w14:textId="77777777" w:rsidR="002D75DD" w:rsidRPr="00A53AF2" w:rsidRDefault="002D75DD" w:rsidP="00ED42DA">
            <w:pPr>
              <w:pStyle w:val="Tabletext"/>
              <w:rPr>
                <w:sz w:val="16"/>
                <w:szCs w:val="16"/>
                <w:lang w:eastAsia="zh-CN"/>
              </w:rPr>
            </w:pPr>
            <w:r w:rsidRPr="00A53AF2">
              <w:rPr>
                <w:sz w:val="16"/>
                <w:szCs w:val="16"/>
                <w:lang w:val="en-US" w:eastAsia="zh-CN"/>
              </w:rPr>
              <w:t>延迟</w:t>
            </w:r>
            <w:r w:rsidRPr="00A53AF2">
              <w:rPr>
                <w:rFonts w:hint="eastAsia"/>
                <w:sz w:val="16"/>
                <w:szCs w:val="16"/>
                <w:lang w:val="en-US" w:eastAsia="zh-CN"/>
              </w:rPr>
              <w:t>实施的</w:t>
            </w:r>
            <w:r w:rsidRPr="00A53AF2">
              <w:rPr>
                <w:sz w:val="16"/>
                <w:szCs w:val="16"/>
                <w:lang w:val="en-US" w:eastAsia="zh-CN"/>
              </w:rPr>
              <w:t>建议所占百分比</w:t>
            </w:r>
          </w:p>
        </w:tc>
        <w:tc>
          <w:tcPr>
            <w:tcW w:w="654" w:type="dxa"/>
            <w:tcBorders>
              <w:top w:val="nil"/>
              <w:left w:val="nil"/>
              <w:bottom w:val="single" w:sz="8" w:space="0" w:color="auto"/>
              <w:right w:val="single" w:sz="4" w:space="0" w:color="auto"/>
            </w:tcBorders>
            <w:shd w:val="clear" w:color="auto" w:fill="auto"/>
            <w:noWrap/>
            <w:vAlign w:val="center"/>
            <w:hideMark/>
          </w:tcPr>
          <w:p w14:paraId="644243F4"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18%</w:t>
            </w:r>
          </w:p>
        </w:tc>
        <w:tc>
          <w:tcPr>
            <w:tcW w:w="655" w:type="dxa"/>
            <w:tcBorders>
              <w:top w:val="nil"/>
              <w:left w:val="nil"/>
              <w:bottom w:val="single" w:sz="8" w:space="0" w:color="auto"/>
              <w:right w:val="single" w:sz="4" w:space="0" w:color="auto"/>
            </w:tcBorders>
            <w:shd w:val="clear" w:color="auto" w:fill="auto"/>
            <w:noWrap/>
            <w:vAlign w:val="center"/>
            <w:hideMark/>
          </w:tcPr>
          <w:p w14:paraId="5D35E4B2"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w:t>
            </w:r>
          </w:p>
        </w:tc>
        <w:tc>
          <w:tcPr>
            <w:tcW w:w="654" w:type="dxa"/>
            <w:tcBorders>
              <w:top w:val="nil"/>
              <w:left w:val="nil"/>
              <w:bottom w:val="single" w:sz="8" w:space="0" w:color="auto"/>
              <w:right w:val="single" w:sz="4" w:space="0" w:color="auto"/>
            </w:tcBorders>
            <w:shd w:val="clear" w:color="000000" w:fill="FFFFFF"/>
            <w:noWrap/>
            <w:vAlign w:val="center"/>
            <w:hideMark/>
          </w:tcPr>
          <w:p w14:paraId="77936092"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nil"/>
              <w:left w:val="nil"/>
              <w:bottom w:val="single" w:sz="8" w:space="0" w:color="auto"/>
              <w:right w:val="single" w:sz="4" w:space="0" w:color="auto"/>
            </w:tcBorders>
            <w:shd w:val="clear" w:color="000000" w:fill="FFFFFF"/>
            <w:noWrap/>
            <w:vAlign w:val="center"/>
            <w:hideMark/>
          </w:tcPr>
          <w:p w14:paraId="6BECAE0F"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nil"/>
              <w:left w:val="nil"/>
              <w:bottom w:val="single" w:sz="8" w:space="0" w:color="auto"/>
              <w:right w:val="single" w:sz="4" w:space="0" w:color="auto"/>
            </w:tcBorders>
            <w:shd w:val="clear" w:color="auto" w:fill="auto"/>
            <w:noWrap/>
            <w:vAlign w:val="center"/>
            <w:hideMark/>
          </w:tcPr>
          <w:p w14:paraId="71DE5A60"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4" w:type="dxa"/>
            <w:tcBorders>
              <w:top w:val="nil"/>
              <w:left w:val="nil"/>
              <w:bottom w:val="single" w:sz="8" w:space="0" w:color="auto"/>
              <w:right w:val="single" w:sz="4" w:space="0" w:color="auto"/>
            </w:tcBorders>
            <w:shd w:val="clear" w:color="auto" w:fill="auto"/>
            <w:noWrap/>
            <w:vAlign w:val="center"/>
            <w:hideMark/>
          </w:tcPr>
          <w:p w14:paraId="7A3E087C"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nil"/>
              <w:left w:val="nil"/>
              <w:bottom w:val="single" w:sz="8" w:space="0" w:color="auto"/>
              <w:right w:val="nil"/>
            </w:tcBorders>
            <w:shd w:val="clear" w:color="auto" w:fill="auto"/>
            <w:noWrap/>
            <w:vAlign w:val="center"/>
            <w:hideMark/>
          </w:tcPr>
          <w:p w14:paraId="38D887BD"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nil"/>
              <w:left w:val="single" w:sz="4" w:space="0" w:color="auto"/>
              <w:bottom w:val="single" w:sz="8" w:space="0" w:color="auto"/>
              <w:right w:val="nil"/>
            </w:tcBorders>
            <w:shd w:val="clear" w:color="auto" w:fill="auto"/>
            <w:noWrap/>
            <w:vAlign w:val="center"/>
            <w:hideMark/>
          </w:tcPr>
          <w:p w14:paraId="65DC3FE4"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4" w:type="dxa"/>
            <w:tcBorders>
              <w:top w:val="nil"/>
              <w:left w:val="single" w:sz="4" w:space="0" w:color="auto"/>
              <w:bottom w:val="single" w:sz="8" w:space="0" w:color="auto"/>
              <w:right w:val="nil"/>
            </w:tcBorders>
            <w:shd w:val="clear" w:color="auto" w:fill="auto"/>
            <w:noWrap/>
            <w:vAlign w:val="center"/>
            <w:hideMark/>
          </w:tcPr>
          <w:p w14:paraId="4D8BECB0"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nil"/>
              <w:left w:val="single" w:sz="4" w:space="0" w:color="auto"/>
              <w:bottom w:val="single" w:sz="8" w:space="0" w:color="auto"/>
              <w:right w:val="single" w:sz="4" w:space="0" w:color="auto"/>
            </w:tcBorders>
            <w:vAlign w:val="center"/>
          </w:tcPr>
          <w:p w14:paraId="0C03F422"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0%</w:t>
            </w:r>
          </w:p>
        </w:tc>
        <w:tc>
          <w:tcPr>
            <w:tcW w:w="655" w:type="dxa"/>
            <w:tcBorders>
              <w:top w:val="nil"/>
              <w:left w:val="single" w:sz="4" w:space="0" w:color="auto"/>
              <w:bottom w:val="single" w:sz="8" w:space="0" w:color="auto"/>
              <w:right w:val="single" w:sz="4" w:space="0" w:color="auto"/>
            </w:tcBorders>
            <w:shd w:val="clear" w:color="auto" w:fill="FFFFFF" w:themeFill="background1"/>
            <w:vAlign w:val="center"/>
          </w:tcPr>
          <w:p w14:paraId="0EB967D0"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21%</w:t>
            </w:r>
          </w:p>
        </w:tc>
        <w:tc>
          <w:tcPr>
            <w:tcW w:w="703" w:type="dxa"/>
            <w:tcBorders>
              <w:top w:val="nil"/>
              <w:left w:val="single" w:sz="4" w:space="0" w:color="auto"/>
              <w:bottom w:val="single" w:sz="8" w:space="0" w:color="auto"/>
              <w:right w:val="single" w:sz="8" w:space="0" w:color="auto"/>
            </w:tcBorders>
            <w:shd w:val="clear" w:color="auto" w:fill="A6A6A6" w:themeFill="background1" w:themeFillShade="A6"/>
            <w:noWrap/>
            <w:vAlign w:val="center"/>
            <w:hideMark/>
          </w:tcPr>
          <w:p w14:paraId="79D05786" w14:textId="77777777" w:rsidR="002D75DD" w:rsidRPr="00A53AF2" w:rsidRDefault="002D75DD" w:rsidP="00ED42DA">
            <w:pPr>
              <w:pStyle w:val="Tabletext"/>
              <w:jc w:val="center"/>
              <w:rPr>
                <w:b/>
                <w:bCs/>
                <w:color w:val="000000"/>
                <w:sz w:val="16"/>
                <w:szCs w:val="16"/>
                <w:lang w:eastAsia="en-GB"/>
              </w:rPr>
            </w:pPr>
            <w:r w:rsidRPr="00A53AF2">
              <w:rPr>
                <w:b/>
                <w:bCs/>
                <w:color w:val="000000"/>
                <w:sz w:val="16"/>
                <w:szCs w:val="16"/>
                <w:lang w:eastAsia="en-GB"/>
              </w:rPr>
              <w:t>2%</w:t>
            </w:r>
          </w:p>
        </w:tc>
      </w:tr>
      <w:tr w:rsidR="002D75DD" w:rsidRPr="00A53AF2" w14:paraId="0E8A6545" w14:textId="77777777" w:rsidTr="00926FC8">
        <w:trPr>
          <w:trHeight w:val="40"/>
          <w:jc w:val="center"/>
        </w:trPr>
        <w:tc>
          <w:tcPr>
            <w:tcW w:w="1725" w:type="dxa"/>
            <w:tcBorders>
              <w:top w:val="nil"/>
              <w:left w:val="single" w:sz="8" w:space="0" w:color="auto"/>
              <w:bottom w:val="single" w:sz="8" w:space="0" w:color="auto"/>
              <w:right w:val="single" w:sz="4" w:space="0" w:color="auto"/>
            </w:tcBorders>
            <w:shd w:val="clear" w:color="auto" w:fill="auto"/>
            <w:noWrap/>
            <w:vAlign w:val="bottom"/>
            <w:hideMark/>
          </w:tcPr>
          <w:p w14:paraId="3A008532" w14:textId="77777777" w:rsidR="002D75DD" w:rsidRPr="00A53AF2" w:rsidRDefault="002D75DD" w:rsidP="00ED42DA">
            <w:pPr>
              <w:pStyle w:val="Tabletext"/>
              <w:rPr>
                <w:sz w:val="16"/>
                <w:szCs w:val="16"/>
                <w:lang w:eastAsia="zh-CN"/>
              </w:rPr>
            </w:pPr>
            <w:r w:rsidRPr="00A53AF2">
              <w:rPr>
                <w:rFonts w:hint="eastAsia"/>
                <w:sz w:val="16"/>
                <w:szCs w:val="16"/>
                <w:lang w:val="en-US" w:eastAsia="zh-CN"/>
              </w:rPr>
              <w:t>已</w:t>
            </w:r>
            <w:r w:rsidRPr="00A53AF2">
              <w:rPr>
                <w:sz w:val="16"/>
                <w:szCs w:val="16"/>
                <w:lang w:val="en-US" w:eastAsia="zh-CN"/>
              </w:rPr>
              <w:t>完成</w:t>
            </w:r>
            <w:r w:rsidRPr="00A53AF2">
              <w:rPr>
                <w:rFonts w:hint="eastAsia"/>
                <w:sz w:val="16"/>
                <w:szCs w:val="16"/>
                <w:lang w:val="en-US" w:eastAsia="zh-CN"/>
              </w:rPr>
              <w:t>实施的</w:t>
            </w:r>
            <w:r w:rsidRPr="00A53AF2">
              <w:rPr>
                <w:sz w:val="16"/>
                <w:szCs w:val="16"/>
                <w:lang w:val="en-US" w:eastAsia="zh-CN"/>
              </w:rPr>
              <w:t>建议所占百分比</w:t>
            </w:r>
          </w:p>
        </w:tc>
        <w:tc>
          <w:tcPr>
            <w:tcW w:w="654" w:type="dxa"/>
            <w:tcBorders>
              <w:top w:val="nil"/>
              <w:left w:val="nil"/>
              <w:bottom w:val="single" w:sz="8" w:space="0" w:color="auto"/>
              <w:right w:val="single" w:sz="4" w:space="0" w:color="auto"/>
            </w:tcBorders>
            <w:shd w:val="clear" w:color="auto" w:fill="auto"/>
            <w:noWrap/>
            <w:vAlign w:val="center"/>
            <w:hideMark/>
          </w:tcPr>
          <w:p w14:paraId="4102A209"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82%</w:t>
            </w:r>
          </w:p>
        </w:tc>
        <w:tc>
          <w:tcPr>
            <w:tcW w:w="655" w:type="dxa"/>
            <w:tcBorders>
              <w:top w:val="nil"/>
              <w:left w:val="nil"/>
              <w:bottom w:val="single" w:sz="8" w:space="0" w:color="auto"/>
              <w:right w:val="single" w:sz="4" w:space="0" w:color="auto"/>
            </w:tcBorders>
            <w:shd w:val="clear" w:color="auto" w:fill="auto"/>
            <w:noWrap/>
            <w:vAlign w:val="center"/>
            <w:hideMark/>
          </w:tcPr>
          <w:p w14:paraId="1D0F0911"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w:t>
            </w:r>
          </w:p>
        </w:tc>
        <w:tc>
          <w:tcPr>
            <w:tcW w:w="654" w:type="dxa"/>
            <w:tcBorders>
              <w:top w:val="nil"/>
              <w:left w:val="nil"/>
              <w:bottom w:val="single" w:sz="8" w:space="0" w:color="auto"/>
              <w:right w:val="single" w:sz="4" w:space="0" w:color="auto"/>
            </w:tcBorders>
            <w:shd w:val="clear" w:color="auto" w:fill="auto"/>
            <w:noWrap/>
            <w:vAlign w:val="center"/>
            <w:hideMark/>
          </w:tcPr>
          <w:p w14:paraId="64DB83D3"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96%</w:t>
            </w:r>
          </w:p>
        </w:tc>
        <w:tc>
          <w:tcPr>
            <w:tcW w:w="655" w:type="dxa"/>
            <w:tcBorders>
              <w:top w:val="nil"/>
              <w:left w:val="nil"/>
              <w:bottom w:val="single" w:sz="8" w:space="0" w:color="auto"/>
              <w:right w:val="single" w:sz="4" w:space="0" w:color="auto"/>
            </w:tcBorders>
            <w:shd w:val="clear" w:color="auto" w:fill="auto"/>
            <w:noWrap/>
            <w:vAlign w:val="center"/>
            <w:hideMark/>
          </w:tcPr>
          <w:p w14:paraId="545D2DC3"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96%</w:t>
            </w:r>
          </w:p>
        </w:tc>
        <w:tc>
          <w:tcPr>
            <w:tcW w:w="655" w:type="dxa"/>
            <w:tcBorders>
              <w:top w:val="nil"/>
              <w:left w:val="nil"/>
              <w:bottom w:val="single" w:sz="8" w:space="0" w:color="auto"/>
              <w:right w:val="single" w:sz="4" w:space="0" w:color="auto"/>
            </w:tcBorders>
            <w:shd w:val="clear" w:color="auto" w:fill="auto"/>
            <w:noWrap/>
            <w:vAlign w:val="center"/>
            <w:hideMark/>
          </w:tcPr>
          <w:p w14:paraId="15B17233"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100%</w:t>
            </w:r>
          </w:p>
        </w:tc>
        <w:tc>
          <w:tcPr>
            <w:tcW w:w="654" w:type="dxa"/>
            <w:tcBorders>
              <w:top w:val="nil"/>
              <w:left w:val="nil"/>
              <w:bottom w:val="single" w:sz="8" w:space="0" w:color="auto"/>
              <w:right w:val="single" w:sz="4" w:space="0" w:color="auto"/>
            </w:tcBorders>
            <w:shd w:val="clear" w:color="auto" w:fill="auto"/>
            <w:noWrap/>
            <w:vAlign w:val="center"/>
            <w:hideMark/>
          </w:tcPr>
          <w:p w14:paraId="5376D8A1"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73%</w:t>
            </w:r>
          </w:p>
        </w:tc>
        <w:tc>
          <w:tcPr>
            <w:tcW w:w="655" w:type="dxa"/>
            <w:tcBorders>
              <w:top w:val="nil"/>
              <w:left w:val="nil"/>
              <w:bottom w:val="single" w:sz="8" w:space="0" w:color="auto"/>
              <w:right w:val="nil"/>
            </w:tcBorders>
            <w:shd w:val="clear" w:color="auto" w:fill="auto"/>
            <w:noWrap/>
            <w:vAlign w:val="center"/>
            <w:hideMark/>
          </w:tcPr>
          <w:p w14:paraId="11618AFB"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63%</w:t>
            </w:r>
          </w:p>
        </w:tc>
        <w:tc>
          <w:tcPr>
            <w:tcW w:w="655" w:type="dxa"/>
            <w:tcBorders>
              <w:top w:val="nil"/>
              <w:left w:val="single" w:sz="4" w:space="0" w:color="auto"/>
              <w:bottom w:val="single" w:sz="8" w:space="0" w:color="auto"/>
              <w:right w:val="nil"/>
            </w:tcBorders>
            <w:shd w:val="clear" w:color="auto" w:fill="auto"/>
            <w:noWrap/>
            <w:vAlign w:val="center"/>
            <w:hideMark/>
          </w:tcPr>
          <w:p w14:paraId="661D87A3"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62%</w:t>
            </w:r>
          </w:p>
        </w:tc>
        <w:tc>
          <w:tcPr>
            <w:tcW w:w="654" w:type="dxa"/>
            <w:tcBorders>
              <w:top w:val="nil"/>
              <w:left w:val="single" w:sz="4" w:space="0" w:color="auto"/>
              <w:bottom w:val="single" w:sz="8" w:space="0" w:color="auto"/>
              <w:right w:val="nil"/>
            </w:tcBorders>
            <w:shd w:val="clear" w:color="auto" w:fill="auto"/>
            <w:noWrap/>
            <w:vAlign w:val="center"/>
            <w:hideMark/>
          </w:tcPr>
          <w:p w14:paraId="15E96ADC"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80%</w:t>
            </w:r>
          </w:p>
        </w:tc>
        <w:tc>
          <w:tcPr>
            <w:tcW w:w="655" w:type="dxa"/>
            <w:tcBorders>
              <w:top w:val="nil"/>
              <w:left w:val="single" w:sz="4" w:space="0" w:color="auto"/>
              <w:bottom w:val="single" w:sz="8" w:space="0" w:color="auto"/>
              <w:right w:val="single" w:sz="4" w:space="0" w:color="auto"/>
            </w:tcBorders>
            <w:vAlign w:val="center"/>
          </w:tcPr>
          <w:p w14:paraId="36B529F4"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56%</w:t>
            </w:r>
          </w:p>
        </w:tc>
        <w:tc>
          <w:tcPr>
            <w:tcW w:w="655" w:type="dxa"/>
            <w:tcBorders>
              <w:top w:val="nil"/>
              <w:left w:val="single" w:sz="4" w:space="0" w:color="auto"/>
              <w:bottom w:val="single" w:sz="8" w:space="0" w:color="auto"/>
              <w:right w:val="single" w:sz="4" w:space="0" w:color="auto"/>
            </w:tcBorders>
            <w:shd w:val="clear" w:color="auto" w:fill="FFFFFF" w:themeFill="background1"/>
            <w:vAlign w:val="center"/>
          </w:tcPr>
          <w:p w14:paraId="5F1739AD" w14:textId="77777777" w:rsidR="002D75DD" w:rsidRPr="00A53AF2" w:rsidRDefault="002D75DD" w:rsidP="00ED42DA">
            <w:pPr>
              <w:pStyle w:val="Tabletext"/>
              <w:jc w:val="center"/>
              <w:rPr>
                <w:color w:val="000000"/>
                <w:sz w:val="16"/>
                <w:szCs w:val="16"/>
                <w:lang w:eastAsia="en-GB"/>
              </w:rPr>
            </w:pPr>
            <w:r w:rsidRPr="00A53AF2">
              <w:rPr>
                <w:color w:val="000000"/>
                <w:sz w:val="16"/>
                <w:szCs w:val="16"/>
                <w:lang w:eastAsia="en-GB"/>
              </w:rPr>
              <w:t>11%</w:t>
            </w:r>
          </w:p>
        </w:tc>
        <w:tc>
          <w:tcPr>
            <w:tcW w:w="703" w:type="dxa"/>
            <w:tcBorders>
              <w:top w:val="nil"/>
              <w:left w:val="single" w:sz="4" w:space="0" w:color="auto"/>
              <w:bottom w:val="single" w:sz="8" w:space="0" w:color="auto"/>
              <w:right w:val="single" w:sz="8" w:space="0" w:color="auto"/>
            </w:tcBorders>
            <w:shd w:val="clear" w:color="auto" w:fill="A6A6A6" w:themeFill="background1" w:themeFillShade="A6"/>
            <w:noWrap/>
            <w:vAlign w:val="center"/>
            <w:hideMark/>
          </w:tcPr>
          <w:p w14:paraId="190C78FE" w14:textId="77777777" w:rsidR="002D75DD" w:rsidRPr="00A53AF2" w:rsidRDefault="002D75DD" w:rsidP="00ED42DA">
            <w:pPr>
              <w:pStyle w:val="Tabletext"/>
              <w:jc w:val="center"/>
              <w:rPr>
                <w:b/>
                <w:bCs/>
                <w:color w:val="000000"/>
                <w:sz w:val="16"/>
                <w:szCs w:val="16"/>
                <w:lang w:eastAsia="en-GB"/>
              </w:rPr>
            </w:pPr>
            <w:r w:rsidRPr="00A53AF2">
              <w:rPr>
                <w:b/>
                <w:bCs/>
                <w:color w:val="000000"/>
                <w:sz w:val="16"/>
                <w:szCs w:val="16"/>
                <w:lang w:eastAsia="en-GB"/>
              </w:rPr>
              <w:t>82%</w:t>
            </w:r>
          </w:p>
        </w:tc>
      </w:tr>
    </w:tbl>
    <w:p w14:paraId="6E5BB5FF" w14:textId="77777777" w:rsidR="002D75DD" w:rsidRDefault="002D75DD" w:rsidP="008F077B">
      <w:pPr>
        <w:spacing w:before="360"/>
        <w:jc w:val="center"/>
        <w:rPr>
          <w:lang w:eastAsia="zh-CN"/>
        </w:rPr>
      </w:pPr>
      <w:r>
        <w:t>______________</w:t>
      </w:r>
    </w:p>
    <w:sectPr w:rsidR="002D75DD"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D8A6" w14:textId="77777777" w:rsidR="002D75DD" w:rsidRDefault="002D75DD">
      <w:r>
        <w:separator/>
      </w:r>
    </w:p>
  </w:endnote>
  <w:endnote w:type="continuationSeparator" w:id="0">
    <w:p w14:paraId="6C5E3A53" w14:textId="77777777" w:rsidR="002D75DD" w:rsidRDefault="002D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2807" w14:textId="77777777" w:rsidR="009675F0" w:rsidRDefault="00967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9988" w14:textId="77777777" w:rsidR="00B40A53" w:rsidRPr="009675F0" w:rsidRDefault="009675F0" w:rsidP="00F705DF">
    <w:pPr>
      <w:pStyle w:val="Footer"/>
      <w:rPr>
        <w:color w:val="F2F2F2" w:themeColor="background1" w:themeShade="F2"/>
      </w:rPr>
    </w:pPr>
    <w:r w:rsidRPr="009675F0">
      <w:rPr>
        <w:color w:val="F2F2F2" w:themeColor="background1" w:themeShade="F2"/>
      </w:rPr>
      <w:fldChar w:fldCharType="begin"/>
    </w:r>
    <w:r w:rsidRPr="009675F0">
      <w:rPr>
        <w:color w:val="F2F2F2" w:themeColor="background1" w:themeShade="F2"/>
      </w:rPr>
      <w:instrText xml:space="preserve"> FILENAME \p  \* MERGEFORMAT </w:instrText>
    </w:r>
    <w:r w:rsidRPr="009675F0">
      <w:rPr>
        <w:color w:val="F2F2F2" w:themeColor="background1" w:themeShade="F2"/>
      </w:rPr>
      <w:fldChar w:fldCharType="separate"/>
    </w:r>
    <w:r w:rsidR="000035C0" w:rsidRPr="009675F0">
      <w:rPr>
        <w:color w:val="F2F2F2" w:themeColor="background1" w:themeShade="F2"/>
      </w:rPr>
      <w:t>P:\CHI\SG\CONSEIL\C22\000\044C.docx</w:t>
    </w:r>
    <w:r w:rsidRPr="009675F0">
      <w:rPr>
        <w:color w:val="F2F2F2" w:themeColor="background1" w:themeShade="F2"/>
      </w:rPr>
      <w:fldChar w:fldCharType="end"/>
    </w:r>
    <w:r w:rsidR="004E4BFF" w:rsidRPr="009675F0">
      <w:rPr>
        <w:color w:val="F2F2F2" w:themeColor="background1" w:themeShade="F2"/>
      </w:rPr>
      <w:t xml:space="preserve"> (</w:t>
    </w:r>
    <w:r w:rsidR="003673E6" w:rsidRPr="009675F0">
      <w:rPr>
        <w:color w:val="F2F2F2" w:themeColor="background1" w:themeShade="F2"/>
      </w:rPr>
      <w:t>500641</w:t>
    </w:r>
    <w:r w:rsidR="004E4BFF" w:rsidRPr="009675F0">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3A37"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4E4F" w14:textId="77777777" w:rsidR="002D75DD" w:rsidRDefault="002D75DD">
      <w:r>
        <w:t>____________________</w:t>
      </w:r>
    </w:p>
  </w:footnote>
  <w:footnote w:type="continuationSeparator" w:id="0">
    <w:p w14:paraId="3BF3115B" w14:textId="77777777" w:rsidR="002D75DD" w:rsidRDefault="002D75DD">
      <w:r>
        <w:continuationSeparator/>
      </w:r>
    </w:p>
  </w:footnote>
  <w:footnote w:id="1">
    <w:p w14:paraId="53C9558F" w14:textId="77777777" w:rsidR="002D75DD" w:rsidRPr="00D27B85" w:rsidRDefault="002D75DD" w:rsidP="00C12339">
      <w:pPr>
        <w:pStyle w:val="FootnoteText"/>
        <w:tabs>
          <w:tab w:val="clear" w:pos="794"/>
          <w:tab w:val="clear" w:pos="1191"/>
          <w:tab w:val="clear" w:pos="1588"/>
          <w:tab w:val="clear" w:pos="1985"/>
          <w:tab w:val="left" w:pos="567"/>
          <w:tab w:val="left" w:pos="1134"/>
          <w:tab w:val="left" w:pos="1701"/>
          <w:tab w:val="left" w:pos="2268"/>
          <w:tab w:val="left" w:pos="2835"/>
        </w:tabs>
        <w:ind w:left="256" w:hanging="256"/>
        <w:rPr>
          <w:szCs w:val="24"/>
          <w:lang w:val="en-US" w:eastAsia="zh-CN"/>
        </w:rPr>
      </w:pPr>
      <w:r w:rsidRPr="00C12339">
        <w:rPr>
          <w:rStyle w:val="FootnoteReference"/>
          <w:sz w:val="16"/>
          <w:szCs w:val="16"/>
        </w:rPr>
        <w:footnoteRef/>
      </w:r>
      <w:r w:rsidRPr="00C12339">
        <w:rPr>
          <w:rFonts w:cstheme="majorBidi" w:hint="eastAsia"/>
          <w:sz w:val="16"/>
          <w:szCs w:val="16"/>
          <w:lang w:eastAsia="zh-CN"/>
        </w:rPr>
        <w:tab/>
      </w:r>
      <w:r w:rsidRPr="00C12339">
        <w:rPr>
          <w:rFonts w:cs="Microsoft YaHei" w:hint="eastAsia"/>
          <w:lang w:val="es-ES_tradnl" w:eastAsia="zh-CN"/>
        </w:rPr>
        <w:t>秘书长</w:t>
      </w:r>
      <w:r w:rsidRPr="00C12339">
        <w:rPr>
          <w:lang w:val="es-ES_tradnl" w:eastAsia="zh-CN"/>
        </w:rPr>
        <w:t>2013</w:t>
      </w:r>
      <w:r w:rsidRPr="00C12339">
        <w:rPr>
          <w:rFonts w:cs="Microsoft YaHei" w:hint="eastAsia"/>
          <w:lang w:val="es-ES_tradnl" w:eastAsia="zh-CN"/>
        </w:rPr>
        <w:t>年</w:t>
      </w:r>
      <w:r w:rsidRPr="00C12339">
        <w:rPr>
          <w:lang w:val="es-ES_tradnl" w:eastAsia="zh-CN"/>
        </w:rPr>
        <w:t>6</w:t>
      </w:r>
      <w:r w:rsidRPr="00C12339">
        <w:rPr>
          <w:rFonts w:cs="Microsoft YaHei" w:hint="eastAsia"/>
          <w:lang w:val="es-ES_tradnl" w:eastAsia="zh-CN"/>
        </w:rPr>
        <w:t>月</w:t>
      </w:r>
      <w:r w:rsidRPr="00C12339">
        <w:rPr>
          <w:lang w:val="es-ES_tradnl" w:eastAsia="zh-CN"/>
        </w:rPr>
        <w:t>27</w:t>
      </w:r>
      <w:r w:rsidRPr="00C12339">
        <w:rPr>
          <w:rFonts w:cs="Microsoft YaHei" w:hint="eastAsia"/>
          <w:lang w:val="es-ES_tradnl" w:eastAsia="zh-CN"/>
        </w:rPr>
        <w:t>日颁布的第</w:t>
      </w:r>
      <w:r w:rsidRPr="00C12339">
        <w:rPr>
          <w:lang w:val="es-ES_tradnl" w:eastAsia="zh-CN"/>
        </w:rPr>
        <w:t>13/09</w:t>
      </w:r>
      <w:r w:rsidRPr="00C12339">
        <w:rPr>
          <w:rFonts w:cs="Microsoft YaHei" w:hint="eastAsia"/>
          <w:lang w:val="es-ES_tradnl" w:eastAsia="zh-CN"/>
        </w:rPr>
        <w:t>号行政规定</w:t>
      </w:r>
      <w:r w:rsidRPr="00D27B85">
        <w:rPr>
          <w:rFonts w:cs="Microsoft YaHei" w:hint="eastAsia"/>
          <w:szCs w:val="24"/>
          <w:lang w:val="es-ES_tradnl" w:eastAsia="zh-CN"/>
        </w:rPr>
        <w:t>。</w:t>
      </w:r>
    </w:p>
  </w:footnote>
  <w:footnote w:id="2">
    <w:p w14:paraId="6DE41FDF" w14:textId="77777777" w:rsidR="002D75DD" w:rsidRPr="00C12339" w:rsidRDefault="002D75DD" w:rsidP="00871E2F">
      <w:pPr>
        <w:pStyle w:val="FootnoteText"/>
        <w:ind w:left="0" w:firstLine="0"/>
        <w:rPr>
          <w:szCs w:val="24"/>
          <w:lang w:eastAsia="zh-CN"/>
        </w:rPr>
      </w:pPr>
      <w:r w:rsidRPr="00C12339">
        <w:rPr>
          <w:rStyle w:val="FootnoteReference"/>
          <w:sz w:val="16"/>
          <w:szCs w:val="16"/>
        </w:rPr>
        <w:footnoteRef/>
      </w:r>
      <w:r w:rsidRPr="00C12339">
        <w:rPr>
          <w:rFonts w:hint="eastAsia"/>
          <w:sz w:val="16"/>
          <w:szCs w:val="16"/>
          <w:lang w:eastAsia="zh-CN"/>
        </w:rPr>
        <w:tab/>
      </w:r>
      <w:r w:rsidRPr="00C12339">
        <w:rPr>
          <w:rFonts w:hint="eastAsia"/>
          <w:szCs w:val="24"/>
          <w:lang w:eastAsia="zh-CN"/>
        </w:rPr>
        <w:t>内部审计师协会，</w:t>
      </w:r>
      <w:hyperlink r:id="rId1" w:history="1">
        <w:r w:rsidRPr="00C12339">
          <w:rPr>
            <w:rStyle w:val="Hyperlink"/>
            <w:szCs w:val="24"/>
          </w:rPr>
          <w:t>www.theiia.org</w:t>
        </w:r>
      </w:hyperlink>
      <w:r w:rsidRPr="00C12339">
        <w:rPr>
          <w:rFonts w:cs="Calibri" w:hint="eastAsia"/>
          <w:szCs w:val="24"/>
          <w:lang w:eastAsia="zh-CN"/>
        </w:rPr>
        <w:t>。</w:t>
      </w:r>
    </w:p>
  </w:footnote>
  <w:footnote w:id="3">
    <w:p w14:paraId="63A78E71" w14:textId="77777777" w:rsidR="002D75DD" w:rsidRPr="00C12339" w:rsidRDefault="002D75DD" w:rsidP="00871E2F">
      <w:pPr>
        <w:pStyle w:val="FootnoteText"/>
        <w:ind w:left="0" w:firstLine="0"/>
        <w:rPr>
          <w:szCs w:val="24"/>
          <w:lang w:eastAsia="zh-CN"/>
        </w:rPr>
      </w:pPr>
      <w:r w:rsidRPr="00C12339">
        <w:rPr>
          <w:rStyle w:val="FootnoteReference"/>
          <w:sz w:val="16"/>
          <w:szCs w:val="16"/>
        </w:rPr>
        <w:footnoteRef/>
      </w:r>
      <w:r w:rsidRPr="00C12339">
        <w:rPr>
          <w:rFonts w:hint="eastAsia"/>
          <w:sz w:val="16"/>
          <w:szCs w:val="16"/>
          <w:lang w:eastAsia="zh-CN"/>
        </w:rPr>
        <w:tab/>
      </w:r>
      <w:r w:rsidRPr="00C12339">
        <w:rPr>
          <w:rFonts w:cs="Calibri" w:hint="eastAsia"/>
          <w:szCs w:val="24"/>
          <w:lang w:eastAsia="zh-CN"/>
        </w:rPr>
        <w:t>秘书长</w:t>
      </w:r>
      <w:r w:rsidRPr="00C12339">
        <w:rPr>
          <w:rFonts w:cs="Calibri" w:hint="eastAsia"/>
          <w:szCs w:val="24"/>
          <w:lang w:eastAsia="zh-CN"/>
        </w:rPr>
        <w:t>2013</w:t>
      </w:r>
      <w:r w:rsidRPr="00C12339">
        <w:rPr>
          <w:rFonts w:cs="Calibri" w:hint="eastAsia"/>
          <w:szCs w:val="24"/>
          <w:lang w:eastAsia="zh-CN"/>
        </w:rPr>
        <w:t>年</w:t>
      </w:r>
      <w:r w:rsidRPr="00C12339">
        <w:rPr>
          <w:rFonts w:cs="Calibri" w:hint="eastAsia"/>
          <w:szCs w:val="24"/>
          <w:lang w:eastAsia="zh-CN"/>
        </w:rPr>
        <w:t>6</w:t>
      </w:r>
      <w:r w:rsidRPr="00C12339">
        <w:rPr>
          <w:rFonts w:cs="Calibri" w:hint="eastAsia"/>
          <w:szCs w:val="24"/>
          <w:lang w:eastAsia="zh-CN"/>
        </w:rPr>
        <w:t>月</w:t>
      </w:r>
      <w:r w:rsidRPr="00C12339">
        <w:rPr>
          <w:rFonts w:cs="Calibri" w:hint="eastAsia"/>
          <w:szCs w:val="24"/>
          <w:lang w:eastAsia="zh-CN"/>
        </w:rPr>
        <w:t>27</w:t>
      </w:r>
      <w:r w:rsidRPr="00C12339">
        <w:rPr>
          <w:rFonts w:cs="Calibri" w:hint="eastAsia"/>
          <w:szCs w:val="24"/>
          <w:lang w:eastAsia="zh-CN"/>
        </w:rPr>
        <w:t>日颁布的第</w:t>
      </w:r>
      <w:r w:rsidRPr="00C12339">
        <w:rPr>
          <w:rFonts w:cs="Calibri"/>
          <w:szCs w:val="24"/>
          <w:lang w:eastAsia="zh-CN"/>
        </w:rPr>
        <w:t>13/09</w:t>
      </w:r>
      <w:r w:rsidRPr="00C12339">
        <w:rPr>
          <w:rFonts w:cs="Calibri" w:hint="eastAsia"/>
          <w:szCs w:val="24"/>
          <w:lang w:eastAsia="zh-CN"/>
        </w:rPr>
        <w:t>号行政规定。</w:t>
      </w:r>
    </w:p>
  </w:footnote>
  <w:footnote w:id="4">
    <w:p w14:paraId="2E107C90" w14:textId="77777777" w:rsidR="002D75DD" w:rsidRPr="00C12339" w:rsidRDefault="002D75DD" w:rsidP="00C12339">
      <w:pPr>
        <w:pStyle w:val="FootnoteText"/>
        <w:tabs>
          <w:tab w:val="clear" w:pos="794"/>
          <w:tab w:val="clear" w:pos="1191"/>
          <w:tab w:val="clear" w:pos="1588"/>
          <w:tab w:val="clear" w:pos="1985"/>
          <w:tab w:val="left" w:pos="567"/>
          <w:tab w:val="left" w:pos="1134"/>
          <w:tab w:val="left" w:pos="1701"/>
          <w:tab w:val="left" w:pos="2268"/>
          <w:tab w:val="left" w:pos="2835"/>
        </w:tabs>
        <w:ind w:left="256" w:hanging="256"/>
        <w:rPr>
          <w:rFonts w:cstheme="minorHAnsi"/>
          <w:szCs w:val="24"/>
          <w:lang w:eastAsia="zh-CN"/>
        </w:rPr>
      </w:pPr>
      <w:r w:rsidRPr="00C12339">
        <w:rPr>
          <w:rStyle w:val="FootnoteReference"/>
          <w:rFonts w:cstheme="minorHAnsi"/>
          <w:sz w:val="16"/>
          <w:szCs w:val="16"/>
        </w:rPr>
        <w:footnoteRef/>
      </w:r>
      <w:r w:rsidRPr="00C12339">
        <w:rPr>
          <w:rFonts w:cstheme="minorHAnsi"/>
          <w:szCs w:val="24"/>
          <w:lang w:eastAsia="zh-CN"/>
        </w:rPr>
        <w:tab/>
      </w:r>
      <w:r w:rsidRPr="00C12339">
        <w:rPr>
          <w:rFonts w:cstheme="minorHAnsi" w:hint="eastAsia"/>
          <w:color w:val="202124"/>
          <w:szCs w:val="24"/>
          <w:shd w:val="clear" w:color="auto" w:fill="FFFFFF"/>
          <w:lang w:eastAsia="zh-CN"/>
        </w:rPr>
        <w:t>2500.</w:t>
      </w:r>
      <w:r w:rsidR="007A0B18">
        <w:rPr>
          <w:rFonts w:cstheme="minorHAnsi"/>
          <w:color w:val="202124"/>
          <w:szCs w:val="24"/>
          <w:shd w:val="clear" w:color="auto" w:fill="FFFFFF"/>
          <w:lang w:eastAsia="zh-CN"/>
        </w:rPr>
        <w:t xml:space="preserve"> </w:t>
      </w:r>
      <w:r w:rsidRPr="00C12339">
        <w:rPr>
          <w:rFonts w:cstheme="minorHAnsi" w:hint="eastAsia"/>
          <w:color w:val="202124"/>
          <w:szCs w:val="24"/>
          <w:shd w:val="clear" w:color="auto" w:fill="FFFFFF"/>
          <w:lang w:eastAsia="zh-CN"/>
        </w:rPr>
        <w:t xml:space="preserve">A1 </w:t>
      </w:r>
      <w:r w:rsidRPr="00C12339">
        <w:rPr>
          <w:rFonts w:cstheme="minorHAnsi"/>
          <w:color w:val="202124"/>
          <w:szCs w:val="24"/>
          <w:shd w:val="clear" w:color="auto" w:fill="FFFFFF"/>
          <w:lang w:eastAsia="zh-CN"/>
        </w:rPr>
        <w:t xml:space="preserve">– </w:t>
      </w:r>
      <w:r w:rsidRPr="00C12339">
        <w:rPr>
          <w:rFonts w:cstheme="minorHAnsi" w:hint="eastAsia"/>
          <w:color w:val="202124"/>
          <w:szCs w:val="24"/>
          <w:shd w:val="clear" w:color="auto" w:fill="FFFFFF"/>
          <w:lang w:eastAsia="zh-CN"/>
        </w:rPr>
        <w:t>首席审计官必须建立跟进流程，以监控并确保管理措施得到有效实施，或者高级管理层已经接受了不采取措施的风险。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0E1B" w14:textId="77777777" w:rsidR="009675F0" w:rsidRDefault="00967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5813" w14:textId="77777777" w:rsidR="00AC516F" w:rsidRDefault="00AC516F" w:rsidP="00CE6F22">
    <w:pPr>
      <w:pStyle w:val="Header"/>
    </w:pPr>
    <w:r>
      <w:fldChar w:fldCharType="begin"/>
    </w:r>
    <w:r>
      <w:instrText>PAGE</w:instrText>
    </w:r>
    <w:r>
      <w:fldChar w:fldCharType="separate"/>
    </w:r>
    <w:r w:rsidR="00926FC8">
      <w:rPr>
        <w:noProof/>
      </w:rPr>
      <w:t>4</w:t>
    </w:r>
    <w:r>
      <w:rPr>
        <w:noProof/>
      </w:rPr>
      <w:fldChar w:fldCharType="end"/>
    </w:r>
  </w:p>
  <w:p w14:paraId="5C887AC9" w14:textId="77777777" w:rsidR="00AC516F" w:rsidRDefault="0098459B" w:rsidP="00D453EE">
    <w:pPr>
      <w:pStyle w:val="Header"/>
      <w:rPr>
        <w:lang w:eastAsia="zh-CN"/>
      </w:rPr>
    </w:pPr>
    <w:r>
      <w:t>C</w:t>
    </w:r>
    <w:r w:rsidR="0009409E">
      <w:t>2</w:t>
    </w:r>
    <w:r w:rsidR="00AE195F">
      <w:t>2</w:t>
    </w:r>
    <w:r w:rsidR="004672E6">
      <w:t>/</w:t>
    </w:r>
    <w:r w:rsidR="000035C0">
      <w:rPr>
        <w:lang w:eastAsia="zh-CN"/>
      </w:rPr>
      <w:t>44</w:t>
    </w:r>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0227" w14:textId="77777777" w:rsidR="009675F0" w:rsidRDefault="00967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5DD"/>
    <w:rsid w:val="00001B77"/>
    <w:rsid w:val="000035C0"/>
    <w:rsid w:val="0000517A"/>
    <w:rsid w:val="00011077"/>
    <w:rsid w:val="00031E72"/>
    <w:rsid w:val="000404D2"/>
    <w:rsid w:val="00071BF9"/>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1F2F3D"/>
    <w:rsid w:val="0024161F"/>
    <w:rsid w:val="00280EB8"/>
    <w:rsid w:val="002A6670"/>
    <w:rsid w:val="002D75DD"/>
    <w:rsid w:val="00303502"/>
    <w:rsid w:val="00325C25"/>
    <w:rsid w:val="003673E6"/>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03047"/>
    <w:rsid w:val="00632BB7"/>
    <w:rsid w:val="00654257"/>
    <w:rsid w:val="0065435A"/>
    <w:rsid w:val="006907A6"/>
    <w:rsid w:val="006A2DD3"/>
    <w:rsid w:val="006A5AF8"/>
    <w:rsid w:val="006C36CD"/>
    <w:rsid w:val="006D34ED"/>
    <w:rsid w:val="00700D1F"/>
    <w:rsid w:val="00714AB3"/>
    <w:rsid w:val="007205CB"/>
    <w:rsid w:val="00726073"/>
    <w:rsid w:val="00734FE8"/>
    <w:rsid w:val="007360CE"/>
    <w:rsid w:val="00772315"/>
    <w:rsid w:val="00775157"/>
    <w:rsid w:val="007813AE"/>
    <w:rsid w:val="007A0B18"/>
    <w:rsid w:val="007A1444"/>
    <w:rsid w:val="007A37DB"/>
    <w:rsid w:val="007E189D"/>
    <w:rsid w:val="00811259"/>
    <w:rsid w:val="00813AA2"/>
    <w:rsid w:val="008173A3"/>
    <w:rsid w:val="00825E5B"/>
    <w:rsid w:val="008418F5"/>
    <w:rsid w:val="00856B58"/>
    <w:rsid w:val="0086059C"/>
    <w:rsid w:val="00862680"/>
    <w:rsid w:val="00864589"/>
    <w:rsid w:val="00871E2F"/>
    <w:rsid w:val="00890AFB"/>
    <w:rsid w:val="00890FC4"/>
    <w:rsid w:val="00895905"/>
    <w:rsid w:val="008A4DF6"/>
    <w:rsid w:val="008F077B"/>
    <w:rsid w:val="00911867"/>
    <w:rsid w:val="009164A9"/>
    <w:rsid w:val="009258CB"/>
    <w:rsid w:val="00926FC8"/>
    <w:rsid w:val="0093362E"/>
    <w:rsid w:val="00944563"/>
    <w:rsid w:val="00953160"/>
    <w:rsid w:val="009625D8"/>
    <w:rsid w:val="009675F0"/>
    <w:rsid w:val="0098459B"/>
    <w:rsid w:val="00997185"/>
    <w:rsid w:val="009C2458"/>
    <w:rsid w:val="009C4A7B"/>
    <w:rsid w:val="009C6123"/>
    <w:rsid w:val="009D4EBD"/>
    <w:rsid w:val="009D5879"/>
    <w:rsid w:val="009F1E3E"/>
    <w:rsid w:val="00A1213C"/>
    <w:rsid w:val="00A272FF"/>
    <w:rsid w:val="00A3279E"/>
    <w:rsid w:val="00A5354B"/>
    <w:rsid w:val="00A53AF2"/>
    <w:rsid w:val="00A71B57"/>
    <w:rsid w:val="00AB42C1"/>
    <w:rsid w:val="00AC516F"/>
    <w:rsid w:val="00AC5FF6"/>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0096F"/>
    <w:rsid w:val="00C12339"/>
    <w:rsid w:val="00C64E4E"/>
    <w:rsid w:val="00C66E64"/>
    <w:rsid w:val="00C7552A"/>
    <w:rsid w:val="00C761A0"/>
    <w:rsid w:val="00C85F7E"/>
    <w:rsid w:val="00C90D53"/>
    <w:rsid w:val="00CA4F4E"/>
    <w:rsid w:val="00CC6C23"/>
    <w:rsid w:val="00CD47F0"/>
    <w:rsid w:val="00CD5566"/>
    <w:rsid w:val="00CD64D7"/>
    <w:rsid w:val="00CE6F22"/>
    <w:rsid w:val="00CF41F6"/>
    <w:rsid w:val="00CF7D3E"/>
    <w:rsid w:val="00D02B4E"/>
    <w:rsid w:val="00D110E5"/>
    <w:rsid w:val="00D21F11"/>
    <w:rsid w:val="00D27B85"/>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07996"/>
    <w:rsid w:val="00E265BF"/>
    <w:rsid w:val="00E378D8"/>
    <w:rsid w:val="00E43A12"/>
    <w:rsid w:val="00E67C67"/>
    <w:rsid w:val="00E77476"/>
    <w:rsid w:val="00E8228B"/>
    <w:rsid w:val="00EC1699"/>
    <w:rsid w:val="00ED42DA"/>
    <w:rsid w:val="00EE5706"/>
    <w:rsid w:val="00EF373D"/>
    <w:rsid w:val="00F04CA6"/>
    <w:rsid w:val="00F11595"/>
    <w:rsid w:val="00F13BC9"/>
    <w:rsid w:val="00F277C7"/>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99465A"/>
  <w15:docId w15:val="{D68B03A5-6919-426E-83E3-8A3B8B15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Headingb0">
    <w:name w:val="Heading b"/>
    <w:basedOn w:val="Normal"/>
    <w:rsid w:val="00E07996"/>
    <w:pPr>
      <w:ind w:firstLineChars="200" w:firstLine="480"/>
    </w:pPr>
    <w:rPr>
      <w:rFonts w:ascii="STKaiti" w:eastAsia="STKaiti" w:hAnsi="STKait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D566-136F-45F4-86C4-33BDCD45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4</Pages>
  <Words>3627</Words>
  <Characters>908</Characters>
  <Application>Microsoft Office Word</Application>
  <DocSecurity>0</DocSecurity>
  <Lines>7</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Internal Auditor on internal audit activities</dc:title>
  <dc:subject>Council 2022</dc:subject>
  <dc:creator>LI, Ziqian</dc:creator>
  <cp:keywords>C2022, C22, Council-22</cp:keywords>
  <dc:description/>
  <cp:lastModifiedBy>Xue, Kun</cp:lastModifiedBy>
  <cp:revision>3</cp:revision>
  <cp:lastPrinted>2015-02-24T13:23:00Z</cp:lastPrinted>
  <dcterms:created xsi:type="dcterms:W3CDTF">2022-03-21T14:07:00Z</dcterms:created>
  <dcterms:modified xsi:type="dcterms:W3CDTF">2022-03-21T14:08:00Z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