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303495">
            <w:pPr>
              <w:spacing w:before="0"/>
              <w:rPr>
                <w:b/>
                <w:smallCaps/>
                <w:szCs w:val="24"/>
              </w:rPr>
            </w:pPr>
          </w:p>
        </w:tc>
        <w:tc>
          <w:tcPr>
            <w:tcW w:w="3120" w:type="dxa"/>
            <w:tcBorders>
              <w:bottom w:val="single" w:sz="12" w:space="0" w:color="auto"/>
            </w:tcBorders>
          </w:tcPr>
          <w:p w14:paraId="76506FC1" w14:textId="77777777" w:rsidR="002A2188" w:rsidRPr="00813E5E" w:rsidRDefault="002A2188" w:rsidP="00303495">
            <w:pPr>
              <w:spacing w:before="0"/>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303495">
            <w:pPr>
              <w:spacing w:before="0"/>
              <w:rPr>
                <w:b/>
                <w:smallCaps/>
                <w:szCs w:val="24"/>
              </w:rPr>
            </w:pPr>
          </w:p>
        </w:tc>
        <w:tc>
          <w:tcPr>
            <w:tcW w:w="3120" w:type="dxa"/>
            <w:tcBorders>
              <w:top w:val="single" w:sz="12" w:space="0" w:color="auto"/>
            </w:tcBorders>
          </w:tcPr>
          <w:p w14:paraId="49C653C0" w14:textId="77777777" w:rsidR="002A2188" w:rsidRPr="00813E5E" w:rsidRDefault="002A2188" w:rsidP="00303495">
            <w:pPr>
              <w:spacing w:before="0"/>
              <w:rPr>
                <w:szCs w:val="24"/>
              </w:rPr>
            </w:pPr>
          </w:p>
        </w:tc>
      </w:tr>
      <w:tr w:rsidR="002A2188" w:rsidRPr="00813E5E" w14:paraId="15B0AE9E" w14:textId="77777777" w:rsidTr="00464B6C">
        <w:trPr>
          <w:cantSplit/>
          <w:trHeight w:val="23"/>
        </w:trPr>
        <w:tc>
          <w:tcPr>
            <w:tcW w:w="6911" w:type="dxa"/>
            <w:vMerge w:val="restart"/>
          </w:tcPr>
          <w:p w14:paraId="6F107B8A" w14:textId="694BE682" w:rsidR="002A2188" w:rsidRPr="00E85629" w:rsidRDefault="0014634F" w:rsidP="00303495">
            <w:pPr>
              <w:tabs>
                <w:tab w:val="left" w:pos="851"/>
              </w:tabs>
              <w:spacing w:before="0"/>
              <w:rPr>
                <w:b/>
              </w:rPr>
            </w:pPr>
            <w:bookmarkStart w:id="3" w:name="dmeeting" w:colFirst="0" w:colLast="0"/>
            <w:bookmarkStart w:id="4" w:name="dnum" w:colFirst="1" w:colLast="1"/>
            <w:r>
              <w:rPr>
                <w:b/>
              </w:rPr>
              <w:t>Agenda item:</w:t>
            </w:r>
            <w:r w:rsidR="00217FD9">
              <w:rPr>
                <w:b/>
              </w:rPr>
              <w:t xml:space="preserve"> ADM 15</w:t>
            </w:r>
          </w:p>
        </w:tc>
        <w:tc>
          <w:tcPr>
            <w:tcW w:w="3120" w:type="dxa"/>
          </w:tcPr>
          <w:p w14:paraId="66604129" w14:textId="7816A55C" w:rsidR="002A2188" w:rsidRPr="00E85629" w:rsidRDefault="002A2188" w:rsidP="00303495">
            <w:pPr>
              <w:tabs>
                <w:tab w:val="left" w:pos="851"/>
              </w:tabs>
              <w:spacing w:before="0"/>
              <w:rPr>
                <w:b/>
              </w:rPr>
            </w:pPr>
            <w:r>
              <w:rPr>
                <w:b/>
              </w:rPr>
              <w:t>Document C</w:t>
            </w:r>
            <w:r w:rsidR="004A1B8B">
              <w:rPr>
                <w:b/>
              </w:rPr>
              <w:t>2</w:t>
            </w:r>
            <w:r w:rsidR="0014634F">
              <w:rPr>
                <w:b/>
              </w:rPr>
              <w:t>2</w:t>
            </w:r>
            <w:r>
              <w:rPr>
                <w:b/>
              </w:rPr>
              <w:t>/</w:t>
            </w:r>
            <w:r w:rsidR="00CB137D">
              <w:rPr>
                <w:b/>
              </w:rPr>
              <w:t>44</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303495">
            <w:pPr>
              <w:tabs>
                <w:tab w:val="left" w:pos="851"/>
              </w:tabs>
              <w:spacing w:before="0"/>
              <w:rPr>
                <w:b/>
              </w:rPr>
            </w:pPr>
            <w:bookmarkStart w:id="5" w:name="ddate" w:colFirst="1" w:colLast="1"/>
            <w:bookmarkEnd w:id="3"/>
            <w:bookmarkEnd w:id="4"/>
          </w:p>
        </w:tc>
        <w:tc>
          <w:tcPr>
            <w:tcW w:w="3120" w:type="dxa"/>
          </w:tcPr>
          <w:p w14:paraId="2B0CDBEF" w14:textId="26961AAD" w:rsidR="002A2188" w:rsidRPr="00E85629" w:rsidRDefault="007448E3" w:rsidP="00303495">
            <w:pPr>
              <w:tabs>
                <w:tab w:val="left" w:pos="993"/>
              </w:tabs>
              <w:spacing w:before="0"/>
              <w:rPr>
                <w:b/>
              </w:rPr>
            </w:pPr>
            <w:r>
              <w:rPr>
                <w:b/>
              </w:rPr>
              <w:t>18</w:t>
            </w:r>
            <w:r w:rsidR="004534FA">
              <w:rPr>
                <w:b/>
              </w:rPr>
              <w:t xml:space="preserve"> February</w:t>
            </w:r>
            <w:r w:rsidR="002A2188">
              <w:rPr>
                <w:b/>
              </w:rPr>
              <w:t xml:space="preserve"> 20</w:t>
            </w:r>
            <w:r w:rsidR="004A1B8B">
              <w:rPr>
                <w:b/>
              </w:rPr>
              <w:t>2</w:t>
            </w:r>
            <w:r w:rsidR="00CB137D">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303495">
            <w:pPr>
              <w:tabs>
                <w:tab w:val="left" w:pos="851"/>
              </w:tabs>
              <w:spacing w:before="0"/>
              <w:rPr>
                <w:b/>
              </w:rPr>
            </w:pPr>
            <w:bookmarkStart w:id="6" w:name="dorlang" w:colFirst="1" w:colLast="1"/>
            <w:bookmarkEnd w:id="5"/>
          </w:p>
        </w:tc>
        <w:tc>
          <w:tcPr>
            <w:tcW w:w="3120" w:type="dxa"/>
          </w:tcPr>
          <w:p w14:paraId="7EAC0E79" w14:textId="77777777" w:rsidR="002A2188" w:rsidRPr="00E85629" w:rsidRDefault="002A2188" w:rsidP="00303495">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303495">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222071CF" w:rsidR="002A2188" w:rsidRPr="00813E5E" w:rsidRDefault="00297419" w:rsidP="00303495">
            <w:pPr>
              <w:pStyle w:val="Title1"/>
            </w:pPr>
            <w:bookmarkStart w:id="8" w:name="_Hlk38976514"/>
            <w:bookmarkStart w:id="9" w:name="dtitle1" w:colFirst="0" w:colLast="0"/>
            <w:bookmarkEnd w:id="7"/>
            <w:r w:rsidRPr="00B763B8">
              <w:t>REPORT OF THE INTERNAL AUDITOR ON INTERNAL AUDIT ACTIVITIES</w:t>
            </w:r>
            <w:bookmarkEnd w:id="8"/>
          </w:p>
        </w:tc>
      </w:tr>
      <w:bookmarkEnd w:id="9"/>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303495" w:rsidRDefault="002A2188" w:rsidP="00303495">
            <w:pPr>
              <w:pStyle w:val="Headingb"/>
              <w:spacing w:before="120" w:after="120"/>
              <w:rPr>
                <w:szCs w:val="24"/>
              </w:rPr>
            </w:pPr>
            <w:r w:rsidRPr="00303495">
              <w:rPr>
                <w:szCs w:val="24"/>
              </w:rPr>
              <w:t>Summary</w:t>
            </w:r>
          </w:p>
          <w:p w14:paraId="78323081" w14:textId="72815486" w:rsidR="00297419" w:rsidRPr="00303495" w:rsidRDefault="00297419" w:rsidP="00303495">
            <w:pPr>
              <w:pStyle w:val="ListParagraph"/>
              <w:adjustRightInd w:val="0"/>
              <w:snapToGrid w:val="0"/>
              <w:spacing w:before="120" w:after="120" w:line="240" w:lineRule="auto"/>
              <w:ind w:left="0"/>
              <w:contextualSpacing w:val="0"/>
              <w:jc w:val="both"/>
              <w:rPr>
                <w:rFonts w:cs="Calibri"/>
                <w:color w:val="000000"/>
                <w:sz w:val="24"/>
                <w:szCs w:val="24"/>
              </w:rPr>
            </w:pPr>
            <w:r w:rsidRPr="00303495">
              <w:rPr>
                <w:sz w:val="24"/>
                <w:szCs w:val="24"/>
              </w:rPr>
              <w:t>This report covers the internal audit activities for the period from April 2021 to January 2022</w:t>
            </w:r>
            <w:r w:rsidRPr="00303495">
              <w:rPr>
                <w:rFonts w:cs="Calibri"/>
                <w:color w:val="000000"/>
                <w:sz w:val="24"/>
                <w:szCs w:val="24"/>
              </w:rPr>
              <w:t>.</w:t>
            </w:r>
          </w:p>
          <w:p w14:paraId="17A30379" w14:textId="77777777" w:rsidR="002A2188" w:rsidRPr="00303495" w:rsidRDefault="002A2188" w:rsidP="00303495">
            <w:pPr>
              <w:pStyle w:val="Headingb"/>
              <w:spacing w:before="120" w:after="120"/>
              <w:rPr>
                <w:szCs w:val="24"/>
              </w:rPr>
            </w:pPr>
            <w:r w:rsidRPr="00303495">
              <w:rPr>
                <w:szCs w:val="24"/>
              </w:rPr>
              <w:t>Action required</w:t>
            </w:r>
          </w:p>
          <w:p w14:paraId="6D1EAED4" w14:textId="77777777" w:rsidR="00297419" w:rsidRPr="00303495" w:rsidRDefault="00297419" w:rsidP="00303495">
            <w:pPr>
              <w:snapToGrid w:val="0"/>
              <w:spacing w:after="120"/>
              <w:jc w:val="both"/>
              <w:rPr>
                <w:szCs w:val="24"/>
              </w:rPr>
            </w:pPr>
            <w:r w:rsidRPr="00303495">
              <w:rPr>
                <w:szCs w:val="24"/>
              </w:rPr>
              <w:t xml:space="preserve">This report is transmitted to the Council </w:t>
            </w:r>
            <w:r w:rsidRPr="00303495">
              <w:rPr>
                <w:b/>
                <w:bCs/>
                <w:szCs w:val="24"/>
              </w:rPr>
              <w:t>for consideration</w:t>
            </w:r>
            <w:r w:rsidRPr="00303495">
              <w:rPr>
                <w:szCs w:val="24"/>
              </w:rPr>
              <w:t>.</w:t>
            </w:r>
          </w:p>
          <w:p w14:paraId="3098B3AD" w14:textId="77777777" w:rsidR="002A2188" w:rsidRPr="00303495" w:rsidRDefault="002A2188" w:rsidP="00303495">
            <w:pPr>
              <w:pStyle w:val="Table"/>
              <w:keepNext w:val="0"/>
              <w:spacing w:before="120"/>
              <w:rPr>
                <w:rFonts w:ascii="Calibri" w:hAnsi="Calibri"/>
                <w:caps w:val="0"/>
                <w:szCs w:val="24"/>
              </w:rPr>
            </w:pPr>
            <w:r w:rsidRPr="00303495">
              <w:rPr>
                <w:rFonts w:ascii="Calibri" w:hAnsi="Calibri"/>
                <w:caps w:val="0"/>
                <w:szCs w:val="24"/>
              </w:rPr>
              <w:t>____________</w:t>
            </w:r>
          </w:p>
          <w:p w14:paraId="6D31B914" w14:textId="77777777" w:rsidR="002A2188" w:rsidRPr="00303495" w:rsidRDefault="002A2188" w:rsidP="00303495">
            <w:pPr>
              <w:pStyle w:val="Headingb"/>
              <w:spacing w:before="120" w:after="120"/>
              <w:rPr>
                <w:szCs w:val="24"/>
              </w:rPr>
            </w:pPr>
            <w:r w:rsidRPr="00303495">
              <w:rPr>
                <w:szCs w:val="24"/>
              </w:rPr>
              <w:t>References</w:t>
            </w:r>
          </w:p>
          <w:p w14:paraId="47763C34" w14:textId="08158EC2" w:rsidR="002A2188" w:rsidRPr="00303495" w:rsidRDefault="007448E3" w:rsidP="00303495">
            <w:pPr>
              <w:spacing w:after="120"/>
              <w:rPr>
                <w:i/>
                <w:iCs/>
                <w:szCs w:val="24"/>
              </w:rPr>
            </w:pPr>
            <w:hyperlink r:id="rId12" w:history="1">
              <w:r w:rsidR="00297419" w:rsidRPr="00303495">
                <w:rPr>
                  <w:rStyle w:val="Hyperlink"/>
                  <w:i/>
                  <w:iCs/>
                  <w:szCs w:val="24"/>
                </w:rPr>
                <w:t>ITU Financial Regulations and Rules (2018), Article 29</w:t>
              </w:r>
            </w:hyperlink>
          </w:p>
        </w:tc>
      </w:tr>
    </w:tbl>
    <w:p w14:paraId="18474081" w14:textId="77777777" w:rsidR="00297419" w:rsidRPr="00F01F21" w:rsidRDefault="00297419" w:rsidP="00297419">
      <w:pPr>
        <w:pStyle w:val="Heading1"/>
        <w:keepNext w:val="0"/>
        <w:keepLines w:val="0"/>
        <w:tabs>
          <w:tab w:val="clear" w:pos="567"/>
          <w:tab w:val="clear" w:pos="1134"/>
          <w:tab w:val="clear" w:pos="1701"/>
          <w:tab w:val="clear" w:pos="2268"/>
          <w:tab w:val="clear" w:pos="2835"/>
        </w:tabs>
        <w:snapToGrid w:val="0"/>
        <w:spacing w:before="120" w:after="120"/>
        <w:ind w:left="0" w:firstLine="0"/>
        <w:rPr>
          <w:rFonts w:asciiTheme="minorHAnsi" w:hAnsiTheme="minorHAnsi" w:cstheme="minorHAnsi"/>
          <w:szCs w:val="28"/>
        </w:rPr>
      </w:pPr>
      <w:bookmarkStart w:id="10" w:name="dstart"/>
      <w:bookmarkStart w:id="11" w:name="dbreak"/>
      <w:bookmarkEnd w:id="10"/>
      <w:bookmarkEnd w:id="11"/>
      <w:r w:rsidRPr="00F01F21">
        <w:rPr>
          <w:rFonts w:asciiTheme="minorHAnsi" w:hAnsiTheme="minorHAnsi" w:cstheme="minorHAnsi"/>
          <w:szCs w:val="28"/>
        </w:rPr>
        <w:t>Introduction</w:t>
      </w:r>
    </w:p>
    <w:p w14:paraId="00825169" w14:textId="2E28F747" w:rsidR="00297419" w:rsidRPr="00F01F21" w:rsidRDefault="00297419" w:rsidP="009D4AF4">
      <w:pPr>
        <w:pStyle w:val="ListParagraph"/>
        <w:numPr>
          <w:ilvl w:val="0"/>
          <w:numId w:val="2"/>
        </w:numPr>
        <w:adjustRightInd w:val="0"/>
        <w:snapToGrid w:val="0"/>
        <w:spacing w:before="120" w:after="120" w:line="240" w:lineRule="auto"/>
        <w:ind w:left="0" w:firstLine="0"/>
        <w:contextualSpacing w:val="0"/>
        <w:jc w:val="both"/>
        <w:rPr>
          <w:rFonts w:cstheme="minorHAnsi"/>
        </w:rPr>
      </w:pPr>
      <w:r w:rsidRPr="00F01F21">
        <w:rPr>
          <w:rFonts w:cstheme="minorHAnsi"/>
        </w:rPr>
        <w:t>This report is transmitted to the ITU Council and responds to Article 29 of the Financial Regulations (2010). In accordance with the ITU Internal Audit charter</w:t>
      </w:r>
      <w:r w:rsidR="00702011">
        <w:rPr>
          <w:rFonts w:cstheme="minorHAnsi"/>
        </w:rPr>
        <w:t>,</w:t>
      </w:r>
      <w:r w:rsidR="00702011">
        <w:rPr>
          <w:rStyle w:val="FootnoteReference"/>
          <w:rFonts w:cstheme="minorHAnsi"/>
        </w:rPr>
        <w:footnoteReference w:id="1"/>
      </w:r>
      <w:r w:rsidR="00702011">
        <w:rPr>
          <w:rFonts w:cstheme="minorHAnsi"/>
        </w:rPr>
        <w:t xml:space="preserve"> </w:t>
      </w:r>
      <w:r w:rsidRPr="00F01F21">
        <w:rPr>
          <w:rFonts w:cstheme="minorHAnsi"/>
        </w:rPr>
        <w:t xml:space="preserve">this report is submitted to the Secretary-General and presented to the Council for consideration. The current report covers activities from the period between </w:t>
      </w:r>
      <w:r w:rsidR="003136C5" w:rsidRPr="009D4AF4">
        <w:rPr>
          <w:rFonts w:cstheme="minorHAnsi"/>
        </w:rPr>
        <w:t>April 2021 and January 2022</w:t>
      </w:r>
      <w:r w:rsidRPr="009D4AF4">
        <w:rPr>
          <w:rFonts w:cstheme="minorHAnsi"/>
        </w:rPr>
        <w:t>.</w:t>
      </w:r>
    </w:p>
    <w:p w14:paraId="2279D3A2" w14:textId="180B431C" w:rsidR="00297419" w:rsidRPr="00F01F21" w:rsidRDefault="00297419" w:rsidP="00297419">
      <w:pPr>
        <w:pStyle w:val="ListParagraph"/>
        <w:numPr>
          <w:ilvl w:val="0"/>
          <w:numId w:val="2"/>
        </w:numPr>
        <w:adjustRightInd w:val="0"/>
        <w:snapToGrid w:val="0"/>
        <w:spacing w:before="120" w:after="120" w:line="240" w:lineRule="auto"/>
        <w:ind w:left="0" w:firstLine="0"/>
        <w:contextualSpacing w:val="0"/>
        <w:jc w:val="both"/>
        <w:rPr>
          <w:rFonts w:cstheme="minorHAnsi"/>
        </w:rPr>
      </w:pPr>
      <w:r w:rsidRPr="00F01F21">
        <w:rPr>
          <w:rFonts w:cstheme="minorHAnsi"/>
        </w:rPr>
        <w:t>For the period reported on, the Internal Audit Unit</w:t>
      </w:r>
      <w:r w:rsidR="009D4AF4">
        <w:rPr>
          <w:rFonts w:cstheme="minorHAnsi"/>
        </w:rPr>
        <w:t>, until September 2021,</w:t>
      </w:r>
      <w:r w:rsidRPr="00F01F21">
        <w:rPr>
          <w:rFonts w:cstheme="minorHAnsi"/>
        </w:rPr>
        <w:t xml:space="preserve"> comprised three Professional staff – a P.5 (Head of the Unit), a P.3 (Internal Auditor), and a P2 (Junior Internal Auditor). </w:t>
      </w:r>
      <w:r w:rsidR="00503080" w:rsidRPr="00F01F21">
        <w:rPr>
          <w:rFonts w:cstheme="minorHAnsi"/>
        </w:rPr>
        <w:t xml:space="preserve">As of October 2021, the P.4 (Senior Auditor) </w:t>
      </w:r>
      <w:r w:rsidR="009D4AF4">
        <w:rPr>
          <w:rFonts w:cstheme="minorHAnsi"/>
        </w:rPr>
        <w:t xml:space="preserve">position </w:t>
      </w:r>
      <w:r w:rsidR="00503080" w:rsidRPr="00F01F21">
        <w:rPr>
          <w:rFonts w:cstheme="minorHAnsi"/>
        </w:rPr>
        <w:t xml:space="preserve">was filled, and a temporary P.3 incumbent was appointed </w:t>
      </w:r>
      <w:r w:rsidR="009D4AF4">
        <w:rPr>
          <w:rFonts w:cstheme="minorHAnsi"/>
        </w:rPr>
        <w:t>from</w:t>
      </w:r>
      <w:r w:rsidR="009D4AF4" w:rsidRPr="00F01F21">
        <w:rPr>
          <w:rFonts w:cstheme="minorHAnsi"/>
        </w:rPr>
        <w:t xml:space="preserve"> </w:t>
      </w:r>
      <w:r w:rsidR="00503080" w:rsidRPr="00F01F21">
        <w:rPr>
          <w:rFonts w:cstheme="minorHAnsi"/>
        </w:rPr>
        <w:t xml:space="preserve">1 November 2021 until 31 March 2022. The vacancy for the P.3 fixed term post was published and is expected to be filled towards mid-2022. As </w:t>
      </w:r>
      <w:r w:rsidR="009D4AF4" w:rsidRPr="00F01F21">
        <w:rPr>
          <w:rFonts w:cstheme="minorHAnsi"/>
        </w:rPr>
        <w:t>similar</w:t>
      </w:r>
      <w:r w:rsidR="00503080" w:rsidRPr="00F01F21">
        <w:rPr>
          <w:rFonts w:cstheme="minorHAnsi"/>
        </w:rPr>
        <w:t xml:space="preserve"> in 2021, </w:t>
      </w:r>
      <w:r w:rsidRPr="00F01F21">
        <w:rPr>
          <w:rFonts w:cstheme="minorHAnsi"/>
          <w:color w:val="000000"/>
        </w:rPr>
        <w:t>the Unit consists thus of four professional posts, of which one is vacant pending recruitment in the course of 202</w:t>
      </w:r>
      <w:r w:rsidR="00503080" w:rsidRPr="00F01F21">
        <w:rPr>
          <w:rFonts w:cstheme="minorHAnsi"/>
          <w:color w:val="000000"/>
        </w:rPr>
        <w:t>2</w:t>
      </w:r>
      <w:r w:rsidRPr="00F01F21">
        <w:rPr>
          <w:rFonts w:cstheme="minorHAnsi"/>
        </w:rPr>
        <w:t>.</w:t>
      </w:r>
    </w:p>
    <w:p w14:paraId="36B8A0F4" w14:textId="77777777" w:rsidR="00297419" w:rsidRPr="00F01F21" w:rsidRDefault="00297419" w:rsidP="00297419">
      <w:pPr>
        <w:pStyle w:val="ListParagraph"/>
        <w:numPr>
          <w:ilvl w:val="0"/>
          <w:numId w:val="2"/>
        </w:numPr>
        <w:adjustRightInd w:val="0"/>
        <w:snapToGrid w:val="0"/>
        <w:spacing w:before="120" w:after="120" w:line="240" w:lineRule="auto"/>
        <w:ind w:left="0" w:firstLine="0"/>
        <w:contextualSpacing w:val="0"/>
        <w:jc w:val="both"/>
        <w:rPr>
          <w:rFonts w:cstheme="minorHAnsi"/>
        </w:rPr>
      </w:pPr>
      <w:r w:rsidRPr="00F01F21">
        <w:rPr>
          <w:rFonts w:cstheme="minorHAnsi"/>
        </w:rPr>
        <w:t>Internal Audit (IA) confirms that it conducts its audits in accordance with the International Standards for the Professional Practice of Internal Auditing and the Code of Ethics established by the Institute of Internal Auditors (IIA),</w:t>
      </w:r>
      <w:r w:rsidRPr="009D4AF4">
        <w:rPr>
          <w:vertAlign w:val="superscript"/>
        </w:rPr>
        <w:footnoteReference w:id="2"/>
      </w:r>
      <w:r w:rsidRPr="00F01F21">
        <w:rPr>
          <w:rFonts w:cstheme="minorHAnsi"/>
        </w:rPr>
        <w:t xml:space="preserve"> as well as with the provisions of the ITU Internal Audit Charter.</w:t>
      </w:r>
      <w:r w:rsidRPr="009D4AF4">
        <w:rPr>
          <w:vertAlign w:val="superscript"/>
        </w:rPr>
        <w:footnoteReference w:id="3"/>
      </w:r>
      <w:r w:rsidRPr="00F01F21">
        <w:rPr>
          <w:rFonts w:cstheme="minorHAnsi"/>
        </w:rPr>
        <w:t xml:space="preserve"> In addition, IA confirms that, for the period reported on, its staff had no managerial authority over, nor responsibility for any of the activities audited and did not perform accounting or operational functions within ITU.</w:t>
      </w:r>
    </w:p>
    <w:p w14:paraId="64039155" w14:textId="77777777" w:rsidR="00297419" w:rsidRPr="00F01F21" w:rsidRDefault="00297419" w:rsidP="00297419">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cstheme="minorHAnsi"/>
          <w:szCs w:val="28"/>
          <w:lang w:val="en-CA"/>
        </w:rPr>
      </w:pPr>
      <w:r w:rsidRPr="00F01F21">
        <w:rPr>
          <w:rFonts w:asciiTheme="minorHAnsi" w:hAnsiTheme="minorHAnsi" w:cstheme="minorHAnsi"/>
          <w:szCs w:val="28"/>
          <w:lang w:val="en-CA"/>
        </w:rPr>
        <w:lastRenderedPageBreak/>
        <w:t>Orientation and scope of the internal audit activities</w:t>
      </w:r>
    </w:p>
    <w:p w14:paraId="77EB668E" w14:textId="319636BF" w:rsidR="00297419" w:rsidRPr="00F01F21" w:rsidRDefault="008D3828" w:rsidP="00297419">
      <w:pPr>
        <w:pStyle w:val="ListParagraph"/>
        <w:numPr>
          <w:ilvl w:val="0"/>
          <w:numId w:val="2"/>
        </w:numPr>
        <w:adjustRightInd w:val="0"/>
        <w:snapToGrid w:val="0"/>
        <w:spacing w:before="120" w:after="120" w:line="240" w:lineRule="auto"/>
        <w:ind w:left="0" w:firstLine="0"/>
        <w:contextualSpacing w:val="0"/>
        <w:jc w:val="both"/>
        <w:rPr>
          <w:rFonts w:cstheme="minorHAnsi"/>
        </w:rPr>
      </w:pPr>
      <w:r w:rsidRPr="00F01F21">
        <w:rPr>
          <w:rFonts w:cstheme="minorHAnsi"/>
        </w:rPr>
        <w:t>I</w:t>
      </w:r>
      <w:r w:rsidRPr="00F01F21">
        <w:rPr>
          <w:rFonts w:cstheme="minorHAnsi"/>
          <w:lang w:val="en-CA"/>
        </w:rPr>
        <w:t>n line with the IA Charter</w:t>
      </w:r>
      <w:r w:rsidRPr="00F01F21">
        <w:rPr>
          <w:rFonts w:cstheme="minorHAnsi"/>
        </w:rPr>
        <w:t xml:space="preserve"> for 2021, the annual audit</w:t>
      </w:r>
      <w:r w:rsidR="00297419" w:rsidRPr="00F01F21">
        <w:rPr>
          <w:rFonts w:cstheme="minorHAnsi"/>
        </w:rPr>
        <w:t xml:space="preserve"> plan</w:t>
      </w:r>
      <w:r w:rsidRPr="00F01F21">
        <w:rPr>
          <w:rFonts w:cstheme="minorHAnsi"/>
        </w:rPr>
        <w:t xml:space="preserve"> </w:t>
      </w:r>
      <w:r w:rsidR="00297419" w:rsidRPr="00F01F21">
        <w:rPr>
          <w:rFonts w:cstheme="minorHAnsi"/>
        </w:rPr>
        <w:t xml:space="preserve">was reviewed by the Independent Management Advisory Committee (IMAC) at its 28th meeting and on 29 March </w:t>
      </w:r>
      <w:r w:rsidR="00297419" w:rsidRPr="00F01F21">
        <w:rPr>
          <w:rFonts w:cstheme="minorHAnsi"/>
          <w:spacing w:val="-2"/>
        </w:rPr>
        <w:t xml:space="preserve">2021 approved by the Secretary-General. The allotted time for investigations for 2021 </w:t>
      </w:r>
      <w:r w:rsidR="009D4AF4">
        <w:rPr>
          <w:rFonts w:cstheme="minorHAnsi"/>
          <w:spacing w:val="-2"/>
        </w:rPr>
        <w:t xml:space="preserve">was </w:t>
      </w:r>
      <w:r w:rsidR="00297419" w:rsidRPr="00F01F21">
        <w:rPr>
          <w:rFonts w:cstheme="minorHAnsi"/>
          <w:spacing w:val="-2"/>
        </w:rPr>
        <w:t>minimized</w:t>
      </w:r>
      <w:r w:rsidR="00297419" w:rsidRPr="00F01F21">
        <w:rPr>
          <w:rFonts w:cstheme="minorHAnsi"/>
        </w:rPr>
        <w:t xml:space="preserve"> as to allow IA to conduct the core of its mandate. IA’s work on investigations is based on the Internal Audit Charter stipulating also that </w:t>
      </w:r>
      <w:r w:rsidR="00297419" w:rsidRPr="00F01F21">
        <w:rPr>
          <w:rFonts w:cstheme="minorHAnsi"/>
          <w:i/>
          <w:iCs/>
        </w:rPr>
        <w:t>IA shall investigate allegations, or presumptions, of fraud or mismanagement</w:t>
      </w:r>
      <w:r w:rsidR="00297419" w:rsidRPr="00F01F21">
        <w:rPr>
          <w:rFonts w:cstheme="minorHAnsi"/>
        </w:rPr>
        <w:t xml:space="preserve"> as well as that </w:t>
      </w:r>
      <w:r w:rsidR="00297419" w:rsidRPr="00F01F21">
        <w:rPr>
          <w:rFonts w:cstheme="minorHAnsi"/>
          <w:i/>
          <w:iCs/>
        </w:rPr>
        <w:t>Internal Audit may provide consulting services within ITU</w:t>
      </w:r>
      <w:r w:rsidR="00297419" w:rsidRPr="00F01F21">
        <w:rPr>
          <w:rFonts w:cstheme="minorHAnsi"/>
        </w:rPr>
        <w:t>.</w:t>
      </w:r>
      <w:r w:rsidRPr="00F01F21">
        <w:rPr>
          <w:rFonts w:cstheme="minorHAnsi"/>
        </w:rPr>
        <w:t xml:space="preserve"> The time spent on such investigation work was indeed limited</w:t>
      </w:r>
      <w:r w:rsidR="005D0F5F" w:rsidRPr="00F01F21">
        <w:rPr>
          <w:rFonts w:cstheme="minorHAnsi"/>
        </w:rPr>
        <w:t xml:space="preserve"> to finalizing earlier investigation work and/or providing limited assistance to externally sourced investigation consultants. For 2022 the incumbent of the ITU Investigator position (reporting directly to the Secretary-General) is on board.</w:t>
      </w:r>
    </w:p>
    <w:p w14:paraId="1CCA5F62" w14:textId="77777777" w:rsidR="00297419" w:rsidRPr="00F01F21" w:rsidRDefault="00297419" w:rsidP="00297419">
      <w:pPr>
        <w:pStyle w:val="ListParagraph"/>
        <w:numPr>
          <w:ilvl w:val="0"/>
          <w:numId w:val="2"/>
        </w:numPr>
        <w:adjustRightInd w:val="0"/>
        <w:snapToGrid w:val="0"/>
        <w:spacing w:before="120" w:after="120" w:line="240" w:lineRule="auto"/>
        <w:ind w:left="0" w:firstLine="0"/>
        <w:contextualSpacing w:val="0"/>
        <w:jc w:val="both"/>
        <w:rPr>
          <w:rFonts w:cstheme="minorHAnsi"/>
        </w:rPr>
      </w:pPr>
      <w:r w:rsidRPr="00F01F21">
        <w:rPr>
          <w:rFonts w:cstheme="minorHAnsi"/>
        </w:rPr>
        <w:t xml:space="preserve">IA systematically shares copies of internal audit reports with the ITU External Auditor and with the IMAC. In accordance with ITU Financial Regulation 29.5, final internal audit reports can be made available to Member States or their designated representatives. A facilitated mechanism for accessing internal audit reports has been put in place since October 2015. During the period reported on, no requests for accessing internal audit reports were received via the online mechanism. </w:t>
      </w:r>
    </w:p>
    <w:p w14:paraId="1AB9E794" w14:textId="77777777" w:rsidR="00297419" w:rsidRPr="00F01F21" w:rsidRDefault="00297419" w:rsidP="00297419">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Cs w:val="28"/>
          <w:lang w:val="en-CA"/>
        </w:rPr>
      </w:pPr>
      <w:r w:rsidRPr="00F01F21">
        <w:rPr>
          <w:rFonts w:asciiTheme="minorHAnsi" w:hAnsiTheme="minorHAnsi" w:cstheme="minorHAnsi"/>
          <w:szCs w:val="28"/>
          <w:lang w:val="en-CA"/>
        </w:rPr>
        <w:t>Objectives and conclusions of the assurance engagements</w:t>
      </w:r>
    </w:p>
    <w:p w14:paraId="68F5DC59" w14:textId="77777777" w:rsidR="00297419" w:rsidRPr="00F01F21" w:rsidRDefault="00297419" w:rsidP="00297419">
      <w:pPr>
        <w:pStyle w:val="ListParagraph"/>
        <w:numPr>
          <w:ilvl w:val="0"/>
          <w:numId w:val="2"/>
        </w:numPr>
        <w:adjustRightInd w:val="0"/>
        <w:snapToGrid w:val="0"/>
        <w:spacing w:before="120" w:after="120" w:line="240" w:lineRule="auto"/>
        <w:ind w:left="0" w:firstLine="0"/>
        <w:contextualSpacing w:val="0"/>
        <w:jc w:val="both"/>
        <w:rPr>
          <w:rFonts w:cstheme="minorHAnsi"/>
        </w:rPr>
      </w:pPr>
      <w:r w:rsidRPr="00F01F21">
        <w:rPr>
          <w:rFonts w:cstheme="minorHAnsi"/>
        </w:rPr>
        <w:t>The objectives of the assurance engagements are to assess: (i) the governance aspects of the Union’s operations audited; (ii) the risk management practices; and (iii) the effectiveness of (internal) controls. The priority of the recommendations resulting from the audit work is classified according to the impact and likelihood of the deficiency (high, medium, low).</w:t>
      </w:r>
    </w:p>
    <w:p w14:paraId="3B133C64" w14:textId="77777777" w:rsidR="00297419" w:rsidRPr="00F01F21" w:rsidRDefault="00297419" w:rsidP="00297419">
      <w:pPr>
        <w:pStyle w:val="ListParagraph"/>
        <w:numPr>
          <w:ilvl w:val="0"/>
          <w:numId w:val="2"/>
        </w:numPr>
        <w:adjustRightInd w:val="0"/>
        <w:snapToGrid w:val="0"/>
        <w:spacing w:before="120" w:after="120" w:line="240" w:lineRule="auto"/>
        <w:ind w:left="0" w:firstLine="0"/>
        <w:contextualSpacing w:val="0"/>
        <w:jc w:val="both"/>
        <w:rPr>
          <w:rFonts w:cstheme="minorHAnsi"/>
        </w:rPr>
      </w:pPr>
      <w:r w:rsidRPr="00F01F21">
        <w:rPr>
          <w:rFonts w:cstheme="minorHAnsi"/>
        </w:rPr>
        <w:t>The implementation of recommended actions is followed up by IA, as and when required. Since early 2021 a compliance dashboard is for that purpose Union-wide available and facilitates the tracking of recommendation implementation for concerned managers, yet does not relieve the IA’s responsibility to follow up on its earlier made recommendations, as per IIA Standard 2500</w:t>
      </w:r>
      <w:r w:rsidRPr="009D4AF4">
        <w:rPr>
          <w:rStyle w:val="FootnoteReference"/>
          <w:rFonts w:cstheme="minorHAnsi"/>
          <w:sz w:val="18"/>
          <w:szCs w:val="18"/>
        </w:rPr>
        <w:footnoteReference w:id="4"/>
      </w:r>
      <w:r w:rsidRPr="00F01F21">
        <w:rPr>
          <w:rFonts w:cstheme="minorHAnsi"/>
        </w:rPr>
        <w:t xml:space="preserve">. </w:t>
      </w:r>
    </w:p>
    <w:p w14:paraId="25F22984" w14:textId="6ABF0444" w:rsidR="00A72F36" w:rsidRPr="00F01F21" w:rsidRDefault="00A72F36" w:rsidP="00A72F36">
      <w:pPr>
        <w:tabs>
          <w:tab w:val="clear" w:pos="567"/>
          <w:tab w:val="clear" w:pos="1134"/>
          <w:tab w:val="clear" w:pos="1701"/>
          <w:tab w:val="clear" w:pos="2268"/>
          <w:tab w:val="clear" w:pos="2835"/>
        </w:tabs>
        <w:snapToGrid w:val="0"/>
        <w:spacing w:after="120"/>
        <w:jc w:val="both"/>
        <w:rPr>
          <w:rFonts w:asciiTheme="minorHAnsi" w:hAnsiTheme="minorHAnsi" w:cstheme="minorHAnsi"/>
          <w:i/>
          <w:iCs/>
          <w:sz w:val="22"/>
          <w:szCs w:val="22"/>
        </w:rPr>
      </w:pPr>
      <w:r w:rsidRPr="00F01F21">
        <w:rPr>
          <w:rFonts w:asciiTheme="minorHAnsi" w:hAnsiTheme="minorHAnsi" w:cstheme="minorHAnsi"/>
          <w:i/>
          <w:iCs/>
          <w:sz w:val="22"/>
          <w:szCs w:val="22"/>
        </w:rPr>
        <w:t>The following assurance engagement</w:t>
      </w:r>
      <w:r w:rsidR="009D4AF4">
        <w:rPr>
          <w:rFonts w:asciiTheme="minorHAnsi" w:hAnsiTheme="minorHAnsi" w:cstheme="minorHAnsi"/>
          <w:i/>
          <w:iCs/>
          <w:sz w:val="22"/>
          <w:szCs w:val="22"/>
        </w:rPr>
        <w:t>s</w:t>
      </w:r>
      <w:r w:rsidRPr="00F01F21">
        <w:rPr>
          <w:rFonts w:asciiTheme="minorHAnsi" w:hAnsiTheme="minorHAnsi" w:cstheme="minorHAnsi"/>
          <w:i/>
          <w:iCs/>
          <w:sz w:val="22"/>
          <w:szCs w:val="22"/>
        </w:rPr>
        <w:t xml:space="preserve"> </w:t>
      </w:r>
      <w:r w:rsidR="009D4AF4">
        <w:rPr>
          <w:rFonts w:asciiTheme="minorHAnsi" w:hAnsiTheme="minorHAnsi" w:cstheme="minorHAnsi"/>
          <w:i/>
          <w:iCs/>
          <w:sz w:val="22"/>
          <w:szCs w:val="22"/>
        </w:rPr>
        <w:t>have</w:t>
      </w:r>
      <w:r w:rsidR="009D4AF4" w:rsidRPr="00F01F21">
        <w:rPr>
          <w:rFonts w:asciiTheme="minorHAnsi" w:hAnsiTheme="minorHAnsi" w:cstheme="minorHAnsi"/>
          <w:i/>
          <w:iCs/>
          <w:sz w:val="22"/>
          <w:szCs w:val="22"/>
        </w:rPr>
        <w:t xml:space="preserve"> </w:t>
      </w:r>
      <w:r w:rsidRPr="00F01F21">
        <w:rPr>
          <w:rFonts w:asciiTheme="minorHAnsi" w:hAnsiTheme="minorHAnsi" w:cstheme="minorHAnsi"/>
          <w:i/>
          <w:iCs/>
          <w:sz w:val="22"/>
          <w:szCs w:val="22"/>
        </w:rPr>
        <w:t>been conducted:</w:t>
      </w:r>
    </w:p>
    <w:p w14:paraId="562F7DF3" w14:textId="1ABC3C0D" w:rsidR="00A72F36" w:rsidRPr="00F01F21" w:rsidRDefault="0065605A" w:rsidP="00A72F36">
      <w:pPr>
        <w:pStyle w:val="FootnoteText"/>
        <w:keepLines w:val="0"/>
        <w:numPr>
          <w:ilvl w:val="0"/>
          <w:numId w:val="3"/>
        </w:numPr>
        <w:tabs>
          <w:tab w:val="clear" w:pos="256"/>
          <w:tab w:val="clear" w:pos="567"/>
          <w:tab w:val="clear" w:pos="1134"/>
          <w:tab w:val="clear" w:pos="1701"/>
          <w:tab w:val="clear" w:pos="2268"/>
          <w:tab w:val="clear" w:pos="2835"/>
        </w:tabs>
        <w:overflowPunct/>
        <w:autoSpaceDE/>
        <w:autoSpaceDN/>
        <w:snapToGrid w:val="0"/>
        <w:spacing w:before="0"/>
        <w:ind w:left="450" w:firstLine="0"/>
        <w:jc w:val="both"/>
        <w:textAlignment w:val="auto"/>
        <w:rPr>
          <w:rFonts w:asciiTheme="minorHAnsi" w:hAnsiTheme="minorHAnsi" w:cstheme="minorHAnsi"/>
          <w:sz w:val="22"/>
          <w:szCs w:val="22"/>
        </w:rPr>
      </w:pPr>
      <w:r w:rsidRPr="00F01F21">
        <w:rPr>
          <w:rFonts w:asciiTheme="minorHAnsi" w:hAnsiTheme="minorHAnsi" w:cstheme="minorHAnsi"/>
          <w:b/>
          <w:i/>
          <w:sz w:val="22"/>
          <w:szCs w:val="22"/>
        </w:rPr>
        <w:t>Audit i</w:t>
      </w:r>
      <w:r w:rsidR="00A72F36" w:rsidRPr="00F01F21">
        <w:rPr>
          <w:rFonts w:asciiTheme="minorHAnsi" w:hAnsiTheme="minorHAnsi" w:cstheme="minorHAnsi"/>
          <w:b/>
          <w:i/>
          <w:sz w:val="22"/>
          <w:szCs w:val="22"/>
        </w:rPr>
        <w:t xml:space="preserve">nspection of </w:t>
      </w:r>
      <w:r w:rsidR="009D4AF4">
        <w:rPr>
          <w:rFonts w:asciiTheme="minorHAnsi" w:hAnsiTheme="minorHAnsi" w:cstheme="minorHAnsi"/>
          <w:b/>
          <w:i/>
          <w:sz w:val="22"/>
          <w:szCs w:val="22"/>
        </w:rPr>
        <w:t xml:space="preserve">ITU </w:t>
      </w:r>
      <w:r w:rsidRPr="00F01F21">
        <w:rPr>
          <w:rFonts w:asciiTheme="minorHAnsi" w:hAnsiTheme="minorHAnsi" w:cstheme="minorHAnsi"/>
          <w:b/>
          <w:i/>
          <w:sz w:val="22"/>
          <w:szCs w:val="22"/>
        </w:rPr>
        <w:t>Employee Entitlements</w:t>
      </w:r>
    </w:p>
    <w:p w14:paraId="76FFBAAD" w14:textId="7755168F" w:rsidR="00A72F36" w:rsidRPr="00F01F21" w:rsidRDefault="00A72F36" w:rsidP="00A72F36">
      <w:pPr>
        <w:pStyle w:val="ListParagraph"/>
        <w:numPr>
          <w:ilvl w:val="0"/>
          <w:numId w:val="2"/>
        </w:numPr>
        <w:adjustRightInd w:val="0"/>
        <w:snapToGrid w:val="0"/>
        <w:spacing w:before="120" w:after="120" w:line="240" w:lineRule="auto"/>
        <w:ind w:left="0" w:firstLine="0"/>
        <w:contextualSpacing w:val="0"/>
        <w:jc w:val="both"/>
        <w:rPr>
          <w:rFonts w:cstheme="minorHAnsi"/>
        </w:rPr>
      </w:pPr>
      <w:r w:rsidRPr="00F01F21">
        <w:rPr>
          <w:rFonts w:cstheme="minorHAnsi"/>
        </w:rPr>
        <w:t xml:space="preserve">IA </w:t>
      </w:r>
      <w:r w:rsidRPr="00F01F21">
        <w:rPr>
          <w:rFonts w:cstheme="minorHAnsi"/>
          <w:lang w:val="en-GB"/>
        </w:rPr>
        <w:t xml:space="preserve">conducted an audit inspection of </w:t>
      </w:r>
      <w:r w:rsidR="009D4AF4">
        <w:rPr>
          <w:rFonts w:cstheme="minorHAnsi"/>
          <w:lang w:val="en-GB"/>
        </w:rPr>
        <w:t xml:space="preserve">ITU </w:t>
      </w:r>
      <w:r w:rsidR="0065605A" w:rsidRPr="00F01F21">
        <w:rPr>
          <w:lang w:val="en-GB"/>
        </w:rPr>
        <w:t>Employee Entitlements covering the period from January 2012 to December 2019, relating particularly to Education Grants, Rental Subsidies and Spouse Allowances</w:t>
      </w:r>
      <w:r w:rsidRPr="00F01F21">
        <w:rPr>
          <w:rFonts w:cstheme="minorHAnsi"/>
        </w:rPr>
        <w:t>.</w:t>
      </w:r>
    </w:p>
    <w:p w14:paraId="4BA97229" w14:textId="1736D9C5" w:rsidR="00A72F36" w:rsidRPr="00F01F21" w:rsidRDefault="00A72F36" w:rsidP="00A72F36">
      <w:pPr>
        <w:pStyle w:val="ListParagraph"/>
        <w:numPr>
          <w:ilvl w:val="0"/>
          <w:numId w:val="2"/>
        </w:numPr>
        <w:adjustRightInd w:val="0"/>
        <w:snapToGrid w:val="0"/>
        <w:spacing w:before="120" w:after="120" w:line="240" w:lineRule="auto"/>
        <w:ind w:left="0" w:firstLine="0"/>
        <w:contextualSpacing w:val="0"/>
        <w:jc w:val="both"/>
        <w:rPr>
          <w:rFonts w:cstheme="minorHAnsi"/>
        </w:rPr>
      </w:pPr>
      <w:r w:rsidRPr="00F01F21">
        <w:rPr>
          <w:rFonts w:cstheme="minorHAnsi"/>
        </w:rPr>
        <w:t xml:space="preserve">IA concluded, as high priority matters on a number of issues as follows: </w:t>
      </w:r>
    </w:p>
    <w:p w14:paraId="3E8D7DB7" w14:textId="00A765F3" w:rsidR="00A72F36" w:rsidRPr="00F01F21" w:rsidRDefault="0065605A" w:rsidP="0065605A">
      <w:pPr>
        <w:pStyle w:val="Default"/>
        <w:numPr>
          <w:ilvl w:val="0"/>
          <w:numId w:val="4"/>
        </w:numPr>
        <w:spacing w:before="120" w:after="120"/>
        <w:ind w:left="709" w:hanging="567"/>
        <w:jc w:val="both"/>
        <w:rPr>
          <w:rFonts w:asciiTheme="minorHAnsi" w:hAnsiTheme="minorHAnsi" w:cstheme="minorHAnsi"/>
          <w:sz w:val="22"/>
          <w:szCs w:val="22"/>
        </w:rPr>
      </w:pPr>
      <w:r w:rsidRPr="00F01F21">
        <w:rPr>
          <w:sz w:val="22"/>
          <w:szCs w:val="22"/>
        </w:rPr>
        <w:t xml:space="preserve">The </w:t>
      </w:r>
      <w:r w:rsidRPr="00F01F21">
        <w:rPr>
          <w:sz w:val="22"/>
          <w:szCs w:val="22"/>
          <w:lang w:val="en-GB"/>
        </w:rPr>
        <w:t>existing</w:t>
      </w:r>
      <w:r w:rsidRPr="00F01F21">
        <w:rPr>
          <w:sz w:val="22"/>
          <w:szCs w:val="22"/>
        </w:rPr>
        <w:t xml:space="preserve"> policies are not sufficiently detailed, clear or informative to staff. Policies specific to ITU are missing in the instance of rental subsidies. </w:t>
      </w:r>
      <w:r w:rsidRPr="00F01F21">
        <w:rPr>
          <w:sz w:val="22"/>
          <w:szCs w:val="22"/>
          <w:lang w:val="en-GB"/>
        </w:rPr>
        <w:t xml:space="preserve">It </w:t>
      </w:r>
      <w:r w:rsidR="00BF300F" w:rsidRPr="00F01F21">
        <w:rPr>
          <w:sz w:val="22"/>
          <w:szCs w:val="22"/>
          <w:lang w:val="en-GB"/>
        </w:rPr>
        <w:t>wa</w:t>
      </w:r>
      <w:r w:rsidRPr="00F01F21">
        <w:rPr>
          <w:sz w:val="22"/>
          <w:szCs w:val="22"/>
          <w:lang w:val="en-GB"/>
        </w:rPr>
        <w:t>s</w:t>
      </w:r>
      <w:r w:rsidRPr="00F01F21">
        <w:rPr>
          <w:b/>
          <w:bCs/>
          <w:sz w:val="22"/>
          <w:szCs w:val="22"/>
          <w:lang w:val="en-GB"/>
        </w:rPr>
        <w:t xml:space="preserve"> </w:t>
      </w:r>
      <w:r w:rsidRPr="00F01F21">
        <w:rPr>
          <w:sz w:val="22"/>
          <w:szCs w:val="22"/>
          <w:u w:val="single"/>
          <w:lang w:val="en-GB"/>
        </w:rPr>
        <w:t>recommended</w:t>
      </w:r>
      <w:r w:rsidRPr="00F01F21">
        <w:rPr>
          <w:sz w:val="22"/>
          <w:szCs w:val="22"/>
          <w:lang w:val="en-GB"/>
        </w:rPr>
        <w:t xml:space="preserve"> that the education grant advance and claim forms for staff are reviewed to include a list of requirements in relation to supporting documentation expected to be submitted by the staff member.</w:t>
      </w:r>
      <w:r w:rsidR="00BF300F" w:rsidRPr="00F01F21">
        <w:rPr>
          <w:sz w:val="22"/>
          <w:szCs w:val="22"/>
          <w:lang w:val="en-GB"/>
        </w:rPr>
        <w:t xml:space="preserve"> It was also recommended that the policy relating to education grant </w:t>
      </w:r>
      <w:r w:rsidR="00BF300F" w:rsidRPr="00F01F21">
        <w:rPr>
          <w:sz w:val="22"/>
          <w:szCs w:val="22"/>
          <w:u w:val="single"/>
          <w:lang w:val="en-GB"/>
        </w:rPr>
        <w:t>advances</w:t>
      </w:r>
      <w:r w:rsidR="00BF300F" w:rsidRPr="00F01F21">
        <w:rPr>
          <w:sz w:val="22"/>
          <w:szCs w:val="22"/>
          <w:lang w:val="en-GB"/>
        </w:rPr>
        <w:t xml:space="preserve"> is reviewed and</w:t>
      </w:r>
      <w:r w:rsidR="00BF300F" w:rsidRPr="00F01F21">
        <w:rPr>
          <w:sz w:val="22"/>
          <w:szCs w:val="22"/>
        </w:rPr>
        <w:t xml:space="preserve"> that </w:t>
      </w:r>
      <w:r w:rsidR="00BF300F" w:rsidRPr="00F01F21">
        <w:rPr>
          <w:sz w:val="22"/>
          <w:szCs w:val="22"/>
          <w:lang w:val="en-GB"/>
        </w:rPr>
        <w:t>a Policy and guidance for rental subsidies should contain information in line with the ICSC thresholds and guidance</w:t>
      </w:r>
      <w:r w:rsidR="00A72F36" w:rsidRPr="00F01F21">
        <w:rPr>
          <w:sz w:val="22"/>
          <w:szCs w:val="22"/>
        </w:rPr>
        <w:t>.</w:t>
      </w:r>
      <w:r w:rsidR="00BF300F" w:rsidRPr="00F01F21">
        <w:rPr>
          <w:sz w:val="22"/>
          <w:szCs w:val="22"/>
        </w:rPr>
        <w:t xml:space="preserve"> </w:t>
      </w:r>
      <w:r w:rsidR="00BF300F" w:rsidRPr="00F01F21">
        <w:rPr>
          <w:sz w:val="22"/>
          <w:szCs w:val="22"/>
          <w:lang w:val="en-GB"/>
        </w:rPr>
        <w:t xml:space="preserve">Furthermore, in an updated policy document for dependency allowances consideration should be given to (i) spouse income including all direct and indirect income including pensions, </w:t>
      </w:r>
      <w:r w:rsidR="00BF300F" w:rsidRPr="00F01F21">
        <w:rPr>
          <w:sz w:val="22"/>
          <w:szCs w:val="22"/>
        </w:rPr>
        <w:t>disability benefits, unemployment benefits, and benefits from investments and (ii) for staff claiming spouse allowances for their spouse earning zero income, a requirement to provide in addition to a signed declaration form, proof of zero income from the applicable national tax system.</w:t>
      </w:r>
      <w:r w:rsidR="00A72F36" w:rsidRPr="00F01F21">
        <w:rPr>
          <w:rFonts w:asciiTheme="minorHAnsi" w:hAnsiTheme="minorHAnsi" w:cstheme="minorHAnsi"/>
          <w:sz w:val="22"/>
          <w:szCs w:val="22"/>
        </w:rPr>
        <w:t xml:space="preserve"> </w:t>
      </w:r>
    </w:p>
    <w:p w14:paraId="1FAD1AC9" w14:textId="77777777" w:rsidR="00BF300F" w:rsidRPr="00F01F21" w:rsidRDefault="00BF300F" w:rsidP="00A72F36">
      <w:pPr>
        <w:pStyle w:val="Default"/>
        <w:numPr>
          <w:ilvl w:val="0"/>
          <w:numId w:val="4"/>
        </w:numPr>
        <w:spacing w:before="120" w:after="120"/>
        <w:ind w:left="709" w:hanging="567"/>
        <w:jc w:val="both"/>
        <w:rPr>
          <w:rFonts w:asciiTheme="minorHAnsi" w:hAnsiTheme="minorHAnsi" w:cstheme="minorHAnsi"/>
          <w:sz w:val="22"/>
          <w:szCs w:val="22"/>
        </w:rPr>
      </w:pPr>
      <w:r w:rsidRPr="00F01F21">
        <w:rPr>
          <w:sz w:val="22"/>
          <w:szCs w:val="22"/>
        </w:rPr>
        <w:lastRenderedPageBreak/>
        <w:t xml:space="preserve">HRMD Staff are not clear on their responsibilities resulting in overlooked tasks and unclear ownership. It was </w:t>
      </w:r>
      <w:r w:rsidRPr="00F01F21">
        <w:rPr>
          <w:sz w:val="22"/>
          <w:szCs w:val="22"/>
          <w:u w:val="single"/>
        </w:rPr>
        <w:t>recommended</w:t>
      </w:r>
      <w:r w:rsidRPr="00F01F21">
        <w:rPr>
          <w:sz w:val="22"/>
          <w:szCs w:val="22"/>
        </w:rPr>
        <w:t xml:space="preserve"> that the structure and division of labor as well as clarified the procedures and roles and responsibilities of the respective HRMD teams be reviewed and finetuned. </w:t>
      </w:r>
    </w:p>
    <w:p w14:paraId="3375FD47" w14:textId="77777777" w:rsidR="00BF300F" w:rsidRPr="00F01F21" w:rsidRDefault="00BF300F" w:rsidP="00A72F36">
      <w:pPr>
        <w:pStyle w:val="Default"/>
        <w:numPr>
          <w:ilvl w:val="0"/>
          <w:numId w:val="4"/>
        </w:numPr>
        <w:spacing w:before="120" w:after="120"/>
        <w:ind w:left="709" w:hanging="567"/>
        <w:jc w:val="both"/>
        <w:rPr>
          <w:rFonts w:asciiTheme="minorHAnsi" w:hAnsiTheme="minorHAnsi" w:cstheme="minorHAnsi"/>
          <w:sz w:val="22"/>
          <w:szCs w:val="22"/>
        </w:rPr>
      </w:pPr>
      <w:r w:rsidRPr="00F01F21">
        <w:rPr>
          <w:sz w:val="22"/>
          <w:szCs w:val="22"/>
        </w:rPr>
        <w:t xml:space="preserve">Red flags / fraudulent / misstatements in entitlements claims submissions by staff are not always identified leading to inadequate fraud awareness/mitigation. It was </w:t>
      </w:r>
      <w:r w:rsidRPr="00F01F21">
        <w:rPr>
          <w:sz w:val="22"/>
          <w:szCs w:val="22"/>
          <w:u w:val="single"/>
        </w:rPr>
        <w:t>recommended</w:t>
      </w:r>
      <w:r w:rsidRPr="00F01F21">
        <w:rPr>
          <w:sz w:val="22"/>
          <w:szCs w:val="22"/>
        </w:rPr>
        <w:t xml:space="preserve"> that </w:t>
      </w:r>
      <w:r w:rsidRPr="00F01F21">
        <w:rPr>
          <w:sz w:val="22"/>
          <w:szCs w:val="22"/>
          <w:lang w:val="en-GB"/>
        </w:rPr>
        <w:t>task rotation is utilised to prevent one employee from having complete control over a function and that regular fraud awareness training and knowledge sharing for HRMD staff involved in processing entitlements is organized.</w:t>
      </w:r>
    </w:p>
    <w:p w14:paraId="418F3473" w14:textId="0AC5965E" w:rsidR="005E3F65" w:rsidRPr="00F01F21" w:rsidRDefault="005E3F65" w:rsidP="00A72F36">
      <w:pPr>
        <w:pStyle w:val="Default"/>
        <w:numPr>
          <w:ilvl w:val="0"/>
          <w:numId w:val="4"/>
        </w:numPr>
        <w:spacing w:before="120" w:after="120"/>
        <w:ind w:left="709" w:hanging="567"/>
        <w:jc w:val="both"/>
        <w:rPr>
          <w:rFonts w:asciiTheme="minorHAnsi" w:hAnsiTheme="minorHAnsi" w:cstheme="minorHAnsi"/>
          <w:sz w:val="22"/>
          <w:szCs w:val="22"/>
        </w:rPr>
      </w:pPr>
      <w:r w:rsidRPr="00F01F21">
        <w:rPr>
          <w:sz w:val="22"/>
          <w:szCs w:val="22"/>
        </w:rPr>
        <w:t xml:space="preserve">Checking / processing entitlements and eligibility of entitlements is not correctly processed leading to inadequate and ineffective internal controls. It was </w:t>
      </w:r>
      <w:r w:rsidRPr="00F01F21">
        <w:rPr>
          <w:sz w:val="22"/>
          <w:szCs w:val="22"/>
          <w:u w:val="single"/>
        </w:rPr>
        <w:t>recommended</w:t>
      </w:r>
      <w:r w:rsidRPr="00F01F21">
        <w:rPr>
          <w:sz w:val="22"/>
          <w:szCs w:val="22"/>
        </w:rPr>
        <w:t xml:space="preserve"> that </w:t>
      </w:r>
      <w:r w:rsidRPr="00F01F21">
        <w:rPr>
          <w:sz w:val="22"/>
          <w:szCs w:val="22"/>
          <w:lang w:val="en-GB"/>
        </w:rPr>
        <w:t xml:space="preserve">education grant entitlements settled within the last 5-10 years (prior to the changes in 2017) are reviewed and any other errors than the ones identified in this inspection regarding admissible expenses are considered for rectification. Furthermore, it was </w:t>
      </w:r>
      <w:r w:rsidRPr="00F01F21">
        <w:rPr>
          <w:sz w:val="22"/>
          <w:szCs w:val="22"/>
          <w:u w:val="single"/>
          <w:lang w:val="en-GB"/>
        </w:rPr>
        <w:t>recommended</w:t>
      </w:r>
      <w:r w:rsidRPr="00F01F21">
        <w:rPr>
          <w:sz w:val="22"/>
          <w:szCs w:val="22"/>
          <w:lang w:val="en-GB"/>
        </w:rPr>
        <w:t xml:space="preserve"> that dependency status requests are made on an annual basis (or more frequently as required) and in a consistent manner, and that payments for dependency allowances be made only on confirmed, substantiated and up to date information provided by Staff. Lastly it was </w:t>
      </w:r>
      <w:r w:rsidRPr="00F01F21">
        <w:rPr>
          <w:sz w:val="22"/>
          <w:szCs w:val="22"/>
          <w:u w:val="single"/>
          <w:lang w:val="en-GB"/>
        </w:rPr>
        <w:t>recommended</w:t>
      </w:r>
      <w:r w:rsidRPr="00F01F21">
        <w:rPr>
          <w:sz w:val="22"/>
          <w:szCs w:val="22"/>
          <w:lang w:val="en-GB"/>
        </w:rPr>
        <w:t xml:space="preserve"> that a requirement is enforced that all supporting documents, calculation work papers and any other documentation used by HRMD to approve eligibility of and calculate amounts relating to allowances are maintained in a complete, accessible filing system. </w:t>
      </w:r>
    </w:p>
    <w:p w14:paraId="5CEDFE0E" w14:textId="736606C1" w:rsidR="005E3F65" w:rsidRPr="00F01F21" w:rsidRDefault="005E3F65" w:rsidP="005E3F65">
      <w:pPr>
        <w:pStyle w:val="ListParagraph"/>
        <w:numPr>
          <w:ilvl w:val="0"/>
          <w:numId w:val="2"/>
        </w:numPr>
        <w:adjustRightInd w:val="0"/>
        <w:snapToGrid w:val="0"/>
        <w:spacing w:before="120" w:after="120" w:line="240" w:lineRule="auto"/>
        <w:ind w:left="0" w:firstLine="0"/>
        <w:contextualSpacing w:val="0"/>
        <w:jc w:val="both"/>
        <w:rPr>
          <w:rFonts w:cstheme="minorHAnsi"/>
        </w:rPr>
      </w:pPr>
      <w:r w:rsidRPr="00F01F21">
        <w:rPr>
          <w:lang w:val="en-GB"/>
        </w:rPr>
        <w:t>HRMD Management agreed with many of the recommendations, indicating disagreement for some since these proposed actions were already ongoing management practices. IA does not believe that these ongoing management practices have proven to be contributing to providing assurance to the Secretary-General with respect to the governance, risk management and effectiveness of controls relevant to the processing of employee entitlements.</w:t>
      </w:r>
    </w:p>
    <w:p w14:paraId="2C1E1872" w14:textId="199C8A7C" w:rsidR="00921F98" w:rsidRPr="00F01F21" w:rsidRDefault="00921F98" w:rsidP="00921F98">
      <w:pPr>
        <w:pStyle w:val="ListParagraph"/>
        <w:adjustRightInd w:val="0"/>
        <w:snapToGrid w:val="0"/>
        <w:spacing w:before="120" w:after="120" w:line="240" w:lineRule="auto"/>
        <w:ind w:left="0"/>
        <w:contextualSpacing w:val="0"/>
        <w:jc w:val="both"/>
        <w:rPr>
          <w:lang w:val="en-GB"/>
        </w:rPr>
      </w:pPr>
    </w:p>
    <w:p w14:paraId="3E2F05E5" w14:textId="13011177" w:rsidR="00921F98" w:rsidRPr="00F01F21" w:rsidRDefault="00921F98" w:rsidP="00921F98">
      <w:pPr>
        <w:pStyle w:val="FootnoteText"/>
        <w:keepLines w:val="0"/>
        <w:numPr>
          <w:ilvl w:val="0"/>
          <w:numId w:val="3"/>
        </w:numPr>
        <w:tabs>
          <w:tab w:val="clear" w:pos="256"/>
          <w:tab w:val="clear" w:pos="567"/>
          <w:tab w:val="clear" w:pos="1134"/>
          <w:tab w:val="clear" w:pos="1701"/>
          <w:tab w:val="clear" w:pos="2268"/>
          <w:tab w:val="clear" w:pos="2835"/>
        </w:tabs>
        <w:overflowPunct/>
        <w:autoSpaceDE/>
        <w:autoSpaceDN/>
        <w:snapToGrid w:val="0"/>
        <w:spacing w:before="0"/>
        <w:ind w:left="450" w:firstLine="0"/>
        <w:jc w:val="both"/>
        <w:textAlignment w:val="auto"/>
        <w:rPr>
          <w:rFonts w:asciiTheme="minorHAnsi" w:hAnsiTheme="minorHAnsi" w:cstheme="minorHAnsi"/>
          <w:sz w:val="22"/>
          <w:szCs w:val="22"/>
        </w:rPr>
      </w:pPr>
      <w:r w:rsidRPr="00F01F21">
        <w:rPr>
          <w:rFonts w:asciiTheme="minorHAnsi" w:hAnsiTheme="minorHAnsi" w:cstheme="minorHAnsi"/>
          <w:b/>
          <w:i/>
          <w:sz w:val="22"/>
          <w:szCs w:val="22"/>
        </w:rPr>
        <w:t xml:space="preserve">Audit of </w:t>
      </w:r>
      <w:r w:rsidRPr="00F01F21">
        <w:rPr>
          <w:b/>
          <w:i/>
          <w:sz w:val="22"/>
          <w:szCs w:val="22"/>
        </w:rPr>
        <w:t>Programs, Projects and Supplementary Activities funded by Voluntary contributions and Funds in Trust</w:t>
      </w:r>
    </w:p>
    <w:p w14:paraId="64E0FC9C" w14:textId="2B07C79E" w:rsidR="00921F98" w:rsidRPr="00F01F21" w:rsidRDefault="00921F98" w:rsidP="00921F98">
      <w:pPr>
        <w:pStyle w:val="ListParagraph"/>
        <w:numPr>
          <w:ilvl w:val="0"/>
          <w:numId w:val="2"/>
        </w:numPr>
        <w:adjustRightInd w:val="0"/>
        <w:snapToGrid w:val="0"/>
        <w:spacing w:before="120" w:after="120" w:line="240" w:lineRule="auto"/>
        <w:ind w:left="0" w:firstLine="0"/>
        <w:contextualSpacing w:val="0"/>
        <w:jc w:val="both"/>
        <w:rPr>
          <w:rFonts w:cstheme="minorHAnsi"/>
        </w:rPr>
      </w:pPr>
      <w:r w:rsidRPr="00F01F21">
        <w:rPr>
          <w:rFonts w:cstheme="minorHAnsi"/>
        </w:rPr>
        <w:t xml:space="preserve">IA </w:t>
      </w:r>
      <w:r w:rsidRPr="00F01F21">
        <w:rPr>
          <w:rFonts w:cstheme="minorHAnsi"/>
          <w:lang w:val="en-GB"/>
        </w:rPr>
        <w:t xml:space="preserve">conducted an </w:t>
      </w:r>
      <w:r w:rsidRPr="00F01F21">
        <w:rPr>
          <w:lang w:val="en-GB"/>
        </w:rPr>
        <w:t>audit of Programs, Projects and Supplementary Activities (</w:t>
      </w:r>
      <w:r w:rsidRPr="00F01F21">
        <w:rPr>
          <w:i/>
          <w:iCs/>
          <w:lang w:val="en-GB"/>
        </w:rPr>
        <w:t>PPSA</w:t>
      </w:r>
      <w:r w:rsidRPr="00F01F21">
        <w:rPr>
          <w:lang w:val="en-GB"/>
        </w:rPr>
        <w:t>) funded by Voluntary contributions (</w:t>
      </w:r>
      <w:r w:rsidRPr="00F01F21">
        <w:rPr>
          <w:i/>
          <w:iCs/>
          <w:lang w:val="en-GB"/>
        </w:rPr>
        <w:t>VC</w:t>
      </w:r>
      <w:r w:rsidRPr="00F01F21">
        <w:rPr>
          <w:lang w:val="en-GB"/>
        </w:rPr>
        <w:t>) and Funds in Trust (</w:t>
      </w:r>
      <w:r w:rsidRPr="00F01F21">
        <w:rPr>
          <w:i/>
          <w:iCs/>
          <w:lang w:val="en-GB"/>
        </w:rPr>
        <w:t>FiT</w:t>
      </w:r>
      <w:r w:rsidRPr="00F01F21">
        <w:rPr>
          <w:lang w:val="en-GB"/>
        </w:rPr>
        <w:t>) covering the period from January 2016 to December 2020. The audit scope did not include BDT projects (already audited during 2019/2020) and ITU Telecom World.</w:t>
      </w:r>
    </w:p>
    <w:p w14:paraId="4AD5A3BA" w14:textId="77777777" w:rsidR="00576E4E" w:rsidRPr="00F01F21" w:rsidRDefault="00576E4E" w:rsidP="00576E4E">
      <w:pPr>
        <w:pStyle w:val="ListParagraph"/>
        <w:numPr>
          <w:ilvl w:val="0"/>
          <w:numId w:val="2"/>
        </w:numPr>
        <w:adjustRightInd w:val="0"/>
        <w:snapToGrid w:val="0"/>
        <w:spacing w:before="120" w:after="120" w:line="240" w:lineRule="auto"/>
        <w:ind w:left="0" w:firstLine="0"/>
        <w:contextualSpacing w:val="0"/>
        <w:jc w:val="both"/>
        <w:rPr>
          <w:rFonts w:cstheme="minorHAnsi"/>
        </w:rPr>
      </w:pPr>
      <w:r w:rsidRPr="00F01F21">
        <w:rPr>
          <w:rFonts w:cstheme="minorHAnsi"/>
        </w:rPr>
        <w:t xml:space="preserve">IA concluded, as critical (a. below) and high priority (b. below) matters on a number of issues as follows: </w:t>
      </w:r>
    </w:p>
    <w:p w14:paraId="740B7EB5" w14:textId="77777777" w:rsidR="00DD4324" w:rsidRPr="00F01F21" w:rsidRDefault="00576E4E" w:rsidP="00DD4324">
      <w:pPr>
        <w:pStyle w:val="Default"/>
        <w:numPr>
          <w:ilvl w:val="0"/>
          <w:numId w:val="6"/>
        </w:numPr>
        <w:spacing w:before="120" w:after="120"/>
        <w:ind w:firstLine="142"/>
        <w:jc w:val="both"/>
        <w:rPr>
          <w:rFonts w:cstheme="minorHAnsi"/>
          <w:sz w:val="22"/>
          <w:szCs w:val="22"/>
        </w:rPr>
      </w:pPr>
      <w:r w:rsidRPr="00F01F21">
        <w:rPr>
          <w:sz w:val="22"/>
          <w:szCs w:val="22"/>
        </w:rPr>
        <w:t>While it is important to engage with new donors and partners to contribute to the realization of</w:t>
      </w:r>
      <w:r w:rsidRPr="00F01F21">
        <w:rPr>
          <w:sz w:val="22"/>
          <w:szCs w:val="22"/>
          <w:lang w:val="en-GB"/>
        </w:rPr>
        <w:t xml:space="preserve"> </w:t>
      </w:r>
      <w:r w:rsidRPr="00F01F21">
        <w:rPr>
          <w:i/>
          <w:iCs/>
          <w:sz w:val="22"/>
          <w:szCs w:val="22"/>
          <w:lang w:val="en-GB"/>
        </w:rPr>
        <w:t>PPSA</w:t>
      </w:r>
      <w:r w:rsidRPr="00F01F21">
        <w:rPr>
          <w:sz w:val="22"/>
          <w:szCs w:val="22"/>
          <w:lang w:val="en-GB"/>
        </w:rPr>
        <w:t xml:space="preserve"> goals, there is a risk that ITU is exposed to new donors from private sector whose interests may not align with those of ITU. It is therefore essential that due diligence checks are conducted and documented before accepting contribution from new donors. It was therefore </w:t>
      </w:r>
      <w:r w:rsidRPr="00F01F21">
        <w:rPr>
          <w:sz w:val="22"/>
          <w:szCs w:val="22"/>
          <w:u w:val="single"/>
          <w:lang w:val="en-GB"/>
        </w:rPr>
        <w:t>recommended</w:t>
      </w:r>
      <w:r w:rsidRPr="00F01F21">
        <w:rPr>
          <w:sz w:val="22"/>
          <w:szCs w:val="22"/>
          <w:lang w:val="en-GB"/>
        </w:rPr>
        <w:t xml:space="preserve"> that formal due diligence for new donors/partners is coordinated between the respective managers. Management of the Strategic Planning and Membership Department specifically commented that it could take on a cross-ITU coordination role for due diligence and has started to work on that already.</w:t>
      </w:r>
      <w:r w:rsidR="00DD4324" w:rsidRPr="00F01F21">
        <w:rPr>
          <w:sz w:val="22"/>
          <w:szCs w:val="22"/>
          <w:lang w:val="en-GB"/>
        </w:rPr>
        <w:t xml:space="preserve"> </w:t>
      </w:r>
    </w:p>
    <w:p w14:paraId="74A0E53F" w14:textId="77777777" w:rsidR="001652C5" w:rsidRPr="00F01F21" w:rsidRDefault="00576E4E" w:rsidP="001652C5">
      <w:pPr>
        <w:pStyle w:val="Default"/>
        <w:numPr>
          <w:ilvl w:val="0"/>
          <w:numId w:val="6"/>
        </w:numPr>
        <w:ind w:firstLine="142"/>
        <w:jc w:val="both"/>
        <w:rPr>
          <w:rFonts w:cstheme="minorHAnsi"/>
          <w:sz w:val="22"/>
          <w:szCs w:val="22"/>
        </w:rPr>
      </w:pPr>
      <w:r w:rsidRPr="00F01F21">
        <w:rPr>
          <w:sz w:val="22"/>
          <w:szCs w:val="22"/>
          <w:lang w:val="en-GB"/>
        </w:rPr>
        <w:t xml:space="preserve">With respect to the distinction between </w:t>
      </w:r>
      <w:r w:rsidRPr="00F01F21">
        <w:rPr>
          <w:i/>
          <w:iCs/>
          <w:sz w:val="22"/>
          <w:szCs w:val="22"/>
          <w:lang w:val="en-GB"/>
        </w:rPr>
        <w:t>VC</w:t>
      </w:r>
      <w:r w:rsidRPr="00F01F21">
        <w:rPr>
          <w:sz w:val="22"/>
          <w:szCs w:val="22"/>
          <w:lang w:val="en-GB"/>
        </w:rPr>
        <w:t xml:space="preserve"> and </w:t>
      </w:r>
      <w:r w:rsidRPr="00F01F21">
        <w:rPr>
          <w:i/>
          <w:iCs/>
          <w:sz w:val="22"/>
          <w:szCs w:val="22"/>
          <w:lang w:val="en-GB"/>
        </w:rPr>
        <w:t>FiT</w:t>
      </w:r>
      <w:r w:rsidRPr="00F01F21">
        <w:rPr>
          <w:sz w:val="22"/>
          <w:szCs w:val="22"/>
          <w:lang w:val="en-GB"/>
        </w:rPr>
        <w:t xml:space="preserve">, and the definition of activities, </w:t>
      </w:r>
      <w:r w:rsidRPr="00F01F21">
        <w:rPr>
          <w:i/>
          <w:iCs/>
          <w:sz w:val="22"/>
          <w:szCs w:val="22"/>
          <w:lang w:val="en-GB"/>
        </w:rPr>
        <w:t>FiT</w:t>
      </w:r>
      <w:r w:rsidRPr="00F01F21">
        <w:rPr>
          <w:sz w:val="22"/>
          <w:szCs w:val="22"/>
          <w:lang w:val="en-GB"/>
        </w:rPr>
        <w:t xml:space="preserve"> and VC have been used in a range of ways, from funding regular budget and extrabudgetary activities, to being a flexible accounting mechanism to allow the use of funds regardless of the programme objectives, the activities, or the allocated budgets. There is also an unclear definition / understanding of the roles and responsibilities and insufficient organizational structure and clarity in the roles and responsibilities may impede ITU from achieving its objectives through </w:t>
      </w:r>
      <w:r w:rsidRPr="00F01F21">
        <w:rPr>
          <w:i/>
          <w:iCs/>
          <w:sz w:val="22"/>
          <w:szCs w:val="22"/>
          <w:lang w:val="en-GB"/>
        </w:rPr>
        <w:t>PPSA</w:t>
      </w:r>
      <w:r w:rsidRPr="00F01F21">
        <w:rPr>
          <w:sz w:val="22"/>
          <w:szCs w:val="22"/>
          <w:lang w:val="en-GB"/>
        </w:rPr>
        <w:t xml:space="preserve">. It was </w:t>
      </w:r>
      <w:r w:rsidRPr="00F01F21">
        <w:rPr>
          <w:sz w:val="22"/>
          <w:szCs w:val="22"/>
          <w:u w:val="single"/>
          <w:lang w:val="en-GB"/>
        </w:rPr>
        <w:t>recommended</w:t>
      </w:r>
      <w:r w:rsidRPr="00F01F21">
        <w:rPr>
          <w:sz w:val="22"/>
          <w:szCs w:val="22"/>
          <w:lang w:val="en-GB"/>
        </w:rPr>
        <w:t xml:space="preserve"> that a detailed Policy guidance surrounding </w:t>
      </w:r>
      <w:r w:rsidRPr="00F01F21">
        <w:rPr>
          <w:i/>
          <w:iCs/>
          <w:sz w:val="22"/>
          <w:szCs w:val="22"/>
          <w:lang w:val="en-GB"/>
        </w:rPr>
        <w:t>VC</w:t>
      </w:r>
      <w:r w:rsidRPr="00F01F21">
        <w:rPr>
          <w:sz w:val="22"/>
          <w:szCs w:val="22"/>
          <w:lang w:val="en-GB"/>
        </w:rPr>
        <w:t xml:space="preserve"> and </w:t>
      </w:r>
      <w:r w:rsidRPr="00F01F21">
        <w:rPr>
          <w:i/>
          <w:iCs/>
          <w:sz w:val="22"/>
          <w:szCs w:val="22"/>
          <w:lang w:val="en-GB"/>
        </w:rPr>
        <w:t>FiT</w:t>
      </w:r>
      <w:r w:rsidRPr="00F01F21">
        <w:rPr>
          <w:sz w:val="22"/>
          <w:szCs w:val="22"/>
          <w:lang w:val="en-GB"/>
        </w:rPr>
        <w:t xml:space="preserve"> is adopted and that the roles and responsibilities related to the administrative and operational management and controls are clarified</w:t>
      </w:r>
      <w:r w:rsidR="00DD4324" w:rsidRPr="00F01F21">
        <w:rPr>
          <w:sz w:val="22"/>
          <w:szCs w:val="22"/>
          <w:lang w:val="en-GB"/>
        </w:rPr>
        <w:t xml:space="preserve">. </w:t>
      </w:r>
    </w:p>
    <w:p w14:paraId="7DDD9DD6" w14:textId="5B87A981" w:rsidR="00DD4324" w:rsidRPr="00F01F21" w:rsidRDefault="00DD4324" w:rsidP="001652C5">
      <w:pPr>
        <w:pStyle w:val="Default"/>
        <w:jc w:val="both"/>
        <w:rPr>
          <w:rFonts w:cstheme="minorHAnsi"/>
          <w:sz w:val="22"/>
          <w:szCs w:val="22"/>
        </w:rPr>
      </w:pPr>
      <w:r w:rsidRPr="00F01F21">
        <w:rPr>
          <w:sz w:val="22"/>
          <w:szCs w:val="22"/>
          <w:lang w:val="en-GB"/>
        </w:rPr>
        <w:lastRenderedPageBreak/>
        <w:t xml:space="preserve">Also, without adequate project methodology, the intended project results are at risk of not being achieved. Moreover, failure to address vulnerabilities in project design and subsequent implementation challenges may adversely affect achievement of the Project’s objectives. It was </w:t>
      </w:r>
      <w:r w:rsidRPr="00F01F21">
        <w:rPr>
          <w:sz w:val="22"/>
          <w:szCs w:val="22"/>
          <w:u w:val="single"/>
          <w:lang w:val="en-GB"/>
        </w:rPr>
        <w:t>recommended</w:t>
      </w:r>
      <w:r w:rsidRPr="00F01F21">
        <w:rPr>
          <w:sz w:val="22"/>
          <w:szCs w:val="22"/>
          <w:lang w:val="en-GB"/>
        </w:rPr>
        <w:t xml:space="preserve"> that adequate project management guidelines are developed and adopted. </w:t>
      </w:r>
      <w:r w:rsidRPr="00F01F21">
        <w:rPr>
          <w:sz w:val="22"/>
          <w:szCs w:val="22"/>
        </w:rPr>
        <w:t xml:space="preserve">IA also found that on occasions the standard templates for </w:t>
      </w:r>
      <w:r w:rsidRPr="00F01F21">
        <w:rPr>
          <w:i/>
          <w:iCs/>
          <w:sz w:val="22"/>
          <w:szCs w:val="22"/>
        </w:rPr>
        <w:t>VC</w:t>
      </w:r>
      <w:r w:rsidRPr="00F01F21">
        <w:rPr>
          <w:sz w:val="22"/>
          <w:szCs w:val="22"/>
        </w:rPr>
        <w:t xml:space="preserve">, </w:t>
      </w:r>
      <w:r w:rsidRPr="00F01F21">
        <w:rPr>
          <w:i/>
          <w:iCs/>
          <w:sz w:val="22"/>
          <w:szCs w:val="22"/>
        </w:rPr>
        <w:t>FiT</w:t>
      </w:r>
      <w:r w:rsidRPr="00F01F21">
        <w:rPr>
          <w:sz w:val="22"/>
          <w:szCs w:val="22"/>
        </w:rPr>
        <w:t xml:space="preserve"> or sponsorships are not consistently used and that there is a risk with respect to the selection and management of consultants. With respect to </w:t>
      </w:r>
      <w:r w:rsidRPr="00F01F21">
        <w:rPr>
          <w:i/>
          <w:iCs/>
          <w:sz w:val="22"/>
          <w:szCs w:val="22"/>
        </w:rPr>
        <w:t>PPSA</w:t>
      </w:r>
      <w:r w:rsidRPr="00F01F21">
        <w:rPr>
          <w:sz w:val="22"/>
          <w:szCs w:val="22"/>
        </w:rPr>
        <w:t xml:space="preserve"> risk assessment, there is an </w:t>
      </w:r>
      <w:r w:rsidRPr="00F01F21">
        <w:rPr>
          <w:sz w:val="22"/>
          <w:szCs w:val="22"/>
          <w:lang w:val="en-GB"/>
        </w:rPr>
        <w:t xml:space="preserve">absence of specific or ‘live’ risk identification / assessment / monitoring. Risk assessments appear to be generic in some project agreements. The absence of risk management process may negatively impact the implementation of </w:t>
      </w:r>
      <w:r w:rsidRPr="00F01F21">
        <w:rPr>
          <w:i/>
          <w:iCs/>
          <w:sz w:val="22"/>
          <w:szCs w:val="22"/>
          <w:lang w:val="en-GB"/>
        </w:rPr>
        <w:t>PPSA</w:t>
      </w:r>
      <w:r w:rsidRPr="00F01F21">
        <w:rPr>
          <w:sz w:val="22"/>
          <w:szCs w:val="22"/>
          <w:lang w:val="en-GB"/>
        </w:rPr>
        <w:t xml:space="preserve">s. Furthermore, for </w:t>
      </w:r>
      <w:r w:rsidRPr="00F01F21">
        <w:rPr>
          <w:sz w:val="22"/>
          <w:szCs w:val="22"/>
        </w:rPr>
        <w:t xml:space="preserve">some </w:t>
      </w:r>
      <w:r w:rsidRPr="00F01F21">
        <w:rPr>
          <w:i/>
          <w:iCs/>
          <w:sz w:val="22"/>
          <w:szCs w:val="22"/>
        </w:rPr>
        <w:t>PPSA</w:t>
      </w:r>
      <w:r w:rsidRPr="00F01F21">
        <w:rPr>
          <w:sz w:val="22"/>
          <w:szCs w:val="22"/>
        </w:rPr>
        <w:t xml:space="preserve">s reviewed it was difficult to locate background information and IA found that the information and communication tools related to </w:t>
      </w:r>
      <w:r w:rsidRPr="00F01F21">
        <w:rPr>
          <w:i/>
          <w:iCs/>
          <w:sz w:val="22"/>
          <w:szCs w:val="22"/>
        </w:rPr>
        <w:t>PPSA</w:t>
      </w:r>
      <w:r w:rsidRPr="00F01F21">
        <w:rPr>
          <w:sz w:val="22"/>
          <w:szCs w:val="22"/>
        </w:rPr>
        <w:t xml:space="preserve">s under the scope of the audit are ineffective and cannot be considered as able to fully support </w:t>
      </w:r>
      <w:r w:rsidRPr="00F01F21">
        <w:rPr>
          <w:i/>
          <w:iCs/>
          <w:sz w:val="22"/>
          <w:szCs w:val="22"/>
        </w:rPr>
        <w:t>PPSA</w:t>
      </w:r>
      <w:r w:rsidRPr="00F01F21">
        <w:rPr>
          <w:sz w:val="22"/>
          <w:szCs w:val="22"/>
        </w:rPr>
        <w:t xml:space="preserve">s objectives. It was </w:t>
      </w:r>
      <w:r w:rsidRPr="00F01F21">
        <w:rPr>
          <w:sz w:val="22"/>
          <w:szCs w:val="22"/>
          <w:u w:val="single"/>
        </w:rPr>
        <w:t>recommended</w:t>
      </w:r>
      <w:r w:rsidRPr="00F01F21">
        <w:rPr>
          <w:sz w:val="22"/>
          <w:szCs w:val="22"/>
        </w:rPr>
        <w:t xml:space="preserve"> that adequate documentation and communication tools that better support the information access and flow of </w:t>
      </w:r>
      <w:r w:rsidRPr="00F01F21">
        <w:rPr>
          <w:i/>
          <w:iCs/>
          <w:sz w:val="22"/>
          <w:szCs w:val="22"/>
        </w:rPr>
        <w:t>PPSA</w:t>
      </w:r>
      <w:r w:rsidRPr="00F01F21">
        <w:rPr>
          <w:sz w:val="22"/>
          <w:szCs w:val="22"/>
        </w:rPr>
        <w:t xml:space="preserve"> are identified and implemented (including a central corporate repository of documents and information related to </w:t>
      </w:r>
      <w:r w:rsidRPr="00F01F21">
        <w:rPr>
          <w:i/>
          <w:iCs/>
          <w:sz w:val="22"/>
          <w:szCs w:val="22"/>
        </w:rPr>
        <w:t>PPSA</w:t>
      </w:r>
      <w:r w:rsidRPr="00F01F21">
        <w:rPr>
          <w:sz w:val="22"/>
          <w:szCs w:val="22"/>
        </w:rPr>
        <w:t xml:space="preserve">). </w:t>
      </w:r>
    </w:p>
    <w:p w14:paraId="67E8A995" w14:textId="512C350D" w:rsidR="00DD4324" w:rsidRPr="00F01F21" w:rsidRDefault="001652C5" w:rsidP="001652C5">
      <w:pPr>
        <w:pStyle w:val="Default"/>
        <w:jc w:val="both"/>
        <w:rPr>
          <w:sz w:val="22"/>
          <w:szCs w:val="22"/>
        </w:rPr>
      </w:pPr>
      <w:r w:rsidRPr="00F01F21">
        <w:rPr>
          <w:sz w:val="22"/>
          <w:szCs w:val="22"/>
        </w:rPr>
        <w:t xml:space="preserve">Finally, IA noted </w:t>
      </w:r>
      <w:r w:rsidR="0021134C" w:rsidRPr="00F01F21">
        <w:rPr>
          <w:sz w:val="22"/>
          <w:szCs w:val="22"/>
        </w:rPr>
        <w:t xml:space="preserve">that </w:t>
      </w:r>
      <w:r w:rsidRPr="00F01F21">
        <w:rPr>
          <w:sz w:val="22"/>
          <w:szCs w:val="22"/>
        </w:rPr>
        <w:t xml:space="preserve">the internal controls in relation to financial and asset management, expert travel and fellowships of </w:t>
      </w:r>
      <w:r w:rsidRPr="00F01F21">
        <w:rPr>
          <w:i/>
          <w:iCs/>
          <w:sz w:val="22"/>
          <w:szCs w:val="22"/>
        </w:rPr>
        <w:t>PPSA</w:t>
      </w:r>
      <w:r w:rsidRPr="00F01F21">
        <w:rPr>
          <w:sz w:val="22"/>
          <w:szCs w:val="22"/>
        </w:rPr>
        <w:t>s under the scope of the audit are partially effective.</w:t>
      </w:r>
      <w:r w:rsidRPr="00F01F21">
        <w:rPr>
          <w:sz w:val="22"/>
          <w:szCs w:val="22"/>
          <w:lang w:val="en-GB"/>
        </w:rPr>
        <w:t xml:space="preserve"> Internal controls in relation to consultants are ineffective</w:t>
      </w:r>
      <w:r w:rsidR="000B6B60">
        <w:rPr>
          <w:sz w:val="22"/>
          <w:szCs w:val="22"/>
          <w:lang w:val="en-GB"/>
        </w:rPr>
        <w:t>. As I</w:t>
      </w:r>
      <w:r w:rsidR="00C457D3">
        <w:rPr>
          <w:sz w:val="22"/>
          <w:szCs w:val="22"/>
          <w:lang w:val="en-GB"/>
        </w:rPr>
        <w:t>A</w:t>
      </w:r>
      <w:r w:rsidR="000B6B60">
        <w:rPr>
          <w:sz w:val="22"/>
          <w:szCs w:val="22"/>
          <w:lang w:val="en-GB"/>
        </w:rPr>
        <w:t xml:space="preserve"> </w:t>
      </w:r>
      <w:r w:rsidR="000B6B60" w:rsidRPr="000B6B60">
        <w:rPr>
          <w:sz w:val="22"/>
          <w:szCs w:val="22"/>
          <w:lang w:val="en-GB"/>
        </w:rPr>
        <w:t>already recommended with critical priority during a previous audit assignment to strengthen the controls over SSAs</w:t>
      </w:r>
      <w:r w:rsidR="00C457D3">
        <w:rPr>
          <w:sz w:val="22"/>
          <w:szCs w:val="22"/>
          <w:lang w:val="en-GB"/>
        </w:rPr>
        <w:t>,</w:t>
      </w:r>
      <w:r w:rsidR="000B6B60" w:rsidRPr="000B6B60">
        <w:rPr>
          <w:sz w:val="22"/>
          <w:szCs w:val="22"/>
          <w:lang w:val="en-GB"/>
        </w:rPr>
        <w:t xml:space="preserve"> IA reiterate</w:t>
      </w:r>
      <w:r w:rsidR="000B6B60">
        <w:rPr>
          <w:sz w:val="22"/>
          <w:szCs w:val="22"/>
          <w:lang w:val="en-GB"/>
        </w:rPr>
        <w:t>d</w:t>
      </w:r>
      <w:r w:rsidR="000B6B60" w:rsidRPr="000B6B60">
        <w:rPr>
          <w:sz w:val="22"/>
          <w:szCs w:val="22"/>
          <w:lang w:val="en-GB"/>
        </w:rPr>
        <w:t xml:space="preserve"> the recommendation for considering the urgent and essential need of procedures and practices for the Union to handle adequately the recruitment and managements of SSAs.</w:t>
      </w:r>
      <w:r w:rsidRPr="00F01F21">
        <w:rPr>
          <w:sz w:val="22"/>
          <w:szCs w:val="22"/>
          <w:lang w:val="en-GB"/>
        </w:rPr>
        <w:t xml:space="preserve"> It was </w:t>
      </w:r>
      <w:r w:rsidR="00C457D3">
        <w:rPr>
          <w:sz w:val="22"/>
          <w:szCs w:val="22"/>
          <w:lang w:val="en-GB"/>
        </w:rPr>
        <w:t xml:space="preserve">also </w:t>
      </w:r>
      <w:r w:rsidRPr="00F01F21">
        <w:rPr>
          <w:sz w:val="22"/>
          <w:szCs w:val="22"/>
          <w:u w:val="single"/>
          <w:lang w:val="en-GB"/>
        </w:rPr>
        <w:t>recommended</w:t>
      </w:r>
      <w:r w:rsidRPr="00F01F21">
        <w:rPr>
          <w:sz w:val="22"/>
          <w:szCs w:val="22"/>
          <w:lang w:val="en-GB"/>
        </w:rPr>
        <w:t xml:space="preserve"> that controls are strengthened over the various areas </w:t>
      </w:r>
      <w:r w:rsidR="00C457D3">
        <w:rPr>
          <w:sz w:val="22"/>
          <w:szCs w:val="22"/>
          <w:lang w:val="en-GB"/>
        </w:rPr>
        <w:t xml:space="preserve">above </w:t>
      </w:r>
      <w:r w:rsidRPr="00F01F21">
        <w:rPr>
          <w:sz w:val="22"/>
          <w:szCs w:val="22"/>
          <w:lang w:val="en-GB"/>
        </w:rPr>
        <w:t>and that remaining funds related to closed projects are cleared.</w:t>
      </w:r>
      <w:r w:rsidR="00576E4E" w:rsidRPr="00F01F21">
        <w:rPr>
          <w:sz w:val="22"/>
          <w:szCs w:val="22"/>
        </w:rPr>
        <w:t xml:space="preserve"> </w:t>
      </w:r>
    </w:p>
    <w:p w14:paraId="7EBE04B3" w14:textId="57679601" w:rsidR="0021134C" w:rsidRPr="00F01F21" w:rsidRDefault="0021134C" w:rsidP="0021134C">
      <w:pPr>
        <w:pStyle w:val="ListParagraph"/>
        <w:numPr>
          <w:ilvl w:val="0"/>
          <w:numId w:val="2"/>
        </w:numPr>
        <w:adjustRightInd w:val="0"/>
        <w:snapToGrid w:val="0"/>
        <w:spacing w:before="120" w:after="120" w:line="240" w:lineRule="auto"/>
        <w:ind w:left="0" w:firstLine="0"/>
        <w:contextualSpacing w:val="0"/>
        <w:jc w:val="both"/>
        <w:rPr>
          <w:rFonts w:cstheme="minorHAnsi"/>
        </w:rPr>
      </w:pPr>
      <w:r w:rsidRPr="00F01F21">
        <w:t>Management agreed to the recommendations and indicated to be committed to implement them promptly.</w:t>
      </w:r>
    </w:p>
    <w:p w14:paraId="0B07DACF" w14:textId="77777777" w:rsidR="00297419" w:rsidRPr="00F01F21" w:rsidRDefault="00297419" w:rsidP="00DA0565">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cstheme="minorHAnsi"/>
          <w:szCs w:val="28"/>
          <w:lang w:val="en-CA"/>
        </w:rPr>
      </w:pPr>
      <w:r w:rsidRPr="00F01F21">
        <w:rPr>
          <w:rFonts w:asciiTheme="minorHAnsi" w:hAnsiTheme="minorHAnsi" w:cstheme="minorHAnsi"/>
          <w:szCs w:val="28"/>
          <w:lang w:val="en-CA"/>
        </w:rPr>
        <w:t>Consulting services by Internal Audit</w:t>
      </w:r>
    </w:p>
    <w:p w14:paraId="35D3B82B" w14:textId="77777777" w:rsidR="00297419" w:rsidRPr="00F01F21" w:rsidRDefault="00297419" w:rsidP="00DA0565">
      <w:pPr>
        <w:pStyle w:val="FootnoteText"/>
        <w:keepLines w:val="0"/>
        <w:tabs>
          <w:tab w:val="clear" w:pos="256"/>
          <w:tab w:val="clear" w:pos="567"/>
          <w:tab w:val="clear" w:pos="1134"/>
          <w:tab w:val="clear" w:pos="1701"/>
          <w:tab w:val="clear" w:pos="2268"/>
          <w:tab w:val="clear" w:pos="2835"/>
        </w:tabs>
        <w:overflowPunct/>
        <w:autoSpaceDE/>
        <w:autoSpaceDN/>
        <w:snapToGrid w:val="0"/>
        <w:spacing w:after="120"/>
        <w:ind w:left="502" w:firstLine="0"/>
        <w:jc w:val="both"/>
        <w:textAlignment w:val="auto"/>
        <w:rPr>
          <w:rFonts w:asciiTheme="minorHAnsi" w:hAnsiTheme="minorHAnsi" w:cstheme="minorHAnsi"/>
          <w:b/>
          <w:bCs/>
          <w:i/>
          <w:iCs/>
          <w:szCs w:val="24"/>
        </w:rPr>
      </w:pPr>
      <w:r w:rsidRPr="00F01F21">
        <w:rPr>
          <w:rFonts w:asciiTheme="minorHAnsi" w:hAnsiTheme="minorHAnsi" w:cstheme="minorHAnsi"/>
          <w:b/>
          <w:bCs/>
          <w:i/>
          <w:iCs/>
          <w:szCs w:val="24"/>
        </w:rPr>
        <w:t>Forensic audit</w:t>
      </w:r>
    </w:p>
    <w:p w14:paraId="164D2377" w14:textId="2766D000" w:rsidR="006C4CCF" w:rsidRPr="00F01F21" w:rsidRDefault="00297419" w:rsidP="00297419">
      <w:pPr>
        <w:pStyle w:val="ListParagraph"/>
        <w:numPr>
          <w:ilvl w:val="0"/>
          <w:numId w:val="2"/>
        </w:numPr>
        <w:snapToGrid w:val="0"/>
        <w:spacing w:before="120" w:after="120" w:line="240" w:lineRule="auto"/>
        <w:ind w:left="0" w:firstLine="0"/>
        <w:contextualSpacing w:val="0"/>
        <w:jc w:val="both"/>
        <w:rPr>
          <w:rFonts w:cstheme="minorHAnsi"/>
        </w:rPr>
      </w:pPr>
      <w:r w:rsidRPr="00F01F21">
        <w:rPr>
          <w:rFonts w:cstheme="minorHAnsi"/>
        </w:rPr>
        <w:t xml:space="preserve">Council 2019 adopted </w:t>
      </w:r>
      <w:hyperlink r:id="rId13" w:history="1">
        <w:r w:rsidRPr="00F01F21">
          <w:rPr>
            <w:rStyle w:val="Hyperlink"/>
            <w:rFonts w:cstheme="minorHAnsi"/>
          </w:rPr>
          <w:t>Decision 613</w:t>
        </w:r>
      </w:hyperlink>
      <w:r w:rsidRPr="00F01F21">
        <w:rPr>
          <w:rFonts w:cstheme="minorHAnsi"/>
        </w:rPr>
        <w:t xml:space="preserve"> instructing the Secretary-General to conduct a forensic audit. </w:t>
      </w:r>
      <w:r w:rsidR="001255C4" w:rsidRPr="00F01F21">
        <w:rPr>
          <w:rFonts w:cstheme="minorHAnsi"/>
        </w:rPr>
        <w:t xml:space="preserve">An </w:t>
      </w:r>
      <w:r w:rsidR="001255C4" w:rsidRPr="00F01F21">
        <w:rPr>
          <w:rFonts w:cs="Calibri"/>
        </w:rPr>
        <w:t>external enterprise specialized in financial crime investigations</w:t>
      </w:r>
      <w:r w:rsidRPr="00F01F21">
        <w:rPr>
          <w:rFonts w:cstheme="minorHAnsi"/>
        </w:rPr>
        <w:t xml:space="preserve"> was contracted in January 2021 and conduct</w:t>
      </w:r>
      <w:r w:rsidR="001255C4" w:rsidRPr="00F01F21">
        <w:rPr>
          <w:rFonts w:cstheme="minorHAnsi"/>
        </w:rPr>
        <w:t>ed</w:t>
      </w:r>
      <w:r w:rsidRPr="00F01F21">
        <w:rPr>
          <w:rFonts w:cstheme="minorHAnsi"/>
        </w:rPr>
        <w:t xml:space="preserve"> the forensic audit work with IA as </w:t>
      </w:r>
      <w:r w:rsidR="001255C4" w:rsidRPr="00F01F21">
        <w:rPr>
          <w:rFonts w:cstheme="minorHAnsi"/>
        </w:rPr>
        <w:t xml:space="preserve">the Secretariat’s </w:t>
      </w:r>
      <w:r w:rsidRPr="00F01F21">
        <w:rPr>
          <w:rFonts w:cstheme="minorHAnsi"/>
        </w:rPr>
        <w:t xml:space="preserve">focal point. </w:t>
      </w:r>
      <w:r w:rsidR="009D4AF4">
        <w:t>The</w:t>
      </w:r>
      <w:r w:rsidR="009D4AF4" w:rsidRPr="00F01F21">
        <w:t xml:space="preserve"> </w:t>
      </w:r>
      <w:r w:rsidR="00D439E1" w:rsidRPr="00F01F21">
        <w:t>consultant PwC presented its forensic audit report to the 2021 Virtual Consultation of Council</w:t>
      </w:r>
      <w:r w:rsidR="00702011">
        <w:t>l</w:t>
      </w:r>
      <w:r w:rsidR="00D439E1" w:rsidRPr="00F01F21">
        <w:t xml:space="preserve">ors and </w:t>
      </w:r>
      <w:r w:rsidR="00D439E1" w:rsidRPr="00F01F21">
        <w:rPr>
          <w:lang w:eastAsia="fr-CH"/>
        </w:rPr>
        <w:t>stated that a final report would be available in September 2021 which would supplement the findings in the report on the initial examination. T</w:t>
      </w:r>
      <w:r w:rsidR="00D439E1" w:rsidRPr="00F01F21">
        <w:t>he final forensic audit report by PwC, was presented during the 14</w:t>
      </w:r>
      <w:r w:rsidR="00D439E1" w:rsidRPr="00F01F21">
        <w:rPr>
          <w:vertAlign w:val="superscript"/>
        </w:rPr>
        <w:t>th</w:t>
      </w:r>
      <w:r w:rsidR="00D439E1" w:rsidRPr="00F01F21">
        <w:t xml:space="preserve"> meeting of the Council Working Group on Financial and Human Resources (CWG-FHR), held virtually on 20 and 21 September 2021. It was concluded that “</w:t>
      </w:r>
      <w:r w:rsidR="00D439E1" w:rsidRPr="00F01F21">
        <w:rPr>
          <w:i/>
          <w:iCs/>
        </w:rPr>
        <w:t>the Secretariat would update the next meeting of CWG-FHR on the follow-up of the actions”</w:t>
      </w:r>
      <w:r w:rsidR="00D439E1" w:rsidRPr="00F01F21">
        <w:t>. IA coordinated and prepared t</w:t>
      </w:r>
      <w:r w:rsidR="00D439E1" w:rsidRPr="00F01F21">
        <w:rPr>
          <w:rFonts w:cstheme="minorHAnsi"/>
          <w:color w:val="000000"/>
          <w:lang w:eastAsia="fr-CH"/>
        </w:rPr>
        <w:t xml:space="preserve">he Secretariat’s summary document </w:t>
      </w:r>
      <w:r w:rsidR="00DA0565" w:rsidRPr="00F01F21">
        <w:rPr>
          <w:rFonts w:cstheme="minorHAnsi"/>
          <w:color w:val="000000"/>
          <w:lang w:eastAsia="fr-CH"/>
        </w:rPr>
        <w:t>(</w:t>
      </w:r>
      <w:hyperlink r:id="rId14" w:history="1">
        <w:r w:rsidR="00DA0565" w:rsidRPr="00F01F21">
          <w:rPr>
            <w:rStyle w:val="Hyperlink"/>
            <w:rFonts w:cstheme="minorHAnsi"/>
            <w:lang w:eastAsia="fr-CH"/>
          </w:rPr>
          <w:t>CWG-FHR-15/3</w:t>
        </w:r>
      </w:hyperlink>
      <w:r w:rsidR="00DA0565" w:rsidRPr="00F01F21">
        <w:rPr>
          <w:rFonts w:cstheme="minorHAnsi"/>
          <w:color w:val="000000"/>
          <w:lang w:eastAsia="fr-CH"/>
        </w:rPr>
        <w:t xml:space="preserve">) </w:t>
      </w:r>
      <w:r w:rsidR="00D439E1" w:rsidRPr="00F01F21">
        <w:rPr>
          <w:rFonts w:cstheme="minorHAnsi"/>
          <w:color w:val="000000"/>
          <w:lang w:eastAsia="fr-CH"/>
        </w:rPr>
        <w:t xml:space="preserve">containing the </w:t>
      </w:r>
      <w:r w:rsidR="00D439E1" w:rsidRPr="00F01F21">
        <w:rPr>
          <w:rFonts w:cstheme="minorHAnsi"/>
          <w:color w:val="000000"/>
          <w:u w:val="single"/>
          <w:lang w:eastAsia="fr-CH"/>
        </w:rPr>
        <w:t>status of implementation</w:t>
      </w:r>
      <w:r w:rsidR="00D439E1" w:rsidRPr="00F01F21">
        <w:rPr>
          <w:rFonts w:cstheme="minorHAnsi"/>
          <w:color w:val="000000"/>
          <w:lang w:eastAsia="fr-CH"/>
        </w:rPr>
        <w:t xml:space="preserve"> of PwC’s proposed actions</w:t>
      </w:r>
      <w:r w:rsidR="00DA0565" w:rsidRPr="00F01F21">
        <w:rPr>
          <w:rFonts w:cstheme="minorHAnsi"/>
          <w:color w:val="000000"/>
          <w:lang w:eastAsia="fr-CH"/>
        </w:rPr>
        <w:t>,</w:t>
      </w:r>
      <w:r w:rsidR="00D439E1" w:rsidRPr="00F01F21">
        <w:rPr>
          <w:rFonts w:cstheme="minorHAnsi"/>
          <w:color w:val="000000"/>
          <w:lang w:eastAsia="fr-CH"/>
        </w:rPr>
        <w:t xml:space="preserve"> for the </w:t>
      </w:r>
      <w:r w:rsidR="00D439E1" w:rsidRPr="00F01F21">
        <w:t>15</w:t>
      </w:r>
      <w:r w:rsidR="00D439E1" w:rsidRPr="00F01F21">
        <w:rPr>
          <w:vertAlign w:val="superscript"/>
        </w:rPr>
        <w:t>th</w:t>
      </w:r>
      <w:r w:rsidR="00D439E1" w:rsidRPr="00F01F21">
        <w:t xml:space="preserve"> meeting of CWG-FHR held virtually on 11 and 12 January 2022.</w:t>
      </w:r>
      <w:r w:rsidR="00D439E1" w:rsidRPr="00F01F21">
        <w:rPr>
          <w:rFonts w:cstheme="minorHAnsi"/>
        </w:rPr>
        <w:t xml:space="preserve"> </w:t>
      </w:r>
    </w:p>
    <w:p w14:paraId="433EE72F" w14:textId="77777777" w:rsidR="006C4CCF" w:rsidRPr="00F01F21" w:rsidRDefault="006C4CCF">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 w:val="22"/>
          <w:szCs w:val="22"/>
          <w:lang w:val="en-US" w:eastAsia="zh-CN"/>
        </w:rPr>
      </w:pPr>
      <w:r w:rsidRPr="00F01F21">
        <w:rPr>
          <w:rFonts w:cstheme="minorHAnsi"/>
          <w:sz w:val="22"/>
          <w:szCs w:val="22"/>
        </w:rPr>
        <w:br w:type="page"/>
      </w:r>
    </w:p>
    <w:p w14:paraId="2856378A" w14:textId="77777777" w:rsidR="00297419" w:rsidRPr="00F01F21" w:rsidRDefault="00297419" w:rsidP="006C4CCF">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Cs w:val="28"/>
          <w:lang w:val="en-CA"/>
        </w:rPr>
      </w:pPr>
      <w:r w:rsidRPr="00F01F21">
        <w:rPr>
          <w:rFonts w:asciiTheme="minorHAnsi" w:hAnsiTheme="minorHAnsi" w:cstheme="minorHAnsi"/>
          <w:szCs w:val="28"/>
          <w:lang w:val="en-CA"/>
        </w:rPr>
        <w:lastRenderedPageBreak/>
        <w:t>Follow-up of internal audit recommendations</w:t>
      </w:r>
    </w:p>
    <w:p w14:paraId="6968DAB0" w14:textId="5F346810" w:rsidR="00572A9D" w:rsidRPr="001C20D8" w:rsidRDefault="00297419" w:rsidP="001C20D8">
      <w:pPr>
        <w:pStyle w:val="ListParagraph"/>
        <w:numPr>
          <w:ilvl w:val="0"/>
          <w:numId w:val="2"/>
        </w:numPr>
        <w:adjustRightInd w:val="0"/>
        <w:snapToGrid w:val="0"/>
        <w:spacing w:after="0" w:line="240" w:lineRule="auto"/>
        <w:ind w:left="0" w:firstLine="0"/>
        <w:contextualSpacing w:val="0"/>
        <w:jc w:val="both"/>
      </w:pPr>
      <w:r w:rsidRPr="00F01F21">
        <w:rPr>
          <w:rFonts w:cstheme="minorHAnsi"/>
          <w:lang w:val="en-CA"/>
        </w:rPr>
        <w:t xml:space="preserve">Throughout the period reported on, IA continued to follow up on recommendations made in previous audit reports. Further progress was noted over the last 12 months and statistics on the implementation (as at 31 </w:t>
      </w:r>
      <w:r w:rsidR="006C4CCF" w:rsidRPr="00F01F21">
        <w:rPr>
          <w:rFonts w:cstheme="minorHAnsi"/>
          <w:lang w:val="en-CA"/>
        </w:rPr>
        <w:t>January 2022</w:t>
      </w:r>
      <w:r w:rsidRPr="00F01F21">
        <w:rPr>
          <w:rFonts w:cstheme="minorHAnsi"/>
          <w:lang w:val="en-CA"/>
        </w:rPr>
        <w:t>) are as follows:</w:t>
      </w:r>
    </w:p>
    <w:p w14:paraId="5CF34B82" w14:textId="7CA49317" w:rsidR="00572A9D" w:rsidRDefault="00572A9D" w:rsidP="001C20D8">
      <w:pPr>
        <w:snapToGrid w:val="0"/>
        <w:spacing w:before="0"/>
        <w:jc w:val="both"/>
      </w:pPr>
    </w:p>
    <w:tbl>
      <w:tblPr>
        <w:tblW w:w="9574" w:type="dxa"/>
        <w:tblLook w:val="04A0" w:firstRow="1" w:lastRow="0" w:firstColumn="1" w:lastColumn="0" w:noHBand="0" w:noVBand="1"/>
      </w:tblPr>
      <w:tblGrid>
        <w:gridCol w:w="1642"/>
        <w:gridCol w:w="661"/>
        <w:gridCol w:w="661"/>
        <w:gridCol w:w="661"/>
        <w:gridCol w:w="661"/>
        <w:gridCol w:w="661"/>
        <w:gridCol w:w="661"/>
        <w:gridCol w:w="661"/>
        <w:gridCol w:w="661"/>
        <w:gridCol w:w="661"/>
        <w:gridCol w:w="661"/>
        <w:gridCol w:w="661"/>
        <w:gridCol w:w="661"/>
      </w:tblGrid>
      <w:tr w:rsidR="001C20D8" w:rsidRPr="001C20D8" w14:paraId="1A6D452C" w14:textId="77777777" w:rsidTr="001C20D8">
        <w:trPr>
          <w:trHeight w:val="242"/>
        </w:trPr>
        <w:tc>
          <w:tcPr>
            <w:tcW w:w="1642"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36E923DE"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FFFFFF"/>
                <w:sz w:val="16"/>
                <w:szCs w:val="16"/>
                <w:lang w:eastAsia="en-GB"/>
              </w:rPr>
            </w:pPr>
            <w:r w:rsidRPr="001C20D8">
              <w:rPr>
                <w:rFonts w:ascii="Arial" w:hAnsi="Arial" w:cs="Arial"/>
                <w:b/>
                <w:bCs/>
                <w:color w:val="FFFFFF"/>
                <w:sz w:val="16"/>
                <w:szCs w:val="16"/>
                <w:lang w:eastAsia="en-GB"/>
              </w:rPr>
              <w:t>Year</w:t>
            </w:r>
          </w:p>
        </w:tc>
        <w:tc>
          <w:tcPr>
            <w:tcW w:w="661" w:type="dxa"/>
            <w:tcBorders>
              <w:top w:val="single" w:sz="8" w:space="0" w:color="auto"/>
              <w:left w:val="nil"/>
              <w:bottom w:val="single" w:sz="8" w:space="0" w:color="auto"/>
              <w:right w:val="single" w:sz="8" w:space="0" w:color="auto"/>
            </w:tcBorders>
            <w:shd w:val="clear" w:color="000000" w:fill="000000"/>
            <w:noWrap/>
            <w:vAlign w:val="center"/>
            <w:hideMark/>
          </w:tcPr>
          <w:p w14:paraId="2911DB7C"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1C20D8">
              <w:rPr>
                <w:rFonts w:ascii="Arial" w:hAnsi="Arial" w:cs="Arial"/>
                <w:b/>
                <w:bCs/>
                <w:color w:val="FFFFFF"/>
                <w:sz w:val="16"/>
                <w:szCs w:val="16"/>
                <w:lang w:eastAsia="en-GB"/>
              </w:rPr>
              <w:t>2011</w:t>
            </w:r>
          </w:p>
        </w:tc>
        <w:tc>
          <w:tcPr>
            <w:tcW w:w="661" w:type="dxa"/>
            <w:tcBorders>
              <w:top w:val="single" w:sz="8" w:space="0" w:color="auto"/>
              <w:left w:val="nil"/>
              <w:bottom w:val="single" w:sz="8" w:space="0" w:color="auto"/>
              <w:right w:val="single" w:sz="8" w:space="0" w:color="auto"/>
            </w:tcBorders>
            <w:shd w:val="clear" w:color="000000" w:fill="000000"/>
            <w:noWrap/>
            <w:vAlign w:val="center"/>
            <w:hideMark/>
          </w:tcPr>
          <w:p w14:paraId="2D1DE3BD"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1C20D8">
              <w:rPr>
                <w:rFonts w:ascii="Arial" w:hAnsi="Arial" w:cs="Arial"/>
                <w:b/>
                <w:bCs/>
                <w:color w:val="FFFFFF"/>
                <w:sz w:val="16"/>
                <w:szCs w:val="16"/>
                <w:lang w:eastAsia="en-GB"/>
              </w:rPr>
              <w:t>2012</w:t>
            </w:r>
          </w:p>
        </w:tc>
        <w:tc>
          <w:tcPr>
            <w:tcW w:w="661" w:type="dxa"/>
            <w:tcBorders>
              <w:top w:val="single" w:sz="8" w:space="0" w:color="auto"/>
              <w:left w:val="nil"/>
              <w:bottom w:val="single" w:sz="8" w:space="0" w:color="auto"/>
              <w:right w:val="single" w:sz="8" w:space="0" w:color="auto"/>
            </w:tcBorders>
            <w:shd w:val="clear" w:color="000000" w:fill="000000"/>
            <w:noWrap/>
            <w:vAlign w:val="center"/>
            <w:hideMark/>
          </w:tcPr>
          <w:p w14:paraId="6EB68C45"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1C20D8">
              <w:rPr>
                <w:rFonts w:ascii="Arial" w:hAnsi="Arial" w:cs="Arial"/>
                <w:b/>
                <w:bCs/>
                <w:color w:val="FFFFFF"/>
                <w:sz w:val="16"/>
                <w:szCs w:val="16"/>
                <w:lang w:eastAsia="en-GB"/>
              </w:rPr>
              <w:t>2013</w:t>
            </w:r>
          </w:p>
        </w:tc>
        <w:tc>
          <w:tcPr>
            <w:tcW w:w="661" w:type="dxa"/>
            <w:tcBorders>
              <w:top w:val="single" w:sz="8" w:space="0" w:color="auto"/>
              <w:left w:val="nil"/>
              <w:bottom w:val="single" w:sz="8" w:space="0" w:color="auto"/>
              <w:right w:val="single" w:sz="8" w:space="0" w:color="auto"/>
            </w:tcBorders>
            <w:shd w:val="clear" w:color="000000" w:fill="000000"/>
            <w:noWrap/>
            <w:vAlign w:val="center"/>
            <w:hideMark/>
          </w:tcPr>
          <w:p w14:paraId="6C301F43"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1C20D8">
              <w:rPr>
                <w:rFonts w:ascii="Arial" w:hAnsi="Arial" w:cs="Arial"/>
                <w:b/>
                <w:bCs/>
                <w:color w:val="FFFFFF"/>
                <w:sz w:val="16"/>
                <w:szCs w:val="16"/>
                <w:lang w:eastAsia="en-GB"/>
              </w:rPr>
              <w:t>2014</w:t>
            </w:r>
          </w:p>
        </w:tc>
        <w:tc>
          <w:tcPr>
            <w:tcW w:w="661" w:type="dxa"/>
            <w:tcBorders>
              <w:top w:val="single" w:sz="8" w:space="0" w:color="auto"/>
              <w:left w:val="nil"/>
              <w:bottom w:val="single" w:sz="8" w:space="0" w:color="auto"/>
              <w:right w:val="single" w:sz="8" w:space="0" w:color="auto"/>
            </w:tcBorders>
            <w:shd w:val="clear" w:color="000000" w:fill="000000"/>
            <w:noWrap/>
            <w:vAlign w:val="center"/>
            <w:hideMark/>
          </w:tcPr>
          <w:p w14:paraId="0D2C3246"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1C20D8">
              <w:rPr>
                <w:rFonts w:ascii="Arial" w:hAnsi="Arial" w:cs="Arial"/>
                <w:b/>
                <w:bCs/>
                <w:color w:val="FFFFFF"/>
                <w:sz w:val="16"/>
                <w:szCs w:val="16"/>
                <w:lang w:eastAsia="en-GB"/>
              </w:rPr>
              <w:t>2015</w:t>
            </w:r>
          </w:p>
        </w:tc>
        <w:tc>
          <w:tcPr>
            <w:tcW w:w="661" w:type="dxa"/>
            <w:tcBorders>
              <w:top w:val="single" w:sz="8" w:space="0" w:color="auto"/>
              <w:left w:val="nil"/>
              <w:bottom w:val="single" w:sz="8" w:space="0" w:color="auto"/>
              <w:right w:val="single" w:sz="8" w:space="0" w:color="auto"/>
            </w:tcBorders>
            <w:shd w:val="clear" w:color="000000" w:fill="000000"/>
            <w:noWrap/>
            <w:vAlign w:val="center"/>
            <w:hideMark/>
          </w:tcPr>
          <w:p w14:paraId="73914E51"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1C20D8">
              <w:rPr>
                <w:rFonts w:ascii="Arial" w:hAnsi="Arial" w:cs="Arial"/>
                <w:b/>
                <w:bCs/>
                <w:color w:val="FFFFFF"/>
                <w:sz w:val="16"/>
                <w:szCs w:val="16"/>
                <w:lang w:eastAsia="en-GB"/>
              </w:rPr>
              <w:t>2016</w:t>
            </w:r>
          </w:p>
        </w:tc>
        <w:tc>
          <w:tcPr>
            <w:tcW w:w="661" w:type="dxa"/>
            <w:tcBorders>
              <w:top w:val="single" w:sz="8" w:space="0" w:color="auto"/>
              <w:left w:val="nil"/>
              <w:bottom w:val="single" w:sz="8" w:space="0" w:color="auto"/>
              <w:right w:val="single" w:sz="8" w:space="0" w:color="auto"/>
            </w:tcBorders>
            <w:shd w:val="clear" w:color="000000" w:fill="000000"/>
            <w:noWrap/>
            <w:vAlign w:val="center"/>
            <w:hideMark/>
          </w:tcPr>
          <w:p w14:paraId="28765DAE"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1C20D8">
              <w:rPr>
                <w:rFonts w:ascii="Arial" w:hAnsi="Arial" w:cs="Arial"/>
                <w:b/>
                <w:bCs/>
                <w:color w:val="FFFFFF"/>
                <w:sz w:val="16"/>
                <w:szCs w:val="16"/>
                <w:lang w:eastAsia="en-GB"/>
              </w:rPr>
              <w:t>2017</w:t>
            </w:r>
          </w:p>
        </w:tc>
        <w:tc>
          <w:tcPr>
            <w:tcW w:w="661" w:type="dxa"/>
            <w:tcBorders>
              <w:top w:val="single" w:sz="8" w:space="0" w:color="auto"/>
              <w:left w:val="nil"/>
              <w:bottom w:val="single" w:sz="8" w:space="0" w:color="auto"/>
              <w:right w:val="single" w:sz="8" w:space="0" w:color="auto"/>
            </w:tcBorders>
            <w:shd w:val="clear" w:color="000000" w:fill="000000"/>
            <w:noWrap/>
            <w:vAlign w:val="center"/>
            <w:hideMark/>
          </w:tcPr>
          <w:p w14:paraId="5FF4B78C"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1C20D8">
              <w:rPr>
                <w:rFonts w:ascii="Arial" w:hAnsi="Arial" w:cs="Arial"/>
                <w:b/>
                <w:bCs/>
                <w:color w:val="FFFFFF"/>
                <w:sz w:val="16"/>
                <w:szCs w:val="16"/>
                <w:lang w:eastAsia="en-GB"/>
              </w:rPr>
              <w:t>2018</w:t>
            </w:r>
          </w:p>
        </w:tc>
        <w:tc>
          <w:tcPr>
            <w:tcW w:w="661" w:type="dxa"/>
            <w:tcBorders>
              <w:top w:val="single" w:sz="8" w:space="0" w:color="auto"/>
              <w:left w:val="nil"/>
              <w:bottom w:val="single" w:sz="8" w:space="0" w:color="auto"/>
              <w:right w:val="single" w:sz="8" w:space="0" w:color="auto"/>
            </w:tcBorders>
            <w:shd w:val="clear" w:color="000000" w:fill="000000"/>
            <w:noWrap/>
            <w:vAlign w:val="center"/>
            <w:hideMark/>
          </w:tcPr>
          <w:p w14:paraId="4A325FCF"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1C20D8">
              <w:rPr>
                <w:rFonts w:ascii="Arial" w:hAnsi="Arial" w:cs="Arial"/>
                <w:b/>
                <w:bCs/>
                <w:color w:val="FFFFFF"/>
                <w:sz w:val="16"/>
                <w:szCs w:val="16"/>
                <w:lang w:eastAsia="en-GB"/>
              </w:rPr>
              <w:t>2019</w:t>
            </w:r>
          </w:p>
        </w:tc>
        <w:tc>
          <w:tcPr>
            <w:tcW w:w="661" w:type="dxa"/>
            <w:tcBorders>
              <w:top w:val="single" w:sz="8" w:space="0" w:color="auto"/>
              <w:left w:val="nil"/>
              <w:bottom w:val="single" w:sz="8" w:space="0" w:color="auto"/>
              <w:right w:val="single" w:sz="8" w:space="0" w:color="auto"/>
            </w:tcBorders>
            <w:shd w:val="clear" w:color="000000" w:fill="000000"/>
            <w:vAlign w:val="center"/>
            <w:hideMark/>
          </w:tcPr>
          <w:p w14:paraId="09925BE6"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1C20D8">
              <w:rPr>
                <w:rFonts w:ascii="Arial" w:hAnsi="Arial" w:cs="Arial"/>
                <w:b/>
                <w:bCs/>
                <w:color w:val="FFFFFF"/>
                <w:sz w:val="16"/>
                <w:szCs w:val="16"/>
                <w:lang w:eastAsia="en-GB"/>
              </w:rPr>
              <w:t>2020</w:t>
            </w:r>
          </w:p>
        </w:tc>
        <w:tc>
          <w:tcPr>
            <w:tcW w:w="661" w:type="dxa"/>
            <w:tcBorders>
              <w:top w:val="single" w:sz="8" w:space="0" w:color="auto"/>
              <w:left w:val="nil"/>
              <w:bottom w:val="single" w:sz="8" w:space="0" w:color="auto"/>
              <w:right w:val="single" w:sz="8" w:space="0" w:color="auto"/>
            </w:tcBorders>
            <w:shd w:val="clear" w:color="000000" w:fill="000000"/>
            <w:vAlign w:val="center"/>
            <w:hideMark/>
          </w:tcPr>
          <w:p w14:paraId="4EDC35E9"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1C20D8">
              <w:rPr>
                <w:rFonts w:ascii="Arial" w:hAnsi="Arial" w:cs="Arial"/>
                <w:b/>
                <w:bCs/>
                <w:color w:val="FFFFFF"/>
                <w:sz w:val="16"/>
                <w:szCs w:val="16"/>
                <w:lang w:eastAsia="en-GB"/>
              </w:rPr>
              <w:t>2021</w:t>
            </w:r>
          </w:p>
        </w:tc>
        <w:tc>
          <w:tcPr>
            <w:tcW w:w="661" w:type="dxa"/>
            <w:tcBorders>
              <w:top w:val="single" w:sz="8" w:space="0" w:color="auto"/>
              <w:left w:val="nil"/>
              <w:bottom w:val="single" w:sz="8" w:space="0" w:color="auto"/>
              <w:right w:val="single" w:sz="8" w:space="0" w:color="auto"/>
            </w:tcBorders>
            <w:shd w:val="clear" w:color="000000" w:fill="000000"/>
            <w:noWrap/>
            <w:vAlign w:val="center"/>
            <w:hideMark/>
          </w:tcPr>
          <w:p w14:paraId="710CFDB0"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FFFFFF"/>
                <w:sz w:val="16"/>
                <w:szCs w:val="16"/>
                <w:lang w:eastAsia="en-GB"/>
              </w:rPr>
            </w:pPr>
            <w:r w:rsidRPr="001C20D8">
              <w:rPr>
                <w:rFonts w:ascii="Arial" w:hAnsi="Arial" w:cs="Arial"/>
                <w:b/>
                <w:bCs/>
                <w:color w:val="FFFFFF"/>
                <w:sz w:val="16"/>
                <w:szCs w:val="16"/>
                <w:lang w:eastAsia="en-GB"/>
              </w:rPr>
              <w:t xml:space="preserve">Total </w:t>
            </w:r>
          </w:p>
        </w:tc>
      </w:tr>
      <w:tr w:rsidR="001C20D8" w:rsidRPr="001C20D8" w14:paraId="276D56B7" w14:textId="77777777" w:rsidTr="001C20D8">
        <w:trPr>
          <w:trHeight w:val="242"/>
        </w:trPr>
        <w:tc>
          <w:tcPr>
            <w:tcW w:w="1642" w:type="dxa"/>
            <w:tcBorders>
              <w:top w:val="nil"/>
              <w:left w:val="single" w:sz="8" w:space="0" w:color="auto"/>
              <w:bottom w:val="single" w:sz="8" w:space="0" w:color="auto"/>
              <w:right w:val="single" w:sz="8" w:space="0" w:color="auto"/>
            </w:tcBorders>
            <w:shd w:val="clear" w:color="auto" w:fill="auto"/>
            <w:noWrap/>
            <w:vAlign w:val="center"/>
            <w:hideMark/>
          </w:tcPr>
          <w:p w14:paraId="6D0362C0"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1C20D8">
              <w:rPr>
                <w:rFonts w:ascii="Arial" w:hAnsi="Arial" w:cs="Arial"/>
                <w:color w:val="000000"/>
                <w:sz w:val="16"/>
                <w:szCs w:val="16"/>
                <w:lang w:eastAsia="en-GB"/>
              </w:rPr>
              <w:t>Number of audit reports/notes</w:t>
            </w:r>
          </w:p>
        </w:tc>
        <w:tc>
          <w:tcPr>
            <w:tcW w:w="661" w:type="dxa"/>
            <w:tcBorders>
              <w:top w:val="nil"/>
              <w:left w:val="nil"/>
              <w:bottom w:val="single" w:sz="8" w:space="0" w:color="auto"/>
              <w:right w:val="single" w:sz="8" w:space="0" w:color="auto"/>
            </w:tcBorders>
            <w:shd w:val="clear" w:color="auto" w:fill="auto"/>
            <w:noWrap/>
            <w:vAlign w:val="center"/>
            <w:hideMark/>
          </w:tcPr>
          <w:p w14:paraId="35F061AD"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2</w:t>
            </w:r>
          </w:p>
        </w:tc>
        <w:tc>
          <w:tcPr>
            <w:tcW w:w="661" w:type="dxa"/>
            <w:tcBorders>
              <w:top w:val="nil"/>
              <w:left w:val="nil"/>
              <w:bottom w:val="single" w:sz="8" w:space="0" w:color="auto"/>
              <w:right w:val="single" w:sz="8" w:space="0" w:color="auto"/>
            </w:tcBorders>
            <w:shd w:val="clear" w:color="auto" w:fill="auto"/>
            <w:noWrap/>
            <w:vAlign w:val="center"/>
            <w:hideMark/>
          </w:tcPr>
          <w:p w14:paraId="61E0027C"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nil"/>
              <w:left w:val="nil"/>
              <w:bottom w:val="single" w:sz="8" w:space="0" w:color="auto"/>
              <w:right w:val="single" w:sz="8" w:space="0" w:color="auto"/>
            </w:tcBorders>
            <w:shd w:val="clear" w:color="auto" w:fill="auto"/>
            <w:noWrap/>
            <w:vAlign w:val="center"/>
            <w:hideMark/>
          </w:tcPr>
          <w:p w14:paraId="69CC4AAD"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4</w:t>
            </w:r>
          </w:p>
        </w:tc>
        <w:tc>
          <w:tcPr>
            <w:tcW w:w="661" w:type="dxa"/>
            <w:tcBorders>
              <w:top w:val="nil"/>
              <w:left w:val="nil"/>
              <w:bottom w:val="single" w:sz="8" w:space="0" w:color="auto"/>
              <w:right w:val="nil"/>
            </w:tcBorders>
            <w:shd w:val="clear" w:color="auto" w:fill="auto"/>
            <w:noWrap/>
            <w:vAlign w:val="center"/>
            <w:hideMark/>
          </w:tcPr>
          <w:p w14:paraId="5D59C3CF"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4</w:t>
            </w:r>
          </w:p>
        </w:tc>
        <w:tc>
          <w:tcPr>
            <w:tcW w:w="661" w:type="dxa"/>
            <w:tcBorders>
              <w:top w:val="nil"/>
              <w:left w:val="single" w:sz="8" w:space="0" w:color="auto"/>
              <w:bottom w:val="single" w:sz="8" w:space="0" w:color="auto"/>
              <w:right w:val="nil"/>
            </w:tcBorders>
            <w:shd w:val="clear" w:color="auto" w:fill="auto"/>
            <w:noWrap/>
            <w:vAlign w:val="center"/>
            <w:hideMark/>
          </w:tcPr>
          <w:p w14:paraId="57B9CACB"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7</w:t>
            </w:r>
          </w:p>
        </w:tc>
        <w:tc>
          <w:tcPr>
            <w:tcW w:w="661" w:type="dxa"/>
            <w:tcBorders>
              <w:top w:val="nil"/>
              <w:left w:val="single" w:sz="8" w:space="0" w:color="auto"/>
              <w:bottom w:val="single" w:sz="8" w:space="0" w:color="auto"/>
              <w:right w:val="nil"/>
            </w:tcBorders>
            <w:shd w:val="clear" w:color="auto" w:fill="auto"/>
            <w:noWrap/>
            <w:vAlign w:val="center"/>
            <w:hideMark/>
          </w:tcPr>
          <w:p w14:paraId="0DA5AB7C"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4</w:t>
            </w:r>
          </w:p>
        </w:tc>
        <w:tc>
          <w:tcPr>
            <w:tcW w:w="661" w:type="dxa"/>
            <w:tcBorders>
              <w:top w:val="nil"/>
              <w:left w:val="single" w:sz="8" w:space="0" w:color="auto"/>
              <w:bottom w:val="single" w:sz="8" w:space="0" w:color="auto"/>
              <w:right w:val="nil"/>
            </w:tcBorders>
            <w:shd w:val="clear" w:color="auto" w:fill="auto"/>
            <w:noWrap/>
            <w:vAlign w:val="center"/>
            <w:hideMark/>
          </w:tcPr>
          <w:p w14:paraId="27B07071"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6</w:t>
            </w:r>
          </w:p>
        </w:tc>
        <w:tc>
          <w:tcPr>
            <w:tcW w:w="661" w:type="dxa"/>
            <w:tcBorders>
              <w:top w:val="nil"/>
              <w:left w:val="single" w:sz="8" w:space="0" w:color="auto"/>
              <w:bottom w:val="single" w:sz="8" w:space="0" w:color="auto"/>
              <w:right w:val="nil"/>
            </w:tcBorders>
            <w:shd w:val="clear" w:color="auto" w:fill="auto"/>
            <w:noWrap/>
            <w:vAlign w:val="center"/>
            <w:hideMark/>
          </w:tcPr>
          <w:p w14:paraId="36D661F6"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4</w:t>
            </w:r>
          </w:p>
        </w:tc>
        <w:tc>
          <w:tcPr>
            <w:tcW w:w="661" w:type="dxa"/>
            <w:tcBorders>
              <w:top w:val="nil"/>
              <w:left w:val="single" w:sz="8" w:space="0" w:color="auto"/>
              <w:bottom w:val="single" w:sz="8" w:space="0" w:color="auto"/>
              <w:right w:val="nil"/>
            </w:tcBorders>
            <w:shd w:val="clear" w:color="auto" w:fill="auto"/>
            <w:noWrap/>
            <w:vAlign w:val="center"/>
            <w:hideMark/>
          </w:tcPr>
          <w:p w14:paraId="5978FC13"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2</w:t>
            </w:r>
          </w:p>
        </w:tc>
        <w:tc>
          <w:tcPr>
            <w:tcW w:w="661" w:type="dxa"/>
            <w:tcBorders>
              <w:top w:val="nil"/>
              <w:left w:val="single" w:sz="8" w:space="0" w:color="auto"/>
              <w:bottom w:val="single" w:sz="8" w:space="0" w:color="auto"/>
              <w:right w:val="single" w:sz="8" w:space="0" w:color="auto"/>
            </w:tcBorders>
            <w:shd w:val="clear" w:color="auto" w:fill="auto"/>
            <w:vAlign w:val="center"/>
            <w:hideMark/>
          </w:tcPr>
          <w:p w14:paraId="116B395A"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2</w:t>
            </w:r>
          </w:p>
        </w:tc>
        <w:tc>
          <w:tcPr>
            <w:tcW w:w="661" w:type="dxa"/>
            <w:tcBorders>
              <w:top w:val="nil"/>
              <w:left w:val="nil"/>
              <w:bottom w:val="single" w:sz="8" w:space="0" w:color="auto"/>
              <w:right w:val="single" w:sz="8" w:space="0" w:color="auto"/>
            </w:tcBorders>
            <w:shd w:val="clear" w:color="auto" w:fill="auto"/>
            <w:vAlign w:val="center"/>
            <w:hideMark/>
          </w:tcPr>
          <w:p w14:paraId="5983DA01"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2</w:t>
            </w:r>
          </w:p>
        </w:tc>
        <w:tc>
          <w:tcPr>
            <w:tcW w:w="661" w:type="dxa"/>
            <w:tcBorders>
              <w:top w:val="nil"/>
              <w:left w:val="nil"/>
              <w:bottom w:val="single" w:sz="8" w:space="0" w:color="auto"/>
              <w:right w:val="single" w:sz="8" w:space="0" w:color="auto"/>
            </w:tcBorders>
            <w:shd w:val="clear" w:color="000000" w:fill="A6A6A6"/>
            <w:noWrap/>
            <w:vAlign w:val="center"/>
            <w:hideMark/>
          </w:tcPr>
          <w:p w14:paraId="324F4DED"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r w:rsidRPr="001C20D8">
              <w:rPr>
                <w:rFonts w:ascii="Arial" w:hAnsi="Arial" w:cs="Arial"/>
                <w:b/>
                <w:bCs/>
                <w:color w:val="000000"/>
                <w:sz w:val="16"/>
                <w:szCs w:val="16"/>
                <w:lang w:eastAsia="en-GB"/>
              </w:rPr>
              <w:t>37</w:t>
            </w:r>
          </w:p>
        </w:tc>
      </w:tr>
      <w:tr w:rsidR="001C20D8" w:rsidRPr="001C20D8" w14:paraId="4D934D1E" w14:textId="77777777" w:rsidTr="001C20D8">
        <w:trPr>
          <w:trHeight w:val="242"/>
        </w:trPr>
        <w:tc>
          <w:tcPr>
            <w:tcW w:w="1642" w:type="dxa"/>
            <w:tcBorders>
              <w:top w:val="nil"/>
              <w:left w:val="single" w:sz="8" w:space="0" w:color="auto"/>
              <w:bottom w:val="single" w:sz="8" w:space="0" w:color="auto"/>
              <w:right w:val="single" w:sz="8" w:space="0" w:color="auto"/>
            </w:tcBorders>
            <w:shd w:val="clear" w:color="auto" w:fill="auto"/>
            <w:noWrap/>
            <w:vAlign w:val="center"/>
            <w:hideMark/>
          </w:tcPr>
          <w:p w14:paraId="28A46740"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1C20D8">
              <w:rPr>
                <w:rFonts w:ascii="Arial" w:hAnsi="Arial" w:cs="Arial"/>
                <w:color w:val="000000"/>
                <w:sz w:val="16"/>
                <w:szCs w:val="16"/>
                <w:lang w:eastAsia="en-GB"/>
              </w:rPr>
              <w:t>Rec. – Total</w:t>
            </w:r>
          </w:p>
        </w:tc>
        <w:tc>
          <w:tcPr>
            <w:tcW w:w="661" w:type="dxa"/>
            <w:tcBorders>
              <w:top w:val="nil"/>
              <w:left w:val="nil"/>
              <w:bottom w:val="single" w:sz="8" w:space="0" w:color="auto"/>
              <w:right w:val="single" w:sz="8" w:space="0" w:color="auto"/>
            </w:tcBorders>
            <w:shd w:val="clear" w:color="auto" w:fill="auto"/>
            <w:noWrap/>
            <w:vAlign w:val="center"/>
            <w:hideMark/>
          </w:tcPr>
          <w:p w14:paraId="4619C1A4"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17</w:t>
            </w:r>
          </w:p>
        </w:tc>
        <w:tc>
          <w:tcPr>
            <w:tcW w:w="661" w:type="dxa"/>
            <w:tcBorders>
              <w:top w:val="nil"/>
              <w:left w:val="nil"/>
              <w:bottom w:val="single" w:sz="8" w:space="0" w:color="auto"/>
              <w:right w:val="single" w:sz="8" w:space="0" w:color="auto"/>
            </w:tcBorders>
            <w:shd w:val="clear" w:color="auto" w:fill="auto"/>
            <w:noWrap/>
            <w:vAlign w:val="center"/>
            <w:hideMark/>
          </w:tcPr>
          <w:p w14:paraId="65267DAD"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w:t>
            </w:r>
          </w:p>
        </w:tc>
        <w:tc>
          <w:tcPr>
            <w:tcW w:w="661" w:type="dxa"/>
            <w:tcBorders>
              <w:top w:val="nil"/>
              <w:left w:val="nil"/>
              <w:bottom w:val="single" w:sz="8" w:space="0" w:color="auto"/>
              <w:right w:val="single" w:sz="8" w:space="0" w:color="auto"/>
            </w:tcBorders>
            <w:shd w:val="clear" w:color="auto" w:fill="auto"/>
            <w:noWrap/>
            <w:vAlign w:val="center"/>
            <w:hideMark/>
          </w:tcPr>
          <w:p w14:paraId="10B05288"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113</w:t>
            </w:r>
          </w:p>
        </w:tc>
        <w:tc>
          <w:tcPr>
            <w:tcW w:w="661" w:type="dxa"/>
            <w:tcBorders>
              <w:top w:val="nil"/>
              <w:left w:val="nil"/>
              <w:bottom w:val="single" w:sz="8" w:space="0" w:color="auto"/>
              <w:right w:val="nil"/>
            </w:tcBorders>
            <w:shd w:val="clear" w:color="auto" w:fill="auto"/>
            <w:noWrap/>
            <w:vAlign w:val="center"/>
            <w:hideMark/>
          </w:tcPr>
          <w:p w14:paraId="575AE879"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55</w:t>
            </w:r>
          </w:p>
        </w:tc>
        <w:tc>
          <w:tcPr>
            <w:tcW w:w="661" w:type="dxa"/>
            <w:tcBorders>
              <w:top w:val="nil"/>
              <w:left w:val="single" w:sz="8" w:space="0" w:color="auto"/>
              <w:bottom w:val="single" w:sz="8" w:space="0" w:color="auto"/>
              <w:right w:val="nil"/>
            </w:tcBorders>
            <w:shd w:val="clear" w:color="auto" w:fill="auto"/>
            <w:noWrap/>
            <w:vAlign w:val="center"/>
            <w:hideMark/>
          </w:tcPr>
          <w:p w14:paraId="55954538"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34</w:t>
            </w:r>
          </w:p>
        </w:tc>
        <w:tc>
          <w:tcPr>
            <w:tcW w:w="661" w:type="dxa"/>
            <w:tcBorders>
              <w:top w:val="nil"/>
              <w:left w:val="single" w:sz="8" w:space="0" w:color="auto"/>
              <w:bottom w:val="single" w:sz="8" w:space="0" w:color="auto"/>
              <w:right w:val="nil"/>
            </w:tcBorders>
            <w:shd w:val="clear" w:color="auto" w:fill="auto"/>
            <w:noWrap/>
            <w:vAlign w:val="center"/>
            <w:hideMark/>
          </w:tcPr>
          <w:p w14:paraId="5A8D5853"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22</w:t>
            </w:r>
          </w:p>
        </w:tc>
        <w:tc>
          <w:tcPr>
            <w:tcW w:w="661" w:type="dxa"/>
            <w:tcBorders>
              <w:top w:val="nil"/>
              <w:left w:val="single" w:sz="8" w:space="0" w:color="auto"/>
              <w:bottom w:val="single" w:sz="8" w:space="0" w:color="auto"/>
              <w:right w:val="nil"/>
            </w:tcBorders>
            <w:shd w:val="clear" w:color="auto" w:fill="auto"/>
            <w:noWrap/>
            <w:vAlign w:val="center"/>
            <w:hideMark/>
          </w:tcPr>
          <w:p w14:paraId="7B823FF7"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35</w:t>
            </w:r>
          </w:p>
        </w:tc>
        <w:tc>
          <w:tcPr>
            <w:tcW w:w="661" w:type="dxa"/>
            <w:tcBorders>
              <w:top w:val="nil"/>
              <w:left w:val="single" w:sz="8" w:space="0" w:color="auto"/>
              <w:bottom w:val="single" w:sz="8" w:space="0" w:color="auto"/>
              <w:right w:val="nil"/>
            </w:tcBorders>
            <w:shd w:val="clear" w:color="auto" w:fill="auto"/>
            <w:noWrap/>
            <w:vAlign w:val="center"/>
            <w:hideMark/>
          </w:tcPr>
          <w:p w14:paraId="4EDCE270"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26</w:t>
            </w:r>
          </w:p>
        </w:tc>
        <w:tc>
          <w:tcPr>
            <w:tcW w:w="661" w:type="dxa"/>
            <w:tcBorders>
              <w:top w:val="nil"/>
              <w:left w:val="single" w:sz="8" w:space="0" w:color="auto"/>
              <w:bottom w:val="single" w:sz="8" w:space="0" w:color="auto"/>
              <w:right w:val="nil"/>
            </w:tcBorders>
            <w:shd w:val="clear" w:color="auto" w:fill="auto"/>
            <w:noWrap/>
            <w:vAlign w:val="center"/>
            <w:hideMark/>
          </w:tcPr>
          <w:p w14:paraId="0AE7B856"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15</w:t>
            </w:r>
          </w:p>
        </w:tc>
        <w:tc>
          <w:tcPr>
            <w:tcW w:w="661" w:type="dxa"/>
            <w:tcBorders>
              <w:top w:val="nil"/>
              <w:left w:val="single" w:sz="8" w:space="0" w:color="auto"/>
              <w:bottom w:val="single" w:sz="8" w:space="0" w:color="auto"/>
              <w:right w:val="single" w:sz="8" w:space="0" w:color="auto"/>
            </w:tcBorders>
            <w:shd w:val="clear" w:color="auto" w:fill="auto"/>
            <w:vAlign w:val="center"/>
            <w:hideMark/>
          </w:tcPr>
          <w:p w14:paraId="76975FF4"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9</w:t>
            </w:r>
          </w:p>
        </w:tc>
        <w:tc>
          <w:tcPr>
            <w:tcW w:w="661" w:type="dxa"/>
            <w:tcBorders>
              <w:top w:val="nil"/>
              <w:left w:val="nil"/>
              <w:bottom w:val="single" w:sz="8" w:space="0" w:color="auto"/>
              <w:right w:val="single" w:sz="8" w:space="0" w:color="auto"/>
            </w:tcBorders>
            <w:shd w:val="clear" w:color="auto" w:fill="auto"/>
            <w:vAlign w:val="center"/>
            <w:hideMark/>
          </w:tcPr>
          <w:p w14:paraId="284913FF"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19</w:t>
            </w:r>
          </w:p>
        </w:tc>
        <w:tc>
          <w:tcPr>
            <w:tcW w:w="661" w:type="dxa"/>
            <w:tcBorders>
              <w:top w:val="nil"/>
              <w:left w:val="nil"/>
              <w:bottom w:val="single" w:sz="8" w:space="0" w:color="auto"/>
              <w:right w:val="single" w:sz="8" w:space="0" w:color="auto"/>
            </w:tcBorders>
            <w:shd w:val="clear" w:color="000000" w:fill="A6A6A6"/>
            <w:noWrap/>
            <w:vAlign w:val="center"/>
            <w:hideMark/>
          </w:tcPr>
          <w:p w14:paraId="1690D6F6"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r w:rsidRPr="001C20D8">
              <w:rPr>
                <w:rFonts w:ascii="Arial" w:hAnsi="Arial" w:cs="Arial"/>
                <w:b/>
                <w:bCs/>
                <w:color w:val="000000"/>
                <w:sz w:val="16"/>
                <w:szCs w:val="16"/>
                <w:lang w:eastAsia="en-GB"/>
              </w:rPr>
              <w:t>345</w:t>
            </w:r>
          </w:p>
        </w:tc>
      </w:tr>
      <w:tr w:rsidR="001C20D8" w:rsidRPr="001C20D8" w14:paraId="75E022CC" w14:textId="77777777" w:rsidTr="001C20D8">
        <w:trPr>
          <w:trHeight w:val="242"/>
        </w:trPr>
        <w:tc>
          <w:tcPr>
            <w:tcW w:w="1642" w:type="dxa"/>
            <w:tcBorders>
              <w:top w:val="nil"/>
              <w:left w:val="single" w:sz="8" w:space="0" w:color="auto"/>
              <w:bottom w:val="single" w:sz="8" w:space="0" w:color="auto"/>
              <w:right w:val="single" w:sz="8" w:space="0" w:color="auto"/>
            </w:tcBorders>
            <w:shd w:val="clear" w:color="auto" w:fill="auto"/>
            <w:noWrap/>
            <w:vAlign w:val="center"/>
            <w:hideMark/>
          </w:tcPr>
          <w:p w14:paraId="2702691E"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1C20D8">
              <w:rPr>
                <w:rFonts w:ascii="Arial" w:hAnsi="Arial" w:cs="Arial"/>
                <w:color w:val="000000"/>
                <w:sz w:val="16"/>
                <w:szCs w:val="16"/>
                <w:lang w:eastAsia="en-GB"/>
              </w:rPr>
              <w:t xml:space="preserve">    In Progress</w:t>
            </w:r>
          </w:p>
        </w:tc>
        <w:tc>
          <w:tcPr>
            <w:tcW w:w="661" w:type="dxa"/>
            <w:tcBorders>
              <w:top w:val="nil"/>
              <w:left w:val="nil"/>
              <w:bottom w:val="single" w:sz="8" w:space="0" w:color="auto"/>
              <w:right w:val="single" w:sz="8" w:space="0" w:color="auto"/>
            </w:tcBorders>
            <w:shd w:val="clear" w:color="000000" w:fill="FFFFFF"/>
            <w:noWrap/>
            <w:vAlign w:val="center"/>
            <w:hideMark/>
          </w:tcPr>
          <w:p w14:paraId="228768FC"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nil"/>
              <w:left w:val="nil"/>
              <w:bottom w:val="single" w:sz="8" w:space="0" w:color="auto"/>
              <w:right w:val="single" w:sz="8" w:space="0" w:color="auto"/>
            </w:tcBorders>
            <w:shd w:val="clear" w:color="auto" w:fill="auto"/>
            <w:noWrap/>
            <w:vAlign w:val="center"/>
            <w:hideMark/>
          </w:tcPr>
          <w:p w14:paraId="3FD35128"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w:t>
            </w:r>
          </w:p>
        </w:tc>
        <w:tc>
          <w:tcPr>
            <w:tcW w:w="661" w:type="dxa"/>
            <w:tcBorders>
              <w:top w:val="nil"/>
              <w:left w:val="nil"/>
              <w:bottom w:val="single" w:sz="8" w:space="0" w:color="auto"/>
              <w:right w:val="single" w:sz="8" w:space="0" w:color="auto"/>
            </w:tcBorders>
            <w:shd w:val="clear" w:color="000000" w:fill="FFFFFF"/>
            <w:noWrap/>
            <w:vAlign w:val="center"/>
            <w:hideMark/>
          </w:tcPr>
          <w:p w14:paraId="28DD3B8E"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4</w:t>
            </w:r>
          </w:p>
        </w:tc>
        <w:tc>
          <w:tcPr>
            <w:tcW w:w="661" w:type="dxa"/>
            <w:tcBorders>
              <w:top w:val="nil"/>
              <w:left w:val="nil"/>
              <w:bottom w:val="single" w:sz="8" w:space="0" w:color="auto"/>
              <w:right w:val="nil"/>
            </w:tcBorders>
            <w:shd w:val="clear" w:color="000000" w:fill="FFFFFF"/>
            <w:noWrap/>
            <w:vAlign w:val="center"/>
            <w:hideMark/>
          </w:tcPr>
          <w:p w14:paraId="4A429020"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2</w:t>
            </w:r>
          </w:p>
        </w:tc>
        <w:tc>
          <w:tcPr>
            <w:tcW w:w="661" w:type="dxa"/>
            <w:tcBorders>
              <w:top w:val="nil"/>
              <w:left w:val="single" w:sz="8" w:space="0" w:color="auto"/>
              <w:bottom w:val="single" w:sz="8" w:space="0" w:color="auto"/>
              <w:right w:val="nil"/>
            </w:tcBorders>
            <w:shd w:val="clear" w:color="000000" w:fill="FFFFFF"/>
            <w:noWrap/>
            <w:vAlign w:val="center"/>
            <w:hideMark/>
          </w:tcPr>
          <w:p w14:paraId="769FF7C9"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nil"/>
              <w:left w:val="single" w:sz="8" w:space="0" w:color="auto"/>
              <w:bottom w:val="single" w:sz="8" w:space="0" w:color="auto"/>
              <w:right w:val="nil"/>
            </w:tcBorders>
            <w:shd w:val="clear" w:color="000000" w:fill="FFFFFF"/>
            <w:noWrap/>
            <w:vAlign w:val="center"/>
            <w:hideMark/>
          </w:tcPr>
          <w:p w14:paraId="71F1C3E4"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6</w:t>
            </w:r>
          </w:p>
        </w:tc>
        <w:tc>
          <w:tcPr>
            <w:tcW w:w="661" w:type="dxa"/>
            <w:tcBorders>
              <w:top w:val="nil"/>
              <w:left w:val="single" w:sz="8" w:space="0" w:color="auto"/>
              <w:bottom w:val="single" w:sz="8" w:space="0" w:color="auto"/>
              <w:right w:val="nil"/>
            </w:tcBorders>
            <w:shd w:val="clear" w:color="000000" w:fill="FFFFFF"/>
            <w:noWrap/>
            <w:vAlign w:val="center"/>
            <w:hideMark/>
          </w:tcPr>
          <w:p w14:paraId="62F4F4FE"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13</w:t>
            </w:r>
          </w:p>
        </w:tc>
        <w:tc>
          <w:tcPr>
            <w:tcW w:w="661" w:type="dxa"/>
            <w:tcBorders>
              <w:top w:val="nil"/>
              <w:left w:val="single" w:sz="8" w:space="0" w:color="auto"/>
              <w:bottom w:val="single" w:sz="8" w:space="0" w:color="auto"/>
              <w:right w:val="nil"/>
            </w:tcBorders>
            <w:shd w:val="clear" w:color="000000" w:fill="FFFFFF"/>
            <w:noWrap/>
            <w:vAlign w:val="center"/>
            <w:hideMark/>
          </w:tcPr>
          <w:p w14:paraId="6A679527"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10</w:t>
            </w:r>
          </w:p>
        </w:tc>
        <w:tc>
          <w:tcPr>
            <w:tcW w:w="661" w:type="dxa"/>
            <w:tcBorders>
              <w:top w:val="nil"/>
              <w:left w:val="single" w:sz="8" w:space="0" w:color="auto"/>
              <w:bottom w:val="single" w:sz="8" w:space="0" w:color="auto"/>
              <w:right w:val="nil"/>
            </w:tcBorders>
            <w:shd w:val="clear" w:color="000000" w:fill="FFFFFF"/>
            <w:noWrap/>
            <w:vAlign w:val="center"/>
            <w:hideMark/>
          </w:tcPr>
          <w:p w14:paraId="22D1F40D"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3</w:t>
            </w:r>
          </w:p>
        </w:tc>
        <w:tc>
          <w:tcPr>
            <w:tcW w:w="661" w:type="dxa"/>
            <w:tcBorders>
              <w:top w:val="nil"/>
              <w:left w:val="single" w:sz="8" w:space="0" w:color="auto"/>
              <w:bottom w:val="single" w:sz="8" w:space="0" w:color="auto"/>
              <w:right w:val="single" w:sz="8" w:space="0" w:color="auto"/>
            </w:tcBorders>
            <w:shd w:val="clear" w:color="auto" w:fill="auto"/>
            <w:vAlign w:val="center"/>
            <w:hideMark/>
          </w:tcPr>
          <w:p w14:paraId="6B8C6C5D"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4</w:t>
            </w:r>
          </w:p>
        </w:tc>
        <w:tc>
          <w:tcPr>
            <w:tcW w:w="661" w:type="dxa"/>
            <w:tcBorders>
              <w:top w:val="nil"/>
              <w:left w:val="nil"/>
              <w:bottom w:val="single" w:sz="8" w:space="0" w:color="auto"/>
              <w:right w:val="single" w:sz="8" w:space="0" w:color="auto"/>
            </w:tcBorders>
            <w:shd w:val="clear" w:color="auto" w:fill="auto"/>
            <w:vAlign w:val="center"/>
            <w:hideMark/>
          </w:tcPr>
          <w:p w14:paraId="05261D3B"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13</w:t>
            </w:r>
          </w:p>
        </w:tc>
        <w:tc>
          <w:tcPr>
            <w:tcW w:w="661" w:type="dxa"/>
            <w:tcBorders>
              <w:top w:val="nil"/>
              <w:left w:val="nil"/>
              <w:bottom w:val="single" w:sz="8" w:space="0" w:color="auto"/>
              <w:right w:val="single" w:sz="8" w:space="0" w:color="auto"/>
            </w:tcBorders>
            <w:shd w:val="clear" w:color="000000" w:fill="A6A6A6"/>
            <w:noWrap/>
            <w:vAlign w:val="center"/>
            <w:hideMark/>
          </w:tcPr>
          <w:p w14:paraId="223C1436"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r w:rsidRPr="001C20D8">
              <w:rPr>
                <w:rFonts w:ascii="Arial" w:hAnsi="Arial" w:cs="Arial"/>
                <w:b/>
                <w:bCs/>
                <w:color w:val="000000"/>
                <w:sz w:val="16"/>
                <w:szCs w:val="16"/>
                <w:lang w:eastAsia="en-GB"/>
              </w:rPr>
              <w:t>55</w:t>
            </w:r>
          </w:p>
        </w:tc>
      </w:tr>
      <w:tr w:rsidR="001C20D8" w:rsidRPr="001C20D8" w14:paraId="79DC6871" w14:textId="77777777" w:rsidTr="001C20D8">
        <w:trPr>
          <w:trHeight w:val="242"/>
        </w:trPr>
        <w:tc>
          <w:tcPr>
            <w:tcW w:w="1642" w:type="dxa"/>
            <w:tcBorders>
              <w:top w:val="nil"/>
              <w:left w:val="single" w:sz="8" w:space="0" w:color="auto"/>
              <w:bottom w:val="single" w:sz="8" w:space="0" w:color="auto"/>
              <w:right w:val="single" w:sz="8" w:space="0" w:color="auto"/>
            </w:tcBorders>
            <w:shd w:val="clear" w:color="auto" w:fill="auto"/>
            <w:noWrap/>
            <w:vAlign w:val="center"/>
            <w:hideMark/>
          </w:tcPr>
          <w:p w14:paraId="32A3DB61"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1C20D8">
              <w:rPr>
                <w:rFonts w:ascii="Arial" w:hAnsi="Arial" w:cs="Arial"/>
                <w:color w:val="000000"/>
                <w:sz w:val="16"/>
                <w:szCs w:val="16"/>
                <w:lang w:eastAsia="en-GB"/>
              </w:rPr>
              <w:t xml:space="preserve">    Delayed</w:t>
            </w:r>
          </w:p>
        </w:tc>
        <w:tc>
          <w:tcPr>
            <w:tcW w:w="661" w:type="dxa"/>
            <w:tcBorders>
              <w:top w:val="nil"/>
              <w:left w:val="nil"/>
              <w:bottom w:val="single" w:sz="8" w:space="0" w:color="auto"/>
              <w:right w:val="single" w:sz="8" w:space="0" w:color="auto"/>
            </w:tcBorders>
            <w:shd w:val="clear" w:color="000000" w:fill="FFFFFF"/>
            <w:noWrap/>
            <w:vAlign w:val="center"/>
            <w:hideMark/>
          </w:tcPr>
          <w:p w14:paraId="5323E809"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3</w:t>
            </w:r>
          </w:p>
        </w:tc>
        <w:tc>
          <w:tcPr>
            <w:tcW w:w="661" w:type="dxa"/>
            <w:tcBorders>
              <w:top w:val="nil"/>
              <w:left w:val="nil"/>
              <w:bottom w:val="single" w:sz="8" w:space="0" w:color="auto"/>
              <w:right w:val="single" w:sz="8" w:space="0" w:color="auto"/>
            </w:tcBorders>
            <w:shd w:val="clear" w:color="auto" w:fill="auto"/>
            <w:noWrap/>
            <w:vAlign w:val="center"/>
            <w:hideMark/>
          </w:tcPr>
          <w:p w14:paraId="23898C45"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w:t>
            </w:r>
          </w:p>
        </w:tc>
        <w:tc>
          <w:tcPr>
            <w:tcW w:w="661" w:type="dxa"/>
            <w:tcBorders>
              <w:top w:val="nil"/>
              <w:left w:val="nil"/>
              <w:bottom w:val="single" w:sz="8" w:space="0" w:color="auto"/>
              <w:right w:val="single" w:sz="8" w:space="0" w:color="auto"/>
            </w:tcBorders>
            <w:shd w:val="clear" w:color="000000" w:fill="FFFFFF"/>
            <w:noWrap/>
            <w:vAlign w:val="center"/>
            <w:hideMark/>
          </w:tcPr>
          <w:p w14:paraId="6ED6F53A"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nil"/>
              <w:left w:val="nil"/>
              <w:bottom w:val="single" w:sz="8" w:space="0" w:color="auto"/>
              <w:right w:val="nil"/>
            </w:tcBorders>
            <w:shd w:val="clear" w:color="000000" w:fill="FFFFFF"/>
            <w:noWrap/>
            <w:vAlign w:val="center"/>
            <w:hideMark/>
          </w:tcPr>
          <w:p w14:paraId="478A9AD2"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nil"/>
              <w:left w:val="single" w:sz="8" w:space="0" w:color="auto"/>
              <w:bottom w:val="single" w:sz="8" w:space="0" w:color="auto"/>
              <w:right w:val="nil"/>
            </w:tcBorders>
            <w:shd w:val="clear" w:color="000000" w:fill="FFFFFF"/>
            <w:noWrap/>
            <w:vAlign w:val="center"/>
            <w:hideMark/>
          </w:tcPr>
          <w:p w14:paraId="2B6241BB"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nil"/>
              <w:left w:val="single" w:sz="8" w:space="0" w:color="auto"/>
              <w:bottom w:val="single" w:sz="8" w:space="0" w:color="auto"/>
              <w:right w:val="nil"/>
            </w:tcBorders>
            <w:shd w:val="clear" w:color="000000" w:fill="FFFFFF"/>
            <w:noWrap/>
            <w:vAlign w:val="center"/>
            <w:hideMark/>
          </w:tcPr>
          <w:p w14:paraId="73807BCC"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nil"/>
              <w:left w:val="single" w:sz="8" w:space="0" w:color="auto"/>
              <w:bottom w:val="single" w:sz="8" w:space="0" w:color="auto"/>
              <w:right w:val="nil"/>
            </w:tcBorders>
            <w:shd w:val="clear" w:color="000000" w:fill="FFFFFF"/>
            <w:noWrap/>
            <w:vAlign w:val="center"/>
            <w:hideMark/>
          </w:tcPr>
          <w:p w14:paraId="231A2B49"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nil"/>
              <w:left w:val="single" w:sz="8" w:space="0" w:color="auto"/>
              <w:bottom w:val="single" w:sz="8" w:space="0" w:color="auto"/>
              <w:right w:val="nil"/>
            </w:tcBorders>
            <w:shd w:val="clear" w:color="000000" w:fill="FFFFFF"/>
            <w:noWrap/>
            <w:vAlign w:val="center"/>
            <w:hideMark/>
          </w:tcPr>
          <w:p w14:paraId="3DFB51D5"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nil"/>
              <w:left w:val="single" w:sz="8" w:space="0" w:color="auto"/>
              <w:bottom w:val="single" w:sz="8" w:space="0" w:color="auto"/>
              <w:right w:val="nil"/>
            </w:tcBorders>
            <w:shd w:val="clear" w:color="000000" w:fill="FFFFFF"/>
            <w:noWrap/>
            <w:vAlign w:val="center"/>
            <w:hideMark/>
          </w:tcPr>
          <w:p w14:paraId="6D7F28B3"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nil"/>
              <w:left w:val="single" w:sz="8" w:space="0" w:color="auto"/>
              <w:bottom w:val="single" w:sz="8" w:space="0" w:color="auto"/>
              <w:right w:val="single" w:sz="8" w:space="0" w:color="auto"/>
            </w:tcBorders>
            <w:shd w:val="clear" w:color="auto" w:fill="auto"/>
            <w:vAlign w:val="center"/>
            <w:hideMark/>
          </w:tcPr>
          <w:p w14:paraId="42495071"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nil"/>
              <w:left w:val="nil"/>
              <w:bottom w:val="single" w:sz="8" w:space="0" w:color="auto"/>
              <w:right w:val="single" w:sz="8" w:space="0" w:color="auto"/>
            </w:tcBorders>
            <w:shd w:val="clear" w:color="auto" w:fill="auto"/>
            <w:vAlign w:val="center"/>
            <w:hideMark/>
          </w:tcPr>
          <w:p w14:paraId="119FCACE"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4</w:t>
            </w:r>
          </w:p>
        </w:tc>
        <w:tc>
          <w:tcPr>
            <w:tcW w:w="661" w:type="dxa"/>
            <w:tcBorders>
              <w:top w:val="nil"/>
              <w:left w:val="nil"/>
              <w:bottom w:val="single" w:sz="8" w:space="0" w:color="auto"/>
              <w:right w:val="single" w:sz="8" w:space="0" w:color="auto"/>
            </w:tcBorders>
            <w:shd w:val="clear" w:color="000000" w:fill="A6A6A6"/>
            <w:noWrap/>
            <w:vAlign w:val="center"/>
            <w:hideMark/>
          </w:tcPr>
          <w:p w14:paraId="3A340CD0"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r w:rsidRPr="001C20D8">
              <w:rPr>
                <w:rFonts w:ascii="Arial" w:hAnsi="Arial" w:cs="Arial"/>
                <w:b/>
                <w:bCs/>
                <w:color w:val="000000"/>
                <w:sz w:val="16"/>
                <w:szCs w:val="16"/>
                <w:lang w:eastAsia="en-GB"/>
              </w:rPr>
              <w:t>7</w:t>
            </w:r>
          </w:p>
        </w:tc>
      </w:tr>
      <w:tr w:rsidR="001C20D8" w:rsidRPr="001C20D8" w14:paraId="75689FA3" w14:textId="77777777" w:rsidTr="001C20D8">
        <w:trPr>
          <w:trHeight w:val="242"/>
        </w:trPr>
        <w:tc>
          <w:tcPr>
            <w:tcW w:w="1642" w:type="dxa"/>
            <w:tcBorders>
              <w:top w:val="nil"/>
              <w:left w:val="single" w:sz="8" w:space="0" w:color="auto"/>
              <w:bottom w:val="single" w:sz="8" w:space="0" w:color="auto"/>
              <w:right w:val="single" w:sz="8" w:space="0" w:color="auto"/>
            </w:tcBorders>
            <w:shd w:val="clear" w:color="auto" w:fill="auto"/>
            <w:noWrap/>
            <w:vAlign w:val="center"/>
            <w:hideMark/>
          </w:tcPr>
          <w:p w14:paraId="179FB1F0"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1C20D8">
              <w:rPr>
                <w:rFonts w:ascii="Arial" w:hAnsi="Arial" w:cs="Arial"/>
                <w:color w:val="000000"/>
                <w:sz w:val="16"/>
                <w:szCs w:val="16"/>
                <w:lang w:eastAsia="en-GB"/>
              </w:rPr>
              <w:t xml:space="preserve">    Closed</w:t>
            </w:r>
          </w:p>
        </w:tc>
        <w:tc>
          <w:tcPr>
            <w:tcW w:w="661" w:type="dxa"/>
            <w:tcBorders>
              <w:top w:val="nil"/>
              <w:left w:val="nil"/>
              <w:bottom w:val="single" w:sz="8" w:space="0" w:color="auto"/>
              <w:right w:val="single" w:sz="8" w:space="0" w:color="auto"/>
            </w:tcBorders>
            <w:shd w:val="clear" w:color="000000" w:fill="FFFFFF"/>
            <w:noWrap/>
            <w:vAlign w:val="center"/>
            <w:hideMark/>
          </w:tcPr>
          <w:p w14:paraId="6479F377"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14</w:t>
            </w:r>
          </w:p>
        </w:tc>
        <w:tc>
          <w:tcPr>
            <w:tcW w:w="661" w:type="dxa"/>
            <w:tcBorders>
              <w:top w:val="nil"/>
              <w:left w:val="nil"/>
              <w:bottom w:val="single" w:sz="8" w:space="0" w:color="auto"/>
              <w:right w:val="single" w:sz="8" w:space="0" w:color="auto"/>
            </w:tcBorders>
            <w:shd w:val="clear" w:color="auto" w:fill="auto"/>
            <w:noWrap/>
            <w:vAlign w:val="center"/>
            <w:hideMark/>
          </w:tcPr>
          <w:p w14:paraId="357E0DAC"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w:t>
            </w:r>
          </w:p>
        </w:tc>
        <w:tc>
          <w:tcPr>
            <w:tcW w:w="661" w:type="dxa"/>
            <w:tcBorders>
              <w:top w:val="nil"/>
              <w:left w:val="nil"/>
              <w:bottom w:val="single" w:sz="8" w:space="0" w:color="auto"/>
              <w:right w:val="single" w:sz="8" w:space="0" w:color="auto"/>
            </w:tcBorders>
            <w:shd w:val="clear" w:color="000000" w:fill="FFFFFF"/>
            <w:noWrap/>
            <w:vAlign w:val="center"/>
            <w:hideMark/>
          </w:tcPr>
          <w:p w14:paraId="3FDF5979"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109</w:t>
            </w:r>
          </w:p>
        </w:tc>
        <w:tc>
          <w:tcPr>
            <w:tcW w:w="661" w:type="dxa"/>
            <w:tcBorders>
              <w:top w:val="nil"/>
              <w:left w:val="nil"/>
              <w:bottom w:val="single" w:sz="8" w:space="0" w:color="auto"/>
              <w:right w:val="nil"/>
            </w:tcBorders>
            <w:shd w:val="clear" w:color="000000" w:fill="FFFFFF"/>
            <w:noWrap/>
            <w:vAlign w:val="center"/>
            <w:hideMark/>
          </w:tcPr>
          <w:p w14:paraId="76785690"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53</w:t>
            </w:r>
          </w:p>
        </w:tc>
        <w:tc>
          <w:tcPr>
            <w:tcW w:w="661" w:type="dxa"/>
            <w:tcBorders>
              <w:top w:val="nil"/>
              <w:left w:val="single" w:sz="8" w:space="0" w:color="auto"/>
              <w:bottom w:val="single" w:sz="8" w:space="0" w:color="auto"/>
              <w:right w:val="nil"/>
            </w:tcBorders>
            <w:shd w:val="clear" w:color="000000" w:fill="FFFFFF"/>
            <w:noWrap/>
            <w:vAlign w:val="center"/>
            <w:hideMark/>
          </w:tcPr>
          <w:p w14:paraId="019DC9D4"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34</w:t>
            </w:r>
          </w:p>
        </w:tc>
        <w:tc>
          <w:tcPr>
            <w:tcW w:w="661" w:type="dxa"/>
            <w:tcBorders>
              <w:top w:val="nil"/>
              <w:left w:val="single" w:sz="8" w:space="0" w:color="auto"/>
              <w:bottom w:val="single" w:sz="8" w:space="0" w:color="auto"/>
              <w:right w:val="nil"/>
            </w:tcBorders>
            <w:shd w:val="clear" w:color="000000" w:fill="FFFFFF"/>
            <w:noWrap/>
            <w:vAlign w:val="center"/>
            <w:hideMark/>
          </w:tcPr>
          <w:p w14:paraId="1D5472B4"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16</w:t>
            </w:r>
          </w:p>
        </w:tc>
        <w:tc>
          <w:tcPr>
            <w:tcW w:w="661" w:type="dxa"/>
            <w:tcBorders>
              <w:top w:val="nil"/>
              <w:left w:val="single" w:sz="8" w:space="0" w:color="auto"/>
              <w:bottom w:val="single" w:sz="8" w:space="0" w:color="auto"/>
              <w:right w:val="nil"/>
            </w:tcBorders>
            <w:shd w:val="clear" w:color="000000" w:fill="FFFFFF"/>
            <w:noWrap/>
            <w:vAlign w:val="center"/>
            <w:hideMark/>
          </w:tcPr>
          <w:p w14:paraId="4BC12F12"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22</w:t>
            </w:r>
          </w:p>
        </w:tc>
        <w:tc>
          <w:tcPr>
            <w:tcW w:w="661" w:type="dxa"/>
            <w:tcBorders>
              <w:top w:val="nil"/>
              <w:left w:val="single" w:sz="8" w:space="0" w:color="auto"/>
              <w:bottom w:val="single" w:sz="8" w:space="0" w:color="auto"/>
              <w:right w:val="nil"/>
            </w:tcBorders>
            <w:shd w:val="clear" w:color="000000" w:fill="FFFFFF"/>
            <w:noWrap/>
            <w:vAlign w:val="center"/>
            <w:hideMark/>
          </w:tcPr>
          <w:p w14:paraId="4D37960D"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16</w:t>
            </w:r>
          </w:p>
        </w:tc>
        <w:tc>
          <w:tcPr>
            <w:tcW w:w="661" w:type="dxa"/>
            <w:tcBorders>
              <w:top w:val="nil"/>
              <w:left w:val="single" w:sz="8" w:space="0" w:color="auto"/>
              <w:bottom w:val="single" w:sz="8" w:space="0" w:color="auto"/>
              <w:right w:val="nil"/>
            </w:tcBorders>
            <w:shd w:val="clear" w:color="000000" w:fill="FFFFFF"/>
            <w:noWrap/>
            <w:vAlign w:val="center"/>
            <w:hideMark/>
          </w:tcPr>
          <w:p w14:paraId="68843E0C"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12</w:t>
            </w:r>
          </w:p>
        </w:tc>
        <w:tc>
          <w:tcPr>
            <w:tcW w:w="661" w:type="dxa"/>
            <w:tcBorders>
              <w:top w:val="nil"/>
              <w:left w:val="single" w:sz="8" w:space="0" w:color="auto"/>
              <w:bottom w:val="single" w:sz="8" w:space="0" w:color="auto"/>
              <w:right w:val="single" w:sz="8" w:space="0" w:color="auto"/>
            </w:tcBorders>
            <w:shd w:val="clear" w:color="auto" w:fill="auto"/>
            <w:vAlign w:val="center"/>
            <w:hideMark/>
          </w:tcPr>
          <w:p w14:paraId="344D3D95"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5</w:t>
            </w:r>
          </w:p>
        </w:tc>
        <w:tc>
          <w:tcPr>
            <w:tcW w:w="661" w:type="dxa"/>
            <w:tcBorders>
              <w:top w:val="nil"/>
              <w:left w:val="nil"/>
              <w:bottom w:val="single" w:sz="8" w:space="0" w:color="auto"/>
              <w:right w:val="single" w:sz="8" w:space="0" w:color="auto"/>
            </w:tcBorders>
            <w:shd w:val="clear" w:color="auto" w:fill="auto"/>
            <w:vAlign w:val="center"/>
            <w:hideMark/>
          </w:tcPr>
          <w:p w14:paraId="12405433"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2</w:t>
            </w:r>
          </w:p>
        </w:tc>
        <w:tc>
          <w:tcPr>
            <w:tcW w:w="661" w:type="dxa"/>
            <w:tcBorders>
              <w:top w:val="nil"/>
              <w:left w:val="nil"/>
              <w:bottom w:val="single" w:sz="8" w:space="0" w:color="auto"/>
              <w:right w:val="single" w:sz="8" w:space="0" w:color="auto"/>
            </w:tcBorders>
            <w:shd w:val="clear" w:color="000000" w:fill="A6A6A6"/>
            <w:noWrap/>
            <w:vAlign w:val="center"/>
            <w:hideMark/>
          </w:tcPr>
          <w:p w14:paraId="48EADE8D"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r w:rsidRPr="001C20D8">
              <w:rPr>
                <w:rFonts w:ascii="Arial" w:hAnsi="Arial" w:cs="Arial"/>
                <w:b/>
                <w:bCs/>
                <w:color w:val="000000"/>
                <w:sz w:val="16"/>
                <w:szCs w:val="16"/>
                <w:lang w:eastAsia="en-GB"/>
              </w:rPr>
              <w:t>283</w:t>
            </w:r>
          </w:p>
        </w:tc>
      </w:tr>
      <w:tr w:rsidR="001C20D8" w:rsidRPr="001C20D8" w14:paraId="10B89C94" w14:textId="77777777" w:rsidTr="001C20D8">
        <w:trPr>
          <w:trHeight w:val="242"/>
        </w:trPr>
        <w:tc>
          <w:tcPr>
            <w:tcW w:w="1642" w:type="dxa"/>
            <w:tcBorders>
              <w:top w:val="nil"/>
              <w:left w:val="nil"/>
              <w:bottom w:val="nil"/>
              <w:right w:val="nil"/>
            </w:tcBorders>
            <w:shd w:val="clear" w:color="auto" w:fill="auto"/>
            <w:noWrap/>
            <w:vAlign w:val="bottom"/>
            <w:hideMark/>
          </w:tcPr>
          <w:p w14:paraId="49C116F1"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p>
        </w:tc>
        <w:tc>
          <w:tcPr>
            <w:tcW w:w="661" w:type="dxa"/>
            <w:tcBorders>
              <w:top w:val="nil"/>
              <w:left w:val="nil"/>
              <w:bottom w:val="nil"/>
              <w:right w:val="nil"/>
            </w:tcBorders>
            <w:shd w:val="clear" w:color="000000" w:fill="FFFFFF"/>
            <w:noWrap/>
            <w:vAlign w:val="center"/>
            <w:hideMark/>
          </w:tcPr>
          <w:p w14:paraId="0F99F698"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 </w:t>
            </w:r>
          </w:p>
        </w:tc>
        <w:tc>
          <w:tcPr>
            <w:tcW w:w="661" w:type="dxa"/>
            <w:tcBorders>
              <w:top w:val="nil"/>
              <w:left w:val="nil"/>
              <w:bottom w:val="nil"/>
              <w:right w:val="nil"/>
            </w:tcBorders>
            <w:shd w:val="clear" w:color="auto" w:fill="auto"/>
            <w:noWrap/>
            <w:vAlign w:val="bottom"/>
            <w:hideMark/>
          </w:tcPr>
          <w:p w14:paraId="2095CCEF"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p>
        </w:tc>
        <w:tc>
          <w:tcPr>
            <w:tcW w:w="661" w:type="dxa"/>
            <w:tcBorders>
              <w:top w:val="nil"/>
              <w:left w:val="nil"/>
              <w:bottom w:val="nil"/>
              <w:right w:val="nil"/>
            </w:tcBorders>
            <w:shd w:val="clear" w:color="000000" w:fill="FFFFFF"/>
            <w:noWrap/>
            <w:vAlign w:val="center"/>
            <w:hideMark/>
          </w:tcPr>
          <w:p w14:paraId="2DE3AAA4"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 </w:t>
            </w:r>
          </w:p>
        </w:tc>
        <w:tc>
          <w:tcPr>
            <w:tcW w:w="661" w:type="dxa"/>
            <w:tcBorders>
              <w:top w:val="nil"/>
              <w:left w:val="nil"/>
              <w:bottom w:val="nil"/>
              <w:right w:val="nil"/>
            </w:tcBorders>
            <w:shd w:val="clear" w:color="000000" w:fill="FFFFFF"/>
            <w:noWrap/>
            <w:vAlign w:val="center"/>
            <w:hideMark/>
          </w:tcPr>
          <w:p w14:paraId="121629CD"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 </w:t>
            </w:r>
          </w:p>
        </w:tc>
        <w:tc>
          <w:tcPr>
            <w:tcW w:w="661" w:type="dxa"/>
            <w:tcBorders>
              <w:top w:val="nil"/>
              <w:left w:val="nil"/>
              <w:bottom w:val="nil"/>
              <w:right w:val="nil"/>
            </w:tcBorders>
            <w:shd w:val="clear" w:color="000000" w:fill="FFFFFF"/>
            <w:noWrap/>
            <w:vAlign w:val="center"/>
            <w:hideMark/>
          </w:tcPr>
          <w:p w14:paraId="774E573D"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 </w:t>
            </w:r>
          </w:p>
        </w:tc>
        <w:tc>
          <w:tcPr>
            <w:tcW w:w="661" w:type="dxa"/>
            <w:tcBorders>
              <w:top w:val="nil"/>
              <w:left w:val="nil"/>
              <w:bottom w:val="nil"/>
              <w:right w:val="nil"/>
            </w:tcBorders>
            <w:shd w:val="clear" w:color="000000" w:fill="FFFFFF"/>
            <w:noWrap/>
            <w:vAlign w:val="center"/>
            <w:hideMark/>
          </w:tcPr>
          <w:p w14:paraId="1375C117"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 </w:t>
            </w:r>
          </w:p>
        </w:tc>
        <w:tc>
          <w:tcPr>
            <w:tcW w:w="661" w:type="dxa"/>
            <w:tcBorders>
              <w:top w:val="nil"/>
              <w:left w:val="nil"/>
              <w:bottom w:val="nil"/>
              <w:right w:val="nil"/>
            </w:tcBorders>
            <w:shd w:val="clear" w:color="000000" w:fill="FFFFFF"/>
            <w:noWrap/>
            <w:vAlign w:val="center"/>
            <w:hideMark/>
          </w:tcPr>
          <w:p w14:paraId="277D41A2"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 </w:t>
            </w:r>
          </w:p>
        </w:tc>
        <w:tc>
          <w:tcPr>
            <w:tcW w:w="661" w:type="dxa"/>
            <w:tcBorders>
              <w:top w:val="nil"/>
              <w:left w:val="nil"/>
              <w:bottom w:val="nil"/>
              <w:right w:val="nil"/>
            </w:tcBorders>
            <w:shd w:val="clear" w:color="000000" w:fill="FFFFFF"/>
            <w:noWrap/>
            <w:vAlign w:val="center"/>
            <w:hideMark/>
          </w:tcPr>
          <w:p w14:paraId="0B4BB920"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 </w:t>
            </w:r>
          </w:p>
        </w:tc>
        <w:tc>
          <w:tcPr>
            <w:tcW w:w="661" w:type="dxa"/>
            <w:tcBorders>
              <w:top w:val="nil"/>
              <w:left w:val="nil"/>
              <w:bottom w:val="nil"/>
              <w:right w:val="nil"/>
            </w:tcBorders>
            <w:shd w:val="clear" w:color="000000" w:fill="FFFFFF"/>
            <w:noWrap/>
            <w:vAlign w:val="center"/>
            <w:hideMark/>
          </w:tcPr>
          <w:p w14:paraId="7309A8DC"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r w:rsidRPr="001C20D8">
              <w:rPr>
                <w:rFonts w:ascii="Arial" w:hAnsi="Arial" w:cs="Arial"/>
                <w:b/>
                <w:bCs/>
                <w:color w:val="000000"/>
                <w:sz w:val="16"/>
                <w:szCs w:val="16"/>
                <w:lang w:eastAsia="en-GB"/>
              </w:rPr>
              <w:t> </w:t>
            </w:r>
          </w:p>
        </w:tc>
        <w:tc>
          <w:tcPr>
            <w:tcW w:w="661" w:type="dxa"/>
            <w:tcBorders>
              <w:top w:val="nil"/>
              <w:left w:val="nil"/>
              <w:bottom w:val="nil"/>
              <w:right w:val="nil"/>
            </w:tcBorders>
            <w:shd w:val="clear" w:color="000000" w:fill="FFFFFF"/>
            <w:vAlign w:val="center"/>
            <w:hideMark/>
          </w:tcPr>
          <w:p w14:paraId="549FEE84"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r w:rsidRPr="001C20D8">
              <w:rPr>
                <w:rFonts w:ascii="Arial" w:hAnsi="Arial" w:cs="Arial"/>
                <w:b/>
                <w:bCs/>
                <w:color w:val="000000"/>
                <w:sz w:val="16"/>
                <w:szCs w:val="16"/>
                <w:lang w:eastAsia="en-GB"/>
              </w:rPr>
              <w:t> </w:t>
            </w:r>
          </w:p>
        </w:tc>
        <w:tc>
          <w:tcPr>
            <w:tcW w:w="661" w:type="dxa"/>
            <w:tcBorders>
              <w:top w:val="nil"/>
              <w:left w:val="nil"/>
              <w:bottom w:val="nil"/>
              <w:right w:val="nil"/>
            </w:tcBorders>
            <w:shd w:val="clear" w:color="000000" w:fill="FFFFFF"/>
            <w:vAlign w:val="center"/>
            <w:hideMark/>
          </w:tcPr>
          <w:p w14:paraId="168E1BB1"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r w:rsidRPr="001C20D8">
              <w:rPr>
                <w:rFonts w:ascii="Arial" w:hAnsi="Arial" w:cs="Arial"/>
                <w:b/>
                <w:bCs/>
                <w:color w:val="000000"/>
                <w:sz w:val="16"/>
                <w:szCs w:val="16"/>
                <w:lang w:eastAsia="en-GB"/>
              </w:rPr>
              <w:t> </w:t>
            </w:r>
          </w:p>
        </w:tc>
        <w:tc>
          <w:tcPr>
            <w:tcW w:w="661" w:type="dxa"/>
            <w:tcBorders>
              <w:top w:val="nil"/>
              <w:left w:val="nil"/>
              <w:bottom w:val="nil"/>
              <w:right w:val="nil"/>
            </w:tcBorders>
            <w:shd w:val="clear" w:color="000000" w:fill="FFFFFF"/>
            <w:noWrap/>
            <w:vAlign w:val="bottom"/>
            <w:hideMark/>
          </w:tcPr>
          <w:p w14:paraId="64C911B1"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color w:val="000000"/>
                <w:sz w:val="20"/>
                <w:lang w:eastAsia="en-GB"/>
              </w:rPr>
            </w:pPr>
            <w:r w:rsidRPr="001C20D8">
              <w:rPr>
                <w:rFonts w:ascii="Times New Roman" w:hAnsi="Times New Roman"/>
                <w:color w:val="000000"/>
                <w:sz w:val="20"/>
                <w:lang w:eastAsia="en-GB"/>
              </w:rPr>
              <w:t> </w:t>
            </w:r>
          </w:p>
        </w:tc>
      </w:tr>
      <w:tr w:rsidR="001C20D8" w:rsidRPr="001C20D8" w14:paraId="5F8CE34C" w14:textId="77777777" w:rsidTr="001C20D8">
        <w:trPr>
          <w:trHeight w:val="242"/>
        </w:trPr>
        <w:tc>
          <w:tcPr>
            <w:tcW w:w="16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5B951D"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1C20D8">
              <w:rPr>
                <w:rFonts w:ascii="Arial" w:hAnsi="Arial" w:cs="Arial"/>
                <w:color w:val="000000"/>
                <w:sz w:val="16"/>
                <w:szCs w:val="16"/>
                <w:lang w:eastAsia="en-GB"/>
              </w:rPr>
              <w:t>% of rec. In Progress</w:t>
            </w:r>
          </w:p>
        </w:tc>
        <w:tc>
          <w:tcPr>
            <w:tcW w:w="661" w:type="dxa"/>
            <w:tcBorders>
              <w:top w:val="single" w:sz="8" w:space="0" w:color="auto"/>
              <w:left w:val="nil"/>
              <w:bottom w:val="single" w:sz="8" w:space="0" w:color="auto"/>
              <w:right w:val="single" w:sz="8" w:space="0" w:color="auto"/>
            </w:tcBorders>
            <w:shd w:val="clear" w:color="auto" w:fill="auto"/>
            <w:noWrap/>
            <w:vAlign w:val="center"/>
            <w:hideMark/>
          </w:tcPr>
          <w:p w14:paraId="7574279D"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single" w:sz="8" w:space="0" w:color="auto"/>
              <w:left w:val="nil"/>
              <w:bottom w:val="single" w:sz="8" w:space="0" w:color="auto"/>
              <w:right w:val="single" w:sz="8" w:space="0" w:color="auto"/>
            </w:tcBorders>
            <w:shd w:val="clear" w:color="auto" w:fill="auto"/>
            <w:noWrap/>
            <w:vAlign w:val="center"/>
            <w:hideMark/>
          </w:tcPr>
          <w:p w14:paraId="0420A714"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w:t>
            </w:r>
          </w:p>
        </w:tc>
        <w:tc>
          <w:tcPr>
            <w:tcW w:w="661" w:type="dxa"/>
            <w:tcBorders>
              <w:top w:val="single" w:sz="8" w:space="0" w:color="auto"/>
              <w:left w:val="nil"/>
              <w:bottom w:val="single" w:sz="8" w:space="0" w:color="auto"/>
              <w:right w:val="single" w:sz="8" w:space="0" w:color="auto"/>
            </w:tcBorders>
            <w:shd w:val="clear" w:color="auto" w:fill="auto"/>
            <w:noWrap/>
            <w:vAlign w:val="center"/>
            <w:hideMark/>
          </w:tcPr>
          <w:p w14:paraId="73B65340"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4%</w:t>
            </w:r>
          </w:p>
        </w:tc>
        <w:tc>
          <w:tcPr>
            <w:tcW w:w="661" w:type="dxa"/>
            <w:tcBorders>
              <w:top w:val="single" w:sz="8" w:space="0" w:color="auto"/>
              <w:left w:val="nil"/>
              <w:bottom w:val="single" w:sz="8" w:space="0" w:color="auto"/>
              <w:right w:val="single" w:sz="8" w:space="0" w:color="auto"/>
            </w:tcBorders>
            <w:shd w:val="clear" w:color="auto" w:fill="auto"/>
            <w:noWrap/>
            <w:vAlign w:val="center"/>
            <w:hideMark/>
          </w:tcPr>
          <w:p w14:paraId="34A4A5CD"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4%</w:t>
            </w:r>
          </w:p>
        </w:tc>
        <w:tc>
          <w:tcPr>
            <w:tcW w:w="661" w:type="dxa"/>
            <w:tcBorders>
              <w:top w:val="single" w:sz="8" w:space="0" w:color="auto"/>
              <w:left w:val="nil"/>
              <w:bottom w:val="single" w:sz="8" w:space="0" w:color="auto"/>
              <w:right w:val="single" w:sz="8" w:space="0" w:color="auto"/>
            </w:tcBorders>
            <w:shd w:val="clear" w:color="auto" w:fill="auto"/>
            <w:noWrap/>
            <w:vAlign w:val="center"/>
            <w:hideMark/>
          </w:tcPr>
          <w:p w14:paraId="2B798483"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single" w:sz="8" w:space="0" w:color="auto"/>
              <w:left w:val="nil"/>
              <w:bottom w:val="single" w:sz="8" w:space="0" w:color="auto"/>
              <w:right w:val="single" w:sz="8" w:space="0" w:color="auto"/>
            </w:tcBorders>
            <w:shd w:val="clear" w:color="auto" w:fill="auto"/>
            <w:noWrap/>
            <w:vAlign w:val="center"/>
            <w:hideMark/>
          </w:tcPr>
          <w:p w14:paraId="6FDD63AA"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27%</w:t>
            </w:r>
          </w:p>
        </w:tc>
        <w:tc>
          <w:tcPr>
            <w:tcW w:w="661" w:type="dxa"/>
            <w:tcBorders>
              <w:top w:val="single" w:sz="8" w:space="0" w:color="auto"/>
              <w:left w:val="nil"/>
              <w:bottom w:val="single" w:sz="8" w:space="0" w:color="auto"/>
              <w:right w:val="single" w:sz="8" w:space="0" w:color="auto"/>
            </w:tcBorders>
            <w:shd w:val="clear" w:color="auto" w:fill="auto"/>
            <w:noWrap/>
            <w:vAlign w:val="center"/>
            <w:hideMark/>
          </w:tcPr>
          <w:p w14:paraId="1B4554F1"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37%</w:t>
            </w:r>
          </w:p>
        </w:tc>
        <w:tc>
          <w:tcPr>
            <w:tcW w:w="661" w:type="dxa"/>
            <w:tcBorders>
              <w:top w:val="single" w:sz="8" w:space="0" w:color="auto"/>
              <w:left w:val="nil"/>
              <w:bottom w:val="single" w:sz="8" w:space="0" w:color="auto"/>
              <w:right w:val="single" w:sz="8" w:space="0" w:color="auto"/>
            </w:tcBorders>
            <w:shd w:val="clear" w:color="auto" w:fill="auto"/>
            <w:noWrap/>
            <w:vAlign w:val="center"/>
            <w:hideMark/>
          </w:tcPr>
          <w:p w14:paraId="4DD84F7B"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38%</w:t>
            </w:r>
          </w:p>
        </w:tc>
        <w:tc>
          <w:tcPr>
            <w:tcW w:w="661" w:type="dxa"/>
            <w:tcBorders>
              <w:top w:val="single" w:sz="8" w:space="0" w:color="auto"/>
              <w:left w:val="nil"/>
              <w:bottom w:val="single" w:sz="8" w:space="0" w:color="auto"/>
              <w:right w:val="single" w:sz="8" w:space="0" w:color="auto"/>
            </w:tcBorders>
            <w:shd w:val="clear" w:color="auto" w:fill="auto"/>
            <w:noWrap/>
            <w:vAlign w:val="center"/>
            <w:hideMark/>
          </w:tcPr>
          <w:p w14:paraId="7E6E08C8"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20%</w:t>
            </w:r>
          </w:p>
        </w:tc>
        <w:tc>
          <w:tcPr>
            <w:tcW w:w="661" w:type="dxa"/>
            <w:tcBorders>
              <w:top w:val="single" w:sz="8" w:space="0" w:color="auto"/>
              <w:left w:val="nil"/>
              <w:bottom w:val="single" w:sz="8" w:space="0" w:color="auto"/>
              <w:right w:val="single" w:sz="8" w:space="0" w:color="auto"/>
            </w:tcBorders>
            <w:shd w:val="clear" w:color="auto" w:fill="auto"/>
            <w:noWrap/>
            <w:vAlign w:val="center"/>
            <w:hideMark/>
          </w:tcPr>
          <w:p w14:paraId="5E53DE76"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44%</w:t>
            </w:r>
          </w:p>
        </w:tc>
        <w:tc>
          <w:tcPr>
            <w:tcW w:w="661" w:type="dxa"/>
            <w:tcBorders>
              <w:top w:val="single" w:sz="8" w:space="0" w:color="auto"/>
              <w:left w:val="nil"/>
              <w:bottom w:val="single" w:sz="8" w:space="0" w:color="auto"/>
              <w:right w:val="single" w:sz="8" w:space="0" w:color="auto"/>
            </w:tcBorders>
            <w:shd w:val="clear" w:color="auto" w:fill="auto"/>
            <w:noWrap/>
            <w:vAlign w:val="center"/>
            <w:hideMark/>
          </w:tcPr>
          <w:p w14:paraId="528A2DCE"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68%</w:t>
            </w:r>
          </w:p>
        </w:tc>
        <w:tc>
          <w:tcPr>
            <w:tcW w:w="661" w:type="dxa"/>
            <w:tcBorders>
              <w:top w:val="single" w:sz="8" w:space="0" w:color="auto"/>
              <w:left w:val="nil"/>
              <w:bottom w:val="single" w:sz="8" w:space="0" w:color="auto"/>
              <w:right w:val="single" w:sz="8" w:space="0" w:color="auto"/>
            </w:tcBorders>
            <w:shd w:val="clear" w:color="000000" w:fill="A6A6A6"/>
            <w:noWrap/>
            <w:vAlign w:val="center"/>
            <w:hideMark/>
          </w:tcPr>
          <w:p w14:paraId="1A0C28FB"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r w:rsidRPr="001C20D8">
              <w:rPr>
                <w:rFonts w:ascii="Arial" w:hAnsi="Arial" w:cs="Arial"/>
                <w:b/>
                <w:bCs/>
                <w:color w:val="000000"/>
                <w:sz w:val="16"/>
                <w:szCs w:val="16"/>
                <w:lang w:eastAsia="en-GB"/>
              </w:rPr>
              <w:t>16%</w:t>
            </w:r>
          </w:p>
        </w:tc>
      </w:tr>
      <w:tr w:rsidR="001C20D8" w:rsidRPr="001C20D8" w14:paraId="4258427E" w14:textId="77777777" w:rsidTr="001C20D8">
        <w:trPr>
          <w:trHeight w:val="242"/>
        </w:trPr>
        <w:tc>
          <w:tcPr>
            <w:tcW w:w="1642" w:type="dxa"/>
            <w:tcBorders>
              <w:top w:val="nil"/>
              <w:left w:val="single" w:sz="8" w:space="0" w:color="auto"/>
              <w:bottom w:val="single" w:sz="8" w:space="0" w:color="auto"/>
              <w:right w:val="single" w:sz="8" w:space="0" w:color="auto"/>
            </w:tcBorders>
            <w:shd w:val="clear" w:color="auto" w:fill="auto"/>
            <w:noWrap/>
            <w:vAlign w:val="center"/>
            <w:hideMark/>
          </w:tcPr>
          <w:p w14:paraId="3AF8CAB4"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1C20D8">
              <w:rPr>
                <w:rFonts w:ascii="Arial" w:hAnsi="Arial" w:cs="Arial"/>
                <w:color w:val="000000"/>
                <w:sz w:val="16"/>
                <w:szCs w:val="16"/>
                <w:lang w:eastAsia="en-GB"/>
              </w:rPr>
              <w:t>% of rec. Delayed</w:t>
            </w:r>
          </w:p>
        </w:tc>
        <w:tc>
          <w:tcPr>
            <w:tcW w:w="661" w:type="dxa"/>
            <w:tcBorders>
              <w:top w:val="nil"/>
              <w:left w:val="nil"/>
              <w:bottom w:val="single" w:sz="8" w:space="0" w:color="auto"/>
              <w:right w:val="single" w:sz="8" w:space="0" w:color="auto"/>
            </w:tcBorders>
            <w:shd w:val="clear" w:color="auto" w:fill="auto"/>
            <w:noWrap/>
            <w:vAlign w:val="center"/>
            <w:hideMark/>
          </w:tcPr>
          <w:p w14:paraId="75852B09"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18%</w:t>
            </w:r>
          </w:p>
        </w:tc>
        <w:tc>
          <w:tcPr>
            <w:tcW w:w="661" w:type="dxa"/>
            <w:tcBorders>
              <w:top w:val="nil"/>
              <w:left w:val="nil"/>
              <w:bottom w:val="single" w:sz="8" w:space="0" w:color="auto"/>
              <w:right w:val="single" w:sz="8" w:space="0" w:color="auto"/>
            </w:tcBorders>
            <w:shd w:val="clear" w:color="auto" w:fill="auto"/>
            <w:noWrap/>
            <w:vAlign w:val="center"/>
            <w:hideMark/>
          </w:tcPr>
          <w:p w14:paraId="10D0FBB2"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w:t>
            </w:r>
          </w:p>
        </w:tc>
        <w:tc>
          <w:tcPr>
            <w:tcW w:w="661" w:type="dxa"/>
            <w:tcBorders>
              <w:top w:val="nil"/>
              <w:left w:val="nil"/>
              <w:bottom w:val="single" w:sz="8" w:space="0" w:color="auto"/>
              <w:right w:val="single" w:sz="8" w:space="0" w:color="auto"/>
            </w:tcBorders>
            <w:shd w:val="clear" w:color="auto" w:fill="auto"/>
            <w:noWrap/>
            <w:vAlign w:val="center"/>
            <w:hideMark/>
          </w:tcPr>
          <w:p w14:paraId="3C54A638"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nil"/>
              <w:left w:val="nil"/>
              <w:bottom w:val="single" w:sz="8" w:space="0" w:color="auto"/>
              <w:right w:val="single" w:sz="8" w:space="0" w:color="auto"/>
            </w:tcBorders>
            <w:shd w:val="clear" w:color="auto" w:fill="auto"/>
            <w:noWrap/>
            <w:vAlign w:val="center"/>
            <w:hideMark/>
          </w:tcPr>
          <w:p w14:paraId="167981EC"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nil"/>
              <w:left w:val="nil"/>
              <w:bottom w:val="single" w:sz="8" w:space="0" w:color="auto"/>
              <w:right w:val="single" w:sz="8" w:space="0" w:color="auto"/>
            </w:tcBorders>
            <w:shd w:val="clear" w:color="auto" w:fill="auto"/>
            <w:noWrap/>
            <w:vAlign w:val="center"/>
            <w:hideMark/>
          </w:tcPr>
          <w:p w14:paraId="4E79EA77"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nil"/>
              <w:left w:val="nil"/>
              <w:bottom w:val="single" w:sz="8" w:space="0" w:color="auto"/>
              <w:right w:val="single" w:sz="8" w:space="0" w:color="auto"/>
            </w:tcBorders>
            <w:shd w:val="clear" w:color="auto" w:fill="auto"/>
            <w:noWrap/>
            <w:vAlign w:val="center"/>
            <w:hideMark/>
          </w:tcPr>
          <w:p w14:paraId="3624A5C2"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nil"/>
              <w:left w:val="nil"/>
              <w:bottom w:val="single" w:sz="8" w:space="0" w:color="auto"/>
              <w:right w:val="single" w:sz="8" w:space="0" w:color="auto"/>
            </w:tcBorders>
            <w:shd w:val="clear" w:color="auto" w:fill="auto"/>
            <w:noWrap/>
            <w:vAlign w:val="center"/>
            <w:hideMark/>
          </w:tcPr>
          <w:p w14:paraId="36F7C4BD"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nil"/>
              <w:left w:val="nil"/>
              <w:bottom w:val="single" w:sz="8" w:space="0" w:color="auto"/>
              <w:right w:val="single" w:sz="8" w:space="0" w:color="auto"/>
            </w:tcBorders>
            <w:shd w:val="clear" w:color="auto" w:fill="auto"/>
            <w:noWrap/>
            <w:vAlign w:val="center"/>
            <w:hideMark/>
          </w:tcPr>
          <w:p w14:paraId="5A436884"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nil"/>
              <w:left w:val="nil"/>
              <w:bottom w:val="single" w:sz="8" w:space="0" w:color="auto"/>
              <w:right w:val="single" w:sz="8" w:space="0" w:color="auto"/>
            </w:tcBorders>
            <w:shd w:val="clear" w:color="auto" w:fill="auto"/>
            <w:noWrap/>
            <w:vAlign w:val="center"/>
            <w:hideMark/>
          </w:tcPr>
          <w:p w14:paraId="670D7255"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nil"/>
              <w:left w:val="nil"/>
              <w:bottom w:val="single" w:sz="8" w:space="0" w:color="auto"/>
              <w:right w:val="single" w:sz="8" w:space="0" w:color="auto"/>
            </w:tcBorders>
            <w:shd w:val="clear" w:color="auto" w:fill="auto"/>
            <w:noWrap/>
            <w:vAlign w:val="center"/>
            <w:hideMark/>
          </w:tcPr>
          <w:p w14:paraId="09E813AE"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0%</w:t>
            </w:r>
          </w:p>
        </w:tc>
        <w:tc>
          <w:tcPr>
            <w:tcW w:w="661" w:type="dxa"/>
            <w:tcBorders>
              <w:top w:val="nil"/>
              <w:left w:val="nil"/>
              <w:bottom w:val="single" w:sz="8" w:space="0" w:color="auto"/>
              <w:right w:val="single" w:sz="8" w:space="0" w:color="auto"/>
            </w:tcBorders>
            <w:shd w:val="clear" w:color="auto" w:fill="auto"/>
            <w:noWrap/>
            <w:vAlign w:val="center"/>
            <w:hideMark/>
          </w:tcPr>
          <w:p w14:paraId="2747A3CC"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21%</w:t>
            </w:r>
          </w:p>
        </w:tc>
        <w:tc>
          <w:tcPr>
            <w:tcW w:w="661" w:type="dxa"/>
            <w:tcBorders>
              <w:top w:val="nil"/>
              <w:left w:val="nil"/>
              <w:bottom w:val="single" w:sz="8" w:space="0" w:color="auto"/>
              <w:right w:val="single" w:sz="8" w:space="0" w:color="auto"/>
            </w:tcBorders>
            <w:shd w:val="clear" w:color="000000" w:fill="A6A6A6"/>
            <w:noWrap/>
            <w:vAlign w:val="center"/>
            <w:hideMark/>
          </w:tcPr>
          <w:p w14:paraId="02639BAF"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r w:rsidRPr="001C20D8">
              <w:rPr>
                <w:rFonts w:ascii="Arial" w:hAnsi="Arial" w:cs="Arial"/>
                <w:b/>
                <w:bCs/>
                <w:color w:val="000000"/>
                <w:sz w:val="16"/>
                <w:szCs w:val="16"/>
                <w:lang w:eastAsia="en-GB"/>
              </w:rPr>
              <w:t>2%</w:t>
            </w:r>
          </w:p>
        </w:tc>
      </w:tr>
      <w:tr w:rsidR="001C20D8" w:rsidRPr="001C20D8" w14:paraId="7E22D967" w14:textId="77777777" w:rsidTr="001C20D8">
        <w:trPr>
          <w:trHeight w:val="242"/>
        </w:trPr>
        <w:tc>
          <w:tcPr>
            <w:tcW w:w="1642" w:type="dxa"/>
            <w:tcBorders>
              <w:top w:val="nil"/>
              <w:left w:val="single" w:sz="8" w:space="0" w:color="auto"/>
              <w:bottom w:val="single" w:sz="8" w:space="0" w:color="auto"/>
              <w:right w:val="single" w:sz="8" w:space="0" w:color="auto"/>
            </w:tcBorders>
            <w:shd w:val="clear" w:color="auto" w:fill="auto"/>
            <w:noWrap/>
            <w:vAlign w:val="center"/>
            <w:hideMark/>
          </w:tcPr>
          <w:p w14:paraId="4EFBC546"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eastAsia="en-GB"/>
              </w:rPr>
            </w:pPr>
            <w:r w:rsidRPr="001C20D8">
              <w:rPr>
                <w:rFonts w:ascii="Arial" w:hAnsi="Arial" w:cs="Arial"/>
                <w:color w:val="000000"/>
                <w:sz w:val="16"/>
                <w:szCs w:val="16"/>
                <w:lang w:eastAsia="en-GB"/>
              </w:rPr>
              <w:t>% of rec. Closed</w:t>
            </w:r>
          </w:p>
        </w:tc>
        <w:tc>
          <w:tcPr>
            <w:tcW w:w="661" w:type="dxa"/>
            <w:tcBorders>
              <w:top w:val="nil"/>
              <w:left w:val="nil"/>
              <w:bottom w:val="single" w:sz="8" w:space="0" w:color="auto"/>
              <w:right w:val="single" w:sz="8" w:space="0" w:color="auto"/>
            </w:tcBorders>
            <w:shd w:val="clear" w:color="auto" w:fill="auto"/>
            <w:noWrap/>
            <w:vAlign w:val="center"/>
            <w:hideMark/>
          </w:tcPr>
          <w:p w14:paraId="2BCBF5AF"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82%</w:t>
            </w:r>
          </w:p>
        </w:tc>
        <w:tc>
          <w:tcPr>
            <w:tcW w:w="661" w:type="dxa"/>
            <w:tcBorders>
              <w:top w:val="nil"/>
              <w:left w:val="nil"/>
              <w:bottom w:val="single" w:sz="8" w:space="0" w:color="auto"/>
              <w:right w:val="single" w:sz="8" w:space="0" w:color="auto"/>
            </w:tcBorders>
            <w:shd w:val="clear" w:color="auto" w:fill="auto"/>
            <w:noWrap/>
            <w:vAlign w:val="center"/>
            <w:hideMark/>
          </w:tcPr>
          <w:p w14:paraId="4A9CF997"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w:t>
            </w:r>
          </w:p>
        </w:tc>
        <w:tc>
          <w:tcPr>
            <w:tcW w:w="661" w:type="dxa"/>
            <w:tcBorders>
              <w:top w:val="nil"/>
              <w:left w:val="nil"/>
              <w:bottom w:val="single" w:sz="8" w:space="0" w:color="auto"/>
              <w:right w:val="single" w:sz="8" w:space="0" w:color="auto"/>
            </w:tcBorders>
            <w:shd w:val="clear" w:color="auto" w:fill="auto"/>
            <w:noWrap/>
            <w:vAlign w:val="center"/>
            <w:hideMark/>
          </w:tcPr>
          <w:p w14:paraId="031FE67B"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96%</w:t>
            </w:r>
          </w:p>
        </w:tc>
        <w:tc>
          <w:tcPr>
            <w:tcW w:w="661" w:type="dxa"/>
            <w:tcBorders>
              <w:top w:val="nil"/>
              <w:left w:val="nil"/>
              <w:bottom w:val="single" w:sz="8" w:space="0" w:color="auto"/>
              <w:right w:val="single" w:sz="8" w:space="0" w:color="auto"/>
            </w:tcBorders>
            <w:shd w:val="clear" w:color="auto" w:fill="auto"/>
            <w:noWrap/>
            <w:vAlign w:val="center"/>
            <w:hideMark/>
          </w:tcPr>
          <w:p w14:paraId="79D9C13D"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96%</w:t>
            </w:r>
          </w:p>
        </w:tc>
        <w:tc>
          <w:tcPr>
            <w:tcW w:w="661" w:type="dxa"/>
            <w:tcBorders>
              <w:top w:val="nil"/>
              <w:left w:val="nil"/>
              <w:bottom w:val="single" w:sz="8" w:space="0" w:color="auto"/>
              <w:right w:val="single" w:sz="8" w:space="0" w:color="auto"/>
            </w:tcBorders>
            <w:shd w:val="clear" w:color="auto" w:fill="auto"/>
            <w:noWrap/>
            <w:vAlign w:val="center"/>
            <w:hideMark/>
          </w:tcPr>
          <w:p w14:paraId="31D74915"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100%</w:t>
            </w:r>
          </w:p>
        </w:tc>
        <w:tc>
          <w:tcPr>
            <w:tcW w:w="661" w:type="dxa"/>
            <w:tcBorders>
              <w:top w:val="nil"/>
              <w:left w:val="nil"/>
              <w:bottom w:val="single" w:sz="8" w:space="0" w:color="auto"/>
              <w:right w:val="single" w:sz="8" w:space="0" w:color="auto"/>
            </w:tcBorders>
            <w:shd w:val="clear" w:color="auto" w:fill="auto"/>
            <w:noWrap/>
            <w:vAlign w:val="center"/>
            <w:hideMark/>
          </w:tcPr>
          <w:p w14:paraId="2B1B8837"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73%</w:t>
            </w:r>
          </w:p>
        </w:tc>
        <w:tc>
          <w:tcPr>
            <w:tcW w:w="661" w:type="dxa"/>
            <w:tcBorders>
              <w:top w:val="nil"/>
              <w:left w:val="nil"/>
              <w:bottom w:val="single" w:sz="8" w:space="0" w:color="auto"/>
              <w:right w:val="single" w:sz="8" w:space="0" w:color="auto"/>
            </w:tcBorders>
            <w:shd w:val="clear" w:color="auto" w:fill="auto"/>
            <w:noWrap/>
            <w:vAlign w:val="center"/>
            <w:hideMark/>
          </w:tcPr>
          <w:p w14:paraId="5A457ACC"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63%</w:t>
            </w:r>
          </w:p>
        </w:tc>
        <w:tc>
          <w:tcPr>
            <w:tcW w:w="661" w:type="dxa"/>
            <w:tcBorders>
              <w:top w:val="nil"/>
              <w:left w:val="nil"/>
              <w:bottom w:val="single" w:sz="8" w:space="0" w:color="auto"/>
              <w:right w:val="single" w:sz="8" w:space="0" w:color="auto"/>
            </w:tcBorders>
            <w:shd w:val="clear" w:color="auto" w:fill="auto"/>
            <w:noWrap/>
            <w:vAlign w:val="center"/>
            <w:hideMark/>
          </w:tcPr>
          <w:p w14:paraId="3684D5A0"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62%</w:t>
            </w:r>
          </w:p>
        </w:tc>
        <w:tc>
          <w:tcPr>
            <w:tcW w:w="661" w:type="dxa"/>
            <w:tcBorders>
              <w:top w:val="nil"/>
              <w:left w:val="nil"/>
              <w:bottom w:val="single" w:sz="8" w:space="0" w:color="auto"/>
              <w:right w:val="single" w:sz="8" w:space="0" w:color="auto"/>
            </w:tcBorders>
            <w:shd w:val="clear" w:color="auto" w:fill="auto"/>
            <w:noWrap/>
            <w:vAlign w:val="center"/>
            <w:hideMark/>
          </w:tcPr>
          <w:p w14:paraId="21043C16"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80%</w:t>
            </w:r>
          </w:p>
        </w:tc>
        <w:tc>
          <w:tcPr>
            <w:tcW w:w="661" w:type="dxa"/>
            <w:tcBorders>
              <w:top w:val="nil"/>
              <w:left w:val="nil"/>
              <w:bottom w:val="single" w:sz="8" w:space="0" w:color="auto"/>
              <w:right w:val="single" w:sz="8" w:space="0" w:color="auto"/>
            </w:tcBorders>
            <w:shd w:val="clear" w:color="auto" w:fill="auto"/>
            <w:noWrap/>
            <w:vAlign w:val="center"/>
            <w:hideMark/>
          </w:tcPr>
          <w:p w14:paraId="3A81CD1E"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56%</w:t>
            </w:r>
          </w:p>
        </w:tc>
        <w:tc>
          <w:tcPr>
            <w:tcW w:w="661" w:type="dxa"/>
            <w:tcBorders>
              <w:top w:val="nil"/>
              <w:left w:val="nil"/>
              <w:bottom w:val="single" w:sz="8" w:space="0" w:color="auto"/>
              <w:right w:val="single" w:sz="8" w:space="0" w:color="auto"/>
            </w:tcBorders>
            <w:shd w:val="clear" w:color="auto" w:fill="auto"/>
            <w:noWrap/>
            <w:vAlign w:val="center"/>
            <w:hideMark/>
          </w:tcPr>
          <w:p w14:paraId="20A6C96C"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eastAsia="en-GB"/>
              </w:rPr>
            </w:pPr>
            <w:r w:rsidRPr="001C20D8">
              <w:rPr>
                <w:rFonts w:ascii="Arial" w:hAnsi="Arial" w:cs="Arial"/>
                <w:color w:val="000000"/>
                <w:sz w:val="16"/>
                <w:szCs w:val="16"/>
                <w:lang w:eastAsia="en-GB"/>
              </w:rPr>
              <w:t>11%</w:t>
            </w:r>
          </w:p>
        </w:tc>
        <w:tc>
          <w:tcPr>
            <w:tcW w:w="661" w:type="dxa"/>
            <w:tcBorders>
              <w:top w:val="nil"/>
              <w:left w:val="nil"/>
              <w:bottom w:val="single" w:sz="8" w:space="0" w:color="auto"/>
              <w:right w:val="single" w:sz="8" w:space="0" w:color="auto"/>
            </w:tcBorders>
            <w:shd w:val="clear" w:color="000000" w:fill="A6A6A6"/>
            <w:noWrap/>
            <w:vAlign w:val="center"/>
            <w:hideMark/>
          </w:tcPr>
          <w:p w14:paraId="3989FFB0" w14:textId="77777777" w:rsidR="001C20D8" w:rsidRPr="001C20D8" w:rsidRDefault="001C20D8" w:rsidP="001C20D8">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eastAsia="en-GB"/>
              </w:rPr>
            </w:pPr>
            <w:r w:rsidRPr="001C20D8">
              <w:rPr>
                <w:rFonts w:ascii="Arial" w:hAnsi="Arial" w:cs="Arial"/>
                <w:b/>
                <w:bCs/>
                <w:color w:val="000000"/>
                <w:sz w:val="16"/>
                <w:szCs w:val="16"/>
                <w:lang w:eastAsia="en-GB"/>
              </w:rPr>
              <w:t>82%</w:t>
            </w:r>
          </w:p>
        </w:tc>
      </w:tr>
    </w:tbl>
    <w:p w14:paraId="7809A502" w14:textId="69D13CDC" w:rsidR="004A1B8B" w:rsidRDefault="00A927B0" w:rsidP="00A927B0">
      <w:pPr>
        <w:snapToGrid w:val="0"/>
        <w:spacing w:before="720"/>
        <w:jc w:val="center"/>
      </w:pPr>
      <w:r>
        <w:t>_______________</w:t>
      </w:r>
    </w:p>
    <w:sectPr w:rsidR="004A1B8B" w:rsidSect="004D1851">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B0C" w14:textId="77777777" w:rsidR="0014634F" w:rsidRDefault="0014634F">
      <w:r>
        <w:separator/>
      </w:r>
    </w:p>
  </w:endnote>
  <w:endnote w:type="continuationSeparator" w:id="0">
    <w:p w14:paraId="724281C9" w14:textId="77777777" w:rsidR="0014634F" w:rsidRDefault="001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4BF6FAB8" w:rsidR="00CB18FF" w:rsidRPr="00217FD9" w:rsidRDefault="001652C5">
    <w:pPr>
      <w:pStyle w:val="Footer"/>
      <w:rPr>
        <w:color w:val="F2F2F2" w:themeColor="background1" w:themeShade="F2"/>
      </w:rPr>
    </w:pPr>
    <w:r w:rsidRPr="00217FD9">
      <w:rPr>
        <w:color w:val="F2F2F2" w:themeColor="background1" w:themeShade="F2"/>
      </w:rPr>
      <w:t>C22/44</w:t>
    </w:r>
    <w:r w:rsidR="00D80448" w:rsidRPr="00217FD9">
      <w:rPr>
        <w:color w:val="F2F2F2" w:themeColor="background1" w:themeShade="F2"/>
      </w:rPr>
      <w:tab/>
    </w:r>
    <w:r w:rsidR="00CB18FF" w:rsidRPr="00217FD9">
      <w:rPr>
        <w:color w:val="F2F2F2" w:themeColor="background1" w:themeShade="F2"/>
      </w:rPr>
      <w:tab/>
    </w:r>
    <w:r w:rsidR="00864AFF" w:rsidRPr="00217FD9">
      <w:rPr>
        <w:color w:val="F2F2F2" w:themeColor="background1" w:themeShade="F2"/>
      </w:rPr>
      <w:fldChar w:fldCharType="begin"/>
    </w:r>
    <w:r w:rsidR="00CB18FF" w:rsidRPr="00217FD9">
      <w:rPr>
        <w:color w:val="F2F2F2" w:themeColor="background1" w:themeShade="F2"/>
      </w:rPr>
      <w:instrText xml:space="preserve"> SAVEDATE \@ DD.MM.YY </w:instrText>
    </w:r>
    <w:r w:rsidR="00864AFF" w:rsidRPr="00217FD9">
      <w:rPr>
        <w:color w:val="F2F2F2" w:themeColor="background1" w:themeShade="F2"/>
      </w:rPr>
      <w:fldChar w:fldCharType="separate"/>
    </w:r>
    <w:r w:rsidR="007448E3">
      <w:rPr>
        <w:color w:val="F2F2F2" w:themeColor="background1" w:themeShade="F2"/>
      </w:rPr>
      <w:t>04.02.22</w:t>
    </w:r>
    <w:r w:rsidR="00864AFF" w:rsidRPr="00217FD9">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85DD" w14:textId="77777777" w:rsidR="0014634F" w:rsidRDefault="0014634F">
      <w:r>
        <w:t>____________________</w:t>
      </w:r>
    </w:p>
  </w:footnote>
  <w:footnote w:type="continuationSeparator" w:id="0">
    <w:p w14:paraId="59030122" w14:textId="77777777" w:rsidR="0014634F" w:rsidRDefault="0014634F">
      <w:r>
        <w:continuationSeparator/>
      </w:r>
    </w:p>
  </w:footnote>
  <w:footnote w:id="1">
    <w:p w14:paraId="19D5F931" w14:textId="453AF028" w:rsidR="00702011" w:rsidRPr="00702011" w:rsidRDefault="00702011">
      <w:pPr>
        <w:pStyle w:val="FootnoteText"/>
      </w:pPr>
      <w:r>
        <w:rPr>
          <w:rStyle w:val="FootnoteReference"/>
        </w:rPr>
        <w:footnoteRef/>
      </w:r>
      <w:r>
        <w:t xml:space="preserve">   </w:t>
      </w:r>
      <w:r w:rsidRPr="00040E17">
        <w:rPr>
          <w:rFonts w:cs="Calibri"/>
          <w:sz w:val="16"/>
          <w:szCs w:val="16"/>
        </w:rPr>
        <w:t>Service Order 13/09, promulgated by the Secretary-General on 27 June 2013</w:t>
      </w:r>
    </w:p>
  </w:footnote>
  <w:footnote w:id="2">
    <w:p w14:paraId="58679EC8" w14:textId="77777777" w:rsidR="00297419" w:rsidRPr="00371775" w:rsidRDefault="00297419" w:rsidP="00297419">
      <w:pPr>
        <w:pStyle w:val="FootnoteText"/>
        <w:spacing w:before="0"/>
        <w:ind w:left="0" w:firstLine="0"/>
        <w:rPr>
          <w:sz w:val="16"/>
          <w:szCs w:val="16"/>
        </w:rPr>
      </w:pPr>
      <w:r w:rsidRPr="00040E17">
        <w:rPr>
          <w:rStyle w:val="FootnoteReference"/>
          <w:szCs w:val="16"/>
        </w:rPr>
        <w:footnoteRef/>
      </w:r>
      <w:r w:rsidRPr="00040E17">
        <w:rPr>
          <w:sz w:val="16"/>
          <w:szCs w:val="16"/>
        </w:rPr>
        <w:t xml:space="preserve"> </w:t>
      </w:r>
      <w:r>
        <w:rPr>
          <w:sz w:val="16"/>
          <w:szCs w:val="16"/>
        </w:rPr>
        <w:tab/>
      </w:r>
      <w:r w:rsidRPr="00040E17">
        <w:rPr>
          <w:sz w:val="16"/>
          <w:szCs w:val="16"/>
        </w:rPr>
        <w:t xml:space="preserve">Institute of Internal Auditors, </w:t>
      </w:r>
      <w:hyperlink r:id="rId1" w:history="1">
        <w:r w:rsidRPr="00040E17">
          <w:rPr>
            <w:rStyle w:val="Hyperlink"/>
            <w:sz w:val="16"/>
            <w:szCs w:val="16"/>
          </w:rPr>
          <w:t>www.theiia.org</w:t>
        </w:r>
      </w:hyperlink>
    </w:p>
  </w:footnote>
  <w:footnote w:id="3">
    <w:p w14:paraId="1A434469" w14:textId="77777777" w:rsidR="00297419" w:rsidRPr="00371775" w:rsidRDefault="00297419" w:rsidP="00297419">
      <w:pPr>
        <w:pStyle w:val="FootnoteText"/>
        <w:spacing w:before="0"/>
        <w:ind w:left="0" w:firstLine="0"/>
        <w:rPr>
          <w:sz w:val="16"/>
          <w:szCs w:val="16"/>
        </w:rPr>
      </w:pPr>
      <w:r w:rsidRPr="00371775">
        <w:rPr>
          <w:rStyle w:val="FootnoteReference"/>
          <w:szCs w:val="16"/>
        </w:rPr>
        <w:footnoteRef/>
      </w:r>
      <w:r w:rsidRPr="00371775">
        <w:rPr>
          <w:sz w:val="16"/>
          <w:szCs w:val="16"/>
        </w:rPr>
        <w:t xml:space="preserve"> </w:t>
      </w:r>
      <w:r w:rsidRPr="00371775">
        <w:rPr>
          <w:sz w:val="16"/>
          <w:szCs w:val="16"/>
        </w:rPr>
        <w:tab/>
      </w:r>
      <w:r w:rsidRPr="00371775">
        <w:rPr>
          <w:rFonts w:cs="Calibri"/>
          <w:sz w:val="16"/>
          <w:szCs w:val="16"/>
        </w:rPr>
        <w:t>Service Order 13/09, promulgated by the Secretary-General on 27 June 2013</w:t>
      </w:r>
    </w:p>
  </w:footnote>
  <w:footnote w:id="4">
    <w:p w14:paraId="21A43D3F" w14:textId="77777777" w:rsidR="00297419" w:rsidRPr="00500302" w:rsidRDefault="00297419" w:rsidP="00297419">
      <w:pPr>
        <w:pStyle w:val="FootnoteText"/>
        <w:rPr>
          <w:rFonts w:asciiTheme="minorHAnsi" w:hAnsiTheme="minorHAnsi" w:cstheme="minorHAnsi"/>
          <w:sz w:val="18"/>
          <w:szCs w:val="18"/>
        </w:rPr>
      </w:pPr>
      <w:r w:rsidRPr="00371775">
        <w:rPr>
          <w:rStyle w:val="FootnoteReference"/>
          <w:rFonts w:asciiTheme="minorHAnsi" w:hAnsiTheme="minorHAnsi" w:cstheme="minorHAnsi"/>
          <w:szCs w:val="16"/>
        </w:rPr>
        <w:footnoteRef/>
      </w:r>
      <w:r w:rsidRPr="00371775">
        <w:rPr>
          <w:rFonts w:asciiTheme="minorHAnsi" w:hAnsiTheme="minorHAnsi" w:cstheme="minorHAnsi"/>
          <w:sz w:val="16"/>
          <w:szCs w:val="16"/>
        </w:rPr>
        <w:t xml:space="preserve"> </w:t>
      </w:r>
      <w:r w:rsidRPr="00371775">
        <w:rPr>
          <w:rFonts w:asciiTheme="minorHAnsi" w:hAnsiTheme="minorHAnsi" w:cstheme="minorHAnsi"/>
          <w:sz w:val="16"/>
          <w:szCs w:val="16"/>
        </w:rPr>
        <w:tab/>
      </w:r>
      <w:r w:rsidRPr="00371775">
        <w:rPr>
          <w:rFonts w:asciiTheme="minorHAnsi" w:hAnsiTheme="minorHAnsi" w:cstheme="minorHAnsi"/>
          <w:color w:val="202124"/>
          <w:sz w:val="16"/>
          <w:szCs w:val="16"/>
          <w:shd w:val="clear" w:color="auto" w:fill="FFFFFF"/>
        </w:rPr>
        <w:t>2500. A1 – The chief audit executive must establish a follow-up process to monitor and ensure that management actions have been effectively implemented or that senior management has accepted the risk of not taking 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7B036C0D"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21134C">
      <w:rPr>
        <w:bCs/>
      </w:rPr>
      <w:t>44</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552E63"/>
    <w:multiLevelType w:val="multilevel"/>
    <w:tmpl w:val="2E0CF834"/>
    <w:lvl w:ilvl="0">
      <w:start w:val="1"/>
      <w:numFmt w:val="decimal"/>
      <w:pStyle w:val="Style1"/>
      <w:lvlText w:val="%1."/>
      <w:lvlJc w:val="left"/>
      <w:pPr>
        <w:ind w:left="360" w:hanging="360"/>
      </w:pPr>
      <w:rPr>
        <w:b w:val="0"/>
        <w:bCs w:val="0"/>
        <w:i w:val="0"/>
        <w:iCs w:val="0"/>
        <w:color w:val="000000"/>
      </w:rPr>
    </w:lvl>
    <w:lvl w:ilvl="1">
      <w:start w:val="1"/>
      <w:numFmt w:val="lowerLetter"/>
      <w:lvlText w:val="%2)"/>
      <w:lvlJc w:val="left"/>
      <w:pPr>
        <w:ind w:left="792" w:hanging="432"/>
      </w:pPr>
      <w:rPr>
        <w:rFonts w:hint="default"/>
        <w:i w:val="0"/>
        <w:iCs w:val="0"/>
      </w:rPr>
    </w:lvl>
    <w:lvl w:ilvl="2">
      <w:start w:val="71"/>
      <w:numFmt w:val="bullet"/>
      <w:lvlText w:val="-"/>
      <w:lvlJc w:val="left"/>
      <w:pPr>
        <w:ind w:left="1224" w:hanging="504"/>
      </w:pPr>
      <w:rPr>
        <w:rFonts w:ascii="Calibri" w:eastAsia="SimSun"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8D6F0B"/>
    <w:multiLevelType w:val="hybridMultilevel"/>
    <w:tmpl w:val="982C549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F05A8"/>
    <w:multiLevelType w:val="hybridMultilevel"/>
    <w:tmpl w:val="A46AF6FC"/>
    <w:lvl w:ilvl="0" w:tplc="FFFFFFFF">
      <w:start w:val="1"/>
      <w:numFmt w:val="upperLetter"/>
      <w:lvlText w:val="%1."/>
      <w:lvlJc w:val="left"/>
      <w:pPr>
        <w:ind w:left="720" w:hanging="360"/>
      </w:pPr>
      <w:rPr>
        <w:rFonts w:hint="default"/>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4D548A"/>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8C314B"/>
    <w:multiLevelType w:val="hybridMultilevel"/>
    <w:tmpl w:val="1AF82320"/>
    <w:lvl w:ilvl="0" w:tplc="C7DE2A60">
      <w:start w:val="1"/>
      <w:numFmt w:val="decimal"/>
      <w:lvlText w:val="%1."/>
      <w:lvlJc w:val="left"/>
      <w:pPr>
        <w:ind w:left="502" w:hanging="360"/>
      </w:pPr>
      <w:rPr>
        <w:rFonts w:asciiTheme="minorHAnsi" w:hAnsiTheme="minorHAnsi" w:hint="default"/>
        <w:b w:val="0"/>
        <w:bCs w:val="0"/>
        <w:i w:val="0"/>
        <w:i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D4714"/>
    <w:multiLevelType w:val="hybridMultilevel"/>
    <w:tmpl w:val="8262613E"/>
    <w:lvl w:ilvl="0" w:tplc="08090019">
      <w:start w:val="1"/>
      <w:numFmt w:val="lowerLetter"/>
      <w:lvlText w:val="%1."/>
      <w:lvlJc w:val="left"/>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0"/>
  </w:num>
  <w:num w:numId="2">
    <w:abstractNumId w:val="5"/>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63016"/>
    <w:rsid w:val="00066795"/>
    <w:rsid w:val="00076AF6"/>
    <w:rsid w:val="00085CF2"/>
    <w:rsid w:val="000B1705"/>
    <w:rsid w:val="000B6B60"/>
    <w:rsid w:val="000D75B2"/>
    <w:rsid w:val="000E0340"/>
    <w:rsid w:val="001121F5"/>
    <w:rsid w:val="001255C4"/>
    <w:rsid w:val="001400DC"/>
    <w:rsid w:val="00140CE1"/>
    <w:rsid w:val="0014634F"/>
    <w:rsid w:val="001652C5"/>
    <w:rsid w:val="0017539C"/>
    <w:rsid w:val="00175AC2"/>
    <w:rsid w:val="0017609F"/>
    <w:rsid w:val="001C20D8"/>
    <w:rsid w:val="001C628E"/>
    <w:rsid w:val="001E0F7B"/>
    <w:rsid w:val="0021134C"/>
    <w:rsid w:val="002119FD"/>
    <w:rsid w:val="002130E0"/>
    <w:rsid w:val="00217FD9"/>
    <w:rsid w:val="00264425"/>
    <w:rsid w:val="00265875"/>
    <w:rsid w:val="0027303B"/>
    <w:rsid w:val="0028109B"/>
    <w:rsid w:val="00297419"/>
    <w:rsid w:val="002A2188"/>
    <w:rsid w:val="002B1F58"/>
    <w:rsid w:val="002C1C7A"/>
    <w:rsid w:val="0030160F"/>
    <w:rsid w:val="00303495"/>
    <w:rsid w:val="003136C5"/>
    <w:rsid w:val="00320223"/>
    <w:rsid w:val="00322D0D"/>
    <w:rsid w:val="00371775"/>
    <w:rsid w:val="003942D4"/>
    <w:rsid w:val="003958A8"/>
    <w:rsid w:val="003C2533"/>
    <w:rsid w:val="0040435A"/>
    <w:rsid w:val="00416A24"/>
    <w:rsid w:val="00431D9E"/>
    <w:rsid w:val="00433CE8"/>
    <w:rsid w:val="00434A5C"/>
    <w:rsid w:val="004534FA"/>
    <w:rsid w:val="004544D9"/>
    <w:rsid w:val="00477CFB"/>
    <w:rsid w:val="00490E72"/>
    <w:rsid w:val="00491157"/>
    <w:rsid w:val="004921C8"/>
    <w:rsid w:val="004A1B8B"/>
    <w:rsid w:val="004D1851"/>
    <w:rsid w:val="004D599D"/>
    <w:rsid w:val="004E2EA5"/>
    <w:rsid w:val="004E3AEB"/>
    <w:rsid w:val="0050223C"/>
    <w:rsid w:val="00503080"/>
    <w:rsid w:val="005243FF"/>
    <w:rsid w:val="005273E6"/>
    <w:rsid w:val="00564FBC"/>
    <w:rsid w:val="00572A9D"/>
    <w:rsid w:val="00576E4E"/>
    <w:rsid w:val="00582442"/>
    <w:rsid w:val="005D0F5F"/>
    <w:rsid w:val="005E3F65"/>
    <w:rsid w:val="005F3269"/>
    <w:rsid w:val="00623AE3"/>
    <w:rsid w:val="0064737F"/>
    <w:rsid w:val="006535F1"/>
    <w:rsid w:val="0065557D"/>
    <w:rsid w:val="0065605A"/>
    <w:rsid w:val="00662984"/>
    <w:rsid w:val="006716BB"/>
    <w:rsid w:val="006B6680"/>
    <w:rsid w:val="006B6DCC"/>
    <w:rsid w:val="006C4CCF"/>
    <w:rsid w:val="00702011"/>
    <w:rsid w:val="00702DEF"/>
    <w:rsid w:val="00706861"/>
    <w:rsid w:val="007448E3"/>
    <w:rsid w:val="0075051B"/>
    <w:rsid w:val="00793188"/>
    <w:rsid w:val="00794D34"/>
    <w:rsid w:val="00813E5E"/>
    <w:rsid w:val="0083581B"/>
    <w:rsid w:val="00864AFF"/>
    <w:rsid w:val="008B4A6A"/>
    <w:rsid w:val="008C7E27"/>
    <w:rsid w:val="008D3828"/>
    <w:rsid w:val="009173EF"/>
    <w:rsid w:val="00921F98"/>
    <w:rsid w:val="00932906"/>
    <w:rsid w:val="00961B0B"/>
    <w:rsid w:val="009A209E"/>
    <w:rsid w:val="009B38C3"/>
    <w:rsid w:val="009D4AF4"/>
    <w:rsid w:val="009E17BD"/>
    <w:rsid w:val="009E485A"/>
    <w:rsid w:val="00A04CEC"/>
    <w:rsid w:val="00A27F92"/>
    <w:rsid w:val="00A32257"/>
    <w:rsid w:val="00A36D20"/>
    <w:rsid w:val="00A37BD8"/>
    <w:rsid w:val="00A55622"/>
    <w:rsid w:val="00A72F36"/>
    <w:rsid w:val="00A746DF"/>
    <w:rsid w:val="00A75D13"/>
    <w:rsid w:val="00A83502"/>
    <w:rsid w:val="00A927B0"/>
    <w:rsid w:val="00AD15B3"/>
    <w:rsid w:val="00AF6E49"/>
    <w:rsid w:val="00B04A67"/>
    <w:rsid w:val="00B0583C"/>
    <w:rsid w:val="00B40A81"/>
    <w:rsid w:val="00B44910"/>
    <w:rsid w:val="00B72267"/>
    <w:rsid w:val="00B76EB6"/>
    <w:rsid w:val="00B7737B"/>
    <w:rsid w:val="00B824C8"/>
    <w:rsid w:val="00B84B9D"/>
    <w:rsid w:val="00BC19AF"/>
    <w:rsid w:val="00BC251A"/>
    <w:rsid w:val="00BD032B"/>
    <w:rsid w:val="00BE2640"/>
    <w:rsid w:val="00BF300F"/>
    <w:rsid w:val="00C01189"/>
    <w:rsid w:val="00C374DE"/>
    <w:rsid w:val="00C457D3"/>
    <w:rsid w:val="00C47AD4"/>
    <w:rsid w:val="00C52D81"/>
    <w:rsid w:val="00C55198"/>
    <w:rsid w:val="00CA6393"/>
    <w:rsid w:val="00CB137D"/>
    <w:rsid w:val="00CB18FF"/>
    <w:rsid w:val="00CD0C08"/>
    <w:rsid w:val="00CE03FB"/>
    <w:rsid w:val="00CE433C"/>
    <w:rsid w:val="00CF33F3"/>
    <w:rsid w:val="00D06183"/>
    <w:rsid w:val="00D22C42"/>
    <w:rsid w:val="00D439E1"/>
    <w:rsid w:val="00D65041"/>
    <w:rsid w:val="00D80448"/>
    <w:rsid w:val="00DA0565"/>
    <w:rsid w:val="00DB384B"/>
    <w:rsid w:val="00DD4324"/>
    <w:rsid w:val="00E10E80"/>
    <w:rsid w:val="00E124F0"/>
    <w:rsid w:val="00E60F04"/>
    <w:rsid w:val="00E854E4"/>
    <w:rsid w:val="00EB0D6F"/>
    <w:rsid w:val="00EB2232"/>
    <w:rsid w:val="00EC5337"/>
    <w:rsid w:val="00F01F21"/>
    <w:rsid w:val="00F022C3"/>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List Paragraph (numbered (a)),WB Para,List Paragraph1,Bullets,Lapis Bulleted List,Dot pt,F5 List Paragraph,No Spacing1,List Paragraph Char Char Char,Indicator Text,Numbered Para 1,Bullet 1,List Paragraph12,Bullet Points,MAIN CONTENT,L"/>
    <w:basedOn w:val="Normal"/>
    <w:link w:val="ListParagraphChar"/>
    <w:uiPriority w:val="34"/>
    <w:qFormat/>
    <w:rsid w:val="0029741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aliases w:val="List Paragraph (numbered (a)) Char,WB Para Char,List Paragraph1 Char,Bullets Char,Lapis Bulleted List Char,Dot pt Char,F5 List Paragraph Char,No Spacing1 Char,List Paragraph Char Char Char Char,Indicator Text Char,Bullet 1 Char"/>
    <w:basedOn w:val="DefaultParagraphFont"/>
    <w:link w:val="ListParagraph"/>
    <w:uiPriority w:val="34"/>
    <w:locked/>
    <w:rsid w:val="00297419"/>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rsid w:val="00297419"/>
    <w:rPr>
      <w:rFonts w:ascii="Calibri" w:hAnsi="Calibri"/>
      <w:sz w:val="24"/>
      <w:lang w:val="en-GB" w:eastAsia="en-US"/>
    </w:rPr>
  </w:style>
  <w:style w:type="paragraph" w:customStyle="1" w:styleId="Default">
    <w:name w:val="Default"/>
    <w:rsid w:val="00A72F36"/>
    <w:pPr>
      <w:autoSpaceDE w:val="0"/>
      <w:autoSpaceDN w:val="0"/>
      <w:adjustRightInd w:val="0"/>
    </w:pPr>
    <w:rPr>
      <w:rFonts w:ascii="Calibri" w:hAnsi="Calibri" w:cs="Calibri"/>
      <w:color w:val="000000"/>
      <w:sz w:val="24"/>
      <w:szCs w:val="24"/>
    </w:rPr>
  </w:style>
  <w:style w:type="paragraph" w:customStyle="1" w:styleId="Style1">
    <w:name w:val="Style1"/>
    <w:basedOn w:val="Heading3"/>
    <w:qFormat/>
    <w:rsid w:val="00DD4324"/>
    <w:pPr>
      <w:keepLines w:val="0"/>
      <w:numPr>
        <w:numId w:val="7"/>
      </w:numPr>
      <w:tabs>
        <w:tab w:val="clear" w:pos="567"/>
        <w:tab w:val="clear" w:pos="1134"/>
        <w:tab w:val="clear" w:pos="1701"/>
        <w:tab w:val="clear" w:pos="2268"/>
        <w:tab w:val="clear" w:pos="2835"/>
      </w:tabs>
      <w:overflowPunct/>
      <w:autoSpaceDE/>
      <w:autoSpaceDN/>
      <w:adjustRightInd/>
      <w:spacing w:before="0"/>
      <w:jc w:val="both"/>
      <w:textAlignment w:val="auto"/>
    </w:pPr>
    <w:rPr>
      <w:rFonts w:eastAsia="SimSun" w:cs="Arial"/>
      <w:b w:val="0"/>
      <w:sz w:val="22"/>
      <w:szCs w:val="22"/>
      <w:lang w:eastAsia="zh-CN"/>
    </w:rPr>
  </w:style>
  <w:style w:type="character" w:styleId="UnresolvedMention">
    <w:name w:val="Unresolved Mention"/>
    <w:basedOn w:val="DefaultParagraphFont"/>
    <w:uiPriority w:val="99"/>
    <w:semiHidden/>
    <w:unhideWhenUsed/>
    <w:rsid w:val="00DA0565"/>
    <w:rPr>
      <w:color w:val="605E5C"/>
      <w:shd w:val="clear" w:color="auto" w:fill="E1DFDD"/>
    </w:rPr>
  </w:style>
  <w:style w:type="paragraph" w:styleId="Revision">
    <w:name w:val="Revision"/>
    <w:hidden/>
    <w:uiPriority w:val="99"/>
    <w:semiHidden/>
    <w:rsid w:val="009D4AF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031949">
      <w:bodyDiv w:val="1"/>
      <w:marLeft w:val="0"/>
      <w:marRight w:val="0"/>
      <w:marTop w:val="0"/>
      <w:marBottom w:val="0"/>
      <w:divBdr>
        <w:top w:val="none" w:sz="0" w:space="0" w:color="auto"/>
        <w:left w:val="none" w:sz="0" w:space="0" w:color="auto"/>
        <w:bottom w:val="none" w:sz="0" w:space="0" w:color="auto"/>
        <w:right w:val="none" w:sz="0" w:space="0" w:color="auto"/>
      </w:divBdr>
    </w:div>
    <w:div w:id="1215461192">
      <w:bodyDiv w:val="1"/>
      <w:marLeft w:val="0"/>
      <w:marRight w:val="0"/>
      <w:marTop w:val="0"/>
      <w:marBottom w:val="0"/>
      <w:divBdr>
        <w:top w:val="none" w:sz="0" w:space="0" w:color="auto"/>
        <w:left w:val="none" w:sz="0" w:space="0" w:color="auto"/>
        <w:bottom w:val="none" w:sz="0" w:space="0" w:color="auto"/>
        <w:right w:val="none" w:sz="0" w:space="0" w:color="auto"/>
      </w:divBdr>
    </w:div>
    <w:div w:id="19495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130/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Financial-Regulations/S-GEN-REG_RGTFIN-2018-PDF-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CWGFHR15-C-000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BBB61-B564-44BC-BDBF-33B8A0B254E3}">
  <ds:schemaRefs>
    <ds:schemaRef ds:uri="http://schemas.microsoft.com/sharepoint/v3/contenttype/forms"/>
  </ds:schemaRefs>
</ds:datastoreItem>
</file>

<file path=customXml/itemProps2.xml><?xml version="1.0" encoding="utf-8"?>
<ds:datastoreItem xmlns:ds="http://schemas.openxmlformats.org/officeDocument/2006/customXml" ds:itemID="{3D2A8C2C-4B44-46F4-88A9-E9A8F81A8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A4AE0870-E49F-4559-BD4E-068088424A55}">
  <ds:schemaRef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PE_C21.dotx</Template>
  <TotalTime>6</TotalTime>
  <Pages>5</Pages>
  <Words>2147</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REPORT OF THE INTERNAL AUDITOR ON INTERNAL AUDIT ACTIVITIES</vt:lpstr>
    </vt:vector>
  </TitlesOfParts>
  <Manager>General Secretariat - Pool</Manager>
  <Company>International Telecommunication Union (ITU)</Company>
  <LinksUpToDate>false</LinksUpToDate>
  <CharactersWithSpaces>13981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INTERNAL AUDITOR ON INTERNAL AUDIT ACTIVITIES</dc:title>
  <dc:subject>Council 2022</dc:subject>
  <dc:creator>Brouard, Ricarda</dc:creator>
  <cp:keywords>C2022, C22, Council-22</cp:keywords>
  <dc:description/>
  <cp:lastModifiedBy>Xue, Kun</cp:lastModifiedBy>
  <cp:revision>4</cp:revision>
  <cp:lastPrinted>2000-07-18T13:30:00Z</cp:lastPrinted>
  <dcterms:created xsi:type="dcterms:W3CDTF">2022-02-04T19:01:00Z</dcterms:created>
  <dcterms:modified xsi:type="dcterms:W3CDTF">2022-02-18T16:41:00Z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