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375F2" w:rsidRPr="00DD7414" w14:paraId="645200FF" w14:textId="77777777">
        <w:trPr>
          <w:cantSplit/>
        </w:trPr>
        <w:tc>
          <w:tcPr>
            <w:tcW w:w="6911" w:type="dxa"/>
          </w:tcPr>
          <w:p w14:paraId="5B0BA874" w14:textId="0B80E21B" w:rsidR="000375F2" w:rsidRPr="00DD7414" w:rsidRDefault="000375F2" w:rsidP="00A75BD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D7414">
              <w:rPr>
                <w:b/>
                <w:smallCaps/>
                <w:sz w:val="28"/>
                <w:szCs w:val="28"/>
                <w:lang w:val="ru-RU"/>
              </w:rPr>
              <w:t>СОВЕТ 202</w:t>
            </w:r>
            <w:r w:rsidR="00A75BD3" w:rsidRPr="00A75BD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D741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A75BD3" w:rsidRPr="00461A74">
              <w:rPr>
                <w:b/>
                <w:bCs/>
                <w:szCs w:val="22"/>
                <w:lang w:val="ru-RU"/>
              </w:rPr>
              <w:t>Женева</w:t>
            </w:r>
            <w:r w:rsidRPr="00461A74">
              <w:rPr>
                <w:b/>
                <w:bCs/>
                <w:szCs w:val="22"/>
                <w:lang w:val="ru-RU"/>
              </w:rPr>
              <w:t xml:space="preserve">, </w:t>
            </w:r>
            <w:r w:rsidR="00A75BD3" w:rsidRPr="00461A74">
              <w:rPr>
                <w:b/>
                <w:bCs/>
                <w:szCs w:val="22"/>
                <w:lang w:val="ru-RU"/>
              </w:rPr>
              <w:t>21</w:t>
            </w:r>
            <w:r w:rsidRPr="00461A74">
              <w:rPr>
                <w:b/>
                <w:bCs/>
                <w:szCs w:val="22"/>
                <w:lang w:val="ru-RU"/>
              </w:rPr>
              <w:t>–</w:t>
            </w:r>
            <w:r w:rsidR="00A75BD3" w:rsidRPr="00461A74">
              <w:rPr>
                <w:b/>
                <w:bCs/>
                <w:szCs w:val="22"/>
                <w:lang w:val="ru-RU"/>
              </w:rPr>
              <w:t>31 марта 2022</w:t>
            </w:r>
            <w:r w:rsidRPr="00461A7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0375F2" w:rsidRPr="00DD7414" w:rsidRDefault="000375F2" w:rsidP="000375F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D7414">
              <w:rPr>
                <w:noProof/>
                <w:lang w:val="en-US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D741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DD741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DD741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741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DD741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DD741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D7414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437FE0C" w:rsidR="00BC7BC0" w:rsidRPr="00DD741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D741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0C48" w:rsidRPr="00DD7414">
              <w:rPr>
                <w:b/>
                <w:bCs/>
                <w:caps/>
                <w:szCs w:val="22"/>
                <w:lang w:val="ru-RU"/>
              </w:rPr>
              <w:t>ADM 1</w:t>
            </w:r>
            <w:r w:rsidR="00A75BD3">
              <w:rPr>
                <w:b/>
                <w:bCs/>
                <w:caps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14:paraId="667A31B9" w14:textId="2E20E158" w:rsidR="00BC7BC0" w:rsidRPr="00DD7414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="00A75BD3">
              <w:rPr>
                <w:b/>
                <w:bCs/>
                <w:szCs w:val="22"/>
                <w:lang w:val="ru-RU"/>
              </w:rPr>
              <w:t>2</w:t>
            </w:r>
            <w:r w:rsidRPr="00DD7414">
              <w:rPr>
                <w:b/>
                <w:bCs/>
                <w:szCs w:val="22"/>
                <w:lang w:val="ru-RU"/>
              </w:rPr>
              <w:t>/</w:t>
            </w:r>
            <w:r w:rsidR="00191301" w:rsidRPr="00DD7414">
              <w:rPr>
                <w:b/>
                <w:bCs/>
                <w:szCs w:val="22"/>
                <w:lang w:val="ru-RU"/>
              </w:rPr>
              <w:t>44</w:t>
            </w:r>
            <w:r w:rsidRPr="00DD74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D741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5096D464" w:rsidR="00BC7BC0" w:rsidRPr="00DD7414" w:rsidRDefault="009B16D8" w:rsidP="00A75BD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</w:t>
            </w:r>
            <w:r w:rsidR="00A75BD3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080C48" w:rsidRPr="00DD741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D7414">
              <w:rPr>
                <w:b/>
                <w:bCs/>
                <w:szCs w:val="22"/>
                <w:lang w:val="ru-RU"/>
              </w:rPr>
              <w:t>20</w:t>
            </w:r>
            <w:r w:rsidR="00442515" w:rsidRPr="00DD7414">
              <w:rPr>
                <w:b/>
                <w:bCs/>
                <w:szCs w:val="22"/>
                <w:lang w:val="ru-RU"/>
              </w:rPr>
              <w:t>2</w:t>
            </w:r>
            <w:r w:rsidR="00A75BD3">
              <w:rPr>
                <w:b/>
                <w:bCs/>
                <w:szCs w:val="22"/>
                <w:lang w:val="ru-RU"/>
              </w:rPr>
              <w:t>2</w:t>
            </w:r>
            <w:r w:rsidR="00BC7BC0" w:rsidRPr="00DD741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D741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DD74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DD741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D741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D741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276E8F7" w:rsidR="00BC7BC0" w:rsidRPr="00DD7414" w:rsidRDefault="00BC7BC0" w:rsidP="00E0679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D7414">
              <w:rPr>
                <w:lang w:val="ru-RU"/>
              </w:rPr>
              <w:t xml:space="preserve">Отчет </w:t>
            </w:r>
            <w:r w:rsidRPr="00F57999">
              <w:rPr>
                <w:lang w:val="ru-RU"/>
              </w:rPr>
              <w:t>Генерального</w:t>
            </w:r>
            <w:r w:rsidRPr="00DD7414">
              <w:rPr>
                <w:lang w:val="ru-RU"/>
              </w:rPr>
              <w:t xml:space="preserve"> секретаря</w:t>
            </w:r>
          </w:p>
        </w:tc>
      </w:tr>
      <w:tr w:rsidR="00BC7BC0" w:rsidRPr="0064328F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6B49B99" w:rsidR="00BC7BC0" w:rsidRPr="00DD7414" w:rsidRDefault="00080C4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D7414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14:paraId="4B6F74DD" w14:textId="77777777" w:rsidR="002D2F57" w:rsidRPr="00DD741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B16D8" w14:paraId="2FF89862" w14:textId="77777777" w:rsidTr="00080C48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DD7414" w:rsidRDefault="002D2F57">
            <w:pPr>
              <w:pStyle w:val="Headingb"/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>Резюме</w:t>
            </w:r>
          </w:p>
          <w:p w14:paraId="1E17E567" w14:textId="56BB9186" w:rsidR="00080C48" w:rsidRPr="00DD7414" w:rsidRDefault="00080C48" w:rsidP="00080C48">
            <w:pPr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 xml:space="preserve">В настоящем отчете охватывается деятельность по внутреннему аудиту с </w:t>
            </w:r>
            <w:r w:rsidR="00A75BD3">
              <w:rPr>
                <w:szCs w:val="22"/>
                <w:lang w:val="ru-RU"/>
              </w:rPr>
              <w:t>апреля</w:t>
            </w:r>
            <w:r w:rsidRPr="00DD7414">
              <w:rPr>
                <w:szCs w:val="22"/>
                <w:lang w:val="ru-RU"/>
              </w:rPr>
              <w:t xml:space="preserve"> 20</w:t>
            </w:r>
            <w:r w:rsidR="00A75BD3">
              <w:rPr>
                <w:szCs w:val="22"/>
                <w:lang w:val="ru-RU"/>
              </w:rPr>
              <w:t>21</w:t>
            </w:r>
            <w:r w:rsidRPr="00DD7414">
              <w:rPr>
                <w:szCs w:val="22"/>
                <w:lang w:val="ru-RU"/>
              </w:rPr>
              <w:t xml:space="preserve"> года по </w:t>
            </w:r>
            <w:r w:rsidR="00A75BD3">
              <w:rPr>
                <w:szCs w:val="22"/>
                <w:lang w:val="ru-RU"/>
              </w:rPr>
              <w:t>январь</w:t>
            </w:r>
            <w:r w:rsidRPr="00DD7414">
              <w:rPr>
                <w:szCs w:val="22"/>
                <w:lang w:val="ru-RU"/>
              </w:rPr>
              <w:t xml:space="preserve"> 202</w:t>
            </w:r>
            <w:r w:rsidR="00A75BD3">
              <w:rPr>
                <w:szCs w:val="22"/>
                <w:lang w:val="ru-RU"/>
              </w:rPr>
              <w:t>2</w:t>
            </w:r>
            <w:r w:rsidRPr="00DD7414">
              <w:rPr>
                <w:szCs w:val="22"/>
                <w:lang w:val="ru-RU"/>
              </w:rPr>
              <w:t xml:space="preserve"> года.</w:t>
            </w:r>
          </w:p>
          <w:p w14:paraId="08D54458" w14:textId="77777777" w:rsidR="002D2F57" w:rsidRPr="00DD7414" w:rsidRDefault="002D2F57" w:rsidP="00E55121">
            <w:pPr>
              <w:pStyle w:val="Headingb"/>
              <w:rPr>
                <w:lang w:val="ru-RU"/>
              </w:rPr>
            </w:pPr>
            <w:r w:rsidRPr="00DD7414">
              <w:rPr>
                <w:lang w:val="ru-RU"/>
              </w:rPr>
              <w:t xml:space="preserve">Необходимые </w:t>
            </w:r>
            <w:r w:rsidR="00F5225B" w:rsidRPr="00DD7414">
              <w:rPr>
                <w:lang w:val="ru-RU"/>
              </w:rPr>
              <w:t>действия</w:t>
            </w:r>
          </w:p>
          <w:p w14:paraId="78AB9C76" w14:textId="1D3AF491" w:rsidR="002D2F57" w:rsidRPr="00DD7414" w:rsidRDefault="00080C48">
            <w:pPr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 xml:space="preserve">Настоящий отчет направляется Совету </w:t>
            </w:r>
            <w:r w:rsidRPr="00DD7414">
              <w:rPr>
                <w:b/>
                <w:bCs/>
                <w:szCs w:val="22"/>
                <w:lang w:val="ru-RU"/>
              </w:rPr>
              <w:t>для рассмотрения</w:t>
            </w:r>
            <w:r w:rsidRPr="00DD7414">
              <w:rPr>
                <w:szCs w:val="22"/>
                <w:lang w:val="ru-RU"/>
              </w:rPr>
              <w:t>.</w:t>
            </w:r>
          </w:p>
          <w:p w14:paraId="6A9E596B" w14:textId="77777777" w:rsidR="002D2F57" w:rsidRPr="00DD7414" w:rsidRDefault="002D2F57" w:rsidP="00080C4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DD7414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DD7414" w:rsidRDefault="002D2F57">
            <w:pPr>
              <w:pStyle w:val="Headingb"/>
              <w:rPr>
                <w:szCs w:val="22"/>
                <w:lang w:val="ru-RU"/>
              </w:rPr>
            </w:pPr>
            <w:r w:rsidRPr="00DD7414">
              <w:rPr>
                <w:szCs w:val="22"/>
                <w:lang w:val="ru-RU"/>
              </w:rPr>
              <w:t>Справочные материалы</w:t>
            </w:r>
          </w:p>
          <w:p w14:paraId="47CA1E48" w14:textId="4E3FCAEC" w:rsidR="002D2F57" w:rsidRPr="00DD7414" w:rsidRDefault="009B16D8" w:rsidP="00A90A2E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080C48" w:rsidRPr="00DD7414">
                <w:rPr>
                  <w:rStyle w:val="Hyperlink"/>
                  <w:i/>
                  <w:iCs/>
                  <w:szCs w:val="22"/>
                  <w:lang w:val="ru-RU"/>
                </w:rPr>
                <w:t>Финансовый регламент и Финансовые правила МСЭ (2018 г.), Статья 29</w:t>
              </w:r>
            </w:hyperlink>
          </w:p>
        </w:tc>
      </w:tr>
    </w:tbl>
    <w:p w14:paraId="7FEA09E8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Введение</w:t>
      </w:r>
    </w:p>
    <w:p w14:paraId="508AF819" w14:textId="0E508E08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1</w:t>
      </w:r>
      <w:r w:rsidRPr="00DD7414">
        <w:rPr>
          <w:lang w:val="ru-RU"/>
        </w:rPr>
        <w:tab/>
        <w:t>Настоящий отчет направляется Совету МСЭ и подготовлен согласно Статье 29 Финансового регламента (2010 г.). В соответствии с Уставом Службы внутреннего аудита МСЭ</w:t>
      </w:r>
      <w:r w:rsidR="0064328F">
        <w:rPr>
          <w:rStyle w:val="FootnoteReference"/>
          <w:lang w:val="ru-RU"/>
        </w:rPr>
        <w:footnoteReference w:customMarkFollows="1" w:id="1"/>
        <w:t>1</w:t>
      </w:r>
      <w:r w:rsidRPr="00DD7414">
        <w:rPr>
          <w:position w:val="6"/>
          <w:sz w:val="16"/>
          <w:lang w:val="ru-RU"/>
        </w:rPr>
        <w:t xml:space="preserve"> </w:t>
      </w:r>
      <w:r w:rsidRPr="00DD7414">
        <w:rPr>
          <w:lang w:val="ru-RU"/>
        </w:rPr>
        <w:t xml:space="preserve">настоящий отчет передается Генеральному секретарю и представляется Совету для рассмотрения. </w:t>
      </w:r>
      <w:r w:rsidR="00600038">
        <w:rPr>
          <w:lang w:val="ru-RU"/>
        </w:rPr>
        <w:t xml:space="preserve">Настоящий </w:t>
      </w:r>
      <w:r w:rsidRPr="00DD7414">
        <w:rPr>
          <w:lang w:val="ru-RU"/>
        </w:rPr>
        <w:t xml:space="preserve">отчет охватывает деятельность за период с </w:t>
      </w:r>
      <w:r w:rsidR="00A75BD3">
        <w:rPr>
          <w:lang w:val="ru-RU"/>
        </w:rPr>
        <w:t>апреля</w:t>
      </w:r>
      <w:r w:rsidRPr="00DD7414">
        <w:rPr>
          <w:lang w:val="ru-RU"/>
        </w:rPr>
        <w:t xml:space="preserve"> 20</w:t>
      </w:r>
      <w:r w:rsidR="00A75BD3">
        <w:rPr>
          <w:lang w:val="ru-RU"/>
        </w:rPr>
        <w:t>21</w:t>
      </w:r>
      <w:r w:rsidRPr="00DD7414">
        <w:rPr>
          <w:lang w:val="ru-RU"/>
        </w:rPr>
        <w:t xml:space="preserve"> года по </w:t>
      </w:r>
      <w:r w:rsidR="00A75BD3">
        <w:rPr>
          <w:lang w:val="ru-RU"/>
        </w:rPr>
        <w:t>январь</w:t>
      </w:r>
      <w:r w:rsidRPr="00DD7414">
        <w:rPr>
          <w:lang w:val="ru-RU"/>
        </w:rPr>
        <w:t xml:space="preserve"> 202</w:t>
      </w:r>
      <w:r w:rsidR="00A75BD3">
        <w:rPr>
          <w:lang w:val="ru-RU"/>
        </w:rPr>
        <w:t>2</w:t>
      </w:r>
      <w:r w:rsidRPr="00DD7414">
        <w:rPr>
          <w:lang w:val="ru-RU"/>
        </w:rPr>
        <w:t xml:space="preserve"> года</w:t>
      </w:r>
      <w:r w:rsidRPr="00DD7414">
        <w:rPr>
          <w:color w:val="000000" w:themeColor="text1"/>
          <w:lang w:val="ru-RU"/>
        </w:rPr>
        <w:t>.</w:t>
      </w:r>
    </w:p>
    <w:p w14:paraId="138D31D4" w14:textId="098265CB" w:rsidR="00FC4B2E" w:rsidRPr="0079703B" w:rsidRDefault="00080C48" w:rsidP="00080C48">
      <w:pPr>
        <w:rPr>
          <w:lang w:val="ru-RU"/>
        </w:rPr>
      </w:pPr>
      <w:r w:rsidRPr="00DD7414">
        <w:rPr>
          <w:lang w:val="ru-RU"/>
        </w:rPr>
        <w:t>2</w:t>
      </w:r>
      <w:r w:rsidRPr="00DD7414">
        <w:rPr>
          <w:lang w:val="ru-RU"/>
        </w:rPr>
        <w:tab/>
        <w:t xml:space="preserve">На протяжении всего отчетного периода </w:t>
      </w:r>
      <w:r w:rsidR="00BC7C6F">
        <w:rPr>
          <w:lang w:val="ru-RU"/>
        </w:rPr>
        <w:t xml:space="preserve">вплоть до сентября 2021 года </w:t>
      </w:r>
      <w:r w:rsidRPr="00DD7414">
        <w:rPr>
          <w:lang w:val="ru-RU"/>
        </w:rPr>
        <w:t>подразделение внутреннего аудита состояло из трех сотрудников категории специалистов: одного сотрудника категории P.5 (руководитель подразделения), одного сотрудника категории P.3 (Внутренний аудитор) и одного сотрудника категории P.2 (младший Внутренний аудитор)</w:t>
      </w:r>
      <w:r w:rsidR="00EE2991">
        <w:rPr>
          <w:lang w:val="ru-RU"/>
        </w:rPr>
        <w:t xml:space="preserve">. </w:t>
      </w:r>
      <w:r w:rsidR="004F356A">
        <w:rPr>
          <w:lang w:val="ru-RU"/>
        </w:rPr>
        <w:t>По</w:t>
      </w:r>
      <w:r w:rsidR="004F356A" w:rsidRPr="0012524C">
        <w:rPr>
          <w:lang w:val="ru-RU"/>
        </w:rPr>
        <w:t xml:space="preserve"> </w:t>
      </w:r>
      <w:r w:rsidR="004F356A">
        <w:rPr>
          <w:lang w:val="ru-RU"/>
        </w:rPr>
        <w:t>состоянию</w:t>
      </w:r>
      <w:r w:rsidR="004F356A" w:rsidRPr="0012524C">
        <w:rPr>
          <w:lang w:val="ru-RU"/>
        </w:rPr>
        <w:t xml:space="preserve"> </w:t>
      </w:r>
      <w:r w:rsidR="004F356A">
        <w:rPr>
          <w:lang w:val="ru-RU"/>
        </w:rPr>
        <w:t>на</w:t>
      </w:r>
      <w:r w:rsidR="004F356A" w:rsidRPr="0012524C">
        <w:rPr>
          <w:lang w:val="ru-RU"/>
        </w:rPr>
        <w:t xml:space="preserve"> </w:t>
      </w:r>
      <w:r w:rsidR="004F356A">
        <w:rPr>
          <w:lang w:val="ru-RU"/>
        </w:rPr>
        <w:t>октябрь</w:t>
      </w:r>
      <w:r w:rsidR="004F356A" w:rsidRPr="0012524C">
        <w:rPr>
          <w:lang w:val="ru-RU"/>
        </w:rPr>
        <w:t xml:space="preserve"> 2021</w:t>
      </w:r>
      <w:r w:rsidR="00F57999">
        <w:rPr>
          <w:lang w:val="ru-RU"/>
        </w:rPr>
        <w:t> </w:t>
      </w:r>
      <w:r w:rsidR="004F356A">
        <w:rPr>
          <w:lang w:val="ru-RU"/>
        </w:rPr>
        <w:t>года</w:t>
      </w:r>
      <w:r w:rsidR="0012524C" w:rsidRPr="0012524C">
        <w:rPr>
          <w:lang w:val="ru-RU"/>
        </w:rPr>
        <w:t xml:space="preserve"> </w:t>
      </w:r>
      <w:r w:rsidR="0012524C">
        <w:rPr>
          <w:lang w:val="ru-RU"/>
        </w:rPr>
        <w:t>должность</w:t>
      </w:r>
      <w:r w:rsidR="0012524C" w:rsidRPr="0012524C">
        <w:rPr>
          <w:lang w:val="ru-RU"/>
        </w:rPr>
        <w:t xml:space="preserve"> </w:t>
      </w:r>
      <w:r w:rsidR="0012524C">
        <w:rPr>
          <w:lang w:val="ru-RU"/>
        </w:rPr>
        <w:t>сотрудника</w:t>
      </w:r>
      <w:r w:rsidR="0012524C" w:rsidRPr="0012524C">
        <w:rPr>
          <w:lang w:val="ru-RU"/>
        </w:rPr>
        <w:t xml:space="preserve"> </w:t>
      </w:r>
      <w:r w:rsidR="0012524C">
        <w:rPr>
          <w:lang w:val="ru-RU"/>
        </w:rPr>
        <w:t>категории</w:t>
      </w:r>
      <w:r w:rsidR="00A60388" w:rsidRPr="0012524C">
        <w:rPr>
          <w:lang w:val="ru-RU"/>
        </w:rPr>
        <w:t xml:space="preserve"> </w:t>
      </w:r>
      <w:r w:rsidR="00A60388" w:rsidRPr="00A60388">
        <w:rPr>
          <w:lang w:val="en-US"/>
        </w:rPr>
        <w:t>P</w:t>
      </w:r>
      <w:r w:rsidR="00A60388" w:rsidRPr="0012524C">
        <w:rPr>
          <w:lang w:val="ru-RU"/>
        </w:rPr>
        <w:t>.4 (</w:t>
      </w:r>
      <w:r w:rsidR="0012524C" w:rsidRPr="0012524C">
        <w:rPr>
          <w:lang w:val="ru-RU"/>
        </w:rPr>
        <w:t>старший</w:t>
      </w:r>
      <w:r w:rsidR="00F57999">
        <w:rPr>
          <w:lang w:val="ru-RU"/>
        </w:rPr>
        <w:t xml:space="preserve"> </w:t>
      </w:r>
      <w:r w:rsidR="0012524C" w:rsidRPr="0012524C">
        <w:rPr>
          <w:lang w:val="ru-RU"/>
        </w:rPr>
        <w:t>аудитор</w:t>
      </w:r>
      <w:r w:rsidR="00A60388" w:rsidRPr="0012524C">
        <w:rPr>
          <w:lang w:val="ru-RU"/>
        </w:rPr>
        <w:t xml:space="preserve">) </w:t>
      </w:r>
      <w:r w:rsidR="0012524C">
        <w:rPr>
          <w:lang w:val="ru-RU"/>
        </w:rPr>
        <w:t>была занята</w:t>
      </w:r>
      <w:r w:rsidR="00A60388" w:rsidRPr="0012524C">
        <w:rPr>
          <w:lang w:val="ru-RU"/>
        </w:rPr>
        <w:t>,</w:t>
      </w:r>
      <w:r w:rsidR="0012524C">
        <w:rPr>
          <w:lang w:val="ru-RU"/>
        </w:rPr>
        <w:t xml:space="preserve"> и временный сотрудник </w:t>
      </w:r>
      <w:r w:rsidR="0012524C" w:rsidRPr="00DD7414">
        <w:rPr>
          <w:lang w:val="ru-RU"/>
        </w:rPr>
        <w:t xml:space="preserve">категории P.3 </w:t>
      </w:r>
      <w:r w:rsidR="0012524C">
        <w:rPr>
          <w:lang w:val="ru-RU"/>
        </w:rPr>
        <w:t>был назначен с</w:t>
      </w:r>
      <w:r w:rsidR="00A60388" w:rsidRPr="0012524C">
        <w:rPr>
          <w:lang w:val="ru-RU"/>
        </w:rPr>
        <w:t xml:space="preserve"> 1 </w:t>
      </w:r>
      <w:r w:rsidR="0012524C">
        <w:rPr>
          <w:lang w:val="ru-RU"/>
        </w:rPr>
        <w:t>ноября</w:t>
      </w:r>
      <w:r w:rsidR="00A60388" w:rsidRPr="0012524C">
        <w:rPr>
          <w:lang w:val="ru-RU"/>
        </w:rPr>
        <w:t xml:space="preserve"> 2021</w:t>
      </w:r>
      <w:r w:rsidR="0012524C">
        <w:rPr>
          <w:lang w:val="ru-RU"/>
        </w:rPr>
        <w:t xml:space="preserve"> года до</w:t>
      </w:r>
      <w:r w:rsidR="00A60388" w:rsidRPr="0012524C">
        <w:rPr>
          <w:lang w:val="ru-RU"/>
        </w:rPr>
        <w:t xml:space="preserve"> 31 </w:t>
      </w:r>
      <w:r w:rsidR="0012524C">
        <w:rPr>
          <w:lang w:val="ru-RU"/>
        </w:rPr>
        <w:t>марта</w:t>
      </w:r>
      <w:r w:rsidR="00A60388" w:rsidRPr="0012524C">
        <w:rPr>
          <w:lang w:val="ru-RU"/>
        </w:rPr>
        <w:t xml:space="preserve"> 2022</w:t>
      </w:r>
      <w:r w:rsidR="0012524C">
        <w:rPr>
          <w:lang w:val="ru-RU"/>
        </w:rPr>
        <w:t xml:space="preserve"> года</w:t>
      </w:r>
      <w:r w:rsidR="00A60388" w:rsidRPr="0012524C">
        <w:rPr>
          <w:lang w:val="ru-RU"/>
        </w:rPr>
        <w:t xml:space="preserve">. </w:t>
      </w:r>
      <w:r w:rsidR="0012524C">
        <w:rPr>
          <w:lang w:val="ru-RU"/>
        </w:rPr>
        <w:t>Объявлена</w:t>
      </w:r>
      <w:r w:rsidR="0012524C" w:rsidRPr="0012524C">
        <w:rPr>
          <w:lang w:val="ru-RU"/>
        </w:rPr>
        <w:t xml:space="preserve"> </w:t>
      </w:r>
      <w:r w:rsidR="0012524C">
        <w:rPr>
          <w:lang w:val="ru-RU"/>
        </w:rPr>
        <w:t>вакансия</w:t>
      </w:r>
      <w:r w:rsidR="0012524C" w:rsidRPr="0012524C">
        <w:rPr>
          <w:lang w:val="ru-RU"/>
        </w:rPr>
        <w:t xml:space="preserve"> </w:t>
      </w:r>
      <w:r w:rsidR="0012524C">
        <w:rPr>
          <w:lang w:val="ru-RU"/>
        </w:rPr>
        <w:t>на должность категории</w:t>
      </w:r>
      <w:r w:rsidR="00A60388" w:rsidRPr="0012524C">
        <w:rPr>
          <w:lang w:val="ru-RU"/>
        </w:rPr>
        <w:t xml:space="preserve"> </w:t>
      </w:r>
      <w:r w:rsidR="00A60388" w:rsidRPr="00A60388">
        <w:rPr>
          <w:lang w:val="en-US"/>
        </w:rPr>
        <w:t>P</w:t>
      </w:r>
      <w:r w:rsidR="00A60388" w:rsidRPr="0012524C">
        <w:rPr>
          <w:lang w:val="ru-RU"/>
        </w:rPr>
        <w:t xml:space="preserve">.3 </w:t>
      </w:r>
      <w:r w:rsidR="0012524C">
        <w:rPr>
          <w:lang w:val="ru-RU"/>
        </w:rPr>
        <w:t xml:space="preserve">со срочным контрактом, и ожидается, что она будет заполнена к середине </w:t>
      </w:r>
      <w:r w:rsidR="00A60388" w:rsidRPr="0012524C">
        <w:rPr>
          <w:lang w:val="ru-RU"/>
        </w:rPr>
        <w:t>2022</w:t>
      </w:r>
      <w:r w:rsidR="0012524C">
        <w:rPr>
          <w:lang w:val="ru-RU"/>
        </w:rPr>
        <w:t xml:space="preserve"> года</w:t>
      </w:r>
      <w:r w:rsidR="00A60388" w:rsidRPr="0012524C">
        <w:rPr>
          <w:lang w:val="ru-RU"/>
        </w:rPr>
        <w:t xml:space="preserve">. </w:t>
      </w:r>
      <w:r w:rsidR="0012524C">
        <w:rPr>
          <w:lang w:val="ru-RU"/>
        </w:rPr>
        <w:t>Как и в</w:t>
      </w:r>
      <w:r w:rsidR="00E0679A" w:rsidRPr="00E0679A">
        <w:rPr>
          <w:lang w:val="ru-RU"/>
        </w:rPr>
        <w:t xml:space="preserve"> 2021</w:t>
      </w:r>
      <w:r w:rsidR="0012524C">
        <w:rPr>
          <w:lang w:val="ru-RU"/>
        </w:rPr>
        <w:t xml:space="preserve"> году</w:t>
      </w:r>
      <w:r w:rsidR="00E0679A" w:rsidRPr="00E0679A">
        <w:rPr>
          <w:lang w:val="ru-RU"/>
        </w:rPr>
        <w:t xml:space="preserve"> </w:t>
      </w:r>
      <w:r w:rsidR="0079703B">
        <w:rPr>
          <w:lang w:val="ru-RU"/>
        </w:rPr>
        <w:t>подразделение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состоит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из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четырех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должностей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категории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специалистов</w:t>
      </w:r>
      <w:r w:rsidR="0079703B" w:rsidRPr="0079703B">
        <w:rPr>
          <w:lang w:val="ru-RU"/>
        </w:rPr>
        <w:t xml:space="preserve">, </w:t>
      </w:r>
      <w:r w:rsidR="0079703B">
        <w:rPr>
          <w:lang w:val="ru-RU"/>
        </w:rPr>
        <w:t>из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которых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одна</w:t>
      </w:r>
      <w:r w:rsidR="0079703B" w:rsidRPr="0079703B">
        <w:rPr>
          <w:lang w:val="ru-RU"/>
        </w:rPr>
        <w:t xml:space="preserve"> </w:t>
      </w:r>
      <w:r w:rsidR="0079703B">
        <w:rPr>
          <w:lang w:val="ru-RU"/>
        </w:rPr>
        <w:t>вакантна</w:t>
      </w:r>
      <w:r w:rsidR="0079703B" w:rsidRPr="0079703B">
        <w:rPr>
          <w:lang w:val="ru-RU"/>
        </w:rPr>
        <w:t xml:space="preserve"> </w:t>
      </w:r>
      <w:r w:rsidR="00A60388">
        <w:rPr>
          <w:lang w:val="ru-RU"/>
        </w:rPr>
        <w:t>в ожидании замещения в 2022</w:t>
      </w:r>
      <w:r w:rsidR="0079703B">
        <w:rPr>
          <w:lang w:val="ru-RU"/>
        </w:rPr>
        <w:t> году</w:t>
      </w:r>
      <w:r w:rsidR="00FC4B2E" w:rsidRPr="0079703B">
        <w:rPr>
          <w:lang w:val="ru-RU"/>
        </w:rPr>
        <w:t>.</w:t>
      </w:r>
    </w:p>
    <w:p w14:paraId="48B67478" w14:textId="03FCE3E6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3</w:t>
      </w:r>
      <w:r w:rsidRPr="00DD7414">
        <w:rPr>
          <w:lang w:val="ru-RU"/>
        </w:rPr>
        <w:tab/>
        <w:t>Служба внутреннего аудита (IA) подтверждает, что проводит свои аудиторские проверки в соответствии с Международными стандартами профессиональной практики внутреннего аудита и Кодексом этики, установленным Институтом внутренних аудиторов</w:t>
      </w:r>
      <w:r w:rsidR="0064328F">
        <w:rPr>
          <w:rStyle w:val="FootnoteReference"/>
          <w:lang w:val="ru-RU"/>
        </w:rPr>
        <w:footnoteReference w:customMarkFollows="1" w:id="2"/>
        <w:t>2</w:t>
      </w:r>
      <w:r w:rsidRPr="00DD7414">
        <w:rPr>
          <w:lang w:val="ru-RU"/>
        </w:rPr>
        <w:t xml:space="preserve"> (IIA), а также положениями Устава Службы внутреннего аудита МСЭ</w:t>
      </w:r>
      <w:r w:rsidR="0064328F">
        <w:rPr>
          <w:rStyle w:val="FootnoteReference"/>
          <w:lang w:val="ru-RU"/>
        </w:rPr>
        <w:footnoteReference w:customMarkFollows="1" w:id="3"/>
        <w:t>3</w:t>
      </w:r>
      <w:r w:rsidRPr="00DD7414">
        <w:rPr>
          <w:lang w:val="ru-RU"/>
        </w:rPr>
        <w:t xml:space="preserve">. Кроме того, Служба IA подтверждает, что за отчетный период ее сотрудники не имели управленческих полномочий и не несли ответственности в связи с </w:t>
      </w:r>
      <w:r w:rsidRPr="00DD7414">
        <w:rPr>
          <w:lang w:val="ru-RU"/>
        </w:rPr>
        <w:lastRenderedPageBreak/>
        <w:t>какой-либо деятельностью, в отношении которой проводилась аудиторская проверка, и не выполняли учетных или оперативных функций в МСЭ.</w:t>
      </w:r>
    </w:p>
    <w:p w14:paraId="1A9F0606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Направленность и сфера охвата деятельности по внутреннему аудиту</w:t>
      </w:r>
    </w:p>
    <w:p w14:paraId="61B6D345" w14:textId="4C465669" w:rsidR="00080C48" w:rsidRPr="00A36B1B" w:rsidRDefault="00080C48" w:rsidP="00080C48">
      <w:pPr>
        <w:rPr>
          <w:lang w:val="ru-RU"/>
        </w:rPr>
      </w:pPr>
      <w:r w:rsidRPr="00FE3A6B">
        <w:rPr>
          <w:lang w:val="ru-RU"/>
        </w:rPr>
        <w:t>4</w:t>
      </w:r>
      <w:r w:rsidRPr="00FE3A6B">
        <w:rPr>
          <w:lang w:val="ru-RU"/>
        </w:rPr>
        <w:tab/>
      </w:r>
      <w:r w:rsidRPr="00DD7414">
        <w:rPr>
          <w:lang w:val="ru-RU"/>
        </w:rPr>
        <w:t>В соответствии с Уставом Службы IA план по IA на 20</w:t>
      </w:r>
      <w:r w:rsidR="00FC4B2E" w:rsidRPr="00DD7414">
        <w:rPr>
          <w:lang w:val="ru-RU"/>
        </w:rPr>
        <w:t>21</w:t>
      </w:r>
      <w:r w:rsidRPr="00DD7414">
        <w:rPr>
          <w:lang w:val="ru-RU"/>
        </w:rPr>
        <w:t xml:space="preserve"> год был рассмотрен на 2</w:t>
      </w:r>
      <w:r w:rsidR="00FC4B2E" w:rsidRPr="00DD7414">
        <w:rPr>
          <w:lang w:val="ru-RU"/>
        </w:rPr>
        <w:t>8</w:t>
      </w:r>
      <w:r w:rsidR="003E5C17">
        <w:rPr>
          <w:lang w:val="ru-RU"/>
        </w:rPr>
        <w:noBreakHyphen/>
      </w:r>
      <w:r w:rsidRPr="00DD7414">
        <w:rPr>
          <w:lang w:val="ru-RU"/>
        </w:rPr>
        <w:t>м</w:t>
      </w:r>
      <w:r w:rsidR="003E5C17">
        <w:rPr>
          <w:lang w:val="ru-RU"/>
        </w:rPr>
        <w:t> </w:t>
      </w:r>
      <w:r w:rsidRPr="00DD7414">
        <w:rPr>
          <w:lang w:val="ru-RU"/>
        </w:rPr>
        <w:t xml:space="preserve">собрании </w:t>
      </w:r>
      <w:r w:rsidRPr="00DD7414">
        <w:rPr>
          <w:color w:val="000000"/>
          <w:lang w:val="ru-RU"/>
        </w:rPr>
        <w:t xml:space="preserve">Независимого консультативного комитета по управлению </w:t>
      </w:r>
      <w:r w:rsidRPr="00A75BD3">
        <w:rPr>
          <w:lang w:val="ru-RU"/>
        </w:rPr>
        <w:t>(</w:t>
      </w:r>
      <w:r w:rsidRPr="00EE2991">
        <w:t>IMAC</w:t>
      </w:r>
      <w:r w:rsidRPr="00A75BD3">
        <w:rPr>
          <w:lang w:val="ru-RU"/>
        </w:rPr>
        <w:t xml:space="preserve">) </w:t>
      </w:r>
      <w:r w:rsidRPr="00DD7414">
        <w:rPr>
          <w:lang w:val="ru-RU"/>
        </w:rPr>
        <w:t>и</w:t>
      </w:r>
      <w:r w:rsidRPr="00A75BD3">
        <w:rPr>
          <w:lang w:val="ru-RU"/>
        </w:rPr>
        <w:t xml:space="preserve"> </w:t>
      </w:r>
      <w:r w:rsidRPr="00DD7414">
        <w:rPr>
          <w:lang w:val="ru-RU"/>
        </w:rPr>
        <w:t>утвержден</w:t>
      </w:r>
      <w:r w:rsidRPr="00A75BD3">
        <w:rPr>
          <w:lang w:val="ru-RU"/>
        </w:rPr>
        <w:t xml:space="preserve"> </w:t>
      </w:r>
      <w:r w:rsidRPr="00DD7414">
        <w:rPr>
          <w:lang w:val="ru-RU"/>
        </w:rPr>
        <w:t>Генеральным</w:t>
      </w:r>
      <w:r w:rsidRPr="00A75BD3">
        <w:rPr>
          <w:lang w:val="ru-RU"/>
        </w:rPr>
        <w:t xml:space="preserve"> </w:t>
      </w:r>
      <w:r w:rsidRPr="00DD7414">
        <w:rPr>
          <w:lang w:val="ru-RU"/>
        </w:rPr>
        <w:t>секретарем</w:t>
      </w:r>
      <w:r w:rsidRPr="00A75BD3">
        <w:rPr>
          <w:lang w:val="ru-RU"/>
        </w:rPr>
        <w:t xml:space="preserve"> 2</w:t>
      </w:r>
      <w:r w:rsidR="00FC4B2E" w:rsidRPr="00A75BD3">
        <w:rPr>
          <w:lang w:val="ru-RU"/>
        </w:rPr>
        <w:t>9</w:t>
      </w:r>
      <w:r w:rsidRPr="00A75BD3">
        <w:rPr>
          <w:lang w:val="ru-RU"/>
        </w:rPr>
        <w:t xml:space="preserve"> </w:t>
      </w:r>
      <w:r w:rsidRPr="00DD7414">
        <w:rPr>
          <w:lang w:val="ru-RU"/>
        </w:rPr>
        <w:t>марта</w:t>
      </w:r>
      <w:r w:rsidRPr="00A75BD3">
        <w:rPr>
          <w:lang w:val="ru-RU"/>
        </w:rPr>
        <w:t xml:space="preserve"> 20</w:t>
      </w:r>
      <w:r w:rsidR="00FC4B2E" w:rsidRPr="00A75BD3">
        <w:rPr>
          <w:lang w:val="ru-RU"/>
        </w:rPr>
        <w:t>21</w:t>
      </w:r>
      <w:r w:rsidRPr="00A75BD3">
        <w:rPr>
          <w:lang w:val="ru-RU"/>
        </w:rPr>
        <w:t xml:space="preserve"> </w:t>
      </w:r>
      <w:r w:rsidRPr="00DD7414">
        <w:rPr>
          <w:lang w:val="ru-RU"/>
        </w:rPr>
        <w:t>года</w:t>
      </w:r>
      <w:r w:rsidRPr="00A75BD3">
        <w:rPr>
          <w:lang w:val="ru-RU"/>
        </w:rPr>
        <w:t xml:space="preserve">. </w:t>
      </w:r>
      <w:r w:rsidR="00FE3A6B">
        <w:rPr>
          <w:lang w:val="ru-RU"/>
        </w:rPr>
        <w:t>На</w:t>
      </w:r>
      <w:r w:rsidR="00FE3A6B" w:rsidRPr="00FE3A6B">
        <w:rPr>
          <w:lang w:val="ru-RU"/>
        </w:rPr>
        <w:t xml:space="preserve"> 2021</w:t>
      </w:r>
      <w:r w:rsidR="00FE3A6B" w:rsidRPr="00FE3A6B">
        <w:t> </w:t>
      </w:r>
      <w:r w:rsidR="00FE3A6B">
        <w:rPr>
          <w:lang w:val="ru-RU"/>
        </w:rPr>
        <w:t>год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выделенное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для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расследований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время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было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сокращено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до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минимума</w:t>
      </w:r>
      <w:r w:rsidR="00FE3A6B" w:rsidRPr="00FE3A6B">
        <w:rPr>
          <w:lang w:val="ru-RU"/>
        </w:rPr>
        <w:t xml:space="preserve">, </w:t>
      </w:r>
      <w:r w:rsidR="00FE3A6B">
        <w:rPr>
          <w:lang w:val="ru-RU"/>
        </w:rPr>
        <w:t>чтобы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дать</w:t>
      </w:r>
      <w:r w:rsidR="00FE3A6B" w:rsidRPr="00FE3A6B">
        <w:rPr>
          <w:lang w:val="ru-RU"/>
        </w:rPr>
        <w:t xml:space="preserve"> </w:t>
      </w:r>
      <w:r w:rsidR="00FE3A6B">
        <w:rPr>
          <w:lang w:val="ru-RU"/>
        </w:rPr>
        <w:t>Службе</w:t>
      </w:r>
      <w:r w:rsidR="00FE3A6B" w:rsidRPr="00FE3A6B">
        <w:rPr>
          <w:lang w:val="ru-RU"/>
        </w:rPr>
        <w:t xml:space="preserve"> </w:t>
      </w:r>
      <w:r w:rsidR="00FC4B2E" w:rsidRPr="00EE2991">
        <w:t>IA</w:t>
      </w:r>
      <w:r w:rsidR="00FC4B2E" w:rsidRPr="00FE3A6B">
        <w:rPr>
          <w:lang w:val="ru-RU"/>
        </w:rPr>
        <w:t xml:space="preserve"> </w:t>
      </w:r>
      <w:r w:rsidR="00FE3A6B">
        <w:rPr>
          <w:lang w:val="ru-RU"/>
        </w:rPr>
        <w:t>возможность выполнения основной части ее мандата</w:t>
      </w:r>
      <w:r w:rsidR="00FC4B2E" w:rsidRPr="00FE3A6B">
        <w:rPr>
          <w:lang w:val="ru-RU"/>
        </w:rPr>
        <w:t>.</w:t>
      </w:r>
      <w:r w:rsidR="00CB1006" w:rsidRPr="00FE3A6B">
        <w:rPr>
          <w:lang w:val="ru-RU"/>
        </w:rPr>
        <w:t xml:space="preserve"> </w:t>
      </w:r>
      <w:r w:rsidR="00CB1006" w:rsidRPr="00DD7414">
        <w:rPr>
          <w:lang w:val="ru-RU"/>
        </w:rPr>
        <w:t xml:space="preserve">Служба AI ведет работу по расследованию, опираясь на Устав Службы внутреннего аудита, в котором </w:t>
      </w:r>
      <w:r w:rsidRPr="00DD7414">
        <w:rPr>
          <w:lang w:val="ru-RU"/>
        </w:rPr>
        <w:t xml:space="preserve">также говорится, что </w:t>
      </w:r>
      <w:r w:rsidRPr="00DD7414">
        <w:rPr>
          <w:i/>
          <w:iCs/>
          <w:color w:val="000000"/>
          <w:lang w:val="ru-RU"/>
        </w:rPr>
        <w:t xml:space="preserve">Служба внутреннего аудита </w:t>
      </w:r>
      <w:r w:rsidRPr="00DD7414">
        <w:rPr>
          <w:i/>
          <w:iCs/>
          <w:lang w:val="ru-RU"/>
        </w:rPr>
        <w:t>расследует утверждения или предположения о мошенничестве или ненадлежащем управлении, а также что Служба внутреннего аудита может оказывать в рамках МСЭ консультационные услуги</w:t>
      </w:r>
      <w:r w:rsidRPr="00DD7414">
        <w:rPr>
          <w:lang w:val="ru-RU"/>
        </w:rPr>
        <w:t>.</w:t>
      </w:r>
      <w:r w:rsidR="00A60388">
        <w:rPr>
          <w:lang w:val="ru-RU"/>
        </w:rPr>
        <w:t xml:space="preserve"> </w:t>
      </w:r>
      <w:r w:rsidR="00A36B1B">
        <w:rPr>
          <w:lang w:val="ru-RU"/>
        </w:rPr>
        <w:t>Затраченное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на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такое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расследование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время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действительно</w:t>
      </w:r>
      <w:r w:rsidR="00651752">
        <w:rPr>
          <w:lang w:val="ru-RU"/>
        </w:rPr>
        <w:t xml:space="preserve"> сводилось к</w:t>
      </w:r>
      <w:r w:rsidR="00A36B1B">
        <w:rPr>
          <w:lang w:val="ru-RU"/>
        </w:rPr>
        <w:t xml:space="preserve"> завершению более раннего расследования и/или оказани</w:t>
      </w:r>
      <w:r w:rsidR="00651752">
        <w:rPr>
          <w:lang w:val="ru-RU"/>
        </w:rPr>
        <w:t>ю</w:t>
      </w:r>
      <w:r w:rsidR="00A36B1B">
        <w:rPr>
          <w:lang w:val="ru-RU"/>
        </w:rPr>
        <w:t xml:space="preserve"> ограниченного содействия</w:t>
      </w:r>
      <w:r w:rsidR="00E0679A" w:rsidRPr="00A36B1B">
        <w:rPr>
          <w:lang w:val="ru-RU"/>
        </w:rPr>
        <w:t xml:space="preserve"> </w:t>
      </w:r>
      <w:r w:rsidR="00A36B1B">
        <w:rPr>
          <w:lang w:val="ru-RU"/>
        </w:rPr>
        <w:t>привлеченным внешним консультантам в области проведения расследований</w:t>
      </w:r>
      <w:r w:rsidR="00E0679A" w:rsidRPr="00A36B1B">
        <w:rPr>
          <w:lang w:val="ru-RU"/>
        </w:rPr>
        <w:t xml:space="preserve">. </w:t>
      </w:r>
      <w:r w:rsidR="00A36B1B">
        <w:rPr>
          <w:lang w:val="ru-RU"/>
        </w:rPr>
        <w:t>Для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работы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в</w:t>
      </w:r>
      <w:r w:rsidR="00A36B1B" w:rsidRPr="00A36B1B">
        <w:rPr>
          <w:lang w:val="ru-RU"/>
        </w:rPr>
        <w:t xml:space="preserve"> </w:t>
      </w:r>
      <w:r w:rsidR="00E0679A" w:rsidRPr="00A36B1B">
        <w:rPr>
          <w:lang w:val="ru-RU"/>
        </w:rPr>
        <w:t>2022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году</w:t>
      </w:r>
      <w:r w:rsidR="00A36B1B" w:rsidRPr="00A36B1B">
        <w:rPr>
          <w:lang w:val="ru-RU"/>
        </w:rPr>
        <w:t xml:space="preserve"> </w:t>
      </w:r>
      <w:r w:rsidR="00BC7C6F">
        <w:rPr>
          <w:lang w:val="ru-RU"/>
        </w:rPr>
        <w:t xml:space="preserve">в службе </w:t>
      </w:r>
      <w:r w:rsidR="00A36B1B">
        <w:rPr>
          <w:lang w:val="ru-RU"/>
        </w:rPr>
        <w:t>уже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имеется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действующий</w:t>
      </w:r>
      <w:r w:rsidR="00A36B1B" w:rsidRPr="00A36B1B">
        <w:rPr>
          <w:lang w:val="ru-RU"/>
        </w:rPr>
        <w:t xml:space="preserve"> </w:t>
      </w:r>
      <w:r w:rsidR="00A36B1B">
        <w:rPr>
          <w:lang w:val="ru-RU"/>
        </w:rPr>
        <w:t>сотрудник на</w:t>
      </w:r>
      <w:r w:rsidR="00A36B1B" w:rsidRPr="00A36B1B">
        <w:rPr>
          <w:lang w:val="ru-RU"/>
        </w:rPr>
        <w:t xml:space="preserve"> должности специалиста МСЭ по расследованиям </w:t>
      </w:r>
      <w:r w:rsidR="00E0679A" w:rsidRPr="00A36B1B">
        <w:rPr>
          <w:lang w:val="ru-RU"/>
        </w:rPr>
        <w:t>(</w:t>
      </w:r>
      <w:r w:rsidR="00A36B1B" w:rsidRPr="00A36B1B">
        <w:rPr>
          <w:lang w:val="ru-RU"/>
        </w:rPr>
        <w:t>подотчетный непосредственно Генеральному секретарю</w:t>
      </w:r>
      <w:r w:rsidR="00A36B1B">
        <w:rPr>
          <w:lang w:val="ru-RU"/>
        </w:rPr>
        <w:t>)</w:t>
      </w:r>
      <w:r w:rsidR="00E0679A" w:rsidRPr="00A36B1B">
        <w:rPr>
          <w:lang w:val="ru-RU"/>
        </w:rPr>
        <w:t>.</w:t>
      </w:r>
    </w:p>
    <w:p w14:paraId="3DD3D5A8" w14:textId="2AAD96EE" w:rsidR="00080C48" w:rsidRPr="004F356A" w:rsidRDefault="00080C48" w:rsidP="00080C48">
      <w:pPr>
        <w:rPr>
          <w:sz w:val="24"/>
          <w:szCs w:val="24"/>
          <w:lang w:val="ru-RU"/>
        </w:rPr>
      </w:pPr>
      <w:r w:rsidRPr="00DD7414">
        <w:rPr>
          <w:lang w:val="ru-RU"/>
        </w:rPr>
        <w:t>5</w:t>
      </w:r>
      <w:r w:rsidRPr="00DD7414">
        <w:rPr>
          <w:lang w:val="ru-RU"/>
        </w:rPr>
        <w:tab/>
        <w:t>Служба IA систематически направляет копии отчетов о внутреннем аудите Внешнему аудитору МСЭ и IMAC. 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представителям. С октября 2015 года существует упрощенный механизм доступа к отчетам о внутреннем аудите. В течение отчетного периода через этот онлайновый механизм не было получено запросов на доступ к отчетам о внутреннем аудите.</w:t>
      </w:r>
    </w:p>
    <w:p w14:paraId="02B874D6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Задания по подтверждению достоверности информации и полученные выводы</w:t>
      </w:r>
    </w:p>
    <w:p w14:paraId="7966F14F" w14:textId="5CC9AA78" w:rsidR="00080C48" w:rsidRPr="00DD7414" w:rsidRDefault="00080C48" w:rsidP="00080C48">
      <w:pPr>
        <w:rPr>
          <w:lang w:val="ru-RU"/>
        </w:rPr>
      </w:pPr>
      <w:r w:rsidRPr="00DD7414">
        <w:rPr>
          <w:lang w:val="ru-RU"/>
        </w:rPr>
        <w:t>6</w:t>
      </w:r>
      <w:r w:rsidRPr="00DD7414">
        <w:rPr>
          <w:lang w:val="ru-RU"/>
        </w:rPr>
        <w:tab/>
        <w:t>Цели заданий по подтверждению достоверности информации заключа</w:t>
      </w:r>
      <w:r w:rsidR="00FE3A6B">
        <w:rPr>
          <w:lang w:val="ru-RU"/>
        </w:rPr>
        <w:t>ются</w:t>
      </w:r>
      <w:r w:rsidRPr="00DD7414">
        <w:rPr>
          <w:lang w:val="ru-RU"/>
        </w:rPr>
        <w:t xml:space="preserve"> в оценке: i) аспектов руководства проверенными операциями Союза; ii) практики управления рисками; и iii) эффективности мер (внутреннего) контроля. Приоритет рекомендаций, вытекающих из аудиторской проверки, устанавливается в зависимости от воздействия и вероятности нарушений (высокий, средний, низкий приоритеты).</w:t>
      </w:r>
    </w:p>
    <w:p w14:paraId="404CC51D" w14:textId="5D96D173" w:rsidR="00080C48" w:rsidRPr="004673AA" w:rsidRDefault="00080C48" w:rsidP="00080C48">
      <w:pPr>
        <w:rPr>
          <w:lang w:val="ru-RU"/>
        </w:rPr>
      </w:pPr>
      <w:r w:rsidRPr="00DD7414">
        <w:rPr>
          <w:lang w:val="ru-RU"/>
        </w:rPr>
        <w:t>7</w:t>
      </w:r>
      <w:r w:rsidRPr="00DD7414">
        <w:rPr>
          <w:lang w:val="ru-RU"/>
        </w:rPr>
        <w:tab/>
        <w:t>Служба IA в случаях, когда это требуется, следит за выполнением рекомендованных мер.</w:t>
      </w:r>
      <w:r w:rsidR="00FC4B2E" w:rsidRPr="00DD7414">
        <w:rPr>
          <w:lang w:val="ru-RU"/>
        </w:rPr>
        <w:t xml:space="preserve"> </w:t>
      </w:r>
      <w:r w:rsidR="004673AA">
        <w:rPr>
          <w:lang w:val="ru-RU"/>
        </w:rPr>
        <w:t>С</w:t>
      </w:r>
      <w:r w:rsidR="00600038">
        <w:rPr>
          <w:lang w:val="ru-RU"/>
        </w:rPr>
        <w:t> </w:t>
      </w:r>
      <w:r w:rsidR="004673AA">
        <w:rPr>
          <w:lang w:val="ru-RU"/>
        </w:rPr>
        <w:t>начала</w:t>
      </w:r>
      <w:r w:rsidR="004673AA" w:rsidRPr="004673AA">
        <w:rPr>
          <w:lang w:val="ru-RU"/>
        </w:rPr>
        <w:t xml:space="preserve"> </w:t>
      </w:r>
      <w:r w:rsidR="00FC4B2E" w:rsidRPr="004673AA">
        <w:rPr>
          <w:lang w:val="ru-RU"/>
        </w:rPr>
        <w:t>2021</w:t>
      </w:r>
      <w:r w:rsidR="004673AA" w:rsidRPr="004673AA">
        <w:t> </w:t>
      </w:r>
      <w:r w:rsidR="004673AA">
        <w:rPr>
          <w:lang w:val="ru-RU"/>
        </w:rPr>
        <w:t>года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для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этого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в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масштабах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всего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Союза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существует</w:t>
      </w:r>
      <w:r w:rsidR="004673AA" w:rsidRPr="004673AA">
        <w:rPr>
          <w:lang w:val="ru-RU"/>
        </w:rPr>
        <w:t xml:space="preserve"> </w:t>
      </w:r>
      <w:r w:rsidR="004673AA">
        <w:rPr>
          <w:color w:val="000000"/>
          <w:lang w:val="ru-RU"/>
        </w:rPr>
        <w:t>и</w:t>
      </w:r>
      <w:r w:rsidR="004673AA" w:rsidRPr="004673AA">
        <w:rPr>
          <w:color w:val="000000"/>
          <w:lang w:val="ru-RU"/>
        </w:rPr>
        <w:t xml:space="preserve">нформационная панель по вопросам соблюдения, </w:t>
      </w:r>
      <w:r w:rsidR="004673AA">
        <w:rPr>
          <w:color w:val="000000"/>
          <w:lang w:val="ru-RU"/>
        </w:rPr>
        <w:t>которая</w:t>
      </w:r>
      <w:r w:rsidR="004673AA" w:rsidRPr="004673AA">
        <w:rPr>
          <w:color w:val="000000"/>
          <w:lang w:val="ru-RU"/>
        </w:rPr>
        <w:t xml:space="preserve"> </w:t>
      </w:r>
      <w:r w:rsidR="004673AA">
        <w:rPr>
          <w:color w:val="000000"/>
          <w:lang w:val="ru-RU"/>
        </w:rPr>
        <w:t>упрощает</w:t>
      </w:r>
      <w:r w:rsidR="004673AA" w:rsidRPr="004673AA">
        <w:rPr>
          <w:color w:val="000000"/>
          <w:lang w:val="ru-RU"/>
        </w:rPr>
        <w:t xml:space="preserve"> </w:t>
      </w:r>
      <w:r w:rsidR="004673AA">
        <w:rPr>
          <w:color w:val="000000"/>
          <w:lang w:val="ru-RU"/>
        </w:rPr>
        <w:t>отслеживание</w:t>
      </w:r>
      <w:r w:rsidR="004673AA" w:rsidRPr="004673AA">
        <w:rPr>
          <w:color w:val="000000"/>
          <w:lang w:val="ru-RU"/>
        </w:rPr>
        <w:t xml:space="preserve"> </w:t>
      </w:r>
      <w:r w:rsidR="004673AA" w:rsidRPr="00DD7414">
        <w:rPr>
          <w:lang w:val="ru-RU"/>
        </w:rPr>
        <w:t>выполнени</w:t>
      </w:r>
      <w:r w:rsidR="004673AA">
        <w:rPr>
          <w:lang w:val="ru-RU"/>
        </w:rPr>
        <w:t>я</w:t>
      </w:r>
      <w:r w:rsidR="004673AA" w:rsidRPr="004673AA">
        <w:rPr>
          <w:lang w:val="ru-RU"/>
        </w:rPr>
        <w:t xml:space="preserve"> </w:t>
      </w:r>
      <w:r w:rsidR="004673AA" w:rsidRPr="00DD7414">
        <w:rPr>
          <w:lang w:val="ru-RU"/>
        </w:rPr>
        <w:t>рекомендованных</w:t>
      </w:r>
      <w:r w:rsidR="004673AA" w:rsidRPr="004673AA">
        <w:rPr>
          <w:lang w:val="ru-RU"/>
        </w:rPr>
        <w:t xml:space="preserve"> </w:t>
      </w:r>
      <w:r w:rsidR="004673AA" w:rsidRPr="00DD7414">
        <w:rPr>
          <w:lang w:val="ru-RU"/>
        </w:rPr>
        <w:t>мер</w:t>
      </w:r>
      <w:r w:rsidR="00FC4B2E" w:rsidRPr="004673AA">
        <w:rPr>
          <w:lang w:val="ru-RU"/>
        </w:rPr>
        <w:t xml:space="preserve"> </w:t>
      </w:r>
      <w:r w:rsidR="004673AA">
        <w:rPr>
          <w:lang w:val="ru-RU"/>
        </w:rPr>
        <w:t>для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соответствующих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руководителей</w:t>
      </w:r>
      <w:r w:rsidR="004673AA" w:rsidRPr="004673AA">
        <w:rPr>
          <w:lang w:val="ru-RU"/>
        </w:rPr>
        <w:t xml:space="preserve">, </w:t>
      </w:r>
      <w:r w:rsidR="004673AA">
        <w:rPr>
          <w:lang w:val="ru-RU"/>
        </w:rPr>
        <w:t>но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не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снимает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>со</w:t>
      </w:r>
      <w:r w:rsidR="004673AA" w:rsidRPr="004673AA">
        <w:rPr>
          <w:lang w:val="ru-RU"/>
        </w:rPr>
        <w:t xml:space="preserve"> </w:t>
      </w:r>
      <w:r w:rsidR="004673AA">
        <w:rPr>
          <w:lang w:val="ru-RU"/>
        </w:rPr>
        <w:t xml:space="preserve">Службы </w:t>
      </w:r>
      <w:r w:rsidR="004673AA">
        <w:rPr>
          <w:lang w:val="en-US"/>
        </w:rPr>
        <w:t>IA</w:t>
      </w:r>
      <w:r w:rsidR="004673AA">
        <w:rPr>
          <w:lang w:val="ru-RU"/>
        </w:rPr>
        <w:t xml:space="preserve"> обязанности </w:t>
      </w:r>
      <w:r w:rsidR="00F14C72">
        <w:rPr>
          <w:lang w:val="ru-RU"/>
        </w:rPr>
        <w:t xml:space="preserve">принимать последующие меры по сделанным ранее рекомендациям </w:t>
      </w:r>
      <w:r w:rsidR="00F14C72" w:rsidRPr="00F14C72">
        <w:rPr>
          <w:color w:val="000000"/>
          <w:lang w:val="ru-RU"/>
        </w:rPr>
        <w:t>в соответствии со стандартом 2500</w:t>
      </w:r>
      <w:r w:rsidR="00F14C72">
        <w:rPr>
          <w:color w:val="000000"/>
          <w:lang w:val="ru-RU"/>
        </w:rPr>
        <w:t xml:space="preserve"> </w:t>
      </w:r>
      <w:r w:rsidR="00F14C72">
        <w:rPr>
          <w:color w:val="000000"/>
          <w:lang w:val="en-US"/>
        </w:rPr>
        <w:t>IIA</w:t>
      </w:r>
      <w:r w:rsidR="00282A25" w:rsidRPr="00282A25">
        <w:rPr>
          <w:rStyle w:val="FootnoteReference"/>
          <w:color w:val="000000"/>
          <w:lang w:val="ru-RU"/>
        </w:rPr>
        <w:footnoteReference w:customMarkFollows="1" w:id="4"/>
        <w:t>4</w:t>
      </w:r>
      <w:r w:rsidR="00FC4B2E" w:rsidRPr="004673AA">
        <w:rPr>
          <w:rFonts w:cstheme="minorHAnsi"/>
          <w:sz w:val="24"/>
          <w:szCs w:val="24"/>
          <w:lang w:val="ru-RU"/>
        </w:rPr>
        <w:t>.</w:t>
      </w:r>
    </w:p>
    <w:p w14:paraId="4A6BC708" w14:textId="0C8A7475" w:rsidR="00106313" w:rsidRPr="00264559" w:rsidRDefault="00264559" w:rsidP="00E0679A">
      <w:pPr>
        <w:rPr>
          <w:lang w:val="ru-RU"/>
        </w:rPr>
      </w:pPr>
      <w:r>
        <w:rPr>
          <w:lang w:val="ru-RU"/>
        </w:rPr>
        <w:t>Выполнены следующие задания</w:t>
      </w:r>
      <w:r w:rsidRPr="00DD7414">
        <w:rPr>
          <w:lang w:val="ru-RU"/>
        </w:rPr>
        <w:t xml:space="preserve"> по подтверждению достоверности информации</w:t>
      </w:r>
      <w:r w:rsidR="00106313" w:rsidRPr="00264559">
        <w:rPr>
          <w:lang w:val="ru-RU"/>
        </w:rPr>
        <w:t>:</w:t>
      </w:r>
    </w:p>
    <w:p w14:paraId="23BF629D" w14:textId="29BF2015" w:rsidR="00106313" w:rsidRPr="00A41DB2" w:rsidRDefault="00106313" w:rsidP="00E0679A">
      <w:pPr>
        <w:pStyle w:val="Heading1"/>
        <w:rPr>
          <w:lang w:val="ru-RU"/>
        </w:rPr>
      </w:pPr>
      <w:r w:rsidRPr="00301D5B">
        <w:rPr>
          <w:lang w:val="en-US"/>
        </w:rPr>
        <w:t>A</w:t>
      </w:r>
      <w:r w:rsidRPr="00A41DB2">
        <w:rPr>
          <w:lang w:val="ru-RU"/>
        </w:rPr>
        <w:tab/>
      </w:r>
      <w:r w:rsidR="00264559" w:rsidRPr="00A41DB2">
        <w:rPr>
          <w:lang w:val="ru-RU"/>
        </w:rPr>
        <w:t xml:space="preserve">Аудиторская проверка </w:t>
      </w:r>
      <w:r w:rsidR="00A41DB2">
        <w:rPr>
          <w:lang w:val="ru-RU"/>
        </w:rPr>
        <w:t>льгот сотрудников МСЭ</w:t>
      </w:r>
    </w:p>
    <w:p w14:paraId="0036D94F" w14:textId="54C3B2C1" w:rsidR="00106313" w:rsidRPr="00A41DB2" w:rsidRDefault="00106313" w:rsidP="00106313">
      <w:pPr>
        <w:rPr>
          <w:lang w:val="ru-RU"/>
        </w:rPr>
      </w:pPr>
      <w:r w:rsidRPr="00A41DB2">
        <w:rPr>
          <w:lang w:val="ru-RU"/>
        </w:rPr>
        <w:t>8</w:t>
      </w:r>
      <w:r w:rsidRPr="00A41DB2">
        <w:rPr>
          <w:lang w:val="ru-RU"/>
        </w:rPr>
        <w:tab/>
      </w:r>
      <w:r w:rsidR="00917FD2">
        <w:rPr>
          <w:lang w:val="ru-RU"/>
        </w:rPr>
        <w:t xml:space="preserve">Служба </w:t>
      </w:r>
      <w:r w:rsidRPr="00106313">
        <w:rPr>
          <w:lang w:val="en-US"/>
        </w:rPr>
        <w:t>IA</w:t>
      </w:r>
      <w:r w:rsidRPr="00A41DB2">
        <w:rPr>
          <w:lang w:val="ru-RU"/>
        </w:rPr>
        <w:t xml:space="preserve"> </w:t>
      </w:r>
      <w:r w:rsidR="00A41DB2">
        <w:rPr>
          <w:lang w:val="ru-RU"/>
        </w:rPr>
        <w:t>организовал</w:t>
      </w:r>
      <w:r w:rsidR="00917FD2">
        <w:rPr>
          <w:lang w:val="ru-RU"/>
        </w:rPr>
        <w:t>а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аудиторскую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проверку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льгот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сотрудников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МСЭ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за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период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с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января</w:t>
      </w:r>
      <w:r w:rsidRPr="00A41DB2">
        <w:rPr>
          <w:lang w:val="ru-RU"/>
        </w:rPr>
        <w:t xml:space="preserve"> 2012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года по декабрь</w:t>
      </w:r>
      <w:r w:rsidRPr="00A41DB2">
        <w:rPr>
          <w:lang w:val="ru-RU"/>
        </w:rPr>
        <w:t xml:space="preserve"> 2019</w:t>
      </w:r>
      <w:r w:rsidR="00A41DB2">
        <w:rPr>
          <w:lang w:val="ru-RU"/>
        </w:rPr>
        <w:t xml:space="preserve"> года</w:t>
      </w:r>
      <w:r w:rsidRPr="00A41DB2">
        <w:rPr>
          <w:lang w:val="ru-RU"/>
        </w:rPr>
        <w:t xml:space="preserve">, </w:t>
      </w:r>
      <w:r w:rsidR="00A41DB2">
        <w:rPr>
          <w:lang w:val="ru-RU"/>
        </w:rPr>
        <w:t>в частности касающихся</w:t>
      </w:r>
      <w:r w:rsidRPr="00A41DB2">
        <w:rPr>
          <w:lang w:val="ru-RU"/>
        </w:rPr>
        <w:t xml:space="preserve"> </w:t>
      </w:r>
      <w:r w:rsidR="00A41DB2" w:rsidRPr="00A41DB2">
        <w:rPr>
          <w:lang w:val="ru-RU"/>
        </w:rPr>
        <w:t>субсидий на образование</w:t>
      </w:r>
      <w:r w:rsidRPr="00A41DB2">
        <w:rPr>
          <w:lang w:val="ru-RU"/>
        </w:rPr>
        <w:t xml:space="preserve">, </w:t>
      </w:r>
      <w:r w:rsidR="00A41DB2" w:rsidRPr="00A41DB2">
        <w:rPr>
          <w:lang w:val="ru-RU"/>
        </w:rPr>
        <w:t>субсидирования жилья и</w:t>
      </w:r>
      <w:r w:rsidRPr="00A41DB2">
        <w:rPr>
          <w:lang w:val="ru-RU"/>
        </w:rPr>
        <w:t xml:space="preserve"> </w:t>
      </w:r>
      <w:r w:rsidR="00A41DB2" w:rsidRPr="00A41DB2">
        <w:rPr>
          <w:lang w:val="ru-RU"/>
        </w:rPr>
        <w:t>надбавк</w:t>
      </w:r>
      <w:r w:rsidR="00A41DB2">
        <w:rPr>
          <w:lang w:val="ru-RU"/>
        </w:rPr>
        <w:t>и</w:t>
      </w:r>
      <w:r w:rsidR="00A41DB2" w:rsidRPr="00A41DB2">
        <w:rPr>
          <w:lang w:val="ru-RU"/>
        </w:rPr>
        <w:t xml:space="preserve"> на супруга</w:t>
      </w:r>
      <w:r w:rsidR="00917FD2">
        <w:rPr>
          <w:lang w:val="ru-RU"/>
        </w:rPr>
        <w:t>/у</w:t>
      </w:r>
      <w:r w:rsidRPr="00A41DB2">
        <w:rPr>
          <w:lang w:val="ru-RU"/>
        </w:rPr>
        <w:t>.</w:t>
      </w:r>
    </w:p>
    <w:p w14:paraId="533B6EFC" w14:textId="4AF2DBBF" w:rsidR="00106313" w:rsidRPr="00C63CC1" w:rsidRDefault="00106313" w:rsidP="00106313">
      <w:pPr>
        <w:rPr>
          <w:lang w:val="ru-RU"/>
        </w:rPr>
      </w:pPr>
      <w:r w:rsidRPr="00C63CC1">
        <w:rPr>
          <w:lang w:val="ru-RU"/>
        </w:rPr>
        <w:t>9</w:t>
      </w:r>
      <w:r w:rsidRPr="00C63CC1">
        <w:rPr>
          <w:lang w:val="ru-RU"/>
        </w:rPr>
        <w:tab/>
      </w:r>
      <w:r w:rsidR="00C63CC1" w:rsidRPr="00C63CC1">
        <w:rPr>
          <w:lang w:val="ru-RU"/>
        </w:rPr>
        <w:t xml:space="preserve">Служба </w:t>
      </w:r>
      <w:r w:rsidR="00C63CC1" w:rsidRPr="00C63CC1">
        <w:rPr>
          <w:lang w:val="en-US"/>
        </w:rPr>
        <w:t>IA</w:t>
      </w:r>
      <w:r w:rsidR="00C63CC1" w:rsidRPr="00C63CC1">
        <w:rPr>
          <w:lang w:val="ru-RU"/>
        </w:rPr>
        <w:t xml:space="preserve"> сочла высокоприоритетными ряд следующих вопросов</w:t>
      </w:r>
      <w:r w:rsidRPr="00C63CC1">
        <w:rPr>
          <w:lang w:val="ru-RU"/>
        </w:rPr>
        <w:t xml:space="preserve">: </w:t>
      </w:r>
    </w:p>
    <w:p w14:paraId="2A1D97BC" w14:textId="193859A8" w:rsidR="00106313" w:rsidRPr="00246C96" w:rsidRDefault="00301D5B" w:rsidP="00301D5B">
      <w:pPr>
        <w:pStyle w:val="enumlev1"/>
        <w:rPr>
          <w:lang w:val="ru-RU"/>
        </w:rPr>
      </w:pPr>
      <w:r>
        <w:rPr>
          <w:lang w:val="en-US"/>
        </w:rPr>
        <w:t>a</w:t>
      </w:r>
      <w:r w:rsidRPr="00A41DB2">
        <w:rPr>
          <w:lang w:val="ru-RU"/>
        </w:rPr>
        <w:t>)</w:t>
      </w:r>
      <w:r w:rsidR="00106313" w:rsidRPr="00A41DB2">
        <w:rPr>
          <w:lang w:val="ru-RU"/>
        </w:rPr>
        <w:tab/>
      </w:r>
      <w:r w:rsidR="00A41DB2">
        <w:rPr>
          <w:lang w:val="ru-RU"/>
        </w:rPr>
        <w:t xml:space="preserve">Для сотрудников положения </w:t>
      </w:r>
      <w:r w:rsidR="00A41DB2" w:rsidRPr="00A41DB2">
        <w:rPr>
          <w:lang w:val="ru-RU"/>
        </w:rPr>
        <w:t>существующ</w:t>
      </w:r>
      <w:r w:rsidR="00A41DB2">
        <w:rPr>
          <w:lang w:val="ru-RU"/>
        </w:rPr>
        <w:t>ей</w:t>
      </w:r>
      <w:r w:rsidR="00A41DB2" w:rsidRPr="00A41DB2">
        <w:rPr>
          <w:lang w:val="ru-RU"/>
        </w:rPr>
        <w:t xml:space="preserve"> политик</w:t>
      </w:r>
      <w:r w:rsidR="00A41DB2">
        <w:rPr>
          <w:lang w:val="ru-RU"/>
        </w:rPr>
        <w:t>и</w:t>
      </w:r>
      <w:r w:rsidR="00A41DB2" w:rsidRPr="00A41DB2">
        <w:rPr>
          <w:lang w:val="ru-RU"/>
        </w:rPr>
        <w:t xml:space="preserve"> </w:t>
      </w:r>
      <w:r w:rsidR="00A41DB2">
        <w:rPr>
          <w:lang w:val="ru-RU"/>
        </w:rPr>
        <w:t>изложены недостаточно подробно</w:t>
      </w:r>
      <w:r w:rsidR="00106313" w:rsidRPr="00A41DB2">
        <w:rPr>
          <w:lang w:val="ru-RU"/>
        </w:rPr>
        <w:t xml:space="preserve">, </w:t>
      </w:r>
      <w:r w:rsidR="00A41DB2">
        <w:rPr>
          <w:lang w:val="ru-RU"/>
        </w:rPr>
        <w:t>четко и информативно</w:t>
      </w:r>
      <w:r w:rsidR="00106313" w:rsidRPr="00A41DB2">
        <w:rPr>
          <w:lang w:val="ru-RU"/>
        </w:rPr>
        <w:t xml:space="preserve">. </w:t>
      </w:r>
      <w:r w:rsidR="00FB5570">
        <w:rPr>
          <w:lang w:val="ru-RU"/>
        </w:rPr>
        <w:t>Положения</w:t>
      </w:r>
      <w:r w:rsidR="00FB5570" w:rsidRPr="00FB5570">
        <w:rPr>
          <w:lang w:val="ru-RU"/>
        </w:rPr>
        <w:t xml:space="preserve"> </w:t>
      </w:r>
      <w:r w:rsidR="00917FD2">
        <w:rPr>
          <w:lang w:val="ru-RU"/>
        </w:rPr>
        <w:t>политики</w:t>
      </w:r>
      <w:r w:rsidR="00F57999">
        <w:rPr>
          <w:lang w:val="ru-RU"/>
        </w:rPr>
        <w:t>,</w:t>
      </w:r>
      <w:r w:rsidR="00917FD2" w:rsidRPr="00FB5570">
        <w:rPr>
          <w:lang w:val="ru-RU"/>
        </w:rPr>
        <w:t xml:space="preserve"> </w:t>
      </w:r>
      <w:r w:rsidR="00917FD2">
        <w:rPr>
          <w:lang w:val="ru-RU"/>
        </w:rPr>
        <w:t>относящиеся непосредственно к</w:t>
      </w:r>
      <w:r w:rsidR="00FB5570" w:rsidRPr="00FB5570">
        <w:rPr>
          <w:lang w:val="ru-RU"/>
        </w:rPr>
        <w:t xml:space="preserve"> </w:t>
      </w:r>
      <w:r w:rsidR="00FB5570">
        <w:rPr>
          <w:lang w:val="ru-RU"/>
        </w:rPr>
        <w:t>МСЭ</w:t>
      </w:r>
      <w:r w:rsidR="00F57999">
        <w:rPr>
          <w:lang w:val="ru-RU"/>
        </w:rPr>
        <w:t>,</w:t>
      </w:r>
      <w:r w:rsidR="00106313" w:rsidRPr="00FB5570">
        <w:rPr>
          <w:lang w:val="ru-RU"/>
        </w:rPr>
        <w:t xml:space="preserve"> </w:t>
      </w:r>
      <w:r w:rsidR="00FB5570">
        <w:rPr>
          <w:lang w:val="ru-RU"/>
        </w:rPr>
        <w:lastRenderedPageBreak/>
        <w:t xml:space="preserve">отсутствуют в </w:t>
      </w:r>
      <w:r w:rsidR="00A47C3F">
        <w:rPr>
          <w:lang w:val="ru-RU"/>
        </w:rPr>
        <w:t>отношении</w:t>
      </w:r>
      <w:r w:rsidR="00FB5570">
        <w:rPr>
          <w:lang w:val="ru-RU"/>
        </w:rPr>
        <w:t xml:space="preserve"> субсидирования жилья</w:t>
      </w:r>
      <w:r w:rsidR="00106313" w:rsidRPr="00FB5570">
        <w:rPr>
          <w:lang w:val="ru-RU"/>
        </w:rPr>
        <w:t xml:space="preserve">. </w:t>
      </w:r>
      <w:r w:rsidR="00A47C3F" w:rsidRPr="00A47C3F">
        <w:rPr>
          <w:u w:val="single"/>
          <w:lang w:val="ru-RU"/>
        </w:rPr>
        <w:t>Рекоменд</w:t>
      </w:r>
      <w:r w:rsidR="00F57999">
        <w:rPr>
          <w:u w:val="single"/>
          <w:lang w:val="ru-RU"/>
        </w:rPr>
        <w:t>уется</w:t>
      </w:r>
      <w:r w:rsidR="00A47C3F" w:rsidRPr="00A47C3F">
        <w:rPr>
          <w:lang w:val="ru-RU"/>
        </w:rPr>
        <w:t xml:space="preserve">, </w:t>
      </w:r>
      <w:r w:rsidR="00A47C3F">
        <w:rPr>
          <w:lang w:val="ru-RU"/>
        </w:rPr>
        <w:t>чтобы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заполняемые сотрудниками</w:t>
      </w:r>
      <w:r w:rsidR="00106313" w:rsidRPr="00A47C3F">
        <w:rPr>
          <w:lang w:val="ru-RU"/>
        </w:rPr>
        <w:t xml:space="preserve"> </w:t>
      </w:r>
      <w:r w:rsidR="00A47C3F">
        <w:rPr>
          <w:lang w:val="ru-RU"/>
        </w:rPr>
        <w:t>формы на получение авансовых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выплат по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субсидиям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на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образование и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о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возмещении затрат</w:t>
      </w:r>
      <w:r w:rsidR="00A47C3F" w:rsidRPr="00A47C3F">
        <w:rPr>
          <w:lang w:val="ru-RU"/>
        </w:rPr>
        <w:t xml:space="preserve"> </w:t>
      </w:r>
      <w:r w:rsidR="00A47C3F">
        <w:rPr>
          <w:lang w:val="ru-RU"/>
        </w:rPr>
        <w:t>были пересмотрены и включали перечень требований относительно подтверждающей документации</w:t>
      </w:r>
      <w:r w:rsidR="005739E2">
        <w:rPr>
          <w:lang w:val="ru-RU"/>
        </w:rPr>
        <w:t>,</w:t>
      </w:r>
      <w:r w:rsidR="00A47C3F">
        <w:rPr>
          <w:lang w:val="ru-RU"/>
        </w:rPr>
        <w:t xml:space="preserve"> предоставляемой сотрудником</w:t>
      </w:r>
      <w:r w:rsidR="00106313" w:rsidRPr="00A47C3F">
        <w:rPr>
          <w:lang w:val="ru-RU"/>
        </w:rPr>
        <w:t xml:space="preserve">. </w:t>
      </w:r>
      <w:r w:rsidR="00246C96">
        <w:rPr>
          <w:lang w:val="ru-RU"/>
        </w:rPr>
        <w:t>Также</w:t>
      </w:r>
      <w:r w:rsidR="00246C96" w:rsidRPr="00246C96">
        <w:rPr>
          <w:lang w:val="ru-RU"/>
        </w:rPr>
        <w:t xml:space="preserve"> </w:t>
      </w:r>
      <w:r w:rsidR="00323703">
        <w:rPr>
          <w:lang w:val="ru-RU"/>
        </w:rPr>
        <w:t>рекомендуется</w:t>
      </w:r>
      <w:r w:rsidR="00246C96" w:rsidRPr="00246C96">
        <w:rPr>
          <w:lang w:val="ru-RU"/>
        </w:rPr>
        <w:t xml:space="preserve">, </w:t>
      </w:r>
      <w:r w:rsidR="00246C96">
        <w:rPr>
          <w:lang w:val="ru-RU"/>
        </w:rPr>
        <w:t>чтобы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положения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 xml:space="preserve">политики, касающиеся </w:t>
      </w:r>
      <w:r w:rsidR="00246C96" w:rsidRPr="00854B07">
        <w:rPr>
          <w:u w:val="single"/>
          <w:lang w:val="ru-RU"/>
        </w:rPr>
        <w:t>авансовых выплат</w:t>
      </w:r>
      <w:r w:rsidR="00246C96">
        <w:rPr>
          <w:lang w:val="ru-RU"/>
        </w:rPr>
        <w:t xml:space="preserve"> по субсидиям </w:t>
      </w:r>
      <w:r w:rsidR="00854B07">
        <w:rPr>
          <w:lang w:val="ru-RU"/>
        </w:rPr>
        <w:t>на образование,</w:t>
      </w:r>
      <w:r w:rsidR="00246C96">
        <w:rPr>
          <w:lang w:val="ru-RU"/>
        </w:rPr>
        <w:t xml:space="preserve"> были </w:t>
      </w:r>
      <w:r w:rsidR="00854B07">
        <w:rPr>
          <w:lang w:val="ru-RU"/>
        </w:rPr>
        <w:t>пересмотрены</w:t>
      </w:r>
      <w:r w:rsidR="00246C96">
        <w:rPr>
          <w:lang w:val="ru-RU"/>
        </w:rPr>
        <w:t xml:space="preserve"> и чтобы политика и</w:t>
      </w:r>
      <w:r w:rsidR="00106313" w:rsidRPr="00246C96">
        <w:rPr>
          <w:lang w:val="ru-RU"/>
        </w:rPr>
        <w:t xml:space="preserve"> </w:t>
      </w:r>
      <w:r w:rsidR="00246C96">
        <w:rPr>
          <w:lang w:val="ru-RU"/>
        </w:rPr>
        <w:t>руководство по субсидированию жилья содержали информацию</w:t>
      </w:r>
      <w:r w:rsidR="00854B07">
        <w:rPr>
          <w:lang w:val="ru-RU"/>
        </w:rPr>
        <w:t>,</w:t>
      </w:r>
      <w:r w:rsidR="00246C96">
        <w:rPr>
          <w:lang w:val="ru-RU"/>
        </w:rPr>
        <w:t xml:space="preserve"> соответствующую предельным уровням и </w:t>
      </w:r>
      <w:r w:rsidR="005739E2">
        <w:rPr>
          <w:lang w:val="ru-RU"/>
        </w:rPr>
        <w:t xml:space="preserve">рекомендациям </w:t>
      </w:r>
      <w:r w:rsidR="00246C96" w:rsidRPr="00246C96">
        <w:rPr>
          <w:lang w:val="ru-RU"/>
        </w:rPr>
        <w:t>КМГС</w:t>
      </w:r>
      <w:r w:rsidR="00106313" w:rsidRPr="00246C96">
        <w:rPr>
          <w:lang w:val="ru-RU"/>
        </w:rPr>
        <w:t xml:space="preserve">. </w:t>
      </w:r>
      <w:r w:rsidR="00246C96">
        <w:rPr>
          <w:lang w:val="ru-RU"/>
        </w:rPr>
        <w:t>Кроме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того</w:t>
      </w:r>
      <w:r w:rsidR="00106313" w:rsidRPr="00246C96">
        <w:rPr>
          <w:lang w:val="ru-RU"/>
        </w:rPr>
        <w:t xml:space="preserve">, </w:t>
      </w:r>
      <w:r w:rsidR="00246C96">
        <w:rPr>
          <w:lang w:val="ru-RU"/>
        </w:rPr>
        <w:t>обновленный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документ</w:t>
      </w:r>
      <w:r w:rsidR="00246C96" w:rsidRPr="00246C96">
        <w:rPr>
          <w:lang w:val="ru-RU"/>
        </w:rPr>
        <w:t xml:space="preserve">, </w:t>
      </w:r>
      <w:r w:rsidR="00854B07">
        <w:rPr>
          <w:lang w:val="ru-RU"/>
        </w:rPr>
        <w:t>касающийся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политики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в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отношении</w:t>
      </w:r>
      <w:r w:rsidR="00246C96" w:rsidRPr="00246C96">
        <w:rPr>
          <w:lang w:val="ru-RU"/>
        </w:rPr>
        <w:t xml:space="preserve"> </w:t>
      </w:r>
      <w:r w:rsidR="00246C96" w:rsidRPr="00854B07">
        <w:rPr>
          <w:lang w:val="ru-RU"/>
        </w:rPr>
        <w:t>надбавки на иждивенцев</w:t>
      </w:r>
      <w:r w:rsidR="005739E2">
        <w:rPr>
          <w:lang w:val="ru-RU"/>
        </w:rPr>
        <w:t>,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до</w:t>
      </w:r>
      <w:r w:rsidR="00854B07">
        <w:rPr>
          <w:lang w:val="ru-RU"/>
        </w:rPr>
        <w:t>л</w:t>
      </w:r>
      <w:r w:rsidR="00246C96">
        <w:rPr>
          <w:lang w:val="ru-RU"/>
        </w:rPr>
        <w:t>жен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учитывать</w:t>
      </w:r>
      <w:r w:rsidR="005867E1" w:rsidRPr="00246C96">
        <w:rPr>
          <w:lang w:val="ru-RU"/>
        </w:rPr>
        <w:t xml:space="preserve"> </w:t>
      </w:r>
      <w:r w:rsidR="005867E1" w:rsidRPr="00854B07">
        <w:rPr>
          <w:lang w:val="ru-RU"/>
        </w:rPr>
        <w:t>i</w:t>
      </w:r>
      <w:r w:rsidR="005867E1" w:rsidRPr="00246C96">
        <w:rPr>
          <w:lang w:val="ru-RU"/>
        </w:rPr>
        <w:t>)</w:t>
      </w:r>
      <w:r w:rsidR="005867E1" w:rsidRPr="00854B07">
        <w:rPr>
          <w:lang w:val="ru-RU"/>
        </w:rPr>
        <w:t> </w:t>
      </w:r>
      <w:r w:rsidR="00246C96">
        <w:rPr>
          <w:lang w:val="ru-RU"/>
        </w:rPr>
        <w:t>доход</w:t>
      </w:r>
      <w:r w:rsidR="00246C96" w:rsidRPr="00246C96">
        <w:rPr>
          <w:lang w:val="ru-RU"/>
        </w:rPr>
        <w:t xml:space="preserve"> </w:t>
      </w:r>
      <w:r w:rsidR="00005F2E">
        <w:rPr>
          <w:lang w:val="ru-RU"/>
        </w:rPr>
        <w:t>супруга/и</w:t>
      </w:r>
      <w:r w:rsidR="00246C96" w:rsidRPr="00246C96">
        <w:rPr>
          <w:lang w:val="ru-RU"/>
        </w:rPr>
        <w:t xml:space="preserve"> , </w:t>
      </w:r>
      <w:r w:rsidR="00246C96">
        <w:rPr>
          <w:lang w:val="ru-RU"/>
        </w:rPr>
        <w:t>в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том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числе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весь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прямой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и</w:t>
      </w:r>
      <w:r w:rsidR="00246C96" w:rsidRPr="00246C96">
        <w:rPr>
          <w:lang w:val="ru-RU"/>
        </w:rPr>
        <w:t xml:space="preserve"> </w:t>
      </w:r>
      <w:r w:rsidR="00854B07">
        <w:rPr>
          <w:lang w:val="ru-RU"/>
        </w:rPr>
        <w:t>косвенный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доход</w:t>
      </w:r>
      <w:r w:rsidR="00246C96" w:rsidRPr="00246C96">
        <w:rPr>
          <w:lang w:val="ru-RU"/>
        </w:rPr>
        <w:t xml:space="preserve">, </w:t>
      </w:r>
      <w:r w:rsidR="00246C96">
        <w:rPr>
          <w:lang w:val="ru-RU"/>
        </w:rPr>
        <w:t>включая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пенсионные</w:t>
      </w:r>
      <w:r w:rsidR="00246C96" w:rsidRPr="00246C96">
        <w:rPr>
          <w:lang w:val="ru-RU"/>
        </w:rPr>
        <w:t xml:space="preserve"> </w:t>
      </w:r>
      <w:r w:rsidR="00246C96">
        <w:rPr>
          <w:lang w:val="ru-RU"/>
        </w:rPr>
        <w:t>выплаты</w:t>
      </w:r>
      <w:r w:rsidR="00246C96" w:rsidRPr="00246C96">
        <w:rPr>
          <w:lang w:val="ru-RU"/>
        </w:rPr>
        <w:t xml:space="preserve">, </w:t>
      </w:r>
      <w:r w:rsidR="00246C96" w:rsidRPr="00854B07">
        <w:rPr>
          <w:lang w:val="ru-RU"/>
        </w:rPr>
        <w:t>пенсию по инвалидности</w:t>
      </w:r>
      <w:r w:rsidR="00106313" w:rsidRPr="00246C96">
        <w:rPr>
          <w:lang w:val="ru-RU"/>
        </w:rPr>
        <w:t xml:space="preserve">, </w:t>
      </w:r>
      <w:r w:rsidR="00246C96" w:rsidRPr="00854B07">
        <w:rPr>
          <w:lang w:val="ru-RU"/>
        </w:rPr>
        <w:t>пособие по безработице</w:t>
      </w:r>
      <w:r w:rsidR="00106313" w:rsidRPr="00246C96">
        <w:rPr>
          <w:lang w:val="ru-RU"/>
        </w:rPr>
        <w:t xml:space="preserve">, </w:t>
      </w:r>
      <w:r w:rsidR="00246C96" w:rsidRPr="00854B07">
        <w:rPr>
          <w:lang w:val="ru-RU"/>
        </w:rPr>
        <w:t>выгоды от инвестиций, а также</w:t>
      </w:r>
      <w:r w:rsidR="00106313" w:rsidRPr="00246C96">
        <w:rPr>
          <w:lang w:val="ru-RU"/>
        </w:rPr>
        <w:t xml:space="preserve"> </w:t>
      </w:r>
      <w:r w:rsidR="005867E1" w:rsidRPr="00854B07">
        <w:rPr>
          <w:lang w:val="ru-RU"/>
        </w:rPr>
        <w:t>ii</w:t>
      </w:r>
      <w:r w:rsidR="005867E1" w:rsidRPr="00246C96">
        <w:rPr>
          <w:lang w:val="ru-RU"/>
        </w:rPr>
        <w:t>)</w:t>
      </w:r>
      <w:r w:rsidR="005867E1" w:rsidRPr="00854B07">
        <w:rPr>
          <w:lang w:val="ru-RU"/>
        </w:rPr>
        <w:t> </w:t>
      </w:r>
      <w:r w:rsidR="00854B07">
        <w:rPr>
          <w:lang w:val="ru-RU"/>
        </w:rPr>
        <w:t xml:space="preserve">для сотрудников, подающих заявление на предоставление </w:t>
      </w:r>
      <w:r w:rsidR="00854B07" w:rsidRPr="00854B07">
        <w:rPr>
          <w:lang w:val="ru-RU"/>
        </w:rPr>
        <w:t>надбавки на супруга</w:t>
      </w:r>
      <w:r w:rsidR="00005F2E">
        <w:rPr>
          <w:lang w:val="ru-RU"/>
        </w:rPr>
        <w:t>/у</w:t>
      </w:r>
      <w:r w:rsidR="00854B07">
        <w:rPr>
          <w:lang w:val="ru-RU"/>
        </w:rPr>
        <w:t xml:space="preserve"> с нулевым доходом</w:t>
      </w:r>
      <w:r w:rsidR="00106313" w:rsidRPr="00246C96">
        <w:rPr>
          <w:lang w:val="ru-RU"/>
        </w:rPr>
        <w:t xml:space="preserve">, </w:t>
      </w:r>
      <w:r w:rsidR="00331917">
        <w:rPr>
          <w:lang w:val="ru-RU"/>
        </w:rPr>
        <w:t xml:space="preserve">установить </w:t>
      </w:r>
      <w:r w:rsidR="00854B07">
        <w:rPr>
          <w:lang w:val="ru-RU"/>
        </w:rPr>
        <w:t>требование предоставить в дополнение к подписанному заявлению, подтверждение о нулевом доходе от</w:t>
      </w:r>
      <w:r w:rsidR="00106313" w:rsidRPr="00246C96">
        <w:rPr>
          <w:lang w:val="ru-RU"/>
        </w:rPr>
        <w:t xml:space="preserve"> </w:t>
      </w:r>
      <w:r w:rsidR="00854B07">
        <w:rPr>
          <w:lang w:val="ru-RU"/>
        </w:rPr>
        <w:t xml:space="preserve">соответствующей национальной </w:t>
      </w:r>
      <w:r w:rsidR="00854B07" w:rsidRPr="00854B07">
        <w:rPr>
          <w:lang w:val="ru-RU"/>
        </w:rPr>
        <w:t>налоговой системы</w:t>
      </w:r>
      <w:r w:rsidR="00106313" w:rsidRPr="00246C96">
        <w:rPr>
          <w:lang w:val="ru-RU"/>
        </w:rPr>
        <w:t xml:space="preserve">. </w:t>
      </w:r>
    </w:p>
    <w:p w14:paraId="4C52D586" w14:textId="68544885" w:rsidR="00106313" w:rsidRPr="00BD44BA" w:rsidRDefault="00301D5B" w:rsidP="00301D5B">
      <w:pPr>
        <w:pStyle w:val="enumlev1"/>
        <w:rPr>
          <w:lang w:val="ru-RU"/>
        </w:rPr>
      </w:pPr>
      <w:r>
        <w:rPr>
          <w:lang w:val="en-US"/>
        </w:rPr>
        <w:t>b</w:t>
      </w:r>
      <w:r w:rsidRPr="00BD44BA">
        <w:rPr>
          <w:lang w:val="ru-RU"/>
        </w:rPr>
        <w:t>)</w:t>
      </w:r>
      <w:r w:rsidR="00106313" w:rsidRPr="00BD44BA">
        <w:rPr>
          <w:lang w:val="ru-RU"/>
        </w:rPr>
        <w:tab/>
      </w:r>
      <w:r w:rsidR="00BF1CBF">
        <w:rPr>
          <w:lang w:val="ru-RU"/>
        </w:rPr>
        <w:t>Сотрудники</w:t>
      </w:r>
      <w:r w:rsidR="00BF1CBF" w:rsidRPr="00BD44BA">
        <w:rPr>
          <w:lang w:val="ru-RU"/>
        </w:rPr>
        <w:t xml:space="preserve"> </w:t>
      </w:r>
      <w:r w:rsidR="00106313" w:rsidRPr="00106313">
        <w:rPr>
          <w:lang w:val="en-US"/>
        </w:rPr>
        <w:t>HRMD</w:t>
      </w:r>
      <w:r w:rsidR="00106313" w:rsidRPr="00BD44BA">
        <w:rPr>
          <w:lang w:val="ru-RU"/>
        </w:rPr>
        <w:t xml:space="preserve"> </w:t>
      </w:r>
      <w:r w:rsidR="00BF1CBF">
        <w:rPr>
          <w:lang w:val="ru-RU"/>
        </w:rPr>
        <w:t>не</w:t>
      </w:r>
      <w:r w:rsidR="00BF1CBF" w:rsidRPr="00BD44BA">
        <w:rPr>
          <w:lang w:val="ru-RU"/>
        </w:rPr>
        <w:t xml:space="preserve"> </w:t>
      </w:r>
      <w:r w:rsidR="00BF1CBF">
        <w:rPr>
          <w:lang w:val="ru-RU"/>
        </w:rPr>
        <w:t>имеют</w:t>
      </w:r>
      <w:r w:rsidR="00BF1CBF" w:rsidRPr="00BD44BA">
        <w:rPr>
          <w:lang w:val="ru-RU"/>
        </w:rPr>
        <w:t xml:space="preserve"> </w:t>
      </w:r>
      <w:r w:rsidR="00BF1CBF">
        <w:rPr>
          <w:lang w:val="ru-RU"/>
        </w:rPr>
        <w:t>четкого</w:t>
      </w:r>
      <w:r w:rsidR="00BF1CBF" w:rsidRPr="00BD44BA">
        <w:rPr>
          <w:lang w:val="ru-RU"/>
        </w:rPr>
        <w:t xml:space="preserve"> </w:t>
      </w:r>
      <w:r w:rsidR="00BF1CBF">
        <w:rPr>
          <w:lang w:val="ru-RU"/>
        </w:rPr>
        <w:t>представления</w:t>
      </w:r>
      <w:r w:rsidR="00BF1CBF" w:rsidRPr="00BD44BA">
        <w:rPr>
          <w:lang w:val="ru-RU"/>
        </w:rPr>
        <w:t xml:space="preserve"> </w:t>
      </w:r>
      <w:r w:rsidR="00BF1CBF">
        <w:rPr>
          <w:lang w:val="ru-RU"/>
        </w:rPr>
        <w:t>о</w:t>
      </w:r>
      <w:r w:rsidR="00BD44BA" w:rsidRPr="00BD44BA">
        <w:rPr>
          <w:lang w:val="ru-RU"/>
        </w:rPr>
        <w:t xml:space="preserve"> своих обязанностях, что</w:t>
      </w:r>
      <w:r w:rsidR="00BD44BA">
        <w:rPr>
          <w:lang w:val="ru-RU"/>
        </w:rPr>
        <w:t xml:space="preserve"> приводит к недосмотру при выполнении заданий и </w:t>
      </w:r>
      <w:r w:rsidR="00005F2E">
        <w:rPr>
          <w:lang w:val="ru-RU"/>
        </w:rPr>
        <w:t>не</w:t>
      </w:r>
      <w:r w:rsidR="00323703">
        <w:rPr>
          <w:lang w:val="ru-RU"/>
        </w:rPr>
        <w:t>четкому расп</w:t>
      </w:r>
      <w:r w:rsidR="00005F2E">
        <w:rPr>
          <w:lang w:val="ru-RU"/>
        </w:rPr>
        <w:t>ределен</w:t>
      </w:r>
      <w:r w:rsidR="00323703">
        <w:rPr>
          <w:lang w:val="ru-RU"/>
        </w:rPr>
        <w:t>ию ответственности</w:t>
      </w:r>
      <w:r w:rsidR="00106313" w:rsidRPr="00BD44BA">
        <w:rPr>
          <w:lang w:val="ru-RU"/>
        </w:rPr>
        <w:t xml:space="preserve">. </w:t>
      </w:r>
      <w:r w:rsidR="00323703">
        <w:rPr>
          <w:lang w:val="ru-RU"/>
        </w:rPr>
        <w:t>Рекомендуется</w:t>
      </w:r>
      <w:r w:rsidR="00BD44BA">
        <w:rPr>
          <w:lang w:val="ru-RU"/>
        </w:rPr>
        <w:t xml:space="preserve"> пересмотреть и </w:t>
      </w:r>
      <w:r w:rsidR="00005F2E">
        <w:rPr>
          <w:lang w:val="ru-RU"/>
        </w:rPr>
        <w:t>уточнить</w:t>
      </w:r>
      <w:r w:rsidR="00BD44BA">
        <w:rPr>
          <w:lang w:val="ru-RU"/>
        </w:rPr>
        <w:t xml:space="preserve"> структуру и разделение труд</w:t>
      </w:r>
      <w:r w:rsidR="00005F2E">
        <w:rPr>
          <w:lang w:val="ru-RU"/>
        </w:rPr>
        <w:t>овых функций</w:t>
      </w:r>
      <w:r w:rsidR="00BD44BA">
        <w:rPr>
          <w:lang w:val="ru-RU"/>
        </w:rPr>
        <w:t xml:space="preserve">, а также </w:t>
      </w:r>
      <w:r w:rsidR="00C8147A">
        <w:rPr>
          <w:lang w:val="ru-RU"/>
        </w:rPr>
        <w:t>уточнить</w:t>
      </w:r>
      <w:r w:rsidR="00BD44BA">
        <w:rPr>
          <w:lang w:val="ru-RU"/>
        </w:rPr>
        <w:t xml:space="preserve"> процедуры</w:t>
      </w:r>
      <w:r w:rsidR="00C8147A">
        <w:rPr>
          <w:lang w:val="ru-RU"/>
        </w:rPr>
        <w:t>,</w:t>
      </w:r>
      <w:r w:rsidR="00BD44BA">
        <w:rPr>
          <w:lang w:val="ru-RU"/>
        </w:rPr>
        <w:t xml:space="preserve"> роли и обязанности соответствующих груп</w:t>
      </w:r>
      <w:r w:rsidR="00C8147A">
        <w:rPr>
          <w:lang w:val="ru-RU"/>
        </w:rPr>
        <w:t>п</w:t>
      </w:r>
      <w:r w:rsidR="00BD44BA">
        <w:rPr>
          <w:lang w:val="ru-RU"/>
        </w:rPr>
        <w:t xml:space="preserve"> сотрудников</w:t>
      </w:r>
      <w:r w:rsidR="00106313" w:rsidRPr="00BD44BA">
        <w:rPr>
          <w:lang w:val="ru-RU"/>
        </w:rPr>
        <w:t xml:space="preserve"> </w:t>
      </w:r>
      <w:r w:rsidR="00106313" w:rsidRPr="00106313">
        <w:rPr>
          <w:lang w:val="en-US"/>
        </w:rPr>
        <w:t>HRMD</w:t>
      </w:r>
      <w:r w:rsidR="00106313" w:rsidRPr="00BD44BA">
        <w:rPr>
          <w:lang w:val="ru-RU"/>
        </w:rPr>
        <w:t xml:space="preserve">. </w:t>
      </w:r>
    </w:p>
    <w:p w14:paraId="20D6416F" w14:textId="60B32175" w:rsidR="00106313" w:rsidRPr="004E15ED" w:rsidRDefault="00106313" w:rsidP="00301D5B">
      <w:pPr>
        <w:pStyle w:val="enumlev1"/>
        <w:rPr>
          <w:lang w:val="ru-RU"/>
        </w:rPr>
      </w:pPr>
      <w:r w:rsidRPr="00106313">
        <w:rPr>
          <w:lang w:val="en-US"/>
        </w:rPr>
        <w:t>c</w:t>
      </w:r>
      <w:r w:rsidR="00301D5B" w:rsidRPr="00C843A8">
        <w:rPr>
          <w:lang w:val="ru-RU"/>
        </w:rPr>
        <w:t>)</w:t>
      </w:r>
      <w:r w:rsidRPr="00C843A8">
        <w:rPr>
          <w:lang w:val="ru-RU"/>
        </w:rPr>
        <w:tab/>
      </w:r>
      <w:r w:rsidR="004E15ED">
        <w:rPr>
          <w:lang w:val="ru-RU"/>
        </w:rPr>
        <w:t>Не всегда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>удается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>определить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>тревожные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>сигналы</w:t>
      </w:r>
      <w:r w:rsidRPr="00C843A8">
        <w:rPr>
          <w:lang w:val="ru-RU"/>
        </w:rPr>
        <w:t>/</w:t>
      </w:r>
      <w:r w:rsidR="00C843A8">
        <w:rPr>
          <w:lang w:val="ru-RU"/>
        </w:rPr>
        <w:t>подлог</w:t>
      </w:r>
      <w:r w:rsidRPr="00C843A8">
        <w:rPr>
          <w:lang w:val="ru-RU"/>
        </w:rPr>
        <w:t>/</w:t>
      </w:r>
      <w:r w:rsidR="00C843A8">
        <w:rPr>
          <w:lang w:val="ru-RU"/>
        </w:rPr>
        <w:t>искажения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>в</w:t>
      </w:r>
      <w:r w:rsidR="00C843A8" w:rsidRPr="00C843A8">
        <w:rPr>
          <w:lang w:val="ru-RU"/>
        </w:rPr>
        <w:t xml:space="preserve"> </w:t>
      </w:r>
      <w:r w:rsidR="00C843A8">
        <w:rPr>
          <w:lang w:val="ru-RU"/>
        </w:rPr>
        <w:t xml:space="preserve">заявлениях сотрудников на получение льгот, что приводит к </w:t>
      </w:r>
      <w:r w:rsidR="00C843A8" w:rsidRPr="00C843A8">
        <w:rPr>
          <w:lang w:val="ru-RU"/>
        </w:rPr>
        <w:t>недостаточной осведомленности о проблеме мошенничества</w:t>
      </w:r>
      <w:r w:rsidR="00C843A8">
        <w:rPr>
          <w:lang w:val="ru-RU"/>
        </w:rPr>
        <w:t>/недостаточности мер по</w:t>
      </w:r>
      <w:r w:rsidR="00C843A8" w:rsidRPr="00C843A8">
        <w:rPr>
          <w:lang w:val="ru-RU"/>
        </w:rPr>
        <w:t xml:space="preserve"> снижению риска мошенничества</w:t>
      </w:r>
      <w:r w:rsidRPr="00C843A8">
        <w:rPr>
          <w:lang w:val="ru-RU"/>
        </w:rPr>
        <w:t xml:space="preserve">. </w:t>
      </w:r>
      <w:r w:rsidR="00323703">
        <w:rPr>
          <w:u w:val="single"/>
          <w:lang w:val="ru-RU"/>
        </w:rPr>
        <w:t>Рекомендуется</w:t>
      </w:r>
      <w:r w:rsidR="004E15ED" w:rsidRPr="004E15ED">
        <w:rPr>
          <w:lang w:val="ru-RU"/>
        </w:rPr>
        <w:t xml:space="preserve"> использовать рот</w:t>
      </w:r>
      <w:r w:rsidR="004E15ED">
        <w:rPr>
          <w:lang w:val="ru-RU"/>
        </w:rPr>
        <w:t>ацию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при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распределении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заданий</w:t>
      </w:r>
      <w:r w:rsidR="004E15ED" w:rsidRPr="004E15ED">
        <w:rPr>
          <w:lang w:val="ru-RU"/>
        </w:rPr>
        <w:t xml:space="preserve">, </w:t>
      </w:r>
      <w:r w:rsidR="004E15ED">
        <w:rPr>
          <w:lang w:val="ru-RU"/>
        </w:rPr>
        <w:t>чтобы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не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допускать</w:t>
      </w:r>
      <w:r w:rsidR="004E15ED" w:rsidRPr="004E15ED">
        <w:rPr>
          <w:lang w:val="ru-RU"/>
        </w:rPr>
        <w:t xml:space="preserve">, </w:t>
      </w:r>
      <w:r w:rsidR="004E15ED">
        <w:rPr>
          <w:lang w:val="ru-RU"/>
        </w:rPr>
        <w:t>чтобы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отдельный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сотрудник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имел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полный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контроль</w:t>
      </w:r>
      <w:r w:rsidR="004E15ED" w:rsidRPr="004E15ED">
        <w:rPr>
          <w:lang w:val="ru-RU"/>
        </w:rPr>
        <w:t xml:space="preserve"> </w:t>
      </w:r>
      <w:r w:rsidR="004E15ED">
        <w:rPr>
          <w:lang w:val="ru-RU"/>
        </w:rPr>
        <w:t>над исполнением функции, а также организовать подготовку по вопросам повышения осведомленности о проблеме мошенничества и обмен знаниями среди сотрудников</w:t>
      </w:r>
      <w:r w:rsidRPr="004E15ED">
        <w:rPr>
          <w:lang w:val="ru-RU"/>
        </w:rPr>
        <w:t xml:space="preserve"> </w:t>
      </w:r>
      <w:r w:rsidRPr="00106313">
        <w:rPr>
          <w:lang w:val="en-US"/>
        </w:rPr>
        <w:t>HRMD</w:t>
      </w:r>
      <w:r w:rsidR="004E15ED">
        <w:rPr>
          <w:lang w:val="ru-RU"/>
        </w:rPr>
        <w:t>, участвующих в обработке документации на получение льгот</w:t>
      </w:r>
      <w:r w:rsidRPr="004E15ED">
        <w:rPr>
          <w:lang w:val="ru-RU"/>
        </w:rPr>
        <w:t>.</w:t>
      </w:r>
    </w:p>
    <w:p w14:paraId="56990B4D" w14:textId="6D7AD989" w:rsidR="00106313" w:rsidRPr="003B071C" w:rsidRDefault="00301D5B" w:rsidP="00301D5B">
      <w:pPr>
        <w:pStyle w:val="enumlev1"/>
        <w:rPr>
          <w:lang w:val="ru-RU"/>
        </w:rPr>
      </w:pPr>
      <w:r>
        <w:rPr>
          <w:lang w:val="en-US"/>
        </w:rPr>
        <w:t>d</w:t>
      </w:r>
      <w:r w:rsidRPr="00AF4D1A">
        <w:rPr>
          <w:lang w:val="ru-RU"/>
        </w:rPr>
        <w:t>)</w:t>
      </w:r>
      <w:r w:rsidR="00106313" w:rsidRPr="00AF4D1A">
        <w:rPr>
          <w:lang w:val="ru-RU"/>
        </w:rPr>
        <w:tab/>
      </w:r>
      <w:r w:rsidR="00AF4D1A">
        <w:rPr>
          <w:lang w:val="ru-RU"/>
        </w:rPr>
        <w:t>Проверка</w:t>
      </w:r>
      <w:r w:rsidR="00106313" w:rsidRPr="00AF4D1A">
        <w:rPr>
          <w:lang w:val="ru-RU"/>
        </w:rPr>
        <w:t>/</w:t>
      </w:r>
      <w:r w:rsidR="00AF4D1A">
        <w:rPr>
          <w:lang w:val="ru-RU"/>
        </w:rPr>
        <w:t>обработка заявлений на предоставление льгот, а также прав на льготы осуществляется неверным способом, что приводит к ненадлежащему и неэффективному соблюдению процедур внутреннего контроля</w:t>
      </w:r>
      <w:r w:rsidR="00106313" w:rsidRPr="00AF4D1A">
        <w:rPr>
          <w:lang w:val="ru-RU"/>
        </w:rPr>
        <w:t xml:space="preserve">. </w:t>
      </w:r>
      <w:r w:rsidR="00323703">
        <w:rPr>
          <w:u w:val="single"/>
          <w:lang w:val="ru-RU"/>
        </w:rPr>
        <w:t>Рекомендуется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провести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проверку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субсидий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на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образование,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выданных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в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течение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последних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5</w:t>
      </w:r>
      <w:r w:rsidR="00282A25" w:rsidRPr="00282A25">
        <w:rPr>
          <w:lang w:val="ru-RU"/>
        </w:rPr>
        <w:t>–</w:t>
      </w:r>
      <w:r w:rsidR="00AF4D1A">
        <w:rPr>
          <w:lang w:val="ru-RU"/>
        </w:rPr>
        <w:t>10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лет</w:t>
      </w:r>
      <w:r w:rsidR="00AF4D1A" w:rsidRPr="00AF4D1A">
        <w:rPr>
          <w:lang w:val="ru-RU"/>
        </w:rPr>
        <w:t xml:space="preserve"> </w:t>
      </w:r>
      <w:r w:rsidR="00106313" w:rsidRPr="00AF4D1A">
        <w:rPr>
          <w:lang w:val="ru-RU"/>
        </w:rPr>
        <w:t>(</w:t>
      </w:r>
      <w:r w:rsidR="00AF4D1A">
        <w:rPr>
          <w:lang w:val="ru-RU"/>
        </w:rPr>
        <w:t>до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изменений</w:t>
      </w:r>
      <w:r w:rsidR="00106313" w:rsidRPr="00AF4D1A">
        <w:rPr>
          <w:lang w:val="ru-RU"/>
        </w:rPr>
        <w:t xml:space="preserve"> 2017</w:t>
      </w:r>
      <w:r w:rsidR="00AF4D1A" w:rsidRPr="00AF4D1A">
        <w:rPr>
          <w:lang w:val="ru-RU"/>
        </w:rPr>
        <w:t xml:space="preserve"> </w:t>
      </w:r>
      <w:r w:rsidR="00AF4D1A">
        <w:rPr>
          <w:lang w:val="ru-RU"/>
        </w:rPr>
        <w:t>г</w:t>
      </w:r>
      <w:r w:rsidR="00282A25" w:rsidRPr="00282A25">
        <w:rPr>
          <w:lang w:val="ru-RU"/>
        </w:rPr>
        <w:t>.</w:t>
      </w:r>
      <w:r w:rsidR="00106313" w:rsidRPr="00AF4D1A">
        <w:rPr>
          <w:lang w:val="ru-RU"/>
        </w:rPr>
        <w:t>)</w:t>
      </w:r>
      <w:r w:rsidR="00AF4D1A">
        <w:rPr>
          <w:lang w:val="ru-RU"/>
        </w:rPr>
        <w:t>,</w:t>
      </w:r>
      <w:r w:rsidR="00106313" w:rsidRPr="00AF4D1A">
        <w:rPr>
          <w:lang w:val="ru-RU"/>
        </w:rPr>
        <w:t xml:space="preserve"> </w:t>
      </w:r>
      <w:r w:rsidR="00AF4D1A">
        <w:rPr>
          <w:lang w:val="ru-RU"/>
        </w:rPr>
        <w:t>и в случае обнаружения ошибок отличных от тех, что выявлены в рамках этой инспекционной проверки допустимых расходов,</w:t>
      </w:r>
      <w:r w:rsidR="00106313" w:rsidRPr="00AF4D1A">
        <w:rPr>
          <w:lang w:val="ru-RU"/>
        </w:rPr>
        <w:t xml:space="preserve"> </w:t>
      </w:r>
      <w:r w:rsidR="00AF4D1A">
        <w:rPr>
          <w:lang w:val="ru-RU"/>
        </w:rPr>
        <w:t>рассмотреть вопрос об их исправлении</w:t>
      </w:r>
      <w:r w:rsidR="00106313" w:rsidRPr="00AF4D1A">
        <w:rPr>
          <w:lang w:val="ru-RU"/>
        </w:rPr>
        <w:t xml:space="preserve">. </w:t>
      </w:r>
      <w:r w:rsidR="00AF4D1A">
        <w:rPr>
          <w:lang w:val="ru-RU"/>
        </w:rPr>
        <w:t>Кроме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того</w:t>
      </w:r>
      <w:r w:rsidR="00AF4D1A" w:rsidRPr="005801EF">
        <w:rPr>
          <w:lang w:val="ru-RU"/>
        </w:rPr>
        <w:t xml:space="preserve">, </w:t>
      </w:r>
      <w:r w:rsidR="00323703">
        <w:rPr>
          <w:u w:val="single"/>
          <w:lang w:val="ru-RU"/>
        </w:rPr>
        <w:t>рекомендуется</w:t>
      </w:r>
      <w:r w:rsidR="00106313" w:rsidRPr="005801EF">
        <w:rPr>
          <w:lang w:val="ru-RU"/>
        </w:rPr>
        <w:t>,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чтобы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запросы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на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признание</w:t>
      </w:r>
      <w:r w:rsidR="00AF4D1A" w:rsidRPr="005801EF">
        <w:rPr>
          <w:lang w:val="ru-RU"/>
        </w:rPr>
        <w:t xml:space="preserve"> </w:t>
      </w:r>
      <w:r w:rsidR="00AF4D1A">
        <w:rPr>
          <w:lang w:val="ru-RU"/>
        </w:rPr>
        <w:t>статус</w:t>
      </w:r>
      <w:r w:rsidR="005801EF">
        <w:rPr>
          <w:lang w:val="ru-RU"/>
        </w:rPr>
        <w:t>а</w:t>
      </w:r>
      <w:r w:rsidR="00AF4D1A" w:rsidRPr="005801EF">
        <w:rPr>
          <w:lang w:val="ru-RU"/>
        </w:rPr>
        <w:t xml:space="preserve"> </w:t>
      </w:r>
      <w:r w:rsidR="005801EF">
        <w:rPr>
          <w:lang w:val="ru-RU"/>
        </w:rPr>
        <w:t>иждивенца</w:t>
      </w:r>
      <w:r w:rsidR="00106313" w:rsidRPr="005801EF">
        <w:rPr>
          <w:lang w:val="ru-RU"/>
        </w:rPr>
        <w:t xml:space="preserve"> </w:t>
      </w:r>
      <w:r w:rsidR="005801EF">
        <w:rPr>
          <w:lang w:val="ru-RU"/>
        </w:rPr>
        <w:t>производились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на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ежегодной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основе</w:t>
      </w:r>
      <w:r w:rsidR="00106313" w:rsidRPr="005801EF">
        <w:rPr>
          <w:lang w:val="ru-RU"/>
        </w:rPr>
        <w:t xml:space="preserve"> (</w:t>
      </w:r>
      <w:r w:rsidR="005801EF">
        <w:rPr>
          <w:lang w:val="ru-RU"/>
        </w:rPr>
        <w:t>либо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чаще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в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соответствии с</w:t>
      </w:r>
      <w:r w:rsidR="005801EF" w:rsidRPr="005801EF">
        <w:rPr>
          <w:lang w:val="ru-RU"/>
        </w:rPr>
        <w:t xml:space="preserve"> </w:t>
      </w:r>
      <w:r w:rsidR="005801EF">
        <w:rPr>
          <w:lang w:val="ru-RU"/>
        </w:rPr>
        <w:t>требованиями</w:t>
      </w:r>
      <w:r w:rsidR="00106313" w:rsidRPr="005801EF">
        <w:rPr>
          <w:lang w:val="ru-RU"/>
        </w:rPr>
        <w:t xml:space="preserve">) </w:t>
      </w:r>
      <w:r w:rsidR="005801EF">
        <w:rPr>
          <w:lang w:val="ru-RU"/>
        </w:rPr>
        <w:t xml:space="preserve">и </w:t>
      </w:r>
      <w:r w:rsidR="005801EF" w:rsidRPr="005801EF">
        <w:rPr>
          <w:lang w:val="ru-RU"/>
        </w:rPr>
        <w:t>согласованным образом</w:t>
      </w:r>
      <w:r w:rsidR="00106313" w:rsidRPr="005801EF">
        <w:rPr>
          <w:lang w:val="ru-RU"/>
        </w:rPr>
        <w:t xml:space="preserve">, </w:t>
      </w:r>
      <w:r w:rsidR="005801EF">
        <w:rPr>
          <w:lang w:val="ru-RU"/>
        </w:rPr>
        <w:t xml:space="preserve">и чтобы выплаты в рамках </w:t>
      </w:r>
      <w:r w:rsidR="005801EF" w:rsidRPr="005801EF">
        <w:rPr>
          <w:lang w:val="ru-RU"/>
        </w:rPr>
        <w:t xml:space="preserve">надбавки на иждивенцев </w:t>
      </w:r>
      <w:r w:rsidR="005801EF">
        <w:rPr>
          <w:lang w:val="ru-RU"/>
        </w:rPr>
        <w:t>производились только на основании предоставленной сотрудниками подтвержденной, проверенной и актуальной информации</w:t>
      </w:r>
      <w:r w:rsidR="00106313" w:rsidRPr="005801EF">
        <w:rPr>
          <w:lang w:val="ru-RU"/>
        </w:rPr>
        <w:t xml:space="preserve">. </w:t>
      </w:r>
      <w:r w:rsidR="005801EF">
        <w:rPr>
          <w:lang w:val="ru-RU"/>
        </w:rPr>
        <w:t>В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завершение</w:t>
      </w:r>
      <w:r w:rsidR="005801EF" w:rsidRPr="003B071C">
        <w:rPr>
          <w:lang w:val="ru-RU"/>
        </w:rPr>
        <w:t xml:space="preserve"> </w:t>
      </w:r>
      <w:r w:rsidR="00323703">
        <w:rPr>
          <w:u w:val="single"/>
          <w:lang w:val="ru-RU"/>
        </w:rPr>
        <w:t>рекомендуется</w:t>
      </w:r>
      <w:r w:rsidR="00106313" w:rsidRPr="003B071C">
        <w:rPr>
          <w:lang w:val="ru-RU"/>
        </w:rPr>
        <w:t xml:space="preserve"> </w:t>
      </w:r>
      <w:r w:rsidR="005801EF">
        <w:rPr>
          <w:lang w:val="ru-RU"/>
        </w:rPr>
        <w:t>ввести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требование</w:t>
      </w:r>
      <w:r w:rsidR="005801EF" w:rsidRPr="003B071C">
        <w:rPr>
          <w:lang w:val="ru-RU"/>
        </w:rPr>
        <w:t xml:space="preserve">, </w:t>
      </w:r>
      <w:r w:rsidR="005801EF">
        <w:rPr>
          <w:lang w:val="ru-RU"/>
        </w:rPr>
        <w:t>что</w:t>
      </w:r>
      <w:r w:rsidR="00753821">
        <w:rPr>
          <w:lang w:val="ru-RU"/>
        </w:rPr>
        <w:t>бы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вс</w:t>
      </w:r>
      <w:r w:rsidR="00005F2E">
        <w:rPr>
          <w:lang w:val="ru-RU"/>
        </w:rPr>
        <w:t>е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сопроводительные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документы</w:t>
      </w:r>
      <w:r w:rsidR="00106313" w:rsidRPr="003B071C">
        <w:rPr>
          <w:lang w:val="ru-RU"/>
        </w:rPr>
        <w:t xml:space="preserve">, </w:t>
      </w:r>
      <w:r w:rsidR="005801EF">
        <w:rPr>
          <w:lang w:val="ru-RU"/>
        </w:rPr>
        <w:t>сметы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и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любая</w:t>
      </w:r>
      <w:r w:rsidR="005801EF" w:rsidRPr="003B071C">
        <w:rPr>
          <w:lang w:val="ru-RU"/>
        </w:rPr>
        <w:t xml:space="preserve"> </w:t>
      </w:r>
      <w:r w:rsidR="005801EF">
        <w:rPr>
          <w:lang w:val="ru-RU"/>
        </w:rPr>
        <w:t>другая</w:t>
      </w:r>
      <w:r w:rsidR="00106313" w:rsidRPr="003B071C">
        <w:rPr>
          <w:lang w:val="ru-RU"/>
        </w:rPr>
        <w:t xml:space="preserve"> </w:t>
      </w:r>
      <w:r w:rsidR="005801EF">
        <w:rPr>
          <w:lang w:val="ru-RU"/>
        </w:rPr>
        <w:t xml:space="preserve">документация, используемая </w:t>
      </w:r>
      <w:r w:rsidR="00106313" w:rsidRPr="00106313">
        <w:rPr>
          <w:lang w:val="en-US"/>
        </w:rPr>
        <w:t>HRMD</w:t>
      </w:r>
      <w:r w:rsidR="00005F2E">
        <w:rPr>
          <w:lang w:val="ru-RU"/>
        </w:rPr>
        <w:t xml:space="preserve"> для </w:t>
      </w:r>
      <w:r w:rsidR="003B071C">
        <w:rPr>
          <w:lang w:val="ru-RU"/>
        </w:rPr>
        <w:t xml:space="preserve">одобрения прав на льготы и </w:t>
      </w:r>
      <w:r w:rsidR="00753821">
        <w:rPr>
          <w:lang w:val="ru-RU"/>
        </w:rPr>
        <w:t xml:space="preserve">расчета </w:t>
      </w:r>
      <w:r w:rsidR="003B071C">
        <w:rPr>
          <w:lang w:val="ru-RU"/>
        </w:rPr>
        <w:t>соответствующи</w:t>
      </w:r>
      <w:r w:rsidR="00753821">
        <w:rPr>
          <w:lang w:val="ru-RU"/>
        </w:rPr>
        <w:t>х</w:t>
      </w:r>
      <w:r w:rsidR="003B071C">
        <w:rPr>
          <w:lang w:val="ru-RU"/>
        </w:rPr>
        <w:t xml:space="preserve"> сумм</w:t>
      </w:r>
      <w:r w:rsidR="00005F2E">
        <w:rPr>
          <w:lang w:val="ru-RU"/>
        </w:rPr>
        <w:t>,</w:t>
      </w:r>
      <w:r w:rsidR="003B071C">
        <w:rPr>
          <w:lang w:val="ru-RU"/>
        </w:rPr>
        <w:t xml:space="preserve"> </w:t>
      </w:r>
      <w:r w:rsidR="00005F2E">
        <w:rPr>
          <w:lang w:val="ru-RU"/>
        </w:rPr>
        <w:t>сохранялись</w:t>
      </w:r>
      <w:r w:rsidR="003B071C">
        <w:rPr>
          <w:lang w:val="ru-RU"/>
        </w:rPr>
        <w:t xml:space="preserve"> в доступной системе </w:t>
      </w:r>
      <w:r w:rsidR="00753821">
        <w:rPr>
          <w:lang w:val="ru-RU"/>
        </w:rPr>
        <w:t>ведения личных дел</w:t>
      </w:r>
      <w:r w:rsidR="00106313" w:rsidRPr="003B071C">
        <w:rPr>
          <w:lang w:val="ru-RU"/>
        </w:rPr>
        <w:t xml:space="preserve">. </w:t>
      </w:r>
    </w:p>
    <w:p w14:paraId="485369DB" w14:textId="77D416F3" w:rsidR="00106313" w:rsidRPr="003E7DEF" w:rsidRDefault="00106313" w:rsidP="00106313">
      <w:pPr>
        <w:rPr>
          <w:lang w:val="ru-RU"/>
        </w:rPr>
      </w:pPr>
      <w:r w:rsidRPr="006F155C">
        <w:rPr>
          <w:lang w:val="ru-RU"/>
        </w:rPr>
        <w:t>10</w:t>
      </w:r>
      <w:r w:rsidRPr="006F155C">
        <w:rPr>
          <w:lang w:val="ru-RU"/>
        </w:rPr>
        <w:tab/>
      </w:r>
      <w:r w:rsidR="006F155C">
        <w:rPr>
          <w:lang w:val="ru-RU"/>
        </w:rPr>
        <w:t>Руководство</w:t>
      </w:r>
      <w:r w:rsidR="006F155C" w:rsidRPr="006F155C">
        <w:rPr>
          <w:lang w:val="ru-RU"/>
        </w:rPr>
        <w:t xml:space="preserve"> </w:t>
      </w:r>
      <w:r w:rsidRPr="00106313">
        <w:rPr>
          <w:lang w:val="en-US"/>
        </w:rPr>
        <w:t>HRMD</w:t>
      </w:r>
      <w:r w:rsidRPr="006F155C">
        <w:rPr>
          <w:lang w:val="ru-RU"/>
        </w:rPr>
        <w:t xml:space="preserve"> </w:t>
      </w:r>
      <w:r w:rsidR="006F155C">
        <w:rPr>
          <w:lang w:val="ru-RU"/>
        </w:rPr>
        <w:t>согласилось</w:t>
      </w:r>
      <w:r w:rsidR="006F155C" w:rsidRPr="006F155C">
        <w:rPr>
          <w:lang w:val="ru-RU"/>
        </w:rPr>
        <w:t xml:space="preserve"> </w:t>
      </w:r>
      <w:r w:rsidR="006F155C">
        <w:rPr>
          <w:lang w:val="ru-RU"/>
        </w:rPr>
        <w:t>со</w:t>
      </w:r>
      <w:r w:rsidR="006F155C" w:rsidRPr="006F155C">
        <w:rPr>
          <w:lang w:val="ru-RU"/>
        </w:rPr>
        <w:t xml:space="preserve"> </w:t>
      </w:r>
      <w:r w:rsidR="006F155C">
        <w:rPr>
          <w:lang w:val="ru-RU"/>
        </w:rPr>
        <w:t>многими</w:t>
      </w:r>
      <w:r w:rsidR="006F155C" w:rsidRPr="006F155C">
        <w:rPr>
          <w:lang w:val="ru-RU"/>
        </w:rPr>
        <w:t xml:space="preserve"> </w:t>
      </w:r>
      <w:r w:rsidR="006F155C">
        <w:rPr>
          <w:lang w:val="ru-RU"/>
        </w:rPr>
        <w:t>рекомендациями</w:t>
      </w:r>
      <w:r w:rsidRPr="006F155C">
        <w:rPr>
          <w:lang w:val="ru-RU"/>
        </w:rPr>
        <w:t xml:space="preserve">, </w:t>
      </w:r>
      <w:r w:rsidR="006F155C">
        <w:rPr>
          <w:lang w:val="ru-RU"/>
        </w:rPr>
        <w:t>указав на несогласие с некоторыми, поскольку они предполагали меры, которые уже стали частью текущей практики управления</w:t>
      </w:r>
      <w:r w:rsidRPr="006F155C">
        <w:rPr>
          <w:lang w:val="ru-RU"/>
        </w:rPr>
        <w:t xml:space="preserve">. </w:t>
      </w:r>
      <w:r w:rsidRPr="00106313">
        <w:rPr>
          <w:lang w:val="en-US"/>
        </w:rPr>
        <w:t>IA</w:t>
      </w:r>
      <w:r w:rsidRPr="003E7DEF">
        <w:rPr>
          <w:lang w:val="ru-RU"/>
        </w:rPr>
        <w:t xml:space="preserve"> </w:t>
      </w:r>
      <w:r w:rsidR="003E7DEF">
        <w:rPr>
          <w:lang w:val="ru-RU"/>
        </w:rPr>
        <w:t>не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считает</w:t>
      </w:r>
      <w:r w:rsidR="003E7DEF" w:rsidRPr="003E7DEF">
        <w:rPr>
          <w:lang w:val="ru-RU"/>
        </w:rPr>
        <w:t xml:space="preserve">, </w:t>
      </w:r>
      <w:r w:rsidR="003E7DEF">
        <w:rPr>
          <w:lang w:val="ru-RU"/>
        </w:rPr>
        <w:t>что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текущая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практика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управления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убежда</w:t>
      </w:r>
      <w:r w:rsidR="00005F2E">
        <w:rPr>
          <w:lang w:val="ru-RU"/>
        </w:rPr>
        <w:t>ет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в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том</w:t>
      </w:r>
      <w:r w:rsidR="003E7DEF" w:rsidRPr="003E7DEF">
        <w:rPr>
          <w:lang w:val="ru-RU"/>
        </w:rPr>
        <w:t xml:space="preserve">, </w:t>
      </w:r>
      <w:r w:rsidR="003E7DEF">
        <w:rPr>
          <w:lang w:val="ru-RU"/>
        </w:rPr>
        <w:t>что</w:t>
      </w:r>
      <w:r w:rsidR="003E7DEF" w:rsidRPr="003E7DEF">
        <w:rPr>
          <w:lang w:val="ru-RU"/>
        </w:rPr>
        <w:t xml:space="preserve"> </w:t>
      </w:r>
      <w:r w:rsidR="00005F2E">
        <w:rPr>
          <w:lang w:val="ru-RU"/>
        </w:rPr>
        <w:t>она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обеспечива</w:t>
      </w:r>
      <w:r w:rsidR="00005F2E">
        <w:rPr>
          <w:lang w:val="ru-RU"/>
        </w:rPr>
        <w:t>е</w:t>
      </w:r>
      <w:r w:rsidR="003E7DEF">
        <w:rPr>
          <w:lang w:val="ru-RU"/>
        </w:rPr>
        <w:t>т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гарантии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для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Генерального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секретаря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в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отношении</w:t>
      </w:r>
      <w:r w:rsidR="003E7DEF" w:rsidRPr="003E7DEF">
        <w:rPr>
          <w:lang w:val="ru-RU"/>
        </w:rPr>
        <w:t xml:space="preserve"> </w:t>
      </w:r>
      <w:r w:rsidR="00005F2E">
        <w:rPr>
          <w:lang w:val="ru-RU"/>
        </w:rPr>
        <w:t xml:space="preserve">обеспечения </w:t>
      </w:r>
      <w:r w:rsidR="003E7DEF">
        <w:rPr>
          <w:lang w:val="ru-RU"/>
        </w:rPr>
        <w:t>контроля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в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области</w:t>
      </w:r>
      <w:r w:rsidR="003E7DEF" w:rsidRPr="003E7DEF">
        <w:rPr>
          <w:lang w:val="ru-RU"/>
        </w:rPr>
        <w:t xml:space="preserve"> руководства</w:t>
      </w:r>
      <w:r w:rsidR="003E7DEF" w:rsidRPr="003E7DEF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,</w:t>
      </w:r>
      <w:r w:rsidR="003B071C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="003B071C" w:rsidRPr="003E7DEF">
        <w:rPr>
          <w:lang w:val="ru-RU"/>
        </w:rPr>
        <w:t>управления</w:t>
      </w:r>
      <w:r w:rsidR="003E7DEF" w:rsidRPr="003E7DEF">
        <w:rPr>
          <w:lang w:val="ru-RU"/>
        </w:rPr>
        <w:t xml:space="preserve"> </w:t>
      </w:r>
      <w:r w:rsidR="003E7DEF">
        <w:rPr>
          <w:lang w:val="ru-RU"/>
        </w:rPr>
        <w:t>рисками</w:t>
      </w:r>
      <w:r w:rsidR="003E7DEF" w:rsidRPr="003E7DEF">
        <w:rPr>
          <w:lang w:val="ru-RU"/>
        </w:rPr>
        <w:t xml:space="preserve"> и эффективности в отношении обработки </w:t>
      </w:r>
      <w:r w:rsidR="003B071C" w:rsidRPr="003E7DEF">
        <w:rPr>
          <w:lang w:val="ru-RU"/>
        </w:rPr>
        <w:t>заявлений</w:t>
      </w:r>
      <w:r w:rsidR="003E7DEF" w:rsidRPr="003E7DEF">
        <w:rPr>
          <w:lang w:val="ru-RU"/>
        </w:rPr>
        <w:t xml:space="preserve"> сотрудников на получение льгот</w:t>
      </w:r>
      <w:r w:rsidRPr="003E7DEF">
        <w:rPr>
          <w:lang w:val="ru-RU"/>
        </w:rPr>
        <w:t>.</w:t>
      </w:r>
    </w:p>
    <w:p w14:paraId="764B93E8" w14:textId="2DA8F6BD" w:rsidR="00106313" w:rsidRPr="003B071C" w:rsidRDefault="00301D5B" w:rsidP="00F93FD0">
      <w:pPr>
        <w:pStyle w:val="Heading1"/>
        <w:rPr>
          <w:lang w:val="ru-RU"/>
        </w:rPr>
      </w:pPr>
      <w:r>
        <w:rPr>
          <w:lang w:val="en-US"/>
        </w:rPr>
        <w:lastRenderedPageBreak/>
        <w:t>B</w:t>
      </w:r>
      <w:r w:rsidR="00106313" w:rsidRPr="003B071C">
        <w:rPr>
          <w:lang w:val="ru-RU"/>
        </w:rPr>
        <w:tab/>
      </w:r>
      <w:r w:rsidR="003B071C">
        <w:rPr>
          <w:lang w:val="ru-RU"/>
        </w:rPr>
        <w:t>А</w:t>
      </w:r>
      <w:r w:rsidR="00E21C7E">
        <w:rPr>
          <w:lang w:val="ru-RU"/>
        </w:rPr>
        <w:t xml:space="preserve">удиторская проверка </w:t>
      </w:r>
      <w:r w:rsidR="003B071C">
        <w:rPr>
          <w:lang w:val="ru-RU"/>
        </w:rPr>
        <w:t>программ, проектов и дополнительн</w:t>
      </w:r>
      <w:r w:rsidR="00E21C7E">
        <w:rPr>
          <w:lang w:val="ru-RU"/>
        </w:rPr>
        <w:t>ой</w:t>
      </w:r>
      <w:r w:rsidR="003B071C">
        <w:rPr>
          <w:lang w:val="ru-RU"/>
        </w:rPr>
        <w:t xml:space="preserve"> деятельности</w:t>
      </w:r>
      <w:r w:rsidR="00E21C7E">
        <w:rPr>
          <w:lang w:val="ru-RU"/>
        </w:rPr>
        <w:t>,</w:t>
      </w:r>
      <w:r w:rsidR="003B071C">
        <w:rPr>
          <w:lang w:val="ru-RU"/>
        </w:rPr>
        <w:t xml:space="preserve"> финансируемых </w:t>
      </w:r>
      <w:r w:rsidR="00E21C7E">
        <w:rPr>
          <w:lang w:val="ru-RU"/>
        </w:rPr>
        <w:t>из</w:t>
      </w:r>
      <w:r w:rsidR="003B071C">
        <w:rPr>
          <w:lang w:val="ru-RU"/>
        </w:rPr>
        <w:t xml:space="preserve"> добровольных взносов и </w:t>
      </w:r>
      <w:r w:rsidR="003B071C" w:rsidRPr="003B071C">
        <w:rPr>
          <w:lang w:val="ru-RU"/>
        </w:rPr>
        <w:t>целевых фондов</w:t>
      </w:r>
    </w:p>
    <w:p w14:paraId="4C761CB9" w14:textId="071FE496" w:rsidR="00106313" w:rsidRPr="00E21C7E" w:rsidRDefault="00106313" w:rsidP="00106313">
      <w:pPr>
        <w:rPr>
          <w:lang w:val="ru-RU"/>
        </w:rPr>
      </w:pPr>
      <w:r w:rsidRPr="00E21C7E">
        <w:rPr>
          <w:lang w:val="ru-RU"/>
        </w:rPr>
        <w:t>11</w:t>
      </w:r>
      <w:r w:rsidRPr="00E21C7E">
        <w:rPr>
          <w:lang w:val="ru-RU"/>
        </w:rPr>
        <w:tab/>
      </w:r>
      <w:r w:rsidR="00FA3D63">
        <w:rPr>
          <w:lang w:val="ru-RU"/>
        </w:rPr>
        <w:t>Служба внутреннего аудита</w:t>
      </w:r>
      <w:r w:rsidRPr="00E21C7E">
        <w:rPr>
          <w:lang w:val="ru-RU"/>
        </w:rPr>
        <w:t xml:space="preserve"> </w:t>
      </w:r>
      <w:r w:rsidR="003B071C">
        <w:rPr>
          <w:lang w:val="ru-RU"/>
        </w:rPr>
        <w:t>провел</w:t>
      </w:r>
      <w:r w:rsidR="00FA3D63">
        <w:rPr>
          <w:lang w:val="ru-RU"/>
        </w:rPr>
        <w:t>а</w:t>
      </w:r>
      <w:r w:rsidR="003B071C" w:rsidRPr="00E21C7E">
        <w:rPr>
          <w:lang w:val="ru-RU"/>
        </w:rPr>
        <w:t xml:space="preserve"> </w:t>
      </w:r>
      <w:r w:rsidR="00E21C7E">
        <w:rPr>
          <w:lang w:val="ru-RU"/>
        </w:rPr>
        <w:t>аудиторскую проверку</w:t>
      </w:r>
      <w:r w:rsidR="00E21C7E" w:rsidRPr="00E21C7E">
        <w:rPr>
          <w:lang w:val="ru-RU"/>
        </w:rPr>
        <w:t xml:space="preserve"> </w:t>
      </w:r>
      <w:r w:rsidR="00E21C7E">
        <w:rPr>
          <w:lang w:val="ru-RU"/>
        </w:rPr>
        <w:t>программ</w:t>
      </w:r>
      <w:r w:rsidR="00E21C7E" w:rsidRPr="00E21C7E">
        <w:rPr>
          <w:lang w:val="ru-RU"/>
        </w:rPr>
        <w:t xml:space="preserve">, </w:t>
      </w:r>
      <w:r w:rsidR="00E21C7E">
        <w:rPr>
          <w:lang w:val="ru-RU"/>
        </w:rPr>
        <w:t>проектов</w:t>
      </w:r>
      <w:r w:rsidR="00E21C7E" w:rsidRPr="00E21C7E">
        <w:rPr>
          <w:lang w:val="ru-RU"/>
        </w:rPr>
        <w:t xml:space="preserve"> </w:t>
      </w:r>
      <w:r w:rsidR="00E21C7E">
        <w:rPr>
          <w:lang w:val="ru-RU"/>
        </w:rPr>
        <w:t>и</w:t>
      </w:r>
      <w:r w:rsidR="00E21C7E" w:rsidRPr="00E21C7E">
        <w:rPr>
          <w:lang w:val="ru-RU"/>
        </w:rPr>
        <w:t xml:space="preserve"> </w:t>
      </w:r>
      <w:r w:rsidR="00E21C7E">
        <w:rPr>
          <w:lang w:val="ru-RU"/>
        </w:rPr>
        <w:t>дополнительной</w:t>
      </w:r>
      <w:r w:rsidR="00E21C7E" w:rsidRPr="00E21C7E">
        <w:rPr>
          <w:lang w:val="ru-RU"/>
        </w:rPr>
        <w:t xml:space="preserve"> </w:t>
      </w:r>
      <w:r w:rsidR="00E21C7E" w:rsidRPr="00282A25">
        <w:rPr>
          <w:lang w:val="ru-RU"/>
        </w:rPr>
        <w:t xml:space="preserve">деятельности </w:t>
      </w:r>
      <w:r w:rsidRPr="00282A25">
        <w:rPr>
          <w:lang w:val="ru-RU"/>
        </w:rPr>
        <w:t>(</w:t>
      </w:r>
      <w:r w:rsidRPr="00282A25">
        <w:rPr>
          <w:lang w:val="en-US"/>
        </w:rPr>
        <w:t>PPSA</w:t>
      </w:r>
      <w:r w:rsidRPr="00282A25">
        <w:rPr>
          <w:lang w:val="ru-RU"/>
        </w:rPr>
        <w:t>)</w:t>
      </w:r>
      <w:r w:rsidR="00005F2E" w:rsidRPr="00282A25">
        <w:rPr>
          <w:lang w:val="ru-RU"/>
        </w:rPr>
        <w:t>,</w:t>
      </w:r>
      <w:r w:rsidRPr="00282A25">
        <w:rPr>
          <w:lang w:val="ru-RU"/>
        </w:rPr>
        <w:t xml:space="preserve"> </w:t>
      </w:r>
      <w:r w:rsidR="00E21C7E" w:rsidRPr="00282A25">
        <w:rPr>
          <w:lang w:val="ru-RU"/>
        </w:rPr>
        <w:t>финансируемых</w:t>
      </w:r>
      <w:r w:rsidR="00E21C7E">
        <w:rPr>
          <w:lang w:val="ru-RU"/>
        </w:rPr>
        <w:t xml:space="preserve"> из добровольных взносов</w:t>
      </w:r>
      <w:r w:rsidR="00FA3D63">
        <w:rPr>
          <w:lang w:val="ru-RU"/>
        </w:rPr>
        <w:t xml:space="preserve"> </w:t>
      </w:r>
      <w:r w:rsidR="00E21C7E" w:rsidRPr="00E21C7E">
        <w:rPr>
          <w:lang w:val="ru-RU"/>
        </w:rPr>
        <w:t>(VC)</w:t>
      </w:r>
      <w:r w:rsidR="00E21C7E">
        <w:rPr>
          <w:lang w:val="ru-RU"/>
        </w:rPr>
        <w:t xml:space="preserve"> и </w:t>
      </w:r>
      <w:r w:rsidR="00E21C7E" w:rsidRPr="00E21C7E">
        <w:rPr>
          <w:lang w:val="ru-RU"/>
        </w:rPr>
        <w:t>целевых фондов (FiT)</w:t>
      </w:r>
      <w:r w:rsidR="00F9777C">
        <w:rPr>
          <w:lang w:val="ru-RU"/>
        </w:rPr>
        <w:t>,</w:t>
      </w:r>
      <w:r w:rsidR="00E21C7E" w:rsidRPr="00E21C7E">
        <w:rPr>
          <w:lang w:val="ru-RU"/>
        </w:rPr>
        <w:t xml:space="preserve"> </w:t>
      </w:r>
      <w:r w:rsidR="00E21C7E">
        <w:rPr>
          <w:lang w:val="ru-RU"/>
        </w:rPr>
        <w:t>за период с января</w:t>
      </w:r>
      <w:r w:rsidRPr="00E21C7E">
        <w:rPr>
          <w:lang w:val="ru-RU"/>
        </w:rPr>
        <w:t xml:space="preserve"> 2016 </w:t>
      </w:r>
      <w:r w:rsidR="00E21C7E">
        <w:rPr>
          <w:lang w:val="ru-RU"/>
        </w:rPr>
        <w:t>по декабрь</w:t>
      </w:r>
      <w:r w:rsidRPr="00E21C7E">
        <w:rPr>
          <w:lang w:val="ru-RU"/>
        </w:rPr>
        <w:t xml:space="preserve"> 2020</w:t>
      </w:r>
      <w:r w:rsidR="00E21C7E">
        <w:rPr>
          <w:lang w:val="ru-RU"/>
        </w:rPr>
        <w:t xml:space="preserve"> года</w:t>
      </w:r>
      <w:r w:rsidRPr="00E21C7E">
        <w:rPr>
          <w:lang w:val="ru-RU"/>
        </w:rPr>
        <w:t xml:space="preserve">. </w:t>
      </w:r>
      <w:r w:rsidR="00E21C7E" w:rsidRPr="00E21C7E">
        <w:rPr>
          <w:lang w:val="ru-RU"/>
        </w:rPr>
        <w:t xml:space="preserve">Охват аудиторской проверки </w:t>
      </w:r>
      <w:r w:rsidR="00E21C7E">
        <w:rPr>
          <w:lang w:val="ru-RU"/>
        </w:rPr>
        <w:t>не</w:t>
      </w:r>
      <w:r w:rsidR="00E21C7E" w:rsidRPr="00E21C7E">
        <w:rPr>
          <w:lang w:val="ru-RU"/>
        </w:rPr>
        <w:t xml:space="preserve"> </w:t>
      </w:r>
      <w:r w:rsidR="00E21C7E">
        <w:rPr>
          <w:lang w:val="ru-RU"/>
        </w:rPr>
        <w:t>включал проекты</w:t>
      </w:r>
      <w:r w:rsidRPr="00E21C7E">
        <w:rPr>
          <w:lang w:val="ru-RU"/>
        </w:rPr>
        <w:t xml:space="preserve"> </w:t>
      </w:r>
      <w:r w:rsidR="00E21C7E" w:rsidRPr="00E21C7E">
        <w:rPr>
          <w:lang w:val="ru-RU"/>
        </w:rPr>
        <w:t>БРЭ</w:t>
      </w:r>
      <w:r w:rsidRPr="00E21C7E">
        <w:rPr>
          <w:lang w:val="ru-RU"/>
        </w:rPr>
        <w:t xml:space="preserve"> (</w:t>
      </w:r>
      <w:r w:rsidR="00E21C7E">
        <w:rPr>
          <w:lang w:val="ru-RU"/>
        </w:rPr>
        <w:t xml:space="preserve">аудиторская проверка уже </w:t>
      </w:r>
      <w:r w:rsidR="00F9777C">
        <w:rPr>
          <w:lang w:val="ru-RU"/>
        </w:rPr>
        <w:t>состоялась</w:t>
      </w:r>
      <w:r w:rsidR="00E21C7E">
        <w:rPr>
          <w:lang w:val="ru-RU"/>
        </w:rPr>
        <w:t xml:space="preserve"> в </w:t>
      </w:r>
      <w:r w:rsidRPr="00E21C7E">
        <w:rPr>
          <w:lang w:val="ru-RU"/>
        </w:rPr>
        <w:t>2019/2020</w:t>
      </w:r>
      <w:r w:rsidR="00E21C7E">
        <w:rPr>
          <w:lang w:val="ru-RU"/>
        </w:rPr>
        <w:t xml:space="preserve"> г</w:t>
      </w:r>
      <w:r w:rsidR="00282A25">
        <w:rPr>
          <w:lang w:val="ru-RU"/>
        </w:rPr>
        <w:t>г.</w:t>
      </w:r>
      <w:r w:rsidRPr="00E21C7E">
        <w:rPr>
          <w:lang w:val="ru-RU"/>
        </w:rPr>
        <w:t xml:space="preserve">) </w:t>
      </w:r>
      <w:r w:rsidR="00E21C7E">
        <w:rPr>
          <w:lang w:val="ru-RU"/>
        </w:rPr>
        <w:t>и</w:t>
      </w:r>
      <w:r w:rsidRPr="00E21C7E">
        <w:rPr>
          <w:lang w:val="ru-RU"/>
        </w:rPr>
        <w:t xml:space="preserve"> </w:t>
      </w:r>
      <w:r w:rsidR="00E21C7E" w:rsidRPr="00E21C7E">
        <w:rPr>
          <w:lang w:val="ru-RU"/>
        </w:rPr>
        <w:t>Всемирное мероприятие ITU Telecom</w:t>
      </w:r>
      <w:r w:rsidRPr="00E21C7E">
        <w:rPr>
          <w:lang w:val="ru-RU"/>
        </w:rPr>
        <w:t>.</w:t>
      </w:r>
    </w:p>
    <w:p w14:paraId="6A38BF58" w14:textId="1ED4F6A9" w:rsidR="00106313" w:rsidRPr="00C63CC1" w:rsidRDefault="00106313" w:rsidP="00106313">
      <w:pPr>
        <w:rPr>
          <w:lang w:val="ru-RU"/>
        </w:rPr>
      </w:pPr>
      <w:r w:rsidRPr="00C63CC1">
        <w:rPr>
          <w:lang w:val="ru-RU"/>
        </w:rPr>
        <w:t>12</w:t>
      </w:r>
      <w:r w:rsidRPr="00C63CC1">
        <w:rPr>
          <w:lang w:val="ru-RU"/>
        </w:rPr>
        <w:tab/>
      </w:r>
      <w:r w:rsidR="00C63CC1" w:rsidRPr="00C63CC1">
        <w:rPr>
          <w:lang w:val="ru-RU"/>
        </w:rPr>
        <w:t xml:space="preserve">Служба </w:t>
      </w:r>
      <w:r w:rsidR="00C63CC1" w:rsidRPr="00C63CC1">
        <w:rPr>
          <w:lang w:val="en-US"/>
        </w:rPr>
        <w:t>IA</w:t>
      </w:r>
      <w:r w:rsidR="00C63CC1" w:rsidRPr="00C63CC1">
        <w:rPr>
          <w:lang w:val="ru-RU"/>
        </w:rPr>
        <w:t xml:space="preserve"> сочла </w:t>
      </w:r>
      <w:r w:rsidR="005867E1">
        <w:rPr>
          <w:lang w:val="ru-RU"/>
        </w:rPr>
        <w:t>принципиально важными (подпункт </w:t>
      </w:r>
      <w:r w:rsidR="00C63CC1" w:rsidRPr="00C63CC1">
        <w:rPr>
          <w:lang w:val="en-US"/>
        </w:rPr>
        <w:t>a</w:t>
      </w:r>
      <w:r w:rsidR="00C63CC1" w:rsidRPr="00C63CC1">
        <w:rPr>
          <w:lang w:val="ru-RU"/>
        </w:rPr>
        <w:t>)</w:t>
      </w:r>
      <w:r w:rsidR="00E0679A">
        <w:rPr>
          <w:lang w:val="ru-RU"/>
        </w:rPr>
        <w:t>,</w:t>
      </w:r>
      <w:r w:rsidR="00C63CC1" w:rsidRPr="00C63CC1">
        <w:rPr>
          <w:lang w:val="ru-RU"/>
        </w:rPr>
        <w:t xml:space="preserve"> ниже)</w:t>
      </w:r>
      <w:r w:rsidR="005867E1">
        <w:rPr>
          <w:lang w:val="ru-RU"/>
        </w:rPr>
        <w:t xml:space="preserve"> и высокоприоритетными </w:t>
      </w:r>
      <w:r w:rsidR="00E0679A">
        <w:rPr>
          <w:lang w:val="ru-RU"/>
        </w:rPr>
        <w:t>(</w:t>
      </w:r>
      <w:r w:rsidR="005867E1">
        <w:rPr>
          <w:lang w:val="ru-RU"/>
        </w:rPr>
        <w:t>подпункт </w:t>
      </w:r>
      <w:r w:rsidR="00C63CC1" w:rsidRPr="00C63CC1">
        <w:rPr>
          <w:lang w:val="en-US"/>
        </w:rPr>
        <w:t>b</w:t>
      </w:r>
      <w:r w:rsidR="00C63CC1" w:rsidRPr="00C63CC1">
        <w:rPr>
          <w:lang w:val="ru-RU"/>
        </w:rPr>
        <w:t>)</w:t>
      </w:r>
      <w:r w:rsidR="00E0679A">
        <w:rPr>
          <w:lang w:val="ru-RU"/>
        </w:rPr>
        <w:t>,</w:t>
      </w:r>
      <w:r w:rsidR="00C63CC1" w:rsidRPr="00C63CC1">
        <w:rPr>
          <w:lang w:val="ru-RU"/>
        </w:rPr>
        <w:t xml:space="preserve"> ниже) следующие вопросы</w:t>
      </w:r>
      <w:r w:rsidRPr="00C63CC1">
        <w:rPr>
          <w:lang w:val="ru-RU"/>
        </w:rPr>
        <w:t xml:space="preserve">: </w:t>
      </w:r>
    </w:p>
    <w:p w14:paraId="1E118084" w14:textId="231F9179" w:rsidR="00106313" w:rsidRPr="00343F83" w:rsidRDefault="00301D5B" w:rsidP="00301D5B">
      <w:pPr>
        <w:pStyle w:val="enumlev1"/>
        <w:rPr>
          <w:lang w:val="ru-RU"/>
        </w:rPr>
      </w:pPr>
      <w:r>
        <w:rPr>
          <w:lang w:val="en-US"/>
        </w:rPr>
        <w:t>a</w:t>
      </w:r>
      <w:r w:rsidRPr="00E25290">
        <w:rPr>
          <w:lang w:val="ru-RU"/>
        </w:rPr>
        <w:t>)</w:t>
      </w:r>
      <w:r w:rsidR="00106313" w:rsidRPr="00E25290">
        <w:rPr>
          <w:lang w:val="ru-RU"/>
        </w:rPr>
        <w:tab/>
      </w:r>
      <w:r w:rsidR="00AE1409">
        <w:rPr>
          <w:lang w:val="ru-RU"/>
        </w:rPr>
        <w:t>Важно</w:t>
      </w:r>
      <w:r w:rsidR="00AE1409" w:rsidRPr="00E25290">
        <w:rPr>
          <w:lang w:val="ru-RU"/>
        </w:rPr>
        <w:t xml:space="preserve"> </w:t>
      </w:r>
      <w:r w:rsidR="00E21C7E">
        <w:rPr>
          <w:lang w:val="ru-RU"/>
        </w:rPr>
        <w:t>взаимодействовать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с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новыми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донорами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и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партерами</w:t>
      </w:r>
      <w:r w:rsidR="00E21C7E" w:rsidRPr="00E25290">
        <w:rPr>
          <w:lang w:val="ru-RU"/>
        </w:rPr>
        <w:t xml:space="preserve">, </w:t>
      </w:r>
      <w:r w:rsidR="00E21C7E">
        <w:rPr>
          <w:lang w:val="ru-RU"/>
        </w:rPr>
        <w:t>чтобы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вносить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вклад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в</w:t>
      </w:r>
      <w:r w:rsidR="00E21C7E" w:rsidRPr="00E25290">
        <w:rPr>
          <w:lang w:val="ru-RU"/>
        </w:rPr>
        <w:t xml:space="preserve"> </w:t>
      </w:r>
      <w:r w:rsidR="00E25290">
        <w:rPr>
          <w:lang w:val="ru-RU"/>
        </w:rPr>
        <w:t>реализацию</w:t>
      </w:r>
      <w:r w:rsidR="00E21C7E" w:rsidRPr="00E25290">
        <w:rPr>
          <w:lang w:val="ru-RU"/>
        </w:rPr>
        <w:t xml:space="preserve"> </w:t>
      </w:r>
      <w:r w:rsidR="00E21C7E">
        <w:rPr>
          <w:lang w:val="ru-RU"/>
        </w:rPr>
        <w:t>целей</w:t>
      </w:r>
      <w:r w:rsidR="00106313" w:rsidRPr="00E25290">
        <w:rPr>
          <w:lang w:val="ru-RU"/>
        </w:rPr>
        <w:t xml:space="preserve"> </w:t>
      </w:r>
      <w:r w:rsidR="00106313" w:rsidRPr="005867E1">
        <w:rPr>
          <w:i/>
          <w:lang w:val="en-US"/>
        </w:rPr>
        <w:t>PPSA</w:t>
      </w:r>
      <w:r w:rsidR="00106313" w:rsidRPr="00E25290">
        <w:rPr>
          <w:lang w:val="ru-RU"/>
        </w:rPr>
        <w:t xml:space="preserve">, </w:t>
      </w:r>
      <w:r w:rsidR="00AE1409">
        <w:rPr>
          <w:lang w:val="ru-RU"/>
        </w:rPr>
        <w:t xml:space="preserve">но при этом </w:t>
      </w:r>
      <w:r w:rsidR="00E25290">
        <w:rPr>
          <w:lang w:val="ru-RU"/>
        </w:rPr>
        <w:t xml:space="preserve">существует риск того, что МСЭ не закрыт </w:t>
      </w:r>
      <w:r w:rsidR="00F9777C">
        <w:rPr>
          <w:lang w:val="ru-RU"/>
        </w:rPr>
        <w:t>от</w:t>
      </w:r>
      <w:r w:rsidR="00E25290">
        <w:rPr>
          <w:lang w:val="ru-RU"/>
        </w:rPr>
        <w:t xml:space="preserve"> новых доноров из частного сектора, интересы </w:t>
      </w:r>
      <w:r w:rsidR="00AE1409">
        <w:rPr>
          <w:lang w:val="ru-RU"/>
        </w:rPr>
        <w:t xml:space="preserve">которых </w:t>
      </w:r>
      <w:r w:rsidR="00E25290">
        <w:rPr>
          <w:lang w:val="ru-RU"/>
        </w:rPr>
        <w:t>могут не совпадать с интересами МСЭ</w:t>
      </w:r>
      <w:r w:rsidR="00106313" w:rsidRPr="00E25290">
        <w:rPr>
          <w:lang w:val="ru-RU"/>
        </w:rPr>
        <w:t xml:space="preserve">. </w:t>
      </w:r>
      <w:r w:rsidR="00E25290">
        <w:rPr>
          <w:lang w:val="ru-RU"/>
        </w:rPr>
        <w:t>Поэтому</w:t>
      </w:r>
      <w:r w:rsidR="00AE1409">
        <w:rPr>
          <w:lang w:val="ru-RU"/>
        </w:rPr>
        <w:t>,</w:t>
      </w:r>
      <w:r w:rsidR="00E25290" w:rsidRPr="00E25290">
        <w:rPr>
          <w:lang w:val="ru-RU"/>
        </w:rPr>
        <w:t xml:space="preserve"> </w:t>
      </w:r>
      <w:r w:rsidR="00E25290">
        <w:rPr>
          <w:lang w:val="ru-RU"/>
        </w:rPr>
        <w:t>прежде чем принимать вклады от новых доноров</w:t>
      </w:r>
      <w:r w:rsidR="00AE1409">
        <w:rPr>
          <w:lang w:val="ru-RU"/>
        </w:rPr>
        <w:t>,</w:t>
      </w:r>
      <w:r w:rsidR="00E25290">
        <w:rPr>
          <w:lang w:val="ru-RU"/>
        </w:rPr>
        <w:t xml:space="preserve"> крайне</w:t>
      </w:r>
      <w:r w:rsidR="00E25290" w:rsidRPr="00E25290">
        <w:rPr>
          <w:lang w:val="ru-RU"/>
        </w:rPr>
        <w:t xml:space="preserve"> </w:t>
      </w:r>
      <w:r w:rsidR="00E25290">
        <w:rPr>
          <w:lang w:val="ru-RU"/>
        </w:rPr>
        <w:t>важно</w:t>
      </w:r>
      <w:r w:rsidR="00106313" w:rsidRPr="00E25290">
        <w:rPr>
          <w:lang w:val="ru-RU"/>
        </w:rPr>
        <w:t xml:space="preserve"> </w:t>
      </w:r>
      <w:r w:rsidR="00E25290">
        <w:rPr>
          <w:lang w:val="ru-RU"/>
        </w:rPr>
        <w:t>проводить</w:t>
      </w:r>
      <w:r w:rsidR="00E25290" w:rsidRPr="00E25290">
        <w:rPr>
          <w:lang w:val="ru-RU"/>
        </w:rPr>
        <w:t xml:space="preserve"> </w:t>
      </w:r>
      <w:r w:rsidR="00E25290">
        <w:rPr>
          <w:lang w:val="ru-RU"/>
        </w:rPr>
        <w:t>проверки в рамках процедуры</w:t>
      </w:r>
      <w:r w:rsidR="00106313" w:rsidRPr="00E25290">
        <w:rPr>
          <w:lang w:val="ru-RU"/>
        </w:rPr>
        <w:t xml:space="preserve"> </w:t>
      </w:r>
      <w:r w:rsidR="00E25290" w:rsidRPr="00E25290">
        <w:rPr>
          <w:lang w:val="ru-RU"/>
        </w:rPr>
        <w:t xml:space="preserve">надлежащего исполнения </w:t>
      </w:r>
      <w:r w:rsidR="00E25290">
        <w:rPr>
          <w:lang w:val="ru-RU"/>
        </w:rPr>
        <w:t>и</w:t>
      </w:r>
      <w:r w:rsidR="00E25290" w:rsidRPr="00E25290">
        <w:rPr>
          <w:lang w:val="ru-RU"/>
        </w:rPr>
        <w:t xml:space="preserve"> </w:t>
      </w:r>
      <w:r w:rsidR="00E25290">
        <w:rPr>
          <w:lang w:val="ru-RU"/>
        </w:rPr>
        <w:t>документировать</w:t>
      </w:r>
      <w:r w:rsidR="00E25290" w:rsidRPr="00E25290">
        <w:rPr>
          <w:lang w:val="ru-RU"/>
        </w:rPr>
        <w:t xml:space="preserve"> </w:t>
      </w:r>
      <w:r w:rsidR="00E25290">
        <w:rPr>
          <w:lang w:val="ru-RU"/>
        </w:rPr>
        <w:t>их результаты</w:t>
      </w:r>
      <w:r w:rsidR="00106313" w:rsidRPr="00E25290">
        <w:rPr>
          <w:lang w:val="ru-RU"/>
        </w:rPr>
        <w:t xml:space="preserve">. </w:t>
      </w:r>
      <w:r w:rsidR="00E25290">
        <w:rPr>
          <w:lang w:val="ru-RU"/>
        </w:rPr>
        <w:t xml:space="preserve">В этой связи </w:t>
      </w:r>
      <w:r w:rsidR="00323703">
        <w:rPr>
          <w:u w:val="single"/>
          <w:lang w:val="ru-RU"/>
        </w:rPr>
        <w:t>рекомендуется</w:t>
      </w:r>
      <w:r w:rsidR="00E25290">
        <w:rPr>
          <w:lang w:val="ru-RU"/>
        </w:rPr>
        <w:t xml:space="preserve">, </w:t>
      </w:r>
      <w:r w:rsidR="00343F83">
        <w:rPr>
          <w:lang w:val="ru-RU"/>
        </w:rPr>
        <w:t>чтобы</w:t>
      </w:r>
      <w:r w:rsidR="00E25290">
        <w:rPr>
          <w:lang w:val="ru-RU"/>
        </w:rPr>
        <w:t xml:space="preserve"> соответствующие руководители координировали проведение официальной проверки в рамках процедуры надлежащего </w:t>
      </w:r>
      <w:r w:rsidR="00343F83">
        <w:rPr>
          <w:lang w:val="ru-RU"/>
        </w:rPr>
        <w:t>исполнения</w:t>
      </w:r>
      <w:r w:rsidR="00E25290">
        <w:rPr>
          <w:lang w:val="ru-RU"/>
        </w:rPr>
        <w:t xml:space="preserve"> в отношении новых доноров</w:t>
      </w:r>
      <w:r w:rsidR="00106313" w:rsidRPr="00343F83">
        <w:rPr>
          <w:lang w:val="ru-RU"/>
        </w:rPr>
        <w:t>/</w:t>
      </w:r>
      <w:r w:rsidR="00E25290">
        <w:rPr>
          <w:lang w:val="ru-RU"/>
        </w:rPr>
        <w:t>партнеров</w:t>
      </w:r>
      <w:r w:rsidR="00106313" w:rsidRPr="00343F83">
        <w:rPr>
          <w:lang w:val="ru-RU"/>
        </w:rPr>
        <w:t xml:space="preserve">. </w:t>
      </w:r>
      <w:r w:rsidR="00343F83">
        <w:rPr>
          <w:lang w:val="ru-RU"/>
        </w:rPr>
        <w:t>Руководство</w:t>
      </w:r>
      <w:r w:rsidR="00106313" w:rsidRPr="00343F83">
        <w:rPr>
          <w:lang w:val="ru-RU"/>
        </w:rPr>
        <w:t xml:space="preserve"> </w:t>
      </w:r>
      <w:r w:rsidR="00343F83" w:rsidRPr="00343F83">
        <w:rPr>
          <w:lang w:val="ru-RU"/>
        </w:rPr>
        <w:t xml:space="preserve">Департамента по стратегическому планированию и связям с членами </w:t>
      </w:r>
      <w:r w:rsidR="00343F83">
        <w:rPr>
          <w:lang w:val="ru-RU"/>
        </w:rPr>
        <w:t>сделало специальное заявление, что оно готово исполн</w:t>
      </w:r>
      <w:r w:rsidR="00AE1409">
        <w:rPr>
          <w:lang w:val="ru-RU"/>
        </w:rPr>
        <w:t>я</w:t>
      </w:r>
      <w:r w:rsidR="00343F83">
        <w:rPr>
          <w:lang w:val="ru-RU"/>
        </w:rPr>
        <w:t>ть роль координатора</w:t>
      </w:r>
      <w:r w:rsidR="00343F83" w:rsidRPr="00343F83">
        <w:rPr>
          <w:lang w:val="ru-RU"/>
        </w:rPr>
        <w:t xml:space="preserve"> в рамках </w:t>
      </w:r>
      <w:r w:rsidR="00AE1409">
        <w:rPr>
          <w:lang w:val="ru-RU"/>
        </w:rPr>
        <w:t xml:space="preserve">всего </w:t>
      </w:r>
      <w:r w:rsidR="0055119C" w:rsidRPr="00343F83">
        <w:rPr>
          <w:lang w:val="ru-RU"/>
        </w:rPr>
        <w:t>МСЭ для</w:t>
      </w:r>
      <w:r w:rsidR="00343F83">
        <w:rPr>
          <w:lang w:val="ru-RU"/>
        </w:rPr>
        <w:t xml:space="preserve"> процедуры надлежащего исполнения и уже приступило к этой работе</w:t>
      </w:r>
      <w:r w:rsidR="00106313" w:rsidRPr="00343F83">
        <w:rPr>
          <w:lang w:val="ru-RU"/>
        </w:rPr>
        <w:t xml:space="preserve">. </w:t>
      </w:r>
    </w:p>
    <w:p w14:paraId="207C10DC" w14:textId="3E1AD00C" w:rsidR="00106313" w:rsidRPr="0055119C" w:rsidRDefault="00106313" w:rsidP="00301D5B">
      <w:pPr>
        <w:pStyle w:val="enumlev1"/>
        <w:rPr>
          <w:lang w:val="ru-RU"/>
        </w:rPr>
      </w:pPr>
      <w:r w:rsidRPr="00106313">
        <w:rPr>
          <w:lang w:val="en-US"/>
        </w:rPr>
        <w:t>b</w:t>
      </w:r>
      <w:r w:rsidR="00301D5B" w:rsidRPr="004C5537">
        <w:rPr>
          <w:lang w:val="ru-RU"/>
        </w:rPr>
        <w:t>)</w:t>
      </w:r>
      <w:r w:rsidRPr="004C5537">
        <w:rPr>
          <w:lang w:val="ru-RU"/>
        </w:rPr>
        <w:tab/>
      </w:r>
      <w:r w:rsidR="00343F83">
        <w:rPr>
          <w:lang w:val="ru-RU"/>
        </w:rPr>
        <w:t>Что</w:t>
      </w:r>
      <w:r w:rsidR="00343F83" w:rsidRPr="004C5537">
        <w:rPr>
          <w:lang w:val="ru-RU"/>
        </w:rPr>
        <w:t xml:space="preserve"> </w:t>
      </w:r>
      <w:r w:rsidR="00343F83">
        <w:rPr>
          <w:lang w:val="ru-RU"/>
        </w:rPr>
        <w:t>касается</w:t>
      </w:r>
      <w:r w:rsidR="00343F83" w:rsidRPr="004C5537">
        <w:rPr>
          <w:lang w:val="ru-RU"/>
        </w:rPr>
        <w:t xml:space="preserve"> </w:t>
      </w:r>
      <w:r w:rsidR="00343F83">
        <w:rPr>
          <w:lang w:val="ru-RU"/>
        </w:rPr>
        <w:t>разницы</w:t>
      </w:r>
      <w:r w:rsidR="00343F83" w:rsidRPr="004C5537">
        <w:rPr>
          <w:lang w:val="ru-RU"/>
        </w:rPr>
        <w:t xml:space="preserve"> </w:t>
      </w:r>
      <w:r w:rsidR="00343F83">
        <w:rPr>
          <w:lang w:val="ru-RU"/>
        </w:rPr>
        <w:t>между</w:t>
      </w:r>
      <w:r w:rsidRPr="004C5537">
        <w:rPr>
          <w:lang w:val="ru-RU"/>
        </w:rPr>
        <w:t xml:space="preserve"> </w:t>
      </w:r>
      <w:r w:rsidRPr="005867E1">
        <w:rPr>
          <w:i/>
          <w:lang w:val="en-US"/>
        </w:rPr>
        <w:t>VC</w:t>
      </w:r>
      <w:r w:rsidRPr="004C5537">
        <w:rPr>
          <w:lang w:val="ru-RU"/>
        </w:rPr>
        <w:t xml:space="preserve"> </w:t>
      </w:r>
      <w:r w:rsidR="004C5537">
        <w:rPr>
          <w:lang w:val="ru-RU"/>
        </w:rPr>
        <w:t>и</w:t>
      </w:r>
      <w:r w:rsidRPr="004C5537">
        <w:rPr>
          <w:lang w:val="ru-RU"/>
        </w:rPr>
        <w:t xml:space="preserve"> </w:t>
      </w:r>
      <w:r w:rsidRPr="005867E1">
        <w:rPr>
          <w:i/>
          <w:lang w:val="en-US"/>
        </w:rPr>
        <w:t>FiT</w:t>
      </w:r>
      <w:r w:rsidRPr="004C5537">
        <w:rPr>
          <w:lang w:val="ru-RU"/>
        </w:rPr>
        <w:t xml:space="preserve">, </w:t>
      </w:r>
      <w:r w:rsidR="004C5537">
        <w:rPr>
          <w:lang w:val="ru-RU"/>
        </w:rPr>
        <w:t>а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также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определения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видов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деятельности</w:t>
      </w:r>
      <w:r w:rsidRPr="004C5537">
        <w:rPr>
          <w:lang w:val="ru-RU"/>
        </w:rPr>
        <w:t xml:space="preserve">, </w:t>
      </w:r>
      <w:r w:rsidRPr="005867E1">
        <w:rPr>
          <w:i/>
          <w:lang w:val="en-US"/>
        </w:rPr>
        <w:t>FiT</w:t>
      </w:r>
      <w:r w:rsidRPr="004C5537">
        <w:rPr>
          <w:lang w:val="ru-RU"/>
        </w:rPr>
        <w:t xml:space="preserve"> </w:t>
      </w:r>
      <w:r w:rsidR="004C5537">
        <w:rPr>
          <w:lang w:val="ru-RU"/>
        </w:rPr>
        <w:t>и</w:t>
      </w:r>
      <w:r w:rsidRPr="004C5537">
        <w:rPr>
          <w:lang w:val="ru-RU"/>
        </w:rPr>
        <w:t xml:space="preserve"> </w:t>
      </w:r>
      <w:r w:rsidRPr="00282A25">
        <w:rPr>
          <w:i/>
          <w:iCs/>
          <w:lang w:val="en-US"/>
        </w:rPr>
        <w:t>VC</w:t>
      </w:r>
      <w:r w:rsidRPr="004C5537">
        <w:rPr>
          <w:lang w:val="ru-RU"/>
        </w:rPr>
        <w:t xml:space="preserve"> </w:t>
      </w:r>
      <w:r w:rsidR="004C5537">
        <w:rPr>
          <w:lang w:val="ru-RU"/>
        </w:rPr>
        <w:t>использовались различными способами</w:t>
      </w:r>
      <w:r w:rsidR="00BE5B4E">
        <w:rPr>
          <w:lang w:val="ru-RU"/>
        </w:rPr>
        <w:t xml:space="preserve">, как для </w:t>
      </w:r>
      <w:r w:rsidR="004C5537">
        <w:rPr>
          <w:lang w:val="ru-RU"/>
        </w:rPr>
        <w:t>финансирования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деятельности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на</w:t>
      </w:r>
      <w:r w:rsidR="004C5537" w:rsidRPr="004C5537">
        <w:rPr>
          <w:lang w:val="ru-RU"/>
        </w:rPr>
        <w:t xml:space="preserve"> </w:t>
      </w:r>
      <w:r w:rsidR="004C5537">
        <w:rPr>
          <w:lang w:val="ru-RU"/>
        </w:rPr>
        <w:t>основе</w:t>
      </w:r>
      <w:r w:rsidR="004C5537" w:rsidRPr="004C5537">
        <w:rPr>
          <w:lang w:val="ru-RU"/>
        </w:rPr>
        <w:t xml:space="preserve"> </w:t>
      </w:r>
      <w:r w:rsidR="004C5537" w:rsidRPr="0055119C">
        <w:rPr>
          <w:lang w:val="ru-RU"/>
        </w:rPr>
        <w:t>регулярного бюджета</w:t>
      </w:r>
      <w:r w:rsidR="00AE1409">
        <w:rPr>
          <w:lang w:val="ru-RU"/>
        </w:rPr>
        <w:t xml:space="preserve"> и</w:t>
      </w:r>
      <w:r w:rsidR="004C5537">
        <w:rPr>
          <w:lang w:val="ru-RU"/>
        </w:rPr>
        <w:t xml:space="preserve"> </w:t>
      </w:r>
      <w:r w:rsidR="004C5537" w:rsidRPr="0055119C">
        <w:rPr>
          <w:lang w:val="ru-RU"/>
        </w:rPr>
        <w:t>внебюджетных видов деятельности</w:t>
      </w:r>
      <w:r w:rsidRPr="004C5537">
        <w:rPr>
          <w:lang w:val="ru-RU"/>
        </w:rPr>
        <w:t xml:space="preserve">, </w:t>
      </w:r>
      <w:r w:rsidR="004C5537">
        <w:rPr>
          <w:lang w:val="ru-RU"/>
        </w:rPr>
        <w:t>так и в качестве гибкого механизма, позволяющего использовать средства независимо от целей программ, деятельности либо распределения бюджета</w:t>
      </w:r>
      <w:r w:rsidRPr="004C5537">
        <w:rPr>
          <w:lang w:val="ru-RU"/>
        </w:rPr>
        <w:t xml:space="preserve">. </w:t>
      </w:r>
      <w:r w:rsidR="004C5537">
        <w:rPr>
          <w:lang w:val="ru-RU"/>
        </w:rPr>
        <w:t>Существует также нечеткое определение</w:t>
      </w:r>
      <w:r w:rsidRPr="004C5537">
        <w:rPr>
          <w:lang w:val="ru-RU"/>
        </w:rPr>
        <w:t xml:space="preserve">/ </w:t>
      </w:r>
      <w:r w:rsidR="004C5537">
        <w:rPr>
          <w:lang w:val="ru-RU"/>
        </w:rPr>
        <w:t xml:space="preserve">понимание роли и ответственности, а недостаточная организационная структура </w:t>
      </w:r>
      <w:r w:rsidR="0055119C">
        <w:rPr>
          <w:lang w:val="ru-RU"/>
        </w:rPr>
        <w:t xml:space="preserve">и нечеткость в распределении ролей и ответственности может мешать МСЭ в достижении своих задач с помощью </w:t>
      </w:r>
      <w:r w:rsidRPr="005867E1">
        <w:rPr>
          <w:i/>
          <w:lang w:val="en-US"/>
        </w:rPr>
        <w:t>PPSA</w:t>
      </w:r>
      <w:r w:rsidRPr="00F9777C">
        <w:rPr>
          <w:lang w:val="ru-RU"/>
        </w:rPr>
        <w:t xml:space="preserve">. </w:t>
      </w:r>
      <w:r w:rsidR="00323703">
        <w:rPr>
          <w:u w:val="single"/>
          <w:lang w:val="ru-RU"/>
        </w:rPr>
        <w:t>Рекомендуется</w:t>
      </w:r>
      <w:r w:rsidRPr="0055119C">
        <w:rPr>
          <w:lang w:val="ru-RU"/>
        </w:rPr>
        <w:t xml:space="preserve"> </w:t>
      </w:r>
      <w:r w:rsidR="0055119C">
        <w:rPr>
          <w:lang w:val="ru-RU"/>
        </w:rPr>
        <w:t>принять</w:t>
      </w:r>
      <w:r w:rsidR="0055119C" w:rsidRPr="0055119C">
        <w:rPr>
          <w:lang w:val="ru-RU"/>
        </w:rPr>
        <w:t xml:space="preserve"> </w:t>
      </w:r>
      <w:r w:rsidR="0055119C">
        <w:rPr>
          <w:lang w:val="ru-RU"/>
        </w:rPr>
        <w:t>подробное</w:t>
      </w:r>
      <w:r w:rsidR="0055119C" w:rsidRPr="0055119C">
        <w:rPr>
          <w:lang w:val="ru-RU"/>
        </w:rPr>
        <w:t xml:space="preserve"> </w:t>
      </w:r>
      <w:r w:rsidR="0055119C">
        <w:rPr>
          <w:lang w:val="ru-RU"/>
        </w:rPr>
        <w:t>руководство</w:t>
      </w:r>
      <w:r w:rsidR="0055119C" w:rsidRPr="0055119C">
        <w:rPr>
          <w:lang w:val="ru-RU"/>
        </w:rPr>
        <w:t xml:space="preserve"> </w:t>
      </w:r>
      <w:r w:rsidR="0055119C">
        <w:rPr>
          <w:lang w:val="ru-RU"/>
        </w:rPr>
        <w:t>по</w:t>
      </w:r>
      <w:r w:rsidR="0055119C" w:rsidRPr="0055119C">
        <w:rPr>
          <w:lang w:val="ru-RU"/>
        </w:rPr>
        <w:t xml:space="preserve"> </w:t>
      </w:r>
      <w:r w:rsidR="0055119C">
        <w:rPr>
          <w:lang w:val="ru-RU"/>
        </w:rPr>
        <w:t>политике</w:t>
      </w:r>
      <w:r w:rsidR="0055119C" w:rsidRPr="0055119C">
        <w:rPr>
          <w:lang w:val="ru-RU"/>
        </w:rPr>
        <w:t xml:space="preserve">, </w:t>
      </w:r>
      <w:r w:rsidR="0055119C">
        <w:rPr>
          <w:lang w:val="ru-RU"/>
        </w:rPr>
        <w:t>касающейся</w:t>
      </w:r>
      <w:r w:rsidR="0055119C" w:rsidRPr="0055119C">
        <w:rPr>
          <w:lang w:val="ru-RU"/>
        </w:rPr>
        <w:t xml:space="preserve"> </w:t>
      </w:r>
      <w:r w:rsidRPr="005867E1">
        <w:rPr>
          <w:i/>
          <w:lang w:val="en-US"/>
        </w:rPr>
        <w:t>VC</w:t>
      </w:r>
      <w:r w:rsidRPr="0055119C">
        <w:rPr>
          <w:lang w:val="ru-RU"/>
        </w:rPr>
        <w:t xml:space="preserve"> </w:t>
      </w:r>
      <w:r w:rsidR="0055119C">
        <w:rPr>
          <w:lang w:val="ru-RU"/>
        </w:rPr>
        <w:t>и</w:t>
      </w:r>
      <w:r w:rsidRPr="0055119C">
        <w:rPr>
          <w:lang w:val="ru-RU"/>
        </w:rPr>
        <w:t xml:space="preserve"> </w:t>
      </w:r>
      <w:r w:rsidRPr="005867E1">
        <w:rPr>
          <w:i/>
          <w:lang w:val="en-US"/>
        </w:rPr>
        <w:t>FiT</w:t>
      </w:r>
      <w:r w:rsidR="00F9777C">
        <w:rPr>
          <w:i/>
          <w:lang w:val="ru-RU"/>
        </w:rPr>
        <w:t>,</w:t>
      </w:r>
      <w:r w:rsidRPr="0055119C">
        <w:rPr>
          <w:lang w:val="ru-RU"/>
        </w:rPr>
        <w:t xml:space="preserve"> </w:t>
      </w:r>
      <w:r w:rsidR="0055119C">
        <w:rPr>
          <w:lang w:val="ru-RU"/>
        </w:rPr>
        <w:t>и уточнить роли и ответственност</w:t>
      </w:r>
      <w:r w:rsidR="00F9777C">
        <w:rPr>
          <w:lang w:val="ru-RU"/>
        </w:rPr>
        <w:t>ь</w:t>
      </w:r>
      <w:r w:rsidR="0055119C">
        <w:rPr>
          <w:lang w:val="ru-RU"/>
        </w:rPr>
        <w:t>, связанные с административным и оперативным управлением и системой контроля</w:t>
      </w:r>
      <w:r w:rsidRPr="0055119C">
        <w:rPr>
          <w:lang w:val="ru-RU"/>
        </w:rPr>
        <w:t xml:space="preserve">. </w:t>
      </w:r>
    </w:p>
    <w:p w14:paraId="529F97A5" w14:textId="25AC4124" w:rsidR="00106313" w:rsidRPr="00FA3D63" w:rsidRDefault="0006690F" w:rsidP="00106313">
      <w:pPr>
        <w:rPr>
          <w:lang w:val="ru-RU"/>
        </w:rPr>
      </w:pPr>
      <w:r>
        <w:rPr>
          <w:lang w:val="ru-RU"/>
        </w:rPr>
        <w:t>Также</w:t>
      </w:r>
      <w:r w:rsidRPr="0006690F">
        <w:rPr>
          <w:lang w:val="ru-RU"/>
        </w:rPr>
        <w:t xml:space="preserve"> </w:t>
      </w:r>
      <w:r>
        <w:rPr>
          <w:lang w:val="ru-RU"/>
        </w:rPr>
        <w:t>следует</w:t>
      </w:r>
      <w:r w:rsidRPr="0006690F">
        <w:rPr>
          <w:lang w:val="ru-RU"/>
        </w:rPr>
        <w:t xml:space="preserve"> </w:t>
      </w:r>
      <w:r>
        <w:rPr>
          <w:lang w:val="ru-RU"/>
        </w:rPr>
        <w:t>отметить</w:t>
      </w:r>
      <w:r w:rsidRPr="0006690F">
        <w:rPr>
          <w:lang w:val="ru-RU"/>
        </w:rPr>
        <w:t xml:space="preserve">, </w:t>
      </w:r>
      <w:r>
        <w:rPr>
          <w:lang w:val="ru-RU"/>
        </w:rPr>
        <w:t>что</w:t>
      </w:r>
      <w:r w:rsidRPr="0006690F">
        <w:rPr>
          <w:lang w:val="ru-RU"/>
        </w:rPr>
        <w:t xml:space="preserve"> </w:t>
      </w:r>
      <w:r>
        <w:rPr>
          <w:lang w:val="ru-RU"/>
        </w:rPr>
        <w:t>в</w:t>
      </w:r>
      <w:r w:rsidRPr="0006690F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06690F">
        <w:rPr>
          <w:lang w:val="ru-RU"/>
        </w:rPr>
        <w:t xml:space="preserve"> </w:t>
      </w:r>
      <w:r>
        <w:rPr>
          <w:lang w:val="ru-RU"/>
        </w:rPr>
        <w:t>надлежащей</w:t>
      </w:r>
      <w:r w:rsidRPr="0006690F">
        <w:rPr>
          <w:lang w:val="ru-RU"/>
        </w:rPr>
        <w:t xml:space="preserve"> </w:t>
      </w:r>
      <w:r w:rsidRPr="00FA3D63">
        <w:rPr>
          <w:lang w:val="ru-RU"/>
        </w:rPr>
        <w:t>метод</w:t>
      </w:r>
      <w:r w:rsidR="00BE5B4E">
        <w:rPr>
          <w:lang w:val="ru-RU"/>
        </w:rPr>
        <w:t xml:space="preserve">ики </w:t>
      </w:r>
      <w:r w:rsidRPr="00FA3D63">
        <w:rPr>
          <w:lang w:val="ru-RU"/>
        </w:rPr>
        <w:t>реализации проектов</w:t>
      </w:r>
      <w:r w:rsidR="00106313" w:rsidRPr="0006690F">
        <w:rPr>
          <w:lang w:val="ru-RU"/>
        </w:rPr>
        <w:t xml:space="preserve"> </w:t>
      </w:r>
      <w:r>
        <w:rPr>
          <w:lang w:val="ru-RU"/>
        </w:rPr>
        <w:t>существует риск недостижения планируемых в рамках проекта результатов</w:t>
      </w:r>
      <w:r w:rsidR="00106313" w:rsidRPr="0006690F">
        <w:rPr>
          <w:lang w:val="ru-RU"/>
        </w:rPr>
        <w:t xml:space="preserve">. </w:t>
      </w:r>
      <w:r>
        <w:rPr>
          <w:lang w:val="ru-RU"/>
        </w:rPr>
        <w:t>Более</w:t>
      </w:r>
      <w:r w:rsidRPr="0006690F">
        <w:rPr>
          <w:lang w:val="ru-RU"/>
        </w:rPr>
        <w:t xml:space="preserve"> </w:t>
      </w:r>
      <w:r>
        <w:rPr>
          <w:lang w:val="ru-RU"/>
        </w:rPr>
        <w:t>того</w:t>
      </w:r>
      <w:r w:rsidRPr="0006690F">
        <w:rPr>
          <w:lang w:val="ru-RU"/>
        </w:rPr>
        <w:t xml:space="preserve">, </w:t>
      </w:r>
      <w:r>
        <w:rPr>
          <w:lang w:val="ru-RU"/>
        </w:rPr>
        <w:t>неспособность</w:t>
      </w:r>
      <w:r w:rsidRPr="0006690F">
        <w:rPr>
          <w:lang w:val="ru-RU"/>
        </w:rPr>
        <w:t xml:space="preserve"> </w:t>
      </w:r>
      <w:r>
        <w:rPr>
          <w:lang w:val="ru-RU"/>
        </w:rPr>
        <w:t>решить</w:t>
      </w:r>
      <w:r w:rsidRPr="0006690F">
        <w:rPr>
          <w:lang w:val="ru-RU"/>
        </w:rPr>
        <w:t xml:space="preserve"> </w:t>
      </w:r>
      <w:r>
        <w:rPr>
          <w:lang w:val="ru-RU"/>
        </w:rPr>
        <w:t>вопросы</w:t>
      </w:r>
      <w:r w:rsidRPr="0006690F">
        <w:rPr>
          <w:lang w:val="ru-RU"/>
        </w:rPr>
        <w:t xml:space="preserve"> </w:t>
      </w:r>
      <w:r>
        <w:rPr>
          <w:lang w:val="ru-RU"/>
        </w:rPr>
        <w:t>уязвимости</w:t>
      </w:r>
      <w:r w:rsidRPr="0006690F">
        <w:rPr>
          <w:lang w:val="ru-RU"/>
        </w:rPr>
        <w:t xml:space="preserve"> </w:t>
      </w:r>
      <w:r>
        <w:rPr>
          <w:lang w:val="ru-RU"/>
        </w:rPr>
        <w:t>при разработке проекта и последующ</w:t>
      </w:r>
      <w:r w:rsidR="00F9777C">
        <w:rPr>
          <w:lang w:val="ru-RU"/>
        </w:rPr>
        <w:t>их</w:t>
      </w:r>
      <w:r>
        <w:rPr>
          <w:lang w:val="ru-RU"/>
        </w:rPr>
        <w:t xml:space="preserve"> проблем реализации</w:t>
      </w:r>
      <w:r w:rsidR="00106313" w:rsidRPr="0006690F">
        <w:rPr>
          <w:lang w:val="ru-RU"/>
        </w:rPr>
        <w:t xml:space="preserve"> </w:t>
      </w:r>
      <w:r>
        <w:rPr>
          <w:lang w:val="ru-RU"/>
        </w:rPr>
        <w:t>может негативно сказаться на выполнении проектных задач</w:t>
      </w:r>
      <w:r w:rsidR="00106313" w:rsidRPr="0006690F">
        <w:rPr>
          <w:lang w:val="ru-RU"/>
        </w:rPr>
        <w:t xml:space="preserve">. </w:t>
      </w:r>
      <w:r w:rsidR="00323703">
        <w:rPr>
          <w:u w:val="single"/>
          <w:lang w:val="ru-RU"/>
        </w:rPr>
        <w:t>Рекомендуется</w:t>
      </w:r>
      <w:r>
        <w:rPr>
          <w:lang w:val="ru-RU"/>
        </w:rPr>
        <w:t xml:space="preserve"> разработать и принять надлежащие руководящие принципы в области управления проектами</w:t>
      </w:r>
      <w:r w:rsidR="00106313" w:rsidRPr="0006690F">
        <w:rPr>
          <w:lang w:val="ru-RU"/>
        </w:rPr>
        <w:t xml:space="preserve">. </w:t>
      </w:r>
      <w:r w:rsidRPr="00783CE0">
        <w:rPr>
          <w:lang w:val="ru-RU"/>
        </w:rPr>
        <w:t>Служба внутреннего аудит</w:t>
      </w:r>
      <w:r w:rsidR="00BE5B4E">
        <w:rPr>
          <w:lang w:val="ru-RU"/>
        </w:rPr>
        <w:t>а</w:t>
      </w:r>
      <w:r w:rsidRPr="00691E37">
        <w:rPr>
          <w:lang w:val="ru-RU"/>
        </w:rPr>
        <w:t xml:space="preserve"> </w:t>
      </w:r>
      <w:r>
        <w:rPr>
          <w:lang w:val="ru-RU"/>
        </w:rPr>
        <w:t>также</w:t>
      </w:r>
      <w:r w:rsidRPr="00691E37">
        <w:rPr>
          <w:lang w:val="ru-RU"/>
        </w:rPr>
        <w:t xml:space="preserve"> </w:t>
      </w:r>
      <w:r>
        <w:rPr>
          <w:lang w:val="ru-RU"/>
        </w:rPr>
        <w:t>установила</w:t>
      </w:r>
      <w:r w:rsidRPr="00691E37">
        <w:rPr>
          <w:lang w:val="ru-RU"/>
        </w:rPr>
        <w:t xml:space="preserve">, </w:t>
      </w:r>
      <w:r>
        <w:rPr>
          <w:lang w:val="ru-RU"/>
        </w:rPr>
        <w:t>что</w:t>
      </w:r>
      <w:r w:rsidRPr="00691E37">
        <w:rPr>
          <w:lang w:val="ru-RU"/>
        </w:rPr>
        <w:t xml:space="preserve"> </w:t>
      </w:r>
      <w:r w:rsidRPr="00783CE0">
        <w:rPr>
          <w:lang w:val="ru-RU"/>
        </w:rPr>
        <w:t xml:space="preserve">стандартные </w:t>
      </w:r>
      <w:r>
        <w:rPr>
          <w:lang w:val="ru-RU"/>
        </w:rPr>
        <w:t>шаблоны</w:t>
      </w:r>
      <w:r w:rsidRPr="00691E37">
        <w:rPr>
          <w:lang w:val="ru-RU"/>
        </w:rPr>
        <w:t xml:space="preserve"> </w:t>
      </w:r>
      <w:r w:rsidR="00691E37">
        <w:rPr>
          <w:lang w:val="ru-RU"/>
        </w:rPr>
        <w:t>для</w:t>
      </w:r>
      <w:r w:rsidRPr="00691E37">
        <w:rPr>
          <w:lang w:val="ru-RU"/>
        </w:rPr>
        <w:t xml:space="preserve"> </w:t>
      </w:r>
      <w:r w:rsidR="00691E37" w:rsidRPr="005867E1">
        <w:rPr>
          <w:i/>
          <w:lang w:val="en-US"/>
        </w:rPr>
        <w:t>VC</w:t>
      </w:r>
      <w:r w:rsidR="00691E37" w:rsidRPr="00691E37">
        <w:rPr>
          <w:lang w:val="ru-RU"/>
        </w:rPr>
        <w:t xml:space="preserve">, </w:t>
      </w:r>
      <w:r w:rsidR="00691E37" w:rsidRPr="005867E1">
        <w:rPr>
          <w:i/>
          <w:lang w:val="en-US"/>
        </w:rPr>
        <w:t>FiT</w:t>
      </w:r>
      <w:r w:rsidR="00691E37" w:rsidRPr="00691E37">
        <w:rPr>
          <w:lang w:val="ru-RU"/>
        </w:rPr>
        <w:t xml:space="preserve"> </w:t>
      </w:r>
      <w:r w:rsidR="00BE5B4E">
        <w:rPr>
          <w:lang w:val="ru-RU"/>
        </w:rPr>
        <w:t xml:space="preserve">или </w:t>
      </w:r>
      <w:r w:rsidR="00691E37">
        <w:rPr>
          <w:lang w:val="ru-RU"/>
        </w:rPr>
        <w:t>спонс</w:t>
      </w:r>
      <w:r w:rsidR="00BE5B4E">
        <w:rPr>
          <w:lang w:val="ru-RU"/>
        </w:rPr>
        <w:t>орской поддерж</w:t>
      </w:r>
      <w:r w:rsidR="00282A25">
        <w:rPr>
          <w:lang w:val="ru-RU"/>
        </w:rPr>
        <w:t>к</w:t>
      </w:r>
      <w:r w:rsidR="00BE5B4E">
        <w:rPr>
          <w:lang w:val="ru-RU"/>
        </w:rPr>
        <w:t xml:space="preserve">и </w:t>
      </w:r>
      <w:r>
        <w:rPr>
          <w:lang w:val="ru-RU"/>
        </w:rPr>
        <w:t>не</w:t>
      </w:r>
      <w:r w:rsidRPr="00691E37">
        <w:rPr>
          <w:lang w:val="ru-RU"/>
        </w:rPr>
        <w:t xml:space="preserve"> </w:t>
      </w:r>
      <w:r>
        <w:rPr>
          <w:lang w:val="ru-RU"/>
        </w:rPr>
        <w:t>всегда</w:t>
      </w:r>
      <w:r w:rsidRPr="00691E37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691E37">
        <w:rPr>
          <w:lang w:val="ru-RU"/>
        </w:rPr>
        <w:t xml:space="preserve"> </w:t>
      </w:r>
      <w:r w:rsidR="00BE5B4E" w:rsidRPr="00BE5B4E">
        <w:rPr>
          <w:lang w:val="ru-RU"/>
        </w:rPr>
        <w:t xml:space="preserve">последовательно </w:t>
      </w:r>
      <w:r w:rsidR="00691E37">
        <w:rPr>
          <w:lang w:val="ru-RU"/>
        </w:rPr>
        <w:t>и что имеется риск в отношении подбора консультантов и руководства ими</w:t>
      </w:r>
      <w:r w:rsidR="00106313" w:rsidRPr="00691E37">
        <w:rPr>
          <w:lang w:val="ru-RU"/>
        </w:rPr>
        <w:t xml:space="preserve">. </w:t>
      </w:r>
      <w:r w:rsidR="00691E37">
        <w:rPr>
          <w:lang w:val="ru-RU"/>
        </w:rPr>
        <w:t>В</w:t>
      </w:r>
      <w:r w:rsidR="00691E37" w:rsidRPr="00691E37">
        <w:rPr>
          <w:lang w:val="ru-RU"/>
        </w:rPr>
        <w:t xml:space="preserve"> </w:t>
      </w:r>
      <w:r w:rsidR="00691E37">
        <w:rPr>
          <w:lang w:val="ru-RU"/>
        </w:rPr>
        <w:t>отношении</w:t>
      </w:r>
      <w:r w:rsidR="00691E37" w:rsidRPr="00691E37">
        <w:rPr>
          <w:lang w:val="ru-RU"/>
        </w:rPr>
        <w:t xml:space="preserve"> </w:t>
      </w:r>
      <w:r w:rsidR="00691E37">
        <w:rPr>
          <w:lang w:val="ru-RU"/>
        </w:rPr>
        <w:t>оценки</w:t>
      </w:r>
      <w:r w:rsidR="00691E37" w:rsidRPr="00691E37">
        <w:rPr>
          <w:lang w:val="ru-RU"/>
        </w:rPr>
        <w:t xml:space="preserve"> </w:t>
      </w:r>
      <w:r w:rsidR="00691E37">
        <w:rPr>
          <w:lang w:val="ru-RU"/>
        </w:rPr>
        <w:t>рисков</w:t>
      </w:r>
      <w:r w:rsidR="00106313" w:rsidRPr="00691E37">
        <w:rPr>
          <w:lang w:val="ru-RU"/>
        </w:rPr>
        <w:t xml:space="preserve"> </w:t>
      </w:r>
      <w:r w:rsidR="00106313" w:rsidRPr="005867E1">
        <w:rPr>
          <w:i/>
          <w:lang w:val="en-US"/>
        </w:rPr>
        <w:t>PPSA</w:t>
      </w:r>
      <w:r w:rsidR="00691E37" w:rsidRPr="00691E37">
        <w:rPr>
          <w:i/>
          <w:lang w:val="ru-RU"/>
        </w:rPr>
        <w:t xml:space="preserve"> </w:t>
      </w:r>
      <w:r w:rsidR="00691E37" w:rsidRPr="00691E37">
        <w:rPr>
          <w:lang w:val="ru-RU"/>
        </w:rPr>
        <w:t xml:space="preserve">следует отметить, что </w:t>
      </w:r>
      <w:r w:rsidR="00783CE0">
        <w:rPr>
          <w:lang w:val="ru-RU"/>
        </w:rPr>
        <w:t xml:space="preserve">отсутствует определение/оценка/мониторинг </w:t>
      </w:r>
      <w:r w:rsidR="00691E37">
        <w:rPr>
          <w:lang w:val="ru-RU"/>
        </w:rPr>
        <w:t xml:space="preserve">конкретного </w:t>
      </w:r>
      <w:r w:rsidR="00BE5B4E">
        <w:rPr>
          <w:lang w:val="ru-RU"/>
        </w:rPr>
        <w:t>или "</w:t>
      </w:r>
      <w:r w:rsidR="00691E37">
        <w:rPr>
          <w:lang w:val="ru-RU"/>
        </w:rPr>
        <w:t>активного</w:t>
      </w:r>
      <w:r w:rsidR="00BE5B4E">
        <w:rPr>
          <w:lang w:val="ru-RU"/>
        </w:rPr>
        <w:t>"</w:t>
      </w:r>
      <w:r w:rsidR="00691E37">
        <w:rPr>
          <w:lang w:val="ru-RU"/>
        </w:rPr>
        <w:t xml:space="preserve"> риска</w:t>
      </w:r>
      <w:r w:rsidR="00106313" w:rsidRPr="00691E37">
        <w:rPr>
          <w:lang w:val="ru-RU"/>
        </w:rPr>
        <w:t xml:space="preserve">. </w:t>
      </w:r>
      <w:r w:rsidR="00783CE0">
        <w:rPr>
          <w:lang w:val="ru-RU"/>
        </w:rPr>
        <w:t xml:space="preserve">Оценка рисков представляется </w:t>
      </w:r>
      <w:r w:rsidR="00F9777C">
        <w:rPr>
          <w:lang w:val="ru-RU"/>
        </w:rPr>
        <w:t>типичным</w:t>
      </w:r>
      <w:r w:rsidR="00783CE0">
        <w:rPr>
          <w:lang w:val="ru-RU"/>
        </w:rPr>
        <w:t xml:space="preserve"> аспектом некоторых проектных соглашений</w:t>
      </w:r>
      <w:r w:rsidR="00106313" w:rsidRPr="00691E37">
        <w:rPr>
          <w:lang w:val="ru-RU"/>
        </w:rPr>
        <w:t xml:space="preserve">. </w:t>
      </w:r>
      <w:r w:rsidR="00FA3D63">
        <w:rPr>
          <w:lang w:val="ru-RU"/>
        </w:rPr>
        <w:t>Отсутствие</w:t>
      </w:r>
      <w:r w:rsidR="00783CE0">
        <w:rPr>
          <w:lang w:val="ru-RU"/>
        </w:rPr>
        <w:t xml:space="preserve"> процесса по управлению рисками может негативно сказаться на реализации </w:t>
      </w:r>
      <w:r w:rsidR="00106313" w:rsidRPr="005867E1">
        <w:rPr>
          <w:i/>
          <w:lang w:val="en-US"/>
        </w:rPr>
        <w:t>PPSA</w:t>
      </w:r>
      <w:r w:rsidR="00106313" w:rsidRPr="00783CE0">
        <w:rPr>
          <w:lang w:val="ru-RU"/>
        </w:rPr>
        <w:t xml:space="preserve">. </w:t>
      </w:r>
      <w:r w:rsidR="00783CE0">
        <w:rPr>
          <w:lang w:val="ru-RU"/>
        </w:rPr>
        <w:t>Более</w:t>
      </w:r>
      <w:r w:rsidR="00783CE0" w:rsidRPr="00FA3D63">
        <w:rPr>
          <w:lang w:val="ru-RU"/>
        </w:rPr>
        <w:t xml:space="preserve"> </w:t>
      </w:r>
      <w:r w:rsidR="00783CE0">
        <w:rPr>
          <w:lang w:val="ru-RU"/>
        </w:rPr>
        <w:t>того</w:t>
      </w:r>
      <w:r w:rsidR="00783CE0" w:rsidRPr="00FA3D63">
        <w:rPr>
          <w:lang w:val="ru-RU"/>
        </w:rPr>
        <w:t xml:space="preserve">, </w:t>
      </w:r>
      <w:r w:rsidR="00FA3D63">
        <w:rPr>
          <w:lang w:val="ru-RU"/>
        </w:rPr>
        <w:t>в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ходе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проверки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некоторых</w:t>
      </w:r>
      <w:r w:rsidR="00FA3D63" w:rsidRPr="00FA3D63">
        <w:rPr>
          <w:lang w:val="ru-RU"/>
        </w:rPr>
        <w:t xml:space="preserve"> </w:t>
      </w:r>
      <w:r w:rsidR="00106313" w:rsidRPr="005867E1">
        <w:rPr>
          <w:i/>
          <w:lang w:val="en-US"/>
        </w:rPr>
        <w:t>PPSA</w:t>
      </w:r>
      <w:r w:rsidR="00FA3D63" w:rsidRPr="00FA3D63">
        <w:rPr>
          <w:i/>
          <w:lang w:val="ru-RU"/>
        </w:rPr>
        <w:t xml:space="preserve"> </w:t>
      </w:r>
      <w:r w:rsidR="00FA3D63">
        <w:rPr>
          <w:lang w:val="ru-RU"/>
        </w:rPr>
        <w:t>было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сложно</w:t>
      </w:r>
      <w:r w:rsidR="00FA3D63" w:rsidRPr="00FA3D63">
        <w:rPr>
          <w:lang w:val="ru-RU"/>
        </w:rPr>
        <w:t xml:space="preserve"> </w:t>
      </w:r>
      <w:r w:rsidR="003755D3">
        <w:rPr>
          <w:lang w:val="ru-RU"/>
        </w:rPr>
        <w:t>найти</w:t>
      </w:r>
      <w:r w:rsidR="00FA3D63" w:rsidRPr="00FA3D63">
        <w:rPr>
          <w:lang w:val="ru-RU"/>
        </w:rPr>
        <w:t xml:space="preserve"> </w:t>
      </w:r>
      <w:r w:rsidR="003755D3">
        <w:rPr>
          <w:lang w:val="ru-RU"/>
        </w:rPr>
        <w:t>базовую информацию,</w:t>
      </w:r>
      <w:r w:rsidR="00106313" w:rsidRPr="00FA3D63">
        <w:rPr>
          <w:lang w:val="ru-RU"/>
        </w:rPr>
        <w:t xml:space="preserve"> </w:t>
      </w:r>
      <w:r w:rsidR="00FA3D63">
        <w:rPr>
          <w:lang w:val="ru-RU"/>
        </w:rPr>
        <w:t>и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служба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внутреннего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аудита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установила</w:t>
      </w:r>
      <w:r w:rsidR="00FA3D63" w:rsidRPr="00FA3D63">
        <w:rPr>
          <w:lang w:val="ru-RU"/>
        </w:rPr>
        <w:t xml:space="preserve">, </w:t>
      </w:r>
      <w:r w:rsidR="00FA3D63">
        <w:rPr>
          <w:lang w:val="ru-RU"/>
        </w:rPr>
        <w:t>что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 xml:space="preserve">информационные инструменты и инструменты </w:t>
      </w:r>
      <w:r w:rsidR="003755D3">
        <w:rPr>
          <w:lang w:val="ru-RU"/>
        </w:rPr>
        <w:t>коммуникации</w:t>
      </w:r>
      <w:r w:rsidR="00F604ED">
        <w:rPr>
          <w:lang w:val="ru-RU"/>
        </w:rPr>
        <w:t>,</w:t>
      </w:r>
      <w:r w:rsidR="00FA3D63">
        <w:rPr>
          <w:lang w:val="ru-RU"/>
        </w:rPr>
        <w:t xml:space="preserve"> связанные с </w:t>
      </w:r>
      <w:r w:rsidR="003755D3">
        <w:rPr>
          <w:lang w:val="ru-RU"/>
        </w:rPr>
        <w:t>охваченными</w:t>
      </w:r>
      <w:r w:rsidR="003755D3" w:rsidRPr="00FA3D63">
        <w:rPr>
          <w:lang w:val="ru-RU"/>
        </w:rPr>
        <w:t xml:space="preserve"> аудиторской проверкой</w:t>
      </w:r>
      <w:r w:rsidR="003755D3" w:rsidRPr="003755D3">
        <w:rPr>
          <w:i/>
          <w:lang w:val="ru-RU"/>
        </w:rPr>
        <w:t xml:space="preserve"> </w:t>
      </w:r>
      <w:r w:rsidR="003755D3" w:rsidRPr="005867E1">
        <w:rPr>
          <w:i/>
          <w:lang w:val="en-US"/>
        </w:rPr>
        <w:t>PPSA</w:t>
      </w:r>
      <w:r w:rsidR="003755D3">
        <w:rPr>
          <w:i/>
          <w:lang w:val="ru-RU"/>
        </w:rPr>
        <w:t xml:space="preserve">, </w:t>
      </w:r>
      <w:r w:rsidR="003755D3" w:rsidRPr="00FA3D63">
        <w:rPr>
          <w:lang w:val="ru-RU"/>
        </w:rPr>
        <w:t>являются</w:t>
      </w:r>
      <w:r w:rsidR="00FA3D63" w:rsidRPr="00FA3D63">
        <w:rPr>
          <w:lang w:val="ru-RU"/>
        </w:rPr>
        <w:t xml:space="preserve"> неэффективными и не могут рассматриваться как способные в полной мере содействовать выполнению задач</w:t>
      </w:r>
      <w:r w:rsidR="00106313" w:rsidRPr="00FA3D63">
        <w:rPr>
          <w:lang w:val="ru-RU"/>
        </w:rPr>
        <w:t xml:space="preserve"> </w:t>
      </w:r>
      <w:r w:rsidR="00106313" w:rsidRPr="005867E1">
        <w:rPr>
          <w:i/>
          <w:lang w:val="en-US"/>
        </w:rPr>
        <w:t>PPSA</w:t>
      </w:r>
      <w:r w:rsidR="00106313" w:rsidRPr="00FA3D63">
        <w:rPr>
          <w:lang w:val="ru-RU"/>
        </w:rPr>
        <w:t xml:space="preserve">. </w:t>
      </w:r>
      <w:r w:rsidR="00323703">
        <w:rPr>
          <w:u w:val="single"/>
          <w:lang w:val="ru-RU"/>
        </w:rPr>
        <w:t>Рекомендуется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определить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и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внедрить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надлежащие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инструменты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для</w:t>
      </w:r>
      <w:r w:rsidR="00FA3D63" w:rsidRPr="00FA3D63">
        <w:rPr>
          <w:lang w:val="ru-RU"/>
        </w:rPr>
        <w:t xml:space="preserve"> </w:t>
      </w:r>
      <w:r w:rsidR="0083268F">
        <w:rPr>
          <w:lang w:val="ru-RU"/>
        </w:rPr>
        <w:t>регистрации</w:t>
      </w:r>
      <w:r w:rsidR="00FA3D63" w:rsidRPr="00FA3D63">
        <w:rPr>
          <w:lang w:val="ru-RU"/>
        </w:rPr>
        <w:t xml:space="preserve"> </w:t>
      </w:r>
      <w:r w:rsidR="00FA3D63">
        <w:rPr>
          <w:lang w:val="ru-RU"/>
        </w:rPr>
        <w:t>и</w:t>
      </w:r>
      <w:r w:rsidR="00FA3D63" w:rsidRPr="00FA3D63">
        <w:rPr>
          <w:lang w:val="ru-RU"/>
        </w:rPr>
        <w:t xml:space="preserve"> </w:t>
      </w:r>
      <w:r w:rsidR="0083268F">
        <w:rPr>
          <w:lang w:val="ru-RU"/>
        </w:rPr>
        <w:t>связи,</w:t>
      </w:r>
      <w:r w:rsidR="00106313" w:rsidRPr="00FA3D63">
        <w:rPr>
          <w:lang w:val="ru-RU"/>
        </w:rPr>
        <w:t xml:space="preserve"> </w:t>
      </w:r>
      <w:r w:rsidR="00FA3D63">
        <w:rPr>
          <w:lang w:val="ru-RU"/>
        </w:rPr>
        <w:t>которые могут лучше соде</w:t>
      </w:r>
      <w:r w:rsidR="003755D3">
        <w:rPr>
          <w:lang w:val="ru-RU"/>
        </w:rPr>
        <w:t xml:space="preserve">йствовать обеспечению доступа к </w:t>
      </w:r>
      <w:r w:rsidR="0083268F">
        <w:rPr>
          <w:lang w:val="ru-RU"/>
        </w:rPr>
        <w:t xml:space="preserve">информации </w:t>
      </w:r>
      <w:r w:rsidR="003755D3">
        <w:rPr>
          <w:lang w:val="ru-RU"/>
        </w:rPr>
        <w:t>и проведению проверки</w:t>
      </w:r>
      <w:r w:rsidR="00106313" w:rsidRPr="00FA3D63">
        <w:rPr>
          <w:lang w:val="ru-RU"/>
        </w:rPr>
        <w:t xml:space="preserve"> </w:t>
      </w:r>
      <w:r w:rsidR="00106313" w:rsidRPr="005867E1">
        <w:rPr>
          <w:i/>
          <w:lang w:val="en-US"/>
        </w:rPr>
        <w:t>PPSA</w:t>
      </w:r>
      <w:r w:rsidR="00106313" w:rsidRPr="00FA3D63">
        <w:rPr>
          <w:lang w:val="ru-RU"/>
        </w:rPr>
        <w:t xml:space="preserve"> (</w:t>
      </w:r>
      <w:r w:rsidR="00FA3D63">
        <w:rPr>
          <w:lang w:val="ru-RU"/>
        </w:rPr>
        <w:t>в том числе</w:t>
      </w:r>
      <w:r w:rsidR="003755D3">
        <w:rPr>
          <w:lang w:val="ru-RU"/>
        </w:rPr>
        <w:t xml:space="preserve"> это касается</w:t>
      </w:r>
      <w:r w:rsidR="00FA3D63">
        <w:rPr>
          <w:lang w:val="ru-RU"/>
        </w:rPr>
        <w:t xml:space="preserve"> </w:t>
      </w:r>
      <w:r w:rsidR="0083268F">
        <w:rPr>
          <w:lang w:val="ru-RU"/>
        </w:rPr>
        <w:t>централизованно</w:t>
      </w:r>
      <w:r w:rsidR="003755D3">
        <w:rPr>
          <w:lang w:val="ru-RU"/>
        </w:rPr>
        <w:t>го</w:t>
      </w:r>
      <w:r w:rsidR="00FA3D63">
        <w:rPr>
          <w:lang w:val="ru-RU"/>
        </w:rPr>
        <w:t xml:space="preserve"> корпоративно</w:t>
      </w:r>
      <w:r w:rsidR="003755D3">
        <w:rPr>
          <w:lang w:val="ru-RU"/>
        </w:rPr>
        <w:t>го</w:t>
      </w:r>
      <w:r w:rsidR="00FA3D63">
        <w:rPr>
          <w:lang w:val="ru-RU"/>
        </w:rPr>
        <w:t xml:space="preserve"> хранилищ</w:t>
      </w:r>
      <w:r w:rsidR="003755D3">
        <w:rPr>
          <w:lang w:val="ru-RU"/>
        </w:rPr>
        <w:t>а</w:t>
      </w:r>
      <w:r w:rsidR="00FA3D63">
        <w:rPr>
          <w:lang w:val="ru-RU"/>
        </w:rPr>
        <w:t xml:space="preserve"> документов и информации</w:t>
      </w:r>
      <w:r w:rsidR="00371C1F">
        <w:rPr>
          <w:lang w:val="ru-RU"/>
        </w:rPr>
        <w:t>,</w:t>
      </w:r>
      <w:r w:rsidR="00FA3D63">
        <w:rPr>
          <w:lang w:val="ru-RU"/>
        </w:rPr>
        <w:t xml:space="preserve"> связанных с </w:t>
      </w:r>
      <w:r w:rsidR="00106313" w:rsidRPr="005867E1">
        <w:rPr>
          <w:i/>
          <w:lang w:val="en-US"/>
        </w:rPr>
        <w:t>PPSA</w:t>
      </w:r>
      <w:r w:rsidR="00106313" w:rsidRPr="00FA3D63">
        <w:rPr>
          <w:lang w:val="ru-RU"/>
        </w:rPr>
        <w:t xml:space="preserve">). </w:t>
      </w:r>
    </w:p>
    <w:p w14:paraId="4F8978F8" w14:textId="5C4BC151" w:rsidR="00106313" w:rsidRPr="009F2B5A" w:rsidRDefault="0083268F" w:rsidP="00050195">
      <w:pPr>
        <w:spacing w:line="260" w:lineRule="exact"/>
        <w:rPr>
          <w:lang w:val="ru-RU"/>
        </w:rPr>
      </w:pPr>
      <w:r>
        <w:rPr>
          <w:lang w:val="ru-RU"/>
        </w:rPr>
        <w:lastRenderedPageBreak/>
        <w:t>Наконец, служба внутреннего аудита отметила, что система внутреннего контроля является частично эффективной в отношении управления финансами и активами,</w:t>
      </w:r>
      <w:r w:rsidR="00106313" w:rsidRPr="0083268F">
        <w:rPr>
          <w:lang w:val="ru-RU"/>
        </w:rPr>
        <w:t xml:space="preserve"> </w:t>
      </w:r>
      <w:r>
        <w:rPr>
          <w:lang w:val="ru-RU"/>
        </w:rPr>
        <w:t xml:space="preserve">обеспечения </w:t>
      </w:r>
      <w:r w:rsidR="00EB4D0E" w:rsidRPr="00EB4D0E">
        <w:rPr>
          <w:lang w:val="ru-RU"/>
        </w:rPr>
        <w:t>командировани</w:t>
      </w:r>
      <w:r w:rsidR="00EB4D0E">
        <w:rPr>
          <w:lang w:val="ru-RU"/>
        </w:rPr>
        <w:t>я</w:t>
      </w:r>
      <w:r w:rsidR="00EB4D0E" w:rsidRPr="00EB4D0E">
        <w:rPr>
          <w:lang w:val="ru-RU"/>
        </w:rPr>
        <w:t xml:space="preserve"> экспертов </w:t>
      </w:r>
      <w:r w:rsidRPr="0083268F">
        <w:rPr>
          <w:lang w:val="ru-RU"/>
        </w:rPr>
        <w:t xml:space="preserve">и предоставления </w:t>
      </w:r>
      <w:r>
        <w:rPr>
          <w:lang w:val="ru-RU"/>
        </w:rPr>
        <w:t>стипендий в рамках охваченных аудиторской проверкой</w:t>
      </w:r>
      <w:r w:rsidRPr="0083268F">
        <w:rPr>
          <w:lang w:val="ru-RU"/>
        </w:rPr>
        <w:t xml:space="preserve"> </w:t>
      </w:r>
      <w:r>
        <w:rPr>
          <w:lang w:val="ru-RU"/>
        </w:rPr>
        <w:t>PPSA</w:t>
      </w:r>
      <w:r w:rsidR="00106313" w:rsidRPr="0083268F">
        <w:rPr>
          <w:lang w:val="ru-RU"/>
        </w:rPr>
        <w:t xml:space="preserve">. </w:t>
      </w:r>
      <w:r>
        <w:rPr>
          <w:lang w:val="ru-RU"/>
        </w:rPr>
        <w:t>Внутренний</w:t>
      </w:r>
      <w:r w:rsidRPr="00BC7C6F">
        <w:rPr>
          <w:lang w:val="ru-RU"/>
        </w:rPr>
        <w:t xml:space="preserve"> </w:t>
      </w:r>
      <w:r>
        <w:rPr>
          <w:lang w:val="ru-RU"/>
        </w:rPr>
        <w:t>контроль</w:t>
      </w:r>
      <w:r w:rsidRPr="00BC7C6F">
        <w:rPr>
          <w:lang w:val="ru-RU"/>
        </w:rPr>
        <w:t xml:space="preserve"> </w:t>
      </w:r>
      <w:r>
        <w:rPr>
          <w:lang w:val="ru-RU"/>
        </w:rPr>
        <w:t>в</w:t>
      </w:r>
      <w:r w:rsidRPr="00BC7C6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C7C6F">
        <w:rPr>
          <w:lang w:val="ru-RU"/>
        </w:rPr>
        <w:t xml:space="preserve"> </w:t>
      </w:r>
      <w:r>
        <w:rPr>
          <w:lang w:val="ru-RU"/>
        </w:rPr>
        <w:t>консультантов</w:t>
      </w:r>
      <w:r w:rsidRPr="00BC7C6F">
        <w:rPr>
          <w:lang w:val="ru-RU"/>
        </w:rPr>
        <w:t xml:space="preserve"> </w:t>
      </w:r>
      <w:r>
        <w:rPr>
          <w:lang w:val="ru-RU"/>
        </w:rPr>
        <w:t>не</w:t>
      </w:r>
      <w:r w:rsidRPr="00BC7C6F">
        <w:rPr>
          <w:lang w:val="ru-RU"/>
        </w:rPr>
        <w:t xml:space="preserve"> </w:t>
      </w:r>
      <w:r>
        <w:rPr>
          <w:lang w:val="ru-RU"/>
        </w:rPr>
        <w:t>является</w:t>
      </w:r>
      <w:r w:rsidRPr="00BC7C6F">
        <w:rPr>
          <w:lang w:val="ru-RU"/>
        </w:rPr>
        <w:t xml:space="preserve"> </w:t>
      </w:r>
      <w:r>
        <w:rPr>
          <w:lang w:val="ru-RU"/>
        </w:rPr>
        <w:t>эффективным</w:t>
      </w:r>
      <w:r w:rsidR="00106313" w:rsidRPr="00BC7C6F">
        <w:rPr>
          <w:lang w:val="ru-RU"/>
        </w:rPr>
        <w:t xml:space="preserve">. </w:t>
      </w:r>
      <w:r>
        <w:rPr>
          <w:lang w:val="ru-RU"/>
        </w:rPr>
        <w:t>В</w:t>
      </w:r>
      <w:r w:rsidRPr="009F2B5A">
        <w:rPr>
          <w:lang w:val="ru-RU"/>
        </w:rPr>
        <w:t xml:space="preserve"> </w:t>
      </w:r>
      <w:r>
        <w:rPr>
          <w:lang w:val="ru-RU"/>
        </w:rPr>
        <w:t>связи</w:t>
      </w:r>
      <w:r w:rsidRPr="009F2B5A">
        <w:rPr>
          <w:lang w:val="ru-RU"/>
        </w:rPr>
        <w:t xml:space="preserve"> </w:t>
      </w:r>
      <w:r>
        <w:rPr>
          <w:lang w:val="ru-RU"/>
        </w:rPr>
        <w:t>с</w:t>
      </w:r>
      <w:r w:rsidRPr="009F2B5A">
        <w:rPr>
          <w:lang w:val="ru-RU"/>
        </w:rPr>
        <w:t xml:space="preserve"> </w:t>
      </w:r>
      <w:r>
        <w:rPr>
          <w:lang w:val="ru-RU"/>
        </w:rPr>
        <w:t>тем</w:t>
      </w:r>
      <w:r w:rsidRPr="009F2B5A">
        <w:rPr>
          <w:lang w:val="ru-RU"/>
        </w:rPr>
        <w:t xml:space="preserve"> </w:t>
      </w:r>
      <w:r>
        <w:rPr>
          <w:lang w:val="ru-RU"/>
        </w:rPr>
        <w:t>что</w:t>
      </w:r>
      <w:r w:rsidRPr="009F2B5A">
        <w:rPr>
          <w:lang w:val="ru-RU"/>
        </w:rPr>
        <w:t xml:space="preserve"> </w:t>
      </w:r>
      <w:r>
        <w:rPr>
          <w:lang w:val="ru-RU"/>
        </w:rPr>
        <w:t>служба</w:t>
      </w:r>
      <w:r w:rsidRPr="009F2B5A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9F2B5A">
        <w:rPr>
          <w:lang w:val="ru-RU"/>
        </w:rPr>
        <w:t xml:space="preserve"> </w:t>
      </w:r>
      <w:r>
        <w:rPr>
          <w:lang w:val="ru-RU"/>
        </w:rPr>
        <w:t>аудита</w:t>
      </w:r>
      <w:r w:rsidRPr="009F2B5A">
        <w:rPr>
          <w:lang w:val="ru-RU"/>
        </w:rPr>
        <w:t xml:space="preserve"> </w:t>
      </w:r>
      <w:r>
        <w:rPr>
          <w:lang w:val="ru-RU"/>
        </w:rPr>
        <w:t>уже</w:t>
      </w:r>
      <w:r w:rsidRPr="009F2B5A">
        <w:rPr>
          <w:lang w:val="ru-RU"/>
        </w:rPr>
        <w:t xml:space="preserve"> </w:t>
      </w:r>
      <w:r>
        <w:rPr>
          <w:lang w:val="ru-RU"/>
        </w:rPr>
        <w:t>рекомендовала</w:t>
      </w:r>
      <w:r w:rsidRPr="009F2B5A">
        <w:rPr>
          <w:lang w:val="ru-RU"/>
        </w:rPr>
        <w:t xml:space="preserve"> </w:t>
      </w:r>
      <w:r>
        <w:rPr>
          <w:lang w:val="ru-RU"/>
        </w:rPr>
        <w:t>в</w:t>
      </w:r>
      <w:r w:rsidRPr="009F2B5A">
        <w:rPr>
          <w:lang w:val="ru-RU"/>
        </w:rPr>
        <w:t xml:space="preserve"> </w:t>
      </w:r>
      <w:r>
        <w:rPr>
          <w:lang w:val="ru-RU"/>
        </w:rPr>
        <w:t>рамках</w:t>
      </w:r>
      <w:r w:rsidRPr="009F2B5A">
        <w:rPr>
          <w:lang w:val="ru-RU"/>
        </w:rPr>
        <w:t xml:space="preserve"> </w:t>
      </w:r>
      <w:r w:rsidR="009F2B5A">
        <w:rPr>
          <w:lang w:val="ru-RU"/>
        </w:rPr>
        <w:t>задания</w:t>
      </w:r>
      <w:r w:rsidRPr="009F2B5A">
        <w:rPr>
          <w:lang w:val="ru-RU"/>
        </w:rPr>
        <w:t xml:space="preserve"> </w:t>
      </w:r>
      <w:r>
        <w:rPr>
          <w:lang w:val="ru-RU"/>
        </w:rPr>
        <w:t>предыдущей</w:t>
      </w:r>
      <w:r w:rsidRPr="009F2B5A">
        <w:rPr>
          <w:lang w:val="ru-RU"/>
        </w:rPr>
        <w:t xml:space="preserve"> </w:t>
      </w:r>
      <w:r w:rsidR="009F2B5A">
        <w:rPr>
          <w:lang w:val="ru-RU"/>
        </w:rPr>
        <w:t>аудиторской</w:t>
      </w:r>
      <w:r w:rsidRPr="009F2B5A">
        <w:rPr>
          <w:lang w:val="ru-RU"/>
        </w:rPr>
        <w:t xml:space="preserve"> </w:t>
      </w:r>
      <w:r>
        <w:rPr>
          <w:lang w:val="ru-RU"/>
        </w:rPr>
        <w:t>проверки</w:t>
      </w:r>
      <w:r w:rsidR="00106313" w:rsidRPr="009F2B5A">
        <w:rPr>
          <w:lang w:val="ru-RU"/>
        </w:rPr>
        <w:t xml:space="preserve"> </w:t>
      </w:r>
      <w:r w:rsidR="009F2B5A">
        <w:rPr>
          <w:lang w:val="ru-RU"/>
        </w:rPr>
        <w:t>в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первоочередном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порядке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укрепить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систему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контроля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над</w:t>
      </w:r>
      <w:r w:rsidR="009F2B5A" w:rsidRPr="009F2B5A">
        <w:rPr>
          <w:lang w:val="ru-RU"/>
        </w:rPr>
        <w:t xml:space="preserve"> </w:t>
      </w:r>
      <w:r w:rsidR="009F2B5A">
        <w:rPr>
          <w:lang w:val="en-US"/>
        </w:rPr>
        <w:t>SSA</w:t>
      </w:r>
      <w:r w:rsidR="00106313" w:rsidRPr="009F2B5A">
        <w:rPr>
          <w:lang w:val="ru-RU"/>
        </w:rPr>
        <w:t xml:space="preserve">, </w:t>
      </w:r>
      <w:r w:rsidR="009F2B5A">
        <w:rPr>
          <w:lang w:val="ru-RU"/>
        </w:rPr>
        <w:t>служба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внутреннего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аудита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вновь</w:t>
      </w:r>
      <w:r w:rsidR="009F2B5A" w:rsidRPr="009F2B5A">
        <w:rPr>
          <w:lang w:val="ru-RU"/>
        </w:rPr>
        <w:t xml:space="preserve"> </w:t>
      </w:r>
      <w:r w:rsidR="009F2B5A">
        <w:rPr>
          <w:lang w:val="ru-RU"/>
        </w:rPr>
        <w:t>рекомендует рассмотреть в качестве срочной и важной необходимости установлени</w:t>
      </w:r>
      <w:r w:rsidR="003755D3">
        <w:rPr>
          <w:lang w:val="ru-RU"/>
        </w:rPr>
        <w:t>е</w:t>
      </w:r>
      <w:r w:rsidR="009F2B5A">
        <w:rPr>
          <w:lang w:val="ru-RU"/>
        </w:rPr>
        <w:t xml:space="preserve"> процедур и практики в Союзе для надлежащей работы в рамках процедур найма и управления</w:t>
      </w:r>
      <w:r w:rsidR="00106313" w:rsidRPr="009F2B5A">
        <w:rPr>
          <w:lang w:val="ru-RU"/>
        </w:rPr>
        <w:t xml:space="preserve"> </w:t>
      </w:r>
      <w:r w:rsidR="009F2B5A">
        <w:rPr>
          <w:lang w:val="ru-RU"/>
        </w:rPr>
        <w:t xml:space="preserve">работающими по </w:t>
      </w:r>
      <w:r w:rsidR="00106313" w:rsidRPr="00106313">
        <w:rPr>
          <w:lang w:val="en-US"/>
        </w:rPr>
        <w:t>SSA</w:t>
      </w:r>
      <w:r w:rsidR="003755D3">
        <w:rPr>
          <w:lang w:val="ru-RU"/>
        </w:rPr>
        <w:t xml:space="preserve">. </w:t>
      </w:r>
      <w:r w:rsidR="009F2B5A">
        <w:rPr>
          <w:lang w:val="ru-RU"/>
        </w:rPr>
        <w:t xml:space="preserve">Также </w:t>
      </w:r>
      <w:r w:rsidR="00323703">
        <w:rPr>
          <w:lang w:val="ru-RU"/>
        </w:rPr>
        <w:t>рекомендуется</w:t>
      </w:r>
      <w:r w:rsidR="009F2B5A">
        <w:rPr>
          <w:lang w:val="ru-RU"/>
        </w:rPr>
        <w:t xml:space="preserve">, чтобы система контроля была укреплена в различных областях, указанных выше, и чтобы остатки средств, относящиеся к закрытым проектам, </w:t>
      </w:r>
      <w:r w:rsidR="00071E04">
        <w:rPr>
          <w:lang w:val="ru-RU"/>
        </w:rPr>
        <w:t>были сверены</w:t>
      </w:r>
      <w:r w:rsidR="00106313" w:rsidRPr="009F2B5A">
        <w:rPr>
          <w:lang w:val="ru-RU"/>
        </w:rPr>
        <w:t xml:space="preserve">. </w:t>
      </w:r>
    </w:p>
    <w:p w14:paraId="61A47BDA" w14:textId="5A4AE80F" w:rsidR="00106313" w:rsidRPr="004E0894" w:rsidRDefault="00106313" w:rsidP="00050195">
      <w:pPr>
        <w:spacing w:line="260" w:lineRule="exact"/>
        <w:rPr>
          <w:lang w:val="ru-RU"/>
        </w:rPr>
      </w:pPr>
      <w:r w:rsidRPr="004E0894">
        <w:rPr>
          <w:lang w:val="ru-RU"/>
        </w:rPr>
        <w:t>13</w:t>
      </w:r>
      <w:r w:rsidRPr="004E0894">
        <w:rPr>
          <w:lang w:val="ru-RU"/>
        </w:rPr>
        <w:tab/>
      </w:r>
      <w:r w:rsidR="009F2B5A">
        <w:rPr>
          <w:lang w:val="ru-RU"/>
        </w:rPr>
        <w:t>Руководство</w:t>
      </w:r>
      <w:r w:rsidR="009F2B5A" w:rsidRPr="004E0894">
        <w:rPr>
          <w:lang w:val="ru-RU"/>
        </w:rPr>
        <w:t xml:space="preserve"> </w:t>
      </w:r>
      <w:r w:rsidR="009F2B5A">
        <w:rPr>
          <w:lang w:val="ru-RU"/>
        </w:rPr>
        <w:t>согласилось</w:t>
      </w:r>
      <w:r w:rsidR="009F2B5A" w:rsidRPr="004E0894">
        <w:rPr>
          <w:lang w:val="ru-RU"/>
        </w:rPr>
        <w:t xml:space="preserve"> </w:t>
      </w:r>
      <w:r w:rsidR="009F2B5A">
        <w:rPr>
          <w:lang w:val="ru-RU"/>
        </w:rPr>
        <w:t>с</w:t>
      </w:r>
      <w:r w:rsidR="009F2B5A" w:rsidRPr="004E0894">
        <w:rPr>
          <w:lang w:val="ru-RU"/>
        </w:rPr>
        <w:t xml:space="preserve"> </w:t>
      </w:r>
      <w:r w:rsidR="009F2B5A">
        <w:rPr>
          <w:lang w:val="ru-RU"/>
        </w:rPr>
        <w:t>рекомендациями</w:t>
      </w:r>
      <w:r w:rsidR="008715FD">
        <w:rPr>
          <w:lang w:val="ru-RU"/>
        </w:rPr>
        <w:t xml:space="preserve"> и </w:t>
      </w:r>
      <w:r w:rsidR="00A37FA9">
        <w:rPr>
          <w:lang w:val="ru-RU"/>
        </w:rPr>
        <w:t>заявило,</w:t>
      </w:r>
      <w:r w:rsidR="008715FD">
        <w:rPr>
          <w:lang w:val="ru-RU"/>
        </w:rPr>
        <w:t xml:space="preserve"> </w:t>
      </w:r>
      <w:r w:rsidR="00893120">
        <w:rPr>
          <w:lang w:val="ru-RU"/>
        </w:rPr>
        <w:t xml:space="preserve">что </w:t>
      </w:r>
      <w:r w:rsidR="008715FD">
        <w:rPr>
          <w:lang w:val="ru-RU"/>
        </w:rPr>
        <w:t>намерено выполнить их незамедлительно</w:t>
      </w:r>
      <w:r w:rsidRPr="004E0894">
        <w:rPr>
          <w:lang w:val="ru-RU"/>
        </w:rPr>
        <w:t>.</w:t>
      </w:r>
    </w:p>
    <w:p w14:paraId="1D3805F7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Консультационные услуги, предоставляемые подразделением внутреннего аудита</w:t>
      </w:r>
    </w:p>
    <w:p w14:paraId="7F9285DE" w14:textId="5B645B7B" w:rsidR="0023051E" w:rsidRPr="004E0894" w:rsidRDefault="000F0FC3" w:rsidP="0023051E">
      <w:pPr>
        <w:pStyle w:val="Headingi"/>
        <w:rPr>
          <w:b/>
          <w:bCs/>
          <w:i/>
          <w:iCs/>
          <w:lang w:val="ru-RU"/>
        </w:rPr>
      </w:pPr>
      <w:r w:rsidRPr="003E5C17">
        <w:rPr>
          <w:b/>
          <w:bCs/>
          <w:i/>
          <w:iCs/>
          <w:color w:val="000000"/>
          <w:lang w:val="ru-RU"/>
        </w:rPr>
        <w:t>Судебно-бухгалтерск</w:t>
      </w:r>
      <w:r w:rsidRPr="000F0FC3">
        <w:rPr>
          <w:b/>
          <w:bCs/>
          <w:i/>
          <w:iCs/>
          <w:color w:val="000000"/>
          <w:lang w:val="ru-RU"/>
        </w:rPr>
        <w:t>ая</w:t>
      </w:r>
      <w:r w:rsidRPr="003E5C17">
        <w:rPr>
          <w:b/>
          <w:bCs/>
          <w:i/>
          <w:iCs/>
          <w:color w:val="000000"/>
          <w:lang w:val="ru-RU"/>
        </w:rPr>
        <w:t xml:space="preserve"> экспертиз</w:t>
      </w:r>
      <w:r w:rsidRPr="000F0FC3">
        <w:rPr>
          <w:b/>
          <w:bCs/>
          <w:i/>
          <w:iCs/>
          <w:color w:val="000000"/>
          <w:lang w:val="ru-RU"/>
        </w:rPr>
        <w:t>а</w:t>
      </w:r>
    </w:p>
    <w:p w14:paraId="3E349525" w14:textId="5537C779" w:rsidR="0023051E" w:rsidRPr="00893120" w:rsidRDefault="00082FD2" w:rsidP="00050195">
      <w:pPr>
        <w:spacing w:line="260" w:lineRule="exact"/>
        <w:rPr>
          <w:lang w:val="ru-RU"/>
        </w:rPr>
      </w:pPr>
      <w:r w:rsidRPr="00DD7414">
        <w:rPr>
          <w:rFonts w:cstheme="minorHAnsi"/>
          <w:color w:val="000000"/>
          <w:lang w:val="ru-RU"/>
        </w:rPr>
        <w:t>1</w:t>
      </w:r>
      <w:r w:rsidR="00C63CC1" w:rsidRPr="00C63CC1">
        <w:rPr>
          <w:rFonts w:cstheme="minorHAnsi"/>
          <w:color w:val="000000"/>
          <w:lang w:val="ru-RU"/>
        </w:rPr>
        <w:t>4</w:t>
      </w:r>
      <w:r w:rsidRPr="00DD7414">
        <w:rPr>
          <w:rFonts w:cstheme="minorHAnsi"/>
          <w:color w:val="000000"/>
          <w:lang w:val="ru-RU"/>
        </w:rPr>
        <w:tab/>
      </w:r>
      <w:r w:rsidR="00754197" w:rsidRPr="00DD7414">
        <w:rPr>
          <w:lang w:val="ru-RU"/>
        </w:rPr>
        <w:t xml:space="preserve">На сессии Совета 2019 года </w:t>
      </w:r>
      <w:r w:rsidR="00754197" w:rsidRPr="00DD7414">
        <w:rPr>
          <w:szCs w:val="22"/>
          <w:lang w:val="ru-RU"/>
        </w:rPr>
        <w:t xml:space="preserve">было принято </w:t>
      </w:r>
      <w:hyperlink r:id="rId13" w:history="1">
        <w:r w:rsidR="0023051E" w:rsidRPr="00DD7414">
          <w:rPr>
            <w:rStyle w:val="Hyperlink"/>
            <w:rFonts w:cstheme="minorHAnsi"/>
            <w:szCs w:val="22"/>
            <w:lang w:val="ru-RU"/>
          </w:rPr>
          <w:t>Решение 613</w:t>
        </w:r>
      </w:hyperlink>
      <w:r w:rsidR="00754197" w:rsidRPr="00DD7414">
        <w:rPr>
          <w:szCs w:val="22"/>
          <w:lang w:val="ru-RU"/>
        </w:rPr>
        <w:t>, согласно которому</w:t>
      </w:r>
      <w:r w:rsidR="00754197" w:rsidRPr="00DD7414">
        <w:rPr>
          <w:lang w:val="ru-RU"/>
        </w:rPr>
        <w:t xml:space="preserve"> Генеральному секретарю было поручено провести </w:t>
      </w:r>
      <w:r w:rsidR="00754197" w:rsidRPr="00A15A8E">
        <w:rPr>
          <w:lang w:val="ru-RU"/>
        </w:rPr>
        <w:t>судебно-бухгалтерскую экспертизу</w:t>
      </w:r>
      <w:r w:rsidR="00754197" w:rsidRPr="00DD7414">
        <w:rPr>
          <w:lang w:val="ru-RU"/>
        </w:rPr>
        <w:t xml:space="preserve">. </w:t>
      </w:r>
      <w:r w:rsidR="006B2E7B">
        <w:rPr>
          <w:lang w:val="ru-RU"/>
        </w:rPr>
        <w:t>В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январе</w:t>
      </w:r>
      <w:r w:rsidR="006B2E7B" w:rsidRPr="006B2E7B">
        <w:rPr>
          <w:lang w:val="ru-RU"/>
        </w:rPr>
        <w:t xml:space="preserve"> 2021 </w:t>
      </w:r>
      <w:r w:rsidR="006B2E7B">
        <w:rPr>
          <w:lang w:val="ru-RU"/>
        </w:rPr>
        <w:t>года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была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приглашена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независимая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обладающая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экспертными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познаниями</w:t>
      </w:r>
      <w:r w:rsidR="006B2E7B" w:rsidRPr="006B2E7B">
        <w:rPr>
          <w:lang w:val="ru-RU"/>
        </w:rPr>
        <w:t xml:space="preserve"> </w:t>
      </w:r>
      <w:r w:rsidR="00893120">
        <w:rPr>
          <w:lang w:val="ru-RU"/>
        </w:rPr>
        <w:t>организация,</w:t>
      </w:r>
      <w:r w:rsidR="006B2E7B" w:rsidRPr="006B2E7B">
        <w:rPr>
          <w:lang w:val="ru-RU"/>
        </w:rPr>
        <w:t xml:space="preserve"> </w:t>
      </w:r>
      <w:r w:rsidR="006B2E7B">
        <w:rPr>
          <w:lang w:val="ru-RU"/>
        </w:rPr>
        <w:t>специализирующаяся на расследовании финансовых преступлений</w:t>
      </w:r>
      <w:r w:rsidR="00A15A8E">
        <w:rPr>
          <w:lang w:val="ru-RU"/>
        </w:rPr>
        <w:t>,</w:t>
      </w:r>
      <w:r w:rsidR="006B2E7B">
        <w:rPr>
          <w:lang w:val="ru-RU"/>
        </w:rPr>
        <w:t xml:space="preserve"> </w:t>
      </w:r>
      <w:r w:rsidR="00A15A8E">
        <w:rPr>
          <w:lang w:val="ru-RU"/>
        </w:rPr>
        <w:t xml:space="preserve">которая </w:t>
      </w:r>
      <w:r w:rsidR="00FF0ACE">
        <w:rPr>
          <w:lang w:val="ru-RU"/>
        </w:rPr>
        <w:t>совместно со службой внутреннего аудита</w:t>
      </w:r>
      <w:r w:rsidR="003755D3">
        <w:rPr>
          <w:lang w:val="ru-RU"/>
        </w:rPr>
        <w:t>,</w:t>
      </w:r>
      <w:r w:rsidR="00FF0ACE">
        <w:rPr>
          <w:lang w:val="ru-RU"/>
        </w:rPr>
        <w:t xml:space="preserve"> выступающей в качестве координатора Секретариата, </w:t>
      </w:r>
      <w:r w:rsidR="00A15A8E">
        <w:rPr>
          <w:lang w:val="ru-RU"/>
        </w:rPr>
        <w:t xml:space="preserve">провела </w:t>
      </w:r>
      <w:r w:rsidR="00A15A8E" w:rsidRPr="00A15A8E">
        <w:rPr>
          <w:lang w:val="ru-RU"/>
        </w:rPr>
        <w:t>судебно-бухгалтерскую экспертизу</w:t>
      </w:r>
      <w:r w:rsidR="00B64F51" w:rsidRPr="006B2E7B">
        <w:rPr>
          <w:lang w:val="ru-RU"/>
        </w:rPr>
        <w:t xml:space="preserve">. </w:t>
      </w:r>
      <w:r w:rsidR="00FF0ACE">
        <w:rPr>
          <w:lang w:val="ru-RU"/>
        </w:rPr>
        <w:t>Выступающая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в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качестве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консультанта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компания</w:t>
      </w:r>
      <w:r w:rsidR="00B64F51" w:rsidRPr="00FF0ACE">
        <w:rPr>
          <w:lang w:val="ru-RU"/>
        </w:rPr>
        <w:t xml:space="preserve"> </w:t>
      </w:r>
      <w:r w:rsidR="00B64F51" w:rsidRPr="00B64F51">
        <w:rPr>
          <w:lang w:val="en-US"/>
        </w:rPr>
        <w:t>PwC</w:t>
      </w:r>
      <w:r w:rsidR="00B64F51" w:rsidRPr="00FF0ACE">
        <w:rPr>
          <w:lang w:val="ru-RU"/>
        </w:rPr>
        <w:t xml:space="preserve"> </w:t>
      </w:r>
      <w:r w:rsidR="00FF0ACE">
        <w:rPr>
          <w:lang w:val="ru-RU"/>
        </w:rPr>
        <w:t>представила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свой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отчет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о</w:t>
      </w:r>
      <w:r w:rsidR="00047A21">
        <w:rPr>
          <w:lang w:val="ru-RU"/>
        </w:rPr>
        <w:t>б итогах</w:t>
      </w:r>
      <w:r w:rsidR="00A15A8E">
        <w:rPr>
          <w:lang w:val="ru-RU"/>
        </w:rPr>
        <w:t xml:space="preserve"> </w:t>
      </w:r>
      <w:r w:rsidR="00A15A8E" w:rsidRPr="00A15A8E">
        <w:rPr>
          <w:lang w:val="ru-RU"/>
        </w:rPr>
        <w:t>судебно-бухгалтерск</w:t>
      </w:r>
      <w:r w:rsidR="00A15A8E">
        <w:rPr>
          <w:lang w:val="ru-RU"/>
        </w:rPr>
        <w:t>ой</w:t>
      </w:r>
      <w:r w:rsidR="00A15A8E" w:rsidRPr="00A15A8E">
        <w:rPr>
          <w:lang w:val="ru-RU"/>
        </w:rPr>
        <w:t xml:space="preserve"> экспертиз</w:t>
      </w:r>
      <w:r w:rsidR="00A15A8E">
        <w:rPr>
          <w:lang w:val="ru-RU"/>
        </w:rPr>
        <w:t>ы на</w:t>
      </w:r>
      <w:r w:rsidR="00A15A8E" w:rsidRPr="00A15A8E">
        <w:rPr>
          <w:lang w:val="ru-RU"/>
        </w:rPr>
        <w:t xml:space="preserve"> </w:t>
      </w:r>
      <w:r w:rsidR="00FF0ACE" w:rsidRPr="00893120">
        <w:rPr>
          <w:lang w:val="ru-RU"/>
        </w:rPr>
        <w:t>виртуальных консультаци</w:t>
      </w:r>
      <w:r w:rsidR="00A15A8E">
        <w:rPr>
          <w:lang w:val="ru-RU"/>
        </w:rPr>
        <w:t>ях</w:t>
      </w:r>
      <w:r w:rsidR="00FF0ACE" w:rsidRPr="00893120">
        <w:rPr>
          <w:lang w:val="ru-RU"/>
        </w:rPr>
        <w:t xml:space="preserve"> Советников</w:t>
      </w:r>
      <w:r w:rsidR="00FF0ACE" w:rsidRPr="00FF0ACE">
        <w:rPr>
          <w:lang w:val="ru-RU"/>
        </w:rPr>
        <w:t xml:space="preserve"> 2021</w:t>
      </w:r>
      <w:r w:rsidR="00FF0ACE">
        <w:rPr>
          <w:lang w:val="ru-RU"/>
        </w:rPr>
        <w:t xml:space="preserve"> года и </w:t>
      </w:r>
      <w:r w:rsidR="00893120">
        <w:rPr>
          <w:lang w:val="ru-RU"/>
        </w:rPr>
        <w:t>заявил</w:t>
      </w:r>
      <w:r w:rsidR="003755D3">
        <w:rPr>
          <w:lang w:val="ru-RU"/>
        </w:rPr>
        <w:t>а</w:t>
      </w:r>
      <w:r w:rsidR="00FF0ACE">
        <w:rPr>
          <w:lang w:val="ru-RU"/>
        </w:rPr>
        <w:t xml:space="preserve">, что </w:t>
      </w:r>
      <w:r w:rsidR="00A15A8E">
        <w:rPr>
          <w:lang w:val="ru-RU"/>
        </w:rPr>
        <w:t>в сентябре</w:t>
      </w:r>
      <w:r w:rsidR="00A15A8E" w:rsidRPr="00FF0ACE">
        <w:rPr>
          <w:lang w:val="ru-RU"/>
        </w:rPr>
        <w:t xml:space="preserve"> 2021</w:t>
      </w:r>
      <w:r w:rsidR="00A15A8E">
        <w:rPr>
          <w:lang w:val="ru-RU"/>
        </w:rPr>
        <w:t xml:space="preserve"> года </w:t>
      </w:r>
      <w:r w:rsidR="00FF0ACE">
        <w:rPr>
          <w:lang w:val="ru-RU"/>
        </w:rPr>
        <w:t>будет представлен</w:t>
      </w:r>
      <w:r w:rsidR="00A15A8E" w:rsidRPr="00A15A8E">
        <w:rPr>
          <w:lang w:val="ru-RU"/>
        </w:rPr>
        <w:t xml:space="preserve"> </w:t>
      </w:r>
      <w:r w:rsidR="00A15A8E">
        <w:rPr>
          <w:lang w:val="ru-RU"/>
        </w:rPr>
        <w:t>заключительный отчет</w:t>
      </w:r>
      <w:r w:rsidR="00FF0ACE">
        <w:rPr>
          <w:lang w:val="ru-RU"/>
        </w:rPr>
        <w:t xml:space="preserve">, который дополнит результаты, содержащиеся в отчете о </w:t>
      </w:r>
      <w:r w:rsidR="00FF0ACE" w:rsidRPr="00893120">
        <w:rPr>
          <w:lang w:val="ru-RU"/>
        </w:rPr>
        <w:t>первоначальной проверке</w:t>
      </w:r>
      <w:r w:rsidR="00B64F51" w:rsidRPr="00FF0ACE">
        <w:rPr>
          <w:lang w:val="ru-RU"/>
        </w:rPr>
        <w:t xml:space="preserve">. </w:t>
      </w:r>
      <w:r w:rsidR="00FF0ACE">
        <w:rPr>
          <w:lang w:val="ru-RU"/>
        </w:rPr>
        <w:t>Заключительный</w:t>
      </w:r>
      <w:r w:rsidR="00FF0ACE" w:rsidRPr="00FF0ACE">
        <w:rPr>
          <w:lang w:val="ru-RU"/>
        </w:rPr>
        <w:t xml:space="preserve"> </w:t>
      </w:r>
      <w:r w:rsidR="00FF0ACE">
        <w:rPr>
          <w:lang w:val="ru-RU"/>
        </w:rPr>
        <w:t>отчет</w:t>
      </w:r>
      <w:r w:rsidR="00FF0ACE" w:rsidRPr="00FF0ACE">
        <w:rPr>
          <w:lang w:val="ru-RU"/>
        </w:rPr>
        <w:t xml:space="preserve"> </w:t>
      </w:r>
      <w:r w:rsidR="00FF0ACE" w:rsidRPr="00893120">
        <w:rPr>
          <w:lang w:val="ru-RU"/>
        </w:rPr>
        <w:t>PwC</w:t>
      </w:r>
      <w:r w:rsidR="00FF0ACE" w:rsidRPr="00FF0ACE">
        <w:rPr>
          <w:lang w:val="ru-RU"/>
        </w:rPr>
        <w:t xml:space="preserve"> </w:t>
      </w:r>
      <w:r w:rsidR="00047A21" w:rsidRPr="00047A21">
        <w:rPr>
          <w:lang w:val="ru-RU"/>
        </w:rPr>
        <w:t>отчет об итогах судебно-бухгалтерской экспертизы</w:t>
      </w:r>
      <w:r w:rsidR="00FF0ACE">
        <w:rPr>
          <w:lang w:val="ru-RU"/>
        </w:rPr>
        <w:t xml:space="preserve"> был представлен на</w:t>
      </w:r>
      <w:r w:rsidR="00B64F51" w:rsidRPr="00FF0ACE">
        <w:rPr>
          <w:lang w:val="ru-RU"/>
        </w:rPr>
        <w:t xml:space="preserve"> 14</w:t>
      </w:r>
      <w:r w:rsidR="00FF0ACE">
        <w:rPr>
          <w:lang w:val="ru-RU"/>
        </w:rPr>
        <w:t>-м собрании</w:t>
      </w:r>
      <w:r w:rsidR="00B64F51" w:rsidRPr="00FF0ACE">
        <w:rPr>
          <w:lang w:val="ru-RU"/>
        </w:rPr>
        <w:t xml:space="preserve"> </w:t>
      </w:r>
      <w:r w:rsidR="00FF0ACE" w:rsidRPr="00893120">
        <w:rPr>
          <w:lang w:val="ru-RU"/>
        </w:rPr>
        <w:t>Рабочей группы Совета по финансовым и людским ресурсам</w:t>
      </w:r>
      <w:r w:rsidR="00FF0ACE" w:rsidRPr="00FF0ACE">
        <w:rPr>
          <w:lang w:val="ru-RU"/>
        </w:rPr>
        <w:t xml:space="preserve"> </w:t>
      </w:r>
      <w:r w:rsidR="00B64F51" w:rsidRPr="00FF0ACE">
        <w:rPr>
          <w:lang w:val="ru-RU"/>
        </w:rPr>
        <w:t>(</w:t>
      </w:r>
      <w:r w:rsidR="00FF0ACE" w:rsidRPr="00893120">
        <w:rPr>
          <w:lang w:val="ru-RU"/>
        </w:rPr>
        <w:t>РГС-ФЛР</w:t>
      </w:r>
      <w:r w:rsidR="00B64F51" w:rsidRPr="00FF0ACE">
        <w:rPr>
          <w:lang w:val="ru-RU"/>
        </w:rPr>
        <w:t xml:space="preserve">), </w:t>
      </w:r>
      <w:r w:rsidR="00893120">
        <w:rPr>
          <w:lang w:val="ru-RU"/>
        </w:rPr>
        <w:t>организованном</w:t>
      </w:r>
      <w:r w:rsidR="00FF0ACE">
        <w:rPr>
          <w:lang w:val="ru-RU"/>
        </w:rPr>
        <w:t xml:space="preserve"> в виртуальном формате</w:t>
      </w:r>
      <w:r w:rsidR="00B64F51" w:rsidRPr="00FF0ACE">
        <w:rPr>
          <w:lang w:val="ru-RU"/>
        </w:rPr>
        <w:t xml:space="preserve"> 20 </w:t>
      </w:r>
      <w:r w:rsidR="00FF0ACE">
        <w:rPr>
          <w:lang w:val="ru-RU"/>
        </w:rPr>
        <w:t>и</w:t>
      </w:r>
      <w:r w:rsidR="00B64F51" w:rsidRPr="00FF0ACE">
        <w:rPr>
          <w:lang w:val="ru-RU"/>
        </w:rPr>
        <w:t xml:space="preserve"> 21</w:t>
      </w:r>
      <w:r w:rsidR="00050195">
        <w:rPr>
          <w:lang w:val="ru-RU"/>
        </w:rPr>
        <w:t> </w:t>
      </w:r>
      <w:r w:rsidR="00FF0ACE">
        <w:rPr>
          <w:lang w:val="ru-RU"/>
        </w:rPr>
        <w:t>сентября</w:t>
      </w:r>
      <w:r w:rsidR="00B64F51" w:rsidRPr="00FF0ACE">
        <w:rPr>
          <w:lang w:val="ru-RU"/>
        </w:rPr>
        <w:t xml:space="preserve"> 2021</w:t>
      </w:r>
      <w:r w:rsidR="00FF0ACE">
        <w:rPr>
          <w:lang w:val="ru-RU"/>
        </w:rPr>
        <w:t xml:space="preserve"> года</w:t>
      </w:r>
      <w:r w:rsidR="00B64F51" w:rsidRPr="00FF0ACE">
        <w:rPr>
          <w:lang w:val="ru-RU"/>
        </w:rPr>
        <w:t xml:space="preserve">. </w:t>
      </w:r>
      <w:r w:rsidR="00FF0ACE">
        <w:rPr>
          <w:lang w:val="ru-RU"/>
        </w:rPr>
        <w:t>Сделан</w:t>
      </w:r>
      <w:r w:rsidR="00FF0ACE" w:rsidRPr="00F318C6">
        <w:rPr>
          <w:lang w:val="ru-RU"/>
        </w:rPr>
        <w:t xml:space="preserve"> </w:t>
      </w:r>
      <w:r w:rsidR="00FF0ACE">
        <w:rPr>
          <w:lang w:val="ru-RU"/>
        </w:rPr>
        <w:t>вывод</w:t>
      </w:r>
      <w:r w:rsidR="00FF0ACE" w:rsidRPr="00F318C6">
        <w:rPr>
          <w:lang w:val="ru-RU"/>
        </w:rPr>
        <w:t xml:space="preserve">, </w:t>
      </w:r>
      <w:r w:rsidR="00FF0ACE">
        <w:rPr>
          <w:lang w:val="ru-RU"/>
        </w:rPr>
        <w:t>что</w:t>
      </w:r>
      <w:r w:rsidR="00B64F51" w:rsidRPr="00F318C6">
        <w:rPr>
          <w:lang w:val="ru-RU"/>
        </w:rPr>
        <w:t xml:space="preserve"> "</w:t>
      </w:r>
      <w:r w:rsidR="00FF0ACE" w:rsidRPr="00893120">
        <w:rPr>
          <w:lang w:val="ru-RU"/>
        </w:rPr>
        <w:t xml:space="preserve">Секретариат </w:t>
      </w:r>
      <w:r w:rsidR="00F318C6" w:rsidRPr="00893120">
        <w:rPr>
          <w:lang w:val="ru-RU"/>
        </w:rPr>
        <w:t xml:space="preserve">сообщит новую информацию </w:t>
      </w:r>
      <w:r w:rsidR="003755D3" w:rsidRPr="00893120">
        <w:rPr>
          <w:lang w:val="ru-RU"/>
        </w:rPr>
        <w:t xml:space="preserve">о последующих действиях </w:t>
      </w:r>
      <w:r w:rsidR="00F318C6" w:rsidRPr="00893120">
        <w:rPr>
          <w:lang w:val="ru-RU"/>
        </w:rPr>
        <w:t>на следующем собрании</w:t>
      </w:r>
      <w:r w:rsidR="00B64F51" w:rsidRPr="00893120">
        <w:rPr>
          <w:lang w:val="ru-RU"/>
        </w:rPr>
        <w:t xml:space="preserve"> </w:t>
      </w:r>
      <w:r w:rsidR="00F318C6" w:rsidRPr="00893120">
        <w:rPr>
          <w:lang w:val="ru-RU"/>
        </w:rPr>
        <w:t xml:space="preserve">РГС-ФЛР </w:t>
      </w:r>
      <w:r w:rsidR="00B64F51" w:rsidRPr="00F318C6">
        <w:rPr>
          <w:lang w:val="ru-RU"/>
        </w:rPr>
        <w:t xml:space="preserve">". </w:t>
      </w:r>
      <w:r w:rsidR="00F318C6">
        <w:rPr>
          <w:lang w:val="ru-RU"/>
        </w:rPr>
        <w:t>Служба</w:t>
      </w:r>
      <w:r w:rsidR="00F318C6" w:rsidRPr="00893120">
        <w:rPr>
          <w:lang w:val="ru-RU"/>
        </w:rPr>
        <w:t xml:space="preserve"> </w:t>
      </w:r>
      <w:r w:rsidR="00B64F51" w:rsidRPr="00893120">
        <w:rPr>
          <w:lang w:val="ru-RU"/>
        </w:rPr>
        <w:t xml:space="preserve">IA </w:t>
      </w:r>
      <w:r w:rsidR="00F318C6">
        <w:rPr>
          <w:lang w:val="ru-RU"/>
        </w:rPr>
        <w:t>координировала</w:t>
      </w:r>
      <w:r w:rsidR="00F318C6" w:rsidRPr="00893120">
        <w:rPr>
          <w:lang w:val="ru-RU"/>
        </w:rPr>
        <w:t xml:space="preserve"> </w:t>
      </w:r>
      <w:r w:rsidR="00F318C6">
        <w:rPr>
          <w:lang w:val="ru-RU"/>
        </w:rPr>
        <w:t>работу</w:t>
      </w:r>
      <w:r w:rsidR="00B64F51" w:rsidRPr="00893120">
        <w:rPr>
          <w:lang w:val="ru-RU"/>
        </w:rPr>
        <w:t xml:space="preserve"> </w:t>
      </w:r>
      <w:r w:rsidR="00893120">
        <w:rPr>
          <w:lang w:val="ru-RU"/>
        </w:rPr>
        <w:t>и</w:t>
      </w:r>
      <w:r w:rsidR="00893120" w:rsidRPr="00893120">
        <w:rPr>
          <w:lang w:val="ru-RU"/>
        </w:rPr>
        <w:t xml:space="preserve"> </w:t>
      </w:r>
      <w:r w:rsidR="003755D3">
        <w:rPr>
          <w:lang w:val="ru-RU"/>
        </w:rPr>
        <w:t>подготовила</w:t>
      </w:r>
      <w:r w:rsidR="00893120" w:rsidRPr="00893120">
        <w:rPr>
          <w:lang w:val="ru-RU"/>
        </w:rPr>
        <w:t xml:space="preserve"> </w:t>
      </w:r>
      <w:r w:rsidR="00047A21">
        <w:rPr>
          <w:lang w:val="ru-RU"/>
        </w:rPr>
        <w:t xml:space="preserve">обобщающий </w:t>
      </w:r>
      <w:r w:rsidR="00893120" w:rsidRPr="00893120">
        <w:rPr>
          <w:lang w:val="ru-RU"/>
        </w:rPr>
        <w:t xml:space="preserve">документ </w:t>
      </w:r>
      <w:r w:rsidR="00893120">
        <w:rPr>
          <w:lang w:val="ru-RU"/>
        </w:rPr>
        <w:t>Секретариата</w:t>
      </w:r>
      <w:r w:rsidR="00893120" w:rsidRPr="00893120">
        <w:rPr>
          <w:lang w:val="ru-RU"/>
        </w:rPr>
        <w:t xml:space="preserve"> </w:t>
      </w:r>
      <w:r w:rsidR="00B64F51" w:rsidRPr="00893120">
        <w:rPr>
          <w:rFonts w:cstheme="minorHAnsi"/>
          <w:color w:val="000000"/>
          <w:lang w:val="ru-RU" w:eastAsia="fr-CH"/>
        </w:rPr>
        <w:t>(</w:t>
      </w:r>
      <w:hyperlink r:id="rId14" w:history="1">
        <w:r w:rsidR="00B64F51">
          <w:rPr>
            <w:rStyle w:val="Hyperlink"/>
            <w:rFonts w:cstheme="minorHAnsi"/>
            <w:lang w:eastAsia="fr-CH"/>
          </w:rPr>
          <w:t>CWG</w:t>
        </w:r>
        <w:r w:rsidR="00B64F51" w:rsidRPr="00893120">
          <w:rPr>
            <w:rStyle w:val="Hyperlink"/>
            <w:rFonts w:cstheme="minorHAnsi"/>
            <w:lang w:val="ru-RU" w:eastAsia="fr-CH"/>
          </w:rPr>
          <w:t>-</w:t>
        </w:r>
        <w:r w:rsidR="00B64F51">
          <w:rPr>
            <w:rStyle w:val="Hyperlink"/>
            <w:rFonts w:cstheme="minorHAnsi"/>
            <w:lang w:eastAsia="fr-CH"/>
          </w:rPr>
          <w:t>FHR</w:t>
        </w:r>
        <w:r w:rsidR="00B64F51" w:rsidRPr="00893120">
          <w:rPr>
            <w:rStyle w:val="Hyperlink"/>
            <w:rFonts w:cstheme="minorHAnsi"/>
            <w:lang w:val="ru-RU" w:eastAsia="fr-CH"/>
          </w:rPr>
          <w:t>-15/3</w:t>
        </w:r>
      </w:hyperlink>
      <w:r w:rsidR="00B64F51" w:rsidRPr="00893120">
        <w:rPr>
          <w:rFonts w:cstheme="minorHAnsi"/>
          <w:color w:val="000000"/>
          <w:lang w:val="ru-RU" w:eastAsia="fr-CH"/>
        </w:rPr>
        <w:t>)</w:t>
      </w:r>
      <w:r w:rsidR="003755D3">
        <w:rPr>
          <w:rFonts w:cstheme="minorHAnsi"/>
          <w:color w:val="000000"/>
          <w:lang w:val="ru-RU" w:eastAsia="fr-CH"/>
        </w:rPr>
        <w:t>,</w:t>
      </w:r>
      <w:r w:rsidR="00B64F51" w:rsidRPr="00893120">
        <w:rPr>
          <w:lang w:val="ru-RU"/>
        </w:rPr>
        <w:t xml:space="preserve"> </w:t>
      </w:r>
      <w:r w:rsidR="00893120">
        <w:rPr>
          <w:lang w:val="ru-RU"/>
        </w:rPr>
        <w:t>содержащий сведения о статусе выполнения предложенных</w:t>
      </w:r>
      <w:r w:rsidR="00B64F51" w:rsidRPr="00893120">
        <w:rPr>
          <w:lang w:val="ru-RU"/>
        </w:rPr>
        <w:t xml:space="preserve"> </w:t>
      </w:r>
      <w:r w:rsidR="00B64F51" w:rsidRPr="00B64F51">
        <w:rPr>
          <w:lang w:val="en-US"/>
        </w:rPr>
        <w:t>PwC</w:t>
      </w:r>
      <w:r w:rsidR="00893120">
        <w:rPr>
          <w:lang w:val="ru-RU"/>
        </w:rPr>
        <w:t xml:space="preserve"> действий</w:t>
      </w:r>
      <w:r w:rsidR="00B64F51" w:rsidRPr="00893120">
        <w:rPr>
          <w:lang w:val="ru-RU"/>
        </w:rPr>
        <w:t xml:space="preserve">, </w:t>
      </w:r>
      <w:r w:rsidR="00893120">
        <w:rPr>
          <w:lang w:val="ru-RU"/>
        </w:rPr>
        <w:t>для</w:t>
      </w:r>
      <w:r w:rsidR="00B64F51" w:rsidRPr="00893120">
        <w:rPr>
          <w:lang w:val="ru-RU"/>
        </w:rPr>
        <w:t xml:space="preserve"> 15</w:t>
      </w:r>
      <w:r w:rsidR="00893120">
        <w:rPr>
          <w:lang w:val="ru-RU"/>
        </w:rPr>
        <w:t xml:space="preserve">-го собрания </w:t>
      </w:r>
      <w:r w:rsidR="00893120" w:rsidRPr="00893120">
        <w:rPr>
          <w:lang w:val="ru-RU"/>
        </w:rPr>
        <w:t>РГС-ФЛР</w:t>
      </w:r>
      <w:r w:rsidR="003755D3">
        <w:rPr>
          <w:lang w:val="ru-RU"/>
        </w:rPr>
        <w:t>,</w:t>
      </w:r>
      <w:r w:rsidR="00893120" w:rsidRPr="00893120">
        <w:rPr>
          <w:lang w:val="ru-RU"/>
        </w:rPr>
        <w:t xml:space="preserve"> состоявшегося в виртуальном формате </w:t>
      </w:r>
      <w:r w:rsidR="00B64F51" w:rsidRPr="00893120">
        <w:rPr>
          <w:lang w:val="ru-RU"/>
        </w:rPr>
        <w:t>11</w:t>
      </w:r>
      <w:r w:rsidR="00050195">
        <w:rPr>
          <w:lang w:val="ru-RU"/>
        </w:rPr>
        <w:t> </w:t>
      </w:r>
      <w:r w:rsidR="00893120">
        <w:rPr>
          <w:lang w:val="ru-RU"/>
        </w:rPr>
        <w:t>и</w:t>
      </w:r>
      <w:r w:rsidR="00B64F51" w:rsidRPr="00893120">
        <w:rPr>
          <w:lang w:val="ru-RU"/>
        </w:rPr>
        <w:t xml:space="preserve"> 12</w:t>
      </w:r>
      <w:r w:rsidR="00F93FD0" w:rsidRPr="00893120">
        <w:rPr>
          <w:lang w:val="ru-RU"/>
        </w:rPr>
        <w:t> </w:t>
      </w:r>
      <w:r w:rsidR="00893120">
        <w:rPr>
          <w:lang w:val="ru-RU"/>
        </w:rPr>
        <w:t>января</w:t>
      </w:r>
      <w:r w:rsidR="00B64F51" w:rsidRPr="00893120">
        <w:rPr>
          <w:lang w:val="ru-RU"/>
        </w:rPr>
        <w:t xml:space="preserve"> 2022</w:t>
      </w:r>
      <w:r w:rsidR="00893120">
        <w:rPr>
          <w:lang w:val="ru-RU"/>
        </w:rPr>
        <w:t xml:space="preserve"> года</w:t>
      </w:r>
      <w:r w:rsidR="00B64F51" w:rsidRPr="00893120">
        <w:rPr>
          <w:lang w:val="ru-RU"/>
        </w:rPr>
        <w:t>.</w:t>
      </w:r>
    </w:p>
    <w:p w14:paraId="6B5B77D0" w14:textId="77777777" w:rsidR="00080C48" w:rsidRPr="00DD7414" w:rsidRDefault="00080C48" w:rsidP="00080C48">
      <w:pPr>
        <w:pStyle w:val="Headingb"/>
        <w:rPr>
          <w:lang w:val="ru-RU"/>
        </w:rPr>
      </w:pPr>
      <w:r w:rsidRPr="00DD7414">
        <w:rPr>
          <w:lang w:val="ru-RU"/>
        </w:rPr>
        <w:t>Последующие меры в связи с рекомендациями по итогам внутреннего аудита</w:t>
      </w:r>
    </w:p>
    <w:p w14:paraId="2F10457F" w14:textId="5B10CB06" w:rsidR="00080C48" w:rsidRPr="00C63CC1" w:rsidRDefault="00080C48" w:rsidP="00050195">
      <w:pPr>
        <w:spacing w:after="120"/>
        <w:rPr>
          <w:rFonts w:cstheme="majorBidi"/>
          <w:lang w:val="ru-RU"/>
        </w:rPr>
      </w:pPr>
      <w:r w:rsidRPr="00DD7414">
        <w:rPr>
          <w:lang w:val="ru-RU"/>
        </w:rPr>
        <w:t>1</w:t>
      </w:r>
      <w:r w:rsidR="00C63CC1">
        <w:rPr>
          <w:lang w:val="ru-RU"/>
        </w:rPr>
        <w:t>5</w:t>
      </w:r>
      <w:r w:rsidRPr="00DD7414">
        <w:rPr>
          <w:lang w:val="ru-RU"/>
        </w:rPr>
        <w:tab/>
        <w:t xml:space="preserve">На протяжении отчетного периода Служба </w:t>
      </w:r>
      <w:r w:rsidR="00754197" w:rsidRPr="00DD7414">
        <w:rPr>
          <w:lang w:val="ru-RU"/>
        </w:rPr>
        <w:t>IA</w:t>
      </w:r>
      <w:r w:rsidRPr="00DD7414">
        <w:rPr>
          <w:lang w:val="ru-RU"/>
        </w:rPr>
        <w:t xml:space="preserve"> продолжала отслеживать последующие меры, принятые в связи с рекомендациями, содержащимися в предыдущих отчетах об аудите</w:t>
      </w:r>
      <w:r w:rsidRPr="00DD7414">
        <w:rPr>
          <w:rFonts w:cstheme="majorBidi"/>
          <w:lang w:val="ru-RU"/>
        </w:rPr>
        <w:t xml:space="preserve">. </w:t>
      </w:r>
      <w:r w:rsidRPr="00DD7414">
        <w:rPr>
          <w:lang w:val="ru-RU"/>
        </w:rPr>
        <w:t>За</w:t>
      </w:r>
      <w:r w:rsidR="001C08E6" w:rsidRPr="00DD7414">
        <w:rPr>
          <w:lang w:val="ru-RU"/>
        </w:rPr>
        <w:t> </w:t>
      </w:r>
      <w:r w:rsidRPr="00DD7414">
        <w:rPr>
          <w:lang w:val="ru-RU"/>
        </w:rPr>
        <w:t xml:space="preserve">последние 12 месяцев отмечен дальнейший прогресс, и ниже представлены статистические данные по выполнению рекомендаций (по состоянию на </w:t>
      </w:r>
      <w:r w:rsidR="00920E2B" w:rsidRPr="00DD7414">
        <w:rPr>
          <w:lang w:val="ru-RU"/>
        </w:rPr>
        <w:t xml:space="preserve">31 </w:t>
      </w:r>
      <w:r w:rsidR="00C63CC1">
        <w:rPr>
          <w:lang w:val="ru-RU"/>
        </w:rPr>
        <w:t>января</w:t>
      </w:r>
      <w:r w:rsidRPr="00DD7414">
        <w:rPr>
          <w:lang w:val="ru-RU"/>
        </w:rPr>
        <w:t xml:space="preserve"> 20</w:t>
      </w:r>
      <w:r w:rsidR="00C63CC1">
        <w:rPr>
          <w:lang w:val="ru-RU"/>
        </w:rPr>
        <w:t>22</w:t>
      </w:r>
      <w:r w:rsidRPr="00DD7414">
        <w:rPr>
          <w:lang w:val="ru-RU"/>
        </w:rPr>
        <w:t xml:space="preserve"> г.</w:t>
      </w:r>
      <w:r w:rsidRPr="00DD7414">
        <w:rPr>
          <w:rFonts w:cstheme="majorBidi"/>
          <w:lang w:val="ru-RU"/>
        </w:rPr>
        <w:t>):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582"/>
        <w:gridCol w:w="709"/>
        <w:gridCol w:w="708"/>
        <w:gridCol w:w="709"/>
        <w:gridCol w:w="709"/>
        <w:gridCol w:w="694"/>
        <w:gridCol w:w="567"/>
        <w:gridCol w:w="567"/>
        <w:gridCol w:w="567"/>
        <w:gridCol w:w="709"/>
        <w:gridCol w:w="708"/>
      </w:tblGrid>
      <w:tr w:rsidR="00F10282" w:rsidRPr="00050195" w14:paraId="675D75A4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6F85F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B3292F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3FAD4B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E7D915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7FD55F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294FB6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E3EDC8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25E473" w14:textId="77777777" w:rsidR="00F10282" w:rsidRPr="00050195" w:rsidRDefault="00F10282" w:rsidP="00C12E2E">
            <w:pPr>
              <w:pStyle w:val="Tablehead"/>
              <w:rPr>
                <w:rFonts w:cs="Calibri"/>
                <w:color w:val="FFFFFF" w:themeColor="background1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color w:val="FFFFFF" w:themeColor="background1"/>
                <w:sz w:val="16"/>
                <w:szCs w:val="16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EBA04F6" w14:textId="77777777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715D54DD" w14:textId="1D6A6A9D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7BE21DF" w14:textId="614E935E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52056996" w14:textId="11CDDC34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8D9A19" w14:textId="2BCC271E" w:rsidR="00F10282" w:rsidRPr="00050195" w:rsidRDefault="00F10282" w:rsidP="00C12E2E">
            <w:pPr>
              <w:pStyle w:val="Tablehead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Итого</w:t>
            </w:r>
          </w:p>
        </w:tc>
      </w:tr>
      <w:tr w:rsidR="00F10282" w:rsidRPr="00050195" w14:paraId="3E02017F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F623" w14:textId="5EDA495B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Количество отчетов/</w:t>
            </w:r>
            <w:r w:rsidRPr="00050195">
              <w:rPr>
                <w:rFonts w:cs="Calibri"/>
                <w:sz w:val="16"/>
                <w:szCs w:val="16"/>
                <w:lang w:val="ru-RU"/>
              </w:rPr>
              <w:br/>
              <w:t>записок об аудите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338" w14:textId="0918DAC1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89F" w14:textId="198CCD1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C093" w14:textId="49A4E74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F0A80F" w14:textId="5649C5F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6C2D6C" w14:textId="673D7F62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17909B" w14:textId="3D4CB1D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5444" w14:textId="4E42F430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72E5" w14:textId="737426B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8BE4" w14:textId="49FE706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121" w14:textId="412B2085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296D" w14:textId="65F4768B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EB755C" w14:textId="5ED24435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3</w:t>
            </w:r>
            <w:r w:rsidR="006C0D02"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7</w:t>
            </w:r>
          </w:p>
        </w:tc>
      </w:tr>
      <w:tr w:rsidR="00F10282" w:rsidRPr="00050195" w14:paraId="28F80AC4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C04" w14:textId="042086EE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Количество реко</w:t>
            </w:r>
            <w:r w:rsidR="00FC47D5">
              <w:rPr>
                <w:rFonts w:cs="Calibri"/>
                <w:sz w:val="16"/>
                <w:szCs w:val="16"/>
                <w:lang w:val="ru-RU"/>
              </w:rPr>
              <w:t>мен</w:t>
            </w:r>
            <w:r w:rsidR="00050195">
              <w:rPr>
                <w:rFonts w:cs="Calibri"/>
                <w:sz w:val="16"/>
                <w:szCs w:val="16"/>
                <w:lang w:val="ru-RU"/>
              </w:rPr>
              <w:t>-</w:t>
            </w:r>
            <w:r w:rsidRPr="00050195">
              <w:rPr>
                <w:rFonts w:cs="Calibri"/>
                <w:sz w:val="16"/>
                <w:szCs w:val="16"/>
                <w:lang w:val="ru-RU"/>
              </w:rPr>
              <w:t>даций −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8F37" w14:textId="34F6BA67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EAE6" w14:textId="0922597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color w:val="000000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7630F" w14:textId="292C30F0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6FE056" w14:textId="1F5E222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E0B53" w14:textId="7951307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53EF3" w14:textId="3ABE5B6B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B47" w14:textId="2CB8C298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F4F4" w14:textId="49F97A42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1D63" w14:textId="02D408ED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84BB" w14:textId="1B672280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4B4B" w14:textId="70352FD5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925C9F" w14:textId="023E1CFC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345</w:t>
            </w:r>
          </w:p>
        </w:tc>
      </w:tr>
      <w:tr w:rsidR="00F10282" w:rsidRPr="00050195" w14:paraId="53B4DAF0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439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ab/>
              <w:t>Выполняемые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7726F" w14:textId="3683170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0376" w14:textId="1B47FB21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9884" w14:textId="420B068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72C0D6" w14:textId="3C0683B2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5CDD7B" w14:textId="46A2F8FD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A9AEBF" w14:textId="02A9B5B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A0FD" w14:textId="27CB4BA5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EE50" w14:textId="336CF303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</w:t>
            </w:r>
            <w:r w:rsidR="006C0D02"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5C31" w14:textId="26DB0D15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575A" w14:textId="5AC0EE3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E9B0" w14:textId="36D8EA44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657135" w14:textId="5EE39A84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55</w:t>
            </w:r>
          </w:p>
        </w:tc>
      </w:tr>
      <w:tr w:rsidR="00F10282" w:rsidRPr="00050195" w14:paraId="5C2A4D98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1D7A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ab/>
              <w:t>Просроченные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A791" w14:textId="5B643564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1BC5" w14:textId="67EC1BF4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A5A51" w14:textId="60188364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F791BE" w14:textId="277585E5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F0854" w14:textId="629E719D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0F6457" w14:textId="7379828D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581D" w14:textId="1792585B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29C6" w14:textId="64545BB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7795" w14:textId="134F98A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A111" w14:textId="6FA12832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A637" w14:textId="01897C4B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616346" w14:textId="5FC1CAB7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7</w:t>
            </w:r>
          </w:p>
        </w:tc>
      </w:tr>
      <w:tr w:rsidR="00F10282" w:rsidRPr="00050195" w14:paraId="45DA8B44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9FE7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ab/>
              <w:t>Выполненные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63908" w14:textId="70F59C7C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91F" w14:textId="64D61387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465B6" w14:textId="0F4F1EF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4EBCB9" w14:textId="696387D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AAFB98" w14:textId="66BA7DC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</w:t>
            </w:r>
            <w:r w:rsidR="006C0D02" w:rsidRPr="00050195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82CFC3" w14:textId="2F4239A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21A3" w14:textId="1AAA6BD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5416" w14:textId="7FDDA5AC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</w:t>
            </w:r>
            <w:r w:rsidR="006C0D02" w:rsidRPr="00050195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C315" w14:textId="40DA4C8B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85E0" w14:textId="48B78667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235F" w14:textId="411D3B6F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B2D677" w14:textId="69ADD356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283</w:t>
            </w:r>
          </w:p>
        </w:tc>
      </w:tr>
      <w:tr w:rsidR="00F10282" w:rsidRPr="00050195" w14:paraId="5143A91F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1D893D" w14:textId="77777777" w:rsidR="00F10282" w:rsidRPr="00050195" w:rsidRDefault="00F10282" w:rsidP="00050195">
            <w:pPr>
              <w:pStyle w:val="Tabletext"/>
              <w:spacing w:before="0" w:after="0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26EBAF" w14:textId="42F20ABB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C829A" w14:textId="77777777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A9B023E" w14:textId="6468E794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B1FC7D" w14:textId="1201A6CE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2FF378" w14:textId="5F2E65BB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49C14F1" w14:textId="6448FD68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C2CEE" w14:textId="493A7FE3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75F6" w14:textId="42EAEAB2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E2D7F" w14:textId="5A928AFD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DB4CC" w14:textId="77777777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6CB64" w14:textId="77777777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D6B" w14:textId="033CA5F1" w:rsidR="00F10282" w:rsidRPr="00050195" w:rsidRDefault="00F10282" w:rsidP="00050195">
            <w:pPr>
              <w:pStyle w:val="Tabletext"/>
              <w:spacing w:before="0" w:after="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F10282" w:rsidRPr="00050195" w14:paraId="6ECBDDD0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EFA4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% выполняемых рекомендаций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3733" w14:textId="5766BA9A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8A73" w14:textId="460FEA3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3F56" w14:textId="096013B2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CE6" w14:textId="45E046B1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3869" w14:textId="1918D948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</w:t>
            </w:r>
            <w:r w:rsidR="00F10282" w:rsidRPr="00050195">
              <w:rPr>
                <w:rFonts w:cs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DA5A" w14:textId="79A780CB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27%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901A" w14:textId="63CBE5B6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</w:t>
            </w:r>
            <w:r w:rsidR="00F10282" w:rsidRPr="00050195">
              <w:rPr>
                <w:rFonts w:cs="Calibri"/>
                <w:sz w:val="16"/>
                <w:szCs w:val="16"/>
                <w:lang w:val="ru-RU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462" w14:textId="49743C59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38</w:t>
            </w:r>
            <w:r w:rsidR="00F10282" w:rsidRPr="00050195">
              <w:rPr>
                <w:rFonts w:cs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AC65" w14:textId="70D516D4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20</w:t>
            </w:r>
            <w:r w:rsidR="00F10282" w:rsidRPr="00050195">
              <w:rPr>
                <w:rFonts w:cs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B6C" w14:textId="584B8D9D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CDAB5" w14:textId="6F695354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68%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B592C2" w14:textId="54157296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16</w:t>
            </w:r>
            <w:r w:rsidR="00F10282"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F10282" w:rsidRPr="00050195" w14:paraId="7FB8EA9E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5D64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% просроченных рекомендаций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D4C" w14:textId="2EB62E04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18%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0BF" w14:textId="65398741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E0F" w14:textId="6D7D0ED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D53DD" w14:textId="71B0797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2AE4" w14:textId="1A31D9FA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2BFE" w14:textId="0584016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8DD6" w14:textId="343654A9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070F" w14:textId="235AB07D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ACC1" w14:textId="69315DC3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71F6" w14:textId="25E6DE14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ACF8" w14:textId="61E4FCF5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164DF0" w14:textId="7CAD6EB2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2</w:t>
            </w:r>
            <w:r w:rsidR="00F10282"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  <w:tr w:rsidR="00F10282" w:rsidRPr="00050195" w14:paraId="3FE77EE7" w14:textId="77777777" w:rsidTr="00F911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81B" w14:textId="77777777" w:rsidR="00F10282" w:rsidRPr="00050195" w:rsidRDefault="00F10282" w:rsidP="009F7E03">
            <w:pPr>
              <w:pStyle w:val="Tabletext"/>
              <w:spacing w:before="20" w:after="20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% выполненных рекомендаций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05A0" w14:textId="1DE5BAF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82%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A1AC" w14:textId="62045F51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EF17" w14:textId="650B958F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A9E" w14:textId="08757A1A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AEF8" w14:textId="078681F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567" w14:textId="4AA0823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73%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BAEE" w14:textId="00797DA8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63%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267C" w14:textId="7A06D5F0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62%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3DB5" w14:textId="5EA010EE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63FE" w14:textId="5D19C7A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C4AB" w14:textId="7B2A7B46" w:rsidR="00F10282" w:rsidRPr="00050195" w:rsidRDefault="00F10282" w:rsidP="009F7E03">
            <w:pPr>
              <w:pStyle w:val="Tabletext"/>
              <w:spacing w:before="20" w:after="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sz w:val="16"/>
                <w:szCs w:val="16"/>
                <w:lang w:val="ru-RU"/>
              </w:rPr>
              <w:t>11%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4840B8" w14:textId="59E1AD6B" w:rsidR="00F10282" w:rsidRPr="00050195" w:rsidRDefault="006C0D02" w:rsidP="009F7E03">
            <w:pPr>
              <w:pStyle w:val="Tabletext"/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82</w:t>
            </w:r>
            <w:r w:rsidR="00F10282" w:rsidRPr="00050195">
              <w:rPr>
                <w:rFonts w:cs="Calibri"/>
                <w:b/>
                <w:bCs/>
                <w:sz w:val="16"/>
                <w:szCs w:val="16"/>
                <w:lang w:val="ru-RU"/>
              </w:rPr>
              <w:t>%</w:t>
            </w:r>
          </w:p>
        </w:tc>
      </w:tr>
    </w:tbl>
    <w:p w14:paraId="2C909003" w14:textId="77777777" w:rsidR="00080C48" w:rsidRPr="00DD7414" w:rsidRDefault="00080C48" w:rsidP="00050195">
      <w:pPr>
        <w:spacing w:before="60"/>
        <w:jc w:val="center"/>
        <w:rPr>
          <w:lang w:val="ru-RU"/>
        </w:rPr>
      </w:pPr>
      <w:r w:rsidRPr="00DD7414">
        <w:rPr>
          <w:lang w:val="ru-RU"/>
        </w:rPr>
        <w:t>_______________</w:t>
      </w:r>
    </w:p>
    <w:sectPr w:rsidR="00080C48" w:rsidRPr="00DD7414" w:rsidSect="001060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0C28" w14:textId="77777777" w:rsidR="00FF0ACE" w:rsidRDefault="00FF0ACE">
      <w:r>
        <w:separator/>
      </w:r>
    </w:p>
  </w:endnote>
  <w:endnote w:type="continuationSeparator" w:id="0">
    <w:p w14:paraId="6A6CA68B" w14:textId="77777777" w:rsidR="00FF0ACE" w:rsidRDefault="00FF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CF24" w14:textId="77777777" w:rsidR="009B16D8" w:rsidRDefault="009B1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24BE1472" w:rsidR="00FF0ACE" w:rsidRPr="001060D3" w:rsidRDefault="001F4CC8" w:rsidP="009B0BAE">
    <w:pPr>
      <w:pStyle w:val="Footer"/>
      <w:rPr>
        <w:sz w:val="18"/>
        <w:szCs w:val="18"/>
      </w:rPr>
    </w:pPr>
    <w:r w:rsidRPr="009B16D8">
      <w:rPr>
        <w:color w:val="F2F2F2" w:themeColor="background1" w:themeShade="F2"/>
      </w:rPr>
      <w:fldChar w:fldCharType="begin"/>
    </w:r>
    <w:r w:rsidRPr="009B16D8">
      <w:rPr>
        <w:color w:val="F2F2F2" w:themeColor="background1" w:themeShade="F2"/>
      </w:rPr>
      <w:instrText xml:space="preserve"> FILENAME \p  \* MERGEFORMAT </w:instrText>
    </w:r>
    <w:r w:rsidRPr="009B16D8">
      <w:rPr>
        <w:color w:val="F2F2F2" w:themeColor="background1" w:themeShade="F2"/>
      </w:rPr>
      <w:fldChar w:fldCharType="separate"/>
    </w:r>
    <w:r w:rsidR="00FF0ACE" w:rsidRPr="009B16D8">
      <w:rPr>
        <w:color w:val="F2F2F2" w:themeColor="background1" w:themeShade="F2"/>
      </w:rPr>
      <w:t>P:\RUS\SG\CONSEIL\C22\000\044R.docx</w:t>
    </w:r>
    <w:r w:rsidRPr="009B16D8">
      <w:rPr>
        <w:color w:val="F2F2F2" w:themeColor="background1" w:themeShade="F2"/>
      </w:rPr>
      <w:fldChar w:fldCharType="end"/>
    </w:r>
    <w:r w:rsidR="00FF0ACE" w:rsidRPr="009B16D8">
      <w:rPr>
        <w:color w:val="F2F2F2" w:themeColor="background1" w:themeShade="F2"/>
      </w:rPr>
      <w:t xml:space="preserve"> (500641)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A61" w14:textId="77777777" w:rsidR="00FF0ACE" w:rsidRDefault="00FF0AC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9082" w14:textId="77777777" w:rsidR="00FF0ACE" w:rsidRDefault="00FF0ACE">
      <w:r>
        <w:t>____________________</w:t>
      </w:r>
    </w:p>
  </w:footnote>
  <w:footnote w:type="continuationSeparator" w:id="0">
    <w:p w14:paraId="2D2CEB30" w14:textId="77777777" w:rsidR="00FF0ACE" w:rsidRDefault="00FF0ACE">
      <w:r>
        <w:continuationSeparator/>
      </w:r>
    </w:p>
  </w:footnote>
  <w:footnote w:id="1">
    <w:p w14:paraId="43658EF7" w14:textId="5954E487" w:rsidR="0064328F" w:rsidRPr="0064328F" w:rsidRDefault="0064328F">
      <w:pPr>
        <w:pStyle w:val="FootnoteText"/>
        <w:rPr>
          <w:lang w:val="ru-RU"/>
        </w:rPr>
      </w:pPr>
      <w:r w:rsidRPr="0064328F">
        <w:rPr>
          <w:rStyle w:val="FootnoteReference"/>
          <w:lang w:val="ru-RU"/>
        </w:rPr>
        <w:t>1</w:t>
      </w:r>
      <w:r w:rsidRPr="0064328F">
        <w:rPr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2">
    <w:p w14:paraId="48EAFD7C" w14:textId="1B66F2E8" w:rsidR="0064328F" w:rsidRPr="0064328F" w:rsidRDefault="0064328F">
      <w:pPr>
        <w:pStyle w:val="FootnoteText"/>
        <w:rPr>
          <w:lang w:val="ru-RU"/>
        </w:rPr>
      </w:pPr>
      <w:r w:rsidRPr="0064328F">
        <w:rPr>
          <w:rStyle w:val="FootnoteReference"/>
          <w:lang w:val="ru-RU"/>
        </w:rPr>
        <w:t>2</w:t>
      </w:r>
      <w:r w:rsidRPr="0064328F">
        <w:rPr>
          <w:lang w:val="ru-RU"/>
        </w:rPr>
        <w:tab/>
      </w:r>
      <w:r w:rsidRPr="009D213E">
        <w:rPr>
          <w:lang w:val="ru-RU"/>
        </w:rPr>
        <w:t xml:space="preserve">Институт внутренних аудиторов, </w:t>
      </w:r>
      <w:r w:rsidR="009B16D8">
        <w:fldChar w:fldCharType="begin"/>
      </w:r>
      <w:r w:rsidR="009B16D8" w:rsidRPr="009B16D8">
        <w:rPr>
          <w:lang w:val="ru-RU"/>
        </w:rPr>
        <w:instrText xml:space="preserve"> </w:instrText>
      </w:r>
      <w:r w:rsidR="009B16D8">
        <w:instrText>HYPERLINK</w:instrText>
      </w:r>
      <w:r w:rsidR="009B16D8" w:rsidRPr="009B16D8">
        <w:rPr>
          <w:lang w:val="ru-RU"/>
        </w:rPr>
        <w:instrText xml:space="preserve"> "</w:instrText>
      </w:r>
      <w:r w:rsidR="009B16D8">
        <w:instrText>http</w:instrText>
      </w:r>
      <w:r w:rsidR="009B16D8" w:rsidRPr="009B16D8">
        <w:rPr>
          <w:lang w:val="ru-RU"/>
        </w:rPr>
        <w:instrText>://</w:instrText>
      </w:r>
      <w:r w:rsidR="009B16D8">
        <w:instrText>www</w:instrText>
      </w:r>
      <w:r w:rsidR="009B16D8" w:rsidRPr="009B16D8">
        <w:rPr>
          <w:lang w:val="ru-RU"/>
        </w:rPr>
        <w:instrText>.</w:instrText>
      </w:r>
      <w:r w:rsidR="009B16D8">
        <w:instrText>theiia</w:instrText>
      </w:r>
      <w:r w:rsidR="009B16D8" w:rsidRPr="009B16D8">
        <w:rPr>
          <w:lang w:val="ru-RU"/>
        </w:rPr>
        <w:instrText>.</w:instrText>
      </w:r>
      <w:r w:rsidR="009B16D8">
        <w:instrText>org</w:instrText>
      </w:r>
      <w:r w:rsidR="009B16D8" w:rsidRPr="009B16D8">
        <w:rPr>
          <w:lang w:val="ru-RU"/>
        </w:rPr>
        <w:instrText xml:space="preserve">" </w:instrText>
      </w:r>
      <w:r w:rsidR="009B16D8">
        <w:fldChar w:fldCharType="separate"/>
      </w:r>
      <w:r w:rsidRPr="00E25A17">
        <w:rPr>
          <w:rStyle w:val="Hyperlink"/>
        </w:rPr>
        <w:t>www</w:t>
      </w:r>
      <w:r w:rsidRPr="009D213E">
        <w:rPr>
          <w:rStyle w:val="Hyperlink"/>
          <w:lang w:val="ru-RU"/>
        </w:rPr>
        <w:t>.</w:t>
      </w:r>
      <w:r w:rsidRPr="00E25A17">
        <w:rPr>
          <w:rStyle w:val="Hyperlink"/>
        </w:rPr>
        <w:t>theiia</w:t>
      </w:r>
      <w:r w:rsidRPr="009D213E">
        <w:rPr>
          <w:rStyle w:val="Hyperlink"/>
          <w:lang w:val="ru-RU"/>
        </w:rPr>
        <w:t>.</w:t>
      </w:r>
      <w:r w:rsidRPr="00E25A17">
        <w:rPr>
          <w:rStyle w:val="Hyperlink"/>
        </w:rPr>
        <w:t>org</w:t>
      </w:r>
      <w:r w:rsidR="009B16D8">
        <w:rPr>
          <w:rStyle w:val="Hyperlink"/>
        </w:rPr>
        <w:fldChar w:fldCharType="end"/>
      </w:r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3">
    <w:p w14:paraId="17BFAD7F" w14:textId="0350D31A" w:rsidR="0064328F" w:rsidRPr="0064328F" w:rsidRDefault="0064328F">
      <w:pPr>
        <w:pStyle w:val="FootnoteText"/>
        <w:rPr>
          <w:lang w:val="ru-RU"/>
        </w:rPr>
      </w:pPr>
      <w:r w:rsidRPr="0064328F">
        <w:rPr>
          <w:rStyle w:val="FootnoteReference"/>
          <w:lang w:val="ru-RU"/>
        </w:rPr>
        <w:t>3</w:t>
      </w:r>
      <w:r w:rsidRPr="0064328F">
        <w:rPr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4">
    <w:p w14:paraId="7DEE0469" w14:textId="72334F6F" w:rsidR="00282A25" w:rsidRPr="00282A25" w:rsidRDefault="00282A25">
      <w:pPr>
        <w:pStyle w:val="FootnoteText"/>
        <w:rPr>
          <w:lang w:val="ru-RU"/>
        </w:rPr>
      </w:pPr>
      <w:r w:rsidRPr="00282A25">
        <w:rPr>
          <w:rStyle w:val="FootnoteReference"/>
          <w:lang w:val="ru-RU"/>
        </w:rPr>
        <w:t>4</w:t>
      </w:r>
      <w:r w:rsidRPr="00282A25">
        <w:rPr>
          <w:lang w:val="ru-RU"/>
        </w:rPr>
        <w:tab/>
      </w:r>
      <w:r w:rsidRPr="003E5C17">
        <w:rPr>
          <w:lang w:val="ru-RU"/>
        </w:rPr>
        <w:t xml:space="preserve">2500. </w:t>
      </w:r>
      <w:r w:rsidRPr="00EE2991">
        <w:t>A</w:t>
      </w:r>
      <w:r w:rsidRPr="0000207C">
        <w:rPr>
          <w:lang w:val="ru-RU"/>
        </w:rPr>
        <w:t xml:space="preserve">1 – </w:t>
      </w:r>
      <w:r>
        <w:rPr>
          <w:rFonts w:cstheme="minorHAnsi"/>
          <w:lang w:val="ru-RU"/>
        </w:rPr>
        <w:t>Г</w:t>
      </w:r>
      <w:r w:rsidRPr="0000207C">
        <w:rPr>
          <w:rFonts w:cstheme="minorHAnsi"/>
          <w:lang w:val="ru-RU"/>
        </w:rPr>
        <w:t>лавны</w:t>
      </w:r>
      <w:r>
        <w:rPr>
          <w:rFonts w:cstheme="minorHAnsi"/>
          <w:lang w:val="ru-RU"/>
        </w:rPr>
        <w:t>й</w:t>
      </w:r>
      <w:r w:rsidRPr="0000207C">
        <w:rPr>
          <w:rFonts w:cstheme="minorHAnsi"/>
          <w:lang w:val="ru-RU"/>
        </w:rPr>
        <w:t xml:space="preserve"> исполнительны</w:t>
      </w:r>
      <w:r>
        <w:rPr>
          <w:rFonts w:cstheme="minorHAnsi"/>
          <w:lang w:val="ru-RU"/>
        </w:rPr>
        <w:t>й</w:t>
      </w:r>
      <w:r w:rsidRPr="0000207C">
        <w:rPr>
          <w:rFonts w:cstheme="minorHAnsi"/>
          <w:lang w:val="ru-RU"/>
        </w:rPr>
        <w:t xml:space="preserve"> сотрудник по аудиту</w:t>
      </w:r>
      <w:r w:rsidRPr="0000207C">
        <w:rPr>
          <w:lang w:val="ru-RU"/>
        </w:rPr>
        <w:t xml:space="preserve"> </w:t>
      </w:r>
      <w:r>
        <w:rPr>
          <w:lang w:val="ru-RU"/>
        </w:rPr>
        <w:t>должен</w:t>
      </w:r>
      <w:r w:rsidRPr="0000207C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00207C">
        <w:rPr>
          <w:lang w:val="ru-RU"/>
        </w:rPr>
        <w:t xml:space="preserve"> </w:t>
      </w:r>
      <w:r>
        <w:rPr>
          <w:lang w:val="ru-RU"/>
        </w:rPr>
        <w:t>процесс</w:t>
      </w:r>
      <w:r w:rsidRPr="0000207C">
        <w:rPr>
          <w:lang w:val="ru-RU"/>
        </w:rPr>
        <w:t xml:space="preserve"> </w:t>
      </w:r>
      <w:r>
        <w:rPr>
          <w:lang w:val="ru-RU"/>
        </w:rPr>
        <w:t>принятия</w:t>
      </w:r>
      <w:r w:rsidRPr="0000207C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 xml:space="preserve"> </w:t>
      </w:r>
      <w:r>
        <w:rPr>
          <w:lang w:val="ru-RU"/>
        </w:rPr>
        <w:t>для</w:t>
      </w:r>
      <w:r w:rsidRPr="0000207C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00207C">
        <w:rPr>
          <w:lang w:val="ru-RU"/>
        </w:rPr>
        <w:t xml:space="preserve"> </w:t>
      </w:r>
      <w:r>
        <w:rPr>
          <w:lang w:val="ru-RU"/>
        </w:rPr>
        <w:t>контроля</w:t>
      </w:r>
      <w:r w:rsidRPr="0000207C">
        <w:rPr>
          <w:lang w:val="ru-RU"/>
        </w:rPr>
        <w:t xml:space="preserve"> </w:t>
      </w:r>
      <w:r>
        <w:rPr>
          <w:lang w:val="ru-RU"/>
        </w:rPr>
        <w:t>и</w:t>
      </w:r>
      <w:r w:rsidRPr="0000207C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0207C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00207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 xml:space="preserve"> </w:t>
      </w:r>
      <w:r>
        <w:rPr>
          <w:lang w:val="ru-RU"/>
        </w:rPr>
        <w:t>по</w:t>
      </w:r>
      <w:r w:rsidRPr="0000207C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00207C">
        <w:rPr>
          <w:lang w:val="ru-RU"/>
        </w:rPr>
        <w:t xml:space="preserve"> </w:t>
      </w:r>
      <w:r>
        <w:rPr>
          <w:lang w:val="ru-RU"/>
        </w:rPr>
        <w:t>или</w:t>
      </w:r>
      <w:r w:rsidRPr="0000207C">
        <w:rPr>
          <w:lang w:val="ru-RU"/>
        </w:rPr>
        <w:t xml:space="preserve"> </w:t>
      </w:r>
      <w:r>
        <w:rPr>
          <w:lang w:val="ru-RU"/>
        </w:rPr>
        <w:t>же</w:t>
      </w:r>
      <w:r w:rsidRPr="0000207C">
        <w:rPr>
          <w:lang w:val="ru-RU"/>
        </w:rPr>
        <w:t xml:space="preserve"> </w:t>
      </w:r>
      <w:r>
        <w:rPr>
          <w:lang w:val="ru-RU"/>
        </w:rPr>
        <w:t>согласия</w:t>
      </w:r>
      <w:r w:rsidRPr="0000207C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00207C">
        <w:rPr>
          <w:lang w:val="ru-RU"/>
        </w:rPr>
        <w:t xml:space="preserve"> </w:t>
      </w:r>
      <w:r>
        <w:rPr>
          <w:lang w:val="ru-RU"/>
        </w:rPr>
        <w:t>высшего</w:t>
      </w:r>
      <w:r w:rsidRPr="0000207C">
        <w:rPr>
          <w:lang w:val="ru-RU"/>
        </w:rPr>
        <w:t xml:space="preserve"> </w:t>
      </w:r>
      <w:r>
        <w:rPr>
          <w:lang w:val="ru-RU"/>
        </w:rPr>
        <w:t>звена</w:t>
      </w:r>
      <w:r w:rsidRPr="0000207C">
        <w:rPr>
          <w:lang w:val="ru-RU"/>
        </w:rPr>
        <w:t xml:space="preserve"> </w:t>
      </w:r>
      <w:r>
        <w:rPr>
          <w:lang w:val="ru-RU"/>
        </w:rPr>
        <w:t>на</w:t>
      </w:r>
      <w:r w:rsidRPr="0000207C">
        <w:rPr>
          <w:lang w:val="ru-RU"/>
        </w:rPr>
        <w:t xml:space="preserve"> </w:t>
      </w:r>
      <w:r>
        <w:rPr>
          <w:lang w:val="ru-RU"/>
        </w:rPr>
        <w:t>риск</w:t>
      </w:r>
      <w:r w:rsidRPr="0000207C">
        <w:rPr>
          <w:lang w:val="ru-RU"/>
        </w:rPr>
        <w:t xml:space="preserve"> </w:t>
      </w:r>
      <w:r>
        <w:rPr>
          <w:lang w:val="ru-RU"/>
        </w:rPr>
        <w:t>неприятия</w:t>
      </w:r>
      <w:r w:rsidRPr="0000207C">
        <w:rPr>
          <w:lang w:val="ru-RU"/>
        </w:rPr>
        <w:t xml:space="preserve"> </w:t>
      </w:r>
      <w:r>
        <w:rPr>
          <w:lang w:val="ru-RU"/>
        </w:rPr>
        <w:t>мер</w:t>
      </w:r>
      <w:r w:rsidRPr="0000207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F9F2" w14:textId="77777777" w:rsidR="009B16D8" w:rsidRDefault="009B1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156575B3" w:rsidR="00FF0ACE" w:rsidRDefault="00FF0AC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076F4">
      <w:rPr>
        <w:noProof/>
      </w:rPr>
      <w:t>6</w:t>
    </w:r>
    <w:r>
      <w:rPr>
        <w:noProof/>
      </w:rPr>
      <w:fldChar w:fldCharType="end"/>
    </w:r>
  </w:p>
  <w:p w14:paraId="471A9E69" w14:textId="15F6D401" w:rsidR="00FF0ACE" w:rsidRDefault="00FF0ACE" w:rsidP="001060D3">
    <w:pPr>
      <w:pStyle w:val="Header"/>
    </w:pPr>
    <w:r>
      <w:t>C2</w:t>
    </w:r>
    <w:r>
      <w:rPr>
        <w:lang w:val="ru-RU"/>
      </w:rPr>
      <w:t>2</w:t>
    </w:r>
    <w:r>
      <w:t>/</w:t>
    </w:r>
    <w:r>
      <w:rPr>
        <w:lang w:val="ru-RU"/>
      </w:rPr>
      <w:t>44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1A2E" w14:textId="77777777" w:rsidR="009B16D8" w:rsidRDefault="009B1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207C"/>
    <w:rsid w:val="00005F2E"/>
    <w:rsid w:val="0002183E"/>
    <w:rsid w:val="000375F2"/>
    <w:rsid w:val="00047A21"/>
    <w:rsid w:val="00050195"/>
    <w:rsid w:val="000569B4"/>
    <w:rsid w:val="00062D0C"/>
    <w:rsid w:val="0006690F"/>
    <w:rsid w:val="00071E04"/>
    <w:rsid w:val="00080C48"/>
    <w:rsid w:val="00080E82"/>
    <w:rsid w:val="00082B74"/>
    <w:rsid w:val="00082FD2"/>
    <w:rsid w:val="000E568E"/>
    <w:rsid w:val="000F0FC3"/>
    <w:rsid w:val="001060D3"/>
    <w:rsid w:val="00106313"/>
    <w:rsid w:val="0011584E"/>
    <w:rsid w:val="0012524C"/>
    <w:rsid w:val="0014734F"/>
    <w:rsid w:val="0015710D"/>
    <w:rsid w:val="00163A32"/>
    <w:rsid w:val="00181FDF"/>
    <w:rsid w:val="00191301"/>
    <w:rsid w:val="00192B41"/>
    <w:rsid w:val="001B7B09"/>
    <w:rsid w:val="001C08E6"/>
    <w:rsid w:val="001E6719"/>
    <w:rsid w:val="001F4CC8"/>
    <w:rsid w:val="00202728"/>
    <w:rsid w:val="00225368"/>
    <w:rsid w:val="00227FF0"/>
    <w:rsid w:val="0023051E"/>
    <w:rsid w:val="00246C96"/>
    <w:rsid w:val="00264559"/>
    <w:rsid w:val="0026526C"/>
    <w:rsid w:val="00277B82"/>
    <w:rsid w:val="00282A25"/>
    <w:rsid w:val="00291EB6"/>
    <w:rsid w:val="002D2F57"/>
    <w:rsid w:val="002D48C5"/>
    <w:rsid w:val="00301D5B"/>
    <w:rsid w:val="00323703"/>
    <w:rsid w:val="00331917"/>
    <w:rsid w:val="00343F83"/>
    <w:rsid w:val="00344DD4"/>
    <w:rsid w:val="00371C1F"/>
    <w:rsid w:val="003755D3"/>
    <w:rsid w:val="00375B9F"/>
    <w:rsid w:val="00377BEE"/>
    <w:rsid w:val="003B071C"/>
    <w:rsid w:val="003D75D6"/>
    <w:rsid w:val="003E368A"/>
    <w:rsid w:val="003E5C17"/>
    <w:rsid w:val="003E7DEF"/>
    <w:rsid w:val="003F099E"/>
    <w:rsid w:val="003F235E"/>
    <w:rsid w:val="004023E0"/>
    <w:rsid w:val="00403DD8"/>
    <w:rsid w:val="00425C3A"/>
    <w:rsid w:val="0042702E"/>
    <w:rsid w:val="00433642"/>
    <w:rsid w:val="00442515"/>
    <w:rsid w:val="0045686C"/>
    <w:rsid w:val="00461A74"/>
    <w:rsid w:val="004673AA"/>
    <w:rsid w:val="00483E27"/>
    <w:rsid w:val="004918C4"/>
    <w:rsid w:val="00497703"/>
    <w:rsid w:val="004A0374"/>
    <w:rsid w:val="004A45B5"/>
    <w:rsid w:val="004C5537"/>
    <w:rsid w:val="004D0129"/>
    <w:rsid w:val="004E0894"/>
    <w:rsid w:val="004E15ED"/>
    <w:rsid w:val="004F356A"/>
    <w:rsid w:val="005348A4"/>
    <w:rsid w:val="0055119C"/>
    <w:rsid w:val="00555EBA"/>
    <w:rsid w:val="00561097"/>
    <w:rsid w:val="005739E2"/>
    <w:rsid w:val="005801EF"/>
    <w:rsid w:val="005867E1"/>
    <w:rsid w:val="005A64D5"/>
    <w:rsid w:val="005B3DEC"/>
    <w:rsid w:val="00600038"/>
    <w:rsid w:val="00601994"/>
    <w:rsid w:val="00623DB1"/>
    <w:rsid w:val="0064328F"/>
    <w:rsid w:val="00644801"/>
    <w:rsid w:val="00646DC6"/>
    <w:rsid w:val="00651752"/>
    <w:rsid w:val="00691E37"/>
    <w:rsid w:val="006A3B28"/>
    <w:rsid w:val="006B2E7B"/>
    <w:rsid w:val="006C0D02"/>
    <w:rsid w:val="006E2D42"/>
    <w:rsid w:val="006F0449"/>
    <w:rsid w:val="006F155C"/>
    <w:rsid w:val="006F562F"/>
    <w:rsid w:val="00703676"/>
    <w:rsid w:val="00707304"/>
    <w:rsid w:val="00732269"/>
    <w:rsid w:val="00753821"/>
    <w:rsid w:val="00754197"/>
    <w:rsid w:val="00783CE0"/>
    <w:rsid w:val="00785ABD"/>
    <w:rsid w:val="00786CC9"/>
    <w:rsid w:val="0079703B"/>
    <w:rsid w:val="007A2DD4"/>
    <w:rsid w:val="007A4543"/>
    <w:rsid w:val="007C5EA2"/>
    <w:rsid w:val="007D38B5"/>
    <w:rsid w:val="007E7EA0"/>
    <w:rsid w:val="00807255"/>
    <w:rsid w:val="008076F4"/>
    <w:rsid w:val="0081023E"/>
    <w:rsid w:val="008173AA"/>
    <w:rsid w:val="00824655"/>
    <w:rsid w:val="00825B31"/>
    <w:rsid w:val="0083268F"/>
    <w:rsid w:val="00840A14"/>
    <w:rsid w:val="00854B07"/>
    <w:rsid w:val="008715FD"/>
    <w:rsid w:val="0089068A"/>
    <w:rsid w:val="00893120"/>
    <w:rsid w:val="008B091D"/>
    <w:rsid w:val="008B62B4"/>
    <w:rsid w:val="008B7D4F"/>
    <w:rsid w:val="008D2D7B"/>
    <w:rsid w:val="008E0737"/>
    <w:rsid w:val="008F4708"/>
    <w:rsid w:val="008F7C2C"/>
    <w:rsid w:val="00915744"/>
    <w:rsid w:val="00917FD2"/>
    <w:rsid w:val="00920E2B"/>
    <w:rsid w:val="00940E96"/>
    <w:rsid w:val="009B0BAE"/>
    <w:rsid w:val="009B16D8"/>
    <w:rsid w:val="009B7714"/>
    <w:rsid w:val="009C1C89"/>
    <w:rsid w:val="009D45F4"/>
    <w:rsid w:val="009F2B5A"/>
    <w:rsid w:val="009F3448"/>
    <w:rsid w:val="009F7E03"/>
    <w:rsid w:val="00A01CF9"/>
    <w:rsid w:val="00A15A8E"/>
    <w:rsid w:val="00A36B1B"/>
    <w:rsid w:val="00A37FA9"/>
    <w:rsid w:val="00A41DB2"/>
    <w:rsid w:val="00A47C3F"/>
    <w:rsid w:val="00A60388"/>
    <w:rsid w:val="00A71773"/>
    <w:rsid w:val="00A75BD3"/>
    <w:rsid w:val="00A90A2E"/>
    <w:rsid w:val="00AA7750"/>
    <w:rsid w:val="00AB5FCD"/>
    <w:rsid w:val="00AC1AD9"/>
    <w:rsid w:val="00AD1E22"/>
    <w:rsid w:val="00AE1409"/>
    <w:rsid w:val="00AE2C85"/>
    <w:rsid w:val="00AF4D1A"/>
    <w:rsid w:val="00B12A37"/>
    <w:rsid w:val="00B63EF2"/>
    <w:rsid w:val="00B64F51"/>
    <w:rsid w:val="00BA5E60"/>
    <w:rsid w:val="00BA7D89"/>
    <w:rsid w:val="00BC0D39"/>
    <w:rsid w:val="00BC7BC0"/>
    <w:rsid w:val="00BC7C6F"/>
    <w:rsid w:val="00BD44BA"/>
    <w:rsid w:val="00BD57B7"/>
    <w:rsid w:val="00BE5B4E"/>
    <w:rsid w:val="00BE63E2"/>
    <w:rsid w:val="00BF1CBF"/>
    <w:rsid w:val="00C12E2E"/>
    <w:rsid w:val="00C40E6D"/>
    <w:rsid w:val="00C60DB2"/>
    <w:rsid w:val="00C63CC1"/>
    <w:rsid w:val="00C8147A"/>
    <w:rsid w:val="00C843A8"/>
    <w:rsid w:val="00CA37FA"/>
    <w:rsid w:val="00CB1006"/>
    <w:rsid w:val="00CD2009"/>
    <w:rsid w:val="00CF629C"/>
    <w:rsid w:val="00D70687"/>
    <w:rsid w:val="00D92EEA"/>
    <w:rsid w:val="00DA5D4E"/>
    <w:rsid w:val="00DC01F5"/>
    <w:rsid w:val="00DD7414"/>
    <w:rsid w:val="00E0679A"/>
    <w:rsid w:val="00E176BA"/>
    <w:rsid w:val="00E17FB3"/>
    <w:rsid w:val="00E21C7E"/>
    <w:rsid w:val="00E25290"/>
    <w:rsid w:val="00E423EC"/>
    <w:rsid w:val="00E55121"/>
    <w:rsid w:val="00E5563F"/>
    <w:rsid w:val="00EB4D0E"/>
    <w:rsid w:val="00EB4FCB"/>
    <w:rsid w:val="00EC6BC5"/>
    <w:rsid w:val="00EE2991"/>
    <w:rsid w:val="00F10282"/>
    <w:rsid w:val="00F14C72"/>
    <w:rsid w:val="00F2590D"/>
    <w:rsid w:val="00F318C6"/>
    <w:rsid w:val="00F35898"/>
    <w:rsid w:val="00F5225B"/>
    <w:rsid w:val="00F57999"/>
    <w:rsid w:val="00F604ED"/>
    <w:rsid w:val="00F9112B"/>
    <w:rsid w:val="00F93FD0"/>
    <w:rsid w:val="00F9777C"/>
    <w:rsid w:val="00FA3D63"/>
    <w:rsid w:val="00FB5570"/>
    <w:rsid w:val="00FC304F"/>
    <w:rsid w:val="00FC47D5"/>
    <w:rsid w:val="00FC4B2E"/>
    <w:rsid w:val="00FE3A6B"/>
    <w:rsid w:val="00FE570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771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B77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C48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082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82FD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082F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130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Financial-Regulations/S-GEN-REG_RGTFIN-2018-PDF-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WGFHR15-C-000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F6425-02DD-4EC2-961E-10AC399F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5671F-7158-4C2A-B43B-9F7B5EB6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940E5-1437-43D9-9360-E779200A3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00E75-4AC4-4E2A-AE84-64114DAEF12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8480b3bf-ff93-433f-9495-f8457f78f2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5</Pages>
  <Words>2107</Words>
  <Characters>14232</Characters>
  <Application>Microsoft Office Word</Application>
  <DocSecurity>4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Internal Auditor on internal audit activities</vt:lpstr>
    </vt:vector>
  </TitlesOfParts>
  <Manager>General Secretariat - Pool</Manager>
  <Company>International Telecommunication Union (ITU)</Company>
  <LinksUpToDate>false</LinksUpToDate>
  <CharactersWithSpaces>16307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2022-03-22T12:04:00Z</dcterms:created>
  <dcterms:modified xsi:type="dcterms:W3CDTF">2022-03-22T12:04:00Z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