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B73A43E" w14:textId="77777777">
        <w:trPr>
          <w:cantSplit/>
        </w:trPr>
        <w:tc>
          <w:tcPr>
            <w:tcW w:w="6911" w:type="dxa"/>
          </w:tcPr>
          <w:p w14:paraId="25815413"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6D8326C7" w14:textId="77777777" w:rsidR="00700D1F" w:rsidRDefault="008418F5" w:rsidP="008418F5">
            <w:pPr>
              <w:spacing w:before="0"/>
            </w:pPr>
            <w:bookmarkStart w:id="1" w:name="ditulogo"/>
            <w:bookmarkEnd w:id="1"/>
            <w:r>
              <w:rPr>
                <w:noProof/>
                <w:lang w:val="en-US" w:eastAsia="zh-CN"/>
              </w:rPr>
              <w:drawing>
                <wp:inline distT="0" distB="0" distL="0" distR="0" wp14:anchorId="421B1DAE" wp14:editId="254E83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4ADAA1C" w14:textId="77777777">
        <w:trPr>
          <w:cantSplit/>
        </w:trPr>
        <w:tc>
          <w:tcPr>
            <w:tcW w:w="6911" w:type="dxa"/>
            <w:tcBorders>
              <w:bottom w:val="single" w:sz="12" w:space="0" w:color="auto"/>
            </w:tcBorders>
          </w:tcPr>
          <w:p w14:paraId="7E70B36A"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49FE1FE" w14:textId="77777777" w:rsidR="00700D1F" w:rsidRPr="00617BE4" w:rsidRDefault="00700D1F" w:rsidP="00001B77">
            <w:pPr>
              <w:spacing w:before="0"/>
              <w:rPr>
                <w:rFonts w:ascii="Verdana" w:hAnsi="Verdana"/>
                <w:szCs w:val="24"/>
              </w:rPr>
            </w:pPr>
          </w:p>
        </w:tc>
      </w:tr>
      <w:tr w:rsidR="00700D1F" w:rsidRPr="00617BE4" w14:paraId="74F3AF46" w14:textId="77777777">
        <w:trPr>
          <w:cantSplit/>
        </w:trPr>
        <w:tc>
          <w:tcPr>
            <w:tcW w:w="6911" w:type="dxa"/>
            <w:tcBorders>
              <w:top w:val="single" w:sz="12" w:space="0" w:color="auto"/>
            </w:tcBorders>
          </w:tcPr>
          <w:p w14:paraId="5563D00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130B744" w14:textId="77777777" w:rsidR="00700D1F" w:rsidRPr="00617BE4" w:rsidRDefault="00700D1F" w:rsidP="00001B77">
            <w:pPr>
              <w:spacing w:before="0"/>
              <w:rPr>
                <w:rFonts w:ascii="Verdana" w:hAnsi="Verdana"/>
                <w:szCs w:val="24"/>
              </w:rPr>
            </w:pPr>
          </w:p>
        </w:tc>
      </w:tr>
      <w:tr w:rsidR="00700D1F" w14:paraId="21E1D021" w14:textId="77777777">
        <w:trPr>
          <w:cantSplit/>
          <w:trHeight w:val="23"/>
        </w:trPr>
        <w:tc>
          <w:tcPr>
            <w:tcW w:w="6911" w:type="dxa"/>
            <w:vMerge w:val="restart"/>
          </w:tcPr>
          <w:p w14:paraId="43980F22"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EB0B6E" w:rsidRPr="00EB0B6E">
              <w:rPr>
                <w:b/>
              </w:rPr>
              <w:t xml:space="preserve">ADM </w:t>
            </w:r>
            <w:r w:rsidR="00EA7D9E">
              <w:rPr>
                <w:b/>
              </w:rPr>
              <w:t>17</w:t>
            </w:r>
          </w:p>
        </w:tc>
        <w:tc>
          <w:tcPr>
            <w:tcW w:w="3120" w:type="dxa"/>
          </w:tcPr>
          <w:p w14:paraId="3B896B2F" w14:textId="5C5E5219"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197DC4">
              <w:rPr>
                <w:rFonts w:hint="eastAsia"/>
                <w:b/>
                <w:bCs/>
                <w:szCs w:val="24"/>
                <w:lang w:eastAsia="zh-CN"/>
              </w:rPr>
              <w:t>62</w:t>
            </w:r>
            <w:r w:rsidRPr="00FC5386">
              <w:rPr>
                <w:b/>
                <w:bCs/>
                <w:szCs w:val="24"/>
                <w:lang w:eastAsia="zh-CN"/>
              </w:rPr>
              <w:t>-C</w:t>
            </w:r>
          </w:p>
        </w:tc>
      </w:tr>
      <w:bookmarkEnd w:id="2"/>
      <w:tr w:rsidR="00700D1F" w14:paraId="6C19F038" w14:textId="77777777">
        <w:trPr>
          <w:cantSplit/>
          <w:trHeight w:val="23"/>
        </w:trPr>
        <w:tc>
          <w:tcPr>
            <w:tcW w:w="6911" w:type="dxa"/>
            <w:vMerge/>
          </w:tcPr>
          <w:p w14:paraId="6EFA4499" w14:textId="77777777" w:rsidR="00700D1F" w:rsidRDefault="00700D1F" w:rsidP="00001B77">
            <w:pPr>
              <w:tabs>
                <w:tab w:val="left" w:pos="851"/>
              </w:tabs>
              <w:rPr>
                <w:b/>
                <w:lang w:eastAsia="zh-CN"/>
              </w:rPr>
            </w:pPr>
          </w:p>
        </w:tc>
        <w:tc>
          <w:tcPr>
            <w:tcW w:w="3120" w:type="dxa"/>
          </w:tcPr>
          <w:p w14:paraId="12268DC8" w14:textId="0DF63A95"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197DC4">
              <w:rPr>
                <w:rFonts w:hint="eastAsia"/>
                <w:b/>
                <w:bCs/>
                <w:szCs w:val="24"/>
                <w:lang w:eastAsia="zh-CN"/>
              </w:rPr>
              <w:t>2</w:t>
            </w:r>
            <w:r w:rsidRPr="00FC5386">
              <w:rPr>
                <w:rFonts w:hint="eastAsia"/>
                <w:b/>
                <w:bCs/>
                <w:szCs w:val="24"/>
                <w:lang w:eastAsia="zh-CN"/>
              </w:rPr>
              <w:t>年</w:t>
            </w:r>
            <w:r w:rsidR="00EB0B6E">
              <w:rPr>
                <w:rFonts w:asciiTheme="minorHAnsi" w:hAnsiTheme="minorHAnsi" w:cstheme="minorHAnsi" w:hint="eastAsia"/>
                <w:b/>
                <w:bCs/>
                <w:szCs w:val="24"/>
                <w:lang w:eastAsia="zh-CN"/>
              </w:rPr>
              <w:t>2</w:t>
            </w:r>
            <w:r w:rsidRPr="00FC5386">
              <w:rPr>
                <w:rFonts w:hint="eastAsia"/>
                <w:b/>
                <w:bCs/>
                <w:szCs w:val="24"/>
                <w:lang w:eastAsia="zh-CN"/>
              </w:rPr>
              <w:t>月</w:t>
            </w:r>
            <w:r w:rsidR="00197DC4">
              <w:rPr>
                <w:rFonts w:asciiTheme="minorHAnsi" w:hAnsiTheme="minorHAnsi" w:cstheme="minorHAnsi" w:hint="eastAsia"/>
                <w:b/>
                <w:bCs/>
                <w:szCs w:val="24"/>
                <w:lang w:eastAsia="zh-CN"/>
              </w:rPr>
              <w:t>1</w:t>
            </w:r>
            <w:r w:rsidR="000D4F60">
              <w:rPr>
                <w:rFonts w:asciiTheme="minorHAnsi" w:hAnsiTheme="minorHAnsi" w:cstheme="minorHAnsi"/>
                <w:b/>
                <w:bCs/>
                <w:szCs w:val="24"/>
                <w:lang w:eastAsia="zh-CN"/>
              </w:rPr>
              <w:t>8</w:t>
            </w:r>
            <w:r w:rsidRPr="00FC5386">
              <w:rPr>
                <w:rFonts w:hint="eastAsia"/>
                <w:b/>
                <w:bCs/>
                <w:szCs w:val="24"/>
                <w:lang w:eastAsia="zh-CN"/>
              </w:rPr>
              <w:t>日</w:t>
            </w:r>
          </w:p>
        </w:tc>
      </w:tr>
      <w:tr w:rsidR="00700D1F" w14:paraId="08DB6305" w14:textId="77777777">
        <w:trPr>
          <w:cantSplit/>
          <w:trHeight w:val="23"/>
        </w:trPr>
        <w:tc>
          <w:tcPr>
            <w:tcW w:w="6911" w:type="dxa"/>
            <w:vMerge/>
          </w:tcPr>
          <w:p w14:paraId="3A2187E2" w14:textId="77777777" w:rsidR="00700D1F" w:rsidRDefault="00700D1F" w:rsidP="00001B77">
            <w:pPr>
              <w:tabs>
                <w:tab w:val="left" w:pos="851"/>
              </w:tabs>
              <w:rPr>
                <w:b/>
                <w:lang w:eastAsia="zh-CN"/>
              </w:rPr>
            </w:pPr>
          </w:p>
        </w:tc>
        <w:tc>
          <w:tcPr>
            <w:tcW w:w="3120" w:type="dxa"/>
          </w:tcPr>
          <w:p w14:paraId="3366C68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66D5C0A" w14:textId="77777777">
        <w:trPr>
          <w:cantSplit/>
        </w:trPr>
        <w:tc>
          <w:tcPr>
            <w:tcW w:w="10031" w:type="dxa"/>
          </w:tcPr>
          <w:p w14:paraId="637263D9" w14:textId="303AB4D7" w:rsidR="0093362E" w:rsidRDefault="00197DC4" w:rsidP="00001B77">
            <w:pPr>
              <w:pStyle w:val="Source"/>
              <w:rPr>
                <w:lang w:eastAsia="zh-CN"/>
              </w:rPr>
            </w:pPr>
            <w:r>
              <w:rPr>
                <w:rFonts w:ascii="Times New Roman Bold" w:hAnsi="Times New Roman Bold" w:hint="eastAsia"/>
                <w:lang w:eastAsia="zh-CN"/>
              </w:rPr>
              <w:t>秘书长的报告</w:t>
            </w:r>
          </w:p>
        </w:tc>
      </w:tr>
      <w:tr w:rsidR="0093362E" w14:paraId="2EA1F5A1" w14:textId="77777777">
        <w:trPr>
          <w:cantSplit/>
        </w:trPr>
        <w:tc>
          <w:tcPr>
            <w:tcW w:w="10031" w:type="dxa"/>
          </w:tcPr>
          <w:p w14:paraId="1C70CE2A" w14:textId="24EEE050" w:rsidR="0093362E" w:rsidRDefault="00AE7DAC" w:rsidP="00001B77">
            <w:pPr>
              <w:pStyle w:val="Title1"/>
              <w:rPr>
                <w:bCs/>
                <w:lang w:eastAsia="zh-CN"/>
              </w:rPr>
            </w:pPr>
            <w:r>
              <w:rPr>
                <w:rFonts w:hint="eastAsia"/>
                <w:bCs/>
                <w:lang w:eastAsia="zh-CN"/>
              </w:rPr>
              <w:t>施工</w:t>
            </w:r>
            <w:r w:rsidR="00197DC4">
              <w:rPr>
                <w:rFonts w:hint="eastAsia"/>
                <w:bCs/>
                <w:lang w:eastAsia="zh-CN"/>
              </w:rPr>
              <w:t>财务风险管理的新方法</w:t>
            </w:r>
          </w:p>
        </w:tc>
      </w:tr>
    </w:tbl>
    <w:p w14:paraId="1658E933"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3799374"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BF6F67B"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C5ACC48" w14:textId="721ADA0F" w:rsidR="00B40A53" w:rsidRPr="008418F5" w:rsidRDefault="00197DC4">
            <w:pPr>
              <w:ind w:firstLineChars="200" w:firstLine="480"/>
              <w:rPr>
                <w:szCs w:val="22"/>
                <w:lang w:eastAsia="zh-CN"/>
              </w:rPr>
            </w:pPr>
            <w:r>
              <w:rPr>
                <w:rFonts w:hint="eastAsia"/>
                <w:szCs w:val="22"/>
                <w:lang w:val="en-US" w:eastAsia="zh-CN"/>
              </w:rPr>
              <w:t>美国</w:t>
            </w:r>
            <w:r w:rsidRPr="00197DC4">
              <w:rPr>
                <w:rFonts w:hint="eastAsia"/>
                <w:szCs w:val="22"/>
                <w:lang w:val="en-US" w:eastAsia="zh-CN"/>
              </w:rPr>
              <w:t>在上次</w:t>
            </w:r>
            <w:r w:rsidR="00980577" w:rsidRPr="00980577">
              <w:rPr>
                <w:rFonts w:hint="eastAsia"/>
                <w:szCs w:val="22"/>
                <w:lang w:val="en-US" w:eastAsia="zh-CN"/>
              </w:rPr>
              <w:t>理事会财务和人力资源工作组</w:t>
            </w:r>
            <w:r w:rsidR="00980577">
              <w:rPr>
                <w:rFonts w:hint="eastAsia"/>
                <w:szCs w:val="22"/>
                <w:lang w:val="en-US" w:eastAsia="zh-CN"/>
              </w:rPr>
              <w:t>（</w:t>
            </w:r>
            <w:r w:rsidRPr="00197DC4">
              <w:rPr>
                <w:rFonts w:hint="eastAsia"/>
                <w:szCs w:val="22"/>
                <w:lang w:val="en-US" w:eastAsia="zh-CN"/>
              </w:rPr>
              <w:t>CWG-FHR</w:t>
            </w:r>
            <w:r w:rsidR="00980577">
              <w:rPr>
                <w:rFonts w:hint="eastAsia"/>
                <w:szCs w:val="22"/>
                <w:lang w:val="en-US" w:eastAsia="zh-CN"/>
              </w:rPr>
              <w:t>）</w:t>
            </w:r>
            <w:r w:rsidRPr="00197DC4">
              <w:rPr>
                <w:rFonts w:hint="eastAsia"/>
                <w:szCs w:val="22"/>
                <w:lang w:val="en-US" w:eastAsia="zh-CN"/>
              </w:rPr>
              <w:t>会议上</w:t>
            </w:r>
            <w:r>
              <w:rPr>
                <w:rFonts w:hint="eastAsia"/>
                <w:szCs w:val="22"/>
                <w:lang w:val="en-US" w:eastAsia="zh-CN"/>
              </w:rPr>
              <w:t>提交文稿</w:t>
            </w:r>
            <w:r w:rsidRPr="00197DC4">
              <w:rPr>
                <w:rFonts w:hint="eastAsia"/>
                <w:szCs w:val="22"/>
                <w:lang w:val="en-US" w:eastAsia="zh-CN"/>
              </w:rPr>
              <w:t>，</w:t>
            </w:r>
            <w:r>
              <w:rPr>
                <w:rFonts w:hint="eastAsia"/>
                <w:szCs w:val="22"/>
                <w:lang w:val="en-US" w:eastAsia="zh-CN"/>
              </w:rPr>
              <w:t>责成</w:t>
            </w:r>
            <w:r w:rsidRPr="00197DC4">
              <w:rPr>
                <w:rFonts w:hint="eastAsia"/>
                <w:szCs w:val="22"/>
                <w:lang w:val="en-US" w:eastAsia="zh-CN"/>
              </w:rPr>
              <w:t>秘书处收集更多关于可能</w:t>
            </w:r>
            <w:r>
              <w:rPr>
                <w:rFonts w:hint="eastAsia"/>
                <w:szCs w:val="22"/>
                <w:lang w:val="en-US" w:eastAsia="zh-CN"/>
              </w:rPr>
              <w:t>的</w:t>
            </w:r>
            <w:r w:rsidRPr="00197DC4">
              <w:rPr>
                <w:rFonts w:hint="eastAsia"/>
                <w:szCs w:val="22"/>
                <w:lang w:val="en-US" w:eastAsia="zh-CN"/>
              </w:rPr>
              <w:t>成本信息，并考虑使用保险作为转移风险的手段，作为风险登记基金</w:t>
            </w:r>
            <w:r w:rsidR="00483B3A">
              <w:rPr>
                <w:rFonts w:hint="eastAsia"/>
                <w:szCs w:val="22"/>
                <w:lang w:val="en-US" w:eastAsia="zh-CN"/>
              </w:rPr>
              <w:t>（</w:t>
            </w:r>
            <w:r w:rsidRPr="00197DC4">
              <w:rPr>
                <w:rFonts w:hint="eastAsia"/>
                <w:szCs w:val="22"/>
                <w:lang w:val="en-US" w:eastAsia="zh-CN"/>
              </w:rPr>
              <w:t>RRF</w:t>
            </w:r>
            <w:r w:rsidR="00483B3A">
              <w:rPr>
                <w:rFonts w:hint="eastAsia"/>
                <w:szCs w:val="22"/>
                <w:lang w:val="en-US" w:eastAsia="zh-CN"/>
              </w:rPr>
              <w:t>）</w:t>
            </w:r>
            <w:r w:rsidRPr="00197DC4">
              <w:rPr>
                <w:rFonts w:hint="eastAsia"/>
                <w:szCs w:val="22"/>
                <w:lang w:val="en-US" w:eastAsia="zh-CN"/>
              </w:rPr>
              <w:t>的替代方案，并向理事会</w:t>
            </w:r>
            <w:r w:rsidRPr="00197DC4">
              <w:rPr>
                <w:rFonts w:hint="eastAsia"/>
                <w:szCs w:val="22"/>
                <w:lang w:val="en-US" w:eastAsia="zh-CN"/>
              </w:rPr>
              <w:t>2022</w:t>
            </w:r>
            <w:r w:rsidRPr="00197DC4">
              <w:rPr>
                <w:rFonts w:hint="eastAsia"/>
                <w:szCs w:val="22"/>
                <w:lang w:val="en-US" w:eastAsia="zh-CN"/>
              </w:rPr>
              <w:t>年</w:t>
            </w:r>
            <w:r>
              <w:rPr>
                <w:rFonts w:hint="eastAsia"/>
                <w:szCs w:val="22"/>
                <w:lang w:val="en-US" w:eastAsia="zh-CN"/>
              </w:rPr>
              <w:t>会议做出</w:t>
            </w:r>
            <w:r w:rsidRPr="00197DC4">
              <w:rPr>
                <w:rFonts w:hint="eastAsia"/>
                <w:szCs w:val="22"/>
                <w:lang w:val="en-US" w:eastAsia="zh-CN"/>
              </w:rPr>
              <w:t>报告</w:t>
            </w:r>
            <w:r w:rsidR="00980577">
              <w:rPr>
                <w:rFonts w:hint="eastAsia"/>
                <w:szCs w:val="22"/>
                <w:lang w:val="en-US" w:eastAsia="zh-CN"/>
              </w:rPr>
              <w:t>。</w:t>
            </w:r>
            <w:r w:rsidRPr="00197DC4">
              <w:rPr>
                <w:rFonts w:hint="eastAsia"/>
                <w:szCs w:val="22"/>
                <w:lang w:val="en-US" w:eastAsia="zh-CN"/>
              </w:rPr>
              <w:t>此后，秘书处</w:t>
            </w:r>
            <w:r>
              <w:rPr>
                <w:rFonts w:hint="eastAsia"/>
                <w:szCs w:val="22"/>
                <w:lang w:val="en-US" w:eastAsia="zh-CN"/>
              </w:rPr>
              <w:t>对</w:t>
            </w:r>
            <w:r w:rsidRPr="00197DC4">
              <w:rPr>
                <w:rFonts w:hint="eastAsia"/>
                <w:szCs w:val="22"/>
                <w:lang w:val="en-US" w:eastAsia="zh-CN"/>
              </w:rPr>
              <w:t>经纪</w:t>
            </w:r>
            <w:r>
              <w:rPr>
                <w:rFonts w:hint="eastAsia"/>
                <w:szCs w:val="22"/>
                <w:lang w:val="en-US" w:eastAsia="zh-CN"/>
              </w:rPr>
              <w:t>公司进行了</w:t>
            </w:r>
            <w:r w:rsidRPr="00197DC4">
              <w:rPr>
                <w:rFonts w:hint="eastAsia"/>
                <w:szCs w:val="22"/>
                <w:lang w:val="en-US" w:eastAsia="zh-CN"/>
              </w:rPr>
              <w:t>调查，并联系了其他总部设在日内瓦</w:t>
            </w:r>
            <w:r>
              <w:rPr>
                <w:rFonts w:hint="eastAsia"/>
                <w:szCs w:val="22"/>
                <w:lang w:val="en-US" w:eastAsia="zh-CN"/>
              </w:rPr>
              <w:t>、</w:t>
            </w:r>
            <w:r w:rsidRPr="00197DC4">
              <w:rPr>
                <w:rFonts w:hint="eastAsia"/>
                <w:szCs w:val="22"/>
                <w:lang w:val="en-US" w:eastAsia="zh-CN"/>
              </w:rPr>
              <w:t>近期有</w:t>
            </w:r>
            <w:r w:rsidR="00AE7DAC">
              <w:rPr>
                <w:rFonts w:hint="eastAsia"/>
                <w:szCs w:val="22"/>
                <w:lang w:val="en-US" w:eastAsia="zh-CN"/>
              </w:rPr>
              <w:t>建设</w:t>
            </w:r>
            <w:r w:rsidRPr="00197DC4">
              <w:rPr>
                <w:rFonts w:hint="eastAsia"/>
                <w:szCs w:val="22"/>
                <w:lang w:val="en-US" w:eastAsia="zh-CN"/>
              </w:rPr>
              <w:t>项目的国际组织</w:t>
            </w:r>
            <w:r w:rsidR="00EB0B6E" w:rsidRPr="00EB0B6E">
              <w:rPr>
                <w:rFonts w:hint="eastAsia"/>
                <w:szCs w:val="22"/>
                <w:lang w:val="en-US" w:eastAsia="zh-CN"/>
              </w:rPr>
              <w:t>。</w:t>
            </w:r>
          </w:p>
          <w:p w14:paraId="425BF33F" w14:textId="77777777" w:rsidR="00B40A53" w:rsidRPr="003C2E37" w:rsidRDefault="00B40A53" w:rsidP="003C2E37">
            <w:pPr>
              <w:pStyle w:val="Headingb"/>
              <w:rPr>
                <w:lang w:eastAsia="zh-CN"/>
              </w:rPr>
            </w:pPr>
            <w:r>
              <w:rPr>
                <w:rFonts w:hint="eastAsia"/>
                <w:lang w:eastAsia="zh-CN"/>
              </w:rPr>
              <w:t>需采取的行动</w:t>
            </w:r>
          </w:p>
          <w:p w14:paraId="5C8F92EC" w14:textId="19DD13BA" w:rsidR="00B40A53" w:rsidRPr="008418F5" w:rsidRDefault="00EB0B6E" w:rsidP="00B40A53">
            <w:pPr>
              <w:pStyle w:val="BodyTextIndent3"/>
              <w:spacing w:before="120"/>
              <w:ind w:firstLineChars="200" w:firstLine="480"/>
              <w:textAlignment w:val="baseline"/>
              <w:rPr>
                <w:sz w:val="24"/>
                <w:szCs w:val="22"/>
                <w:lang w:val="en-GB"/>
              </w:rPr>
            </w:pPr>
            <w:r w:rsidRPr="00EB0B6E">
              <w:rPr>
                <w:rFonts w:hint="eastAsia"/>
                <w:sz w:val="24"/>
                <w:szCs w:val="22"/>
                <w:lang w:val="en-US"/>
              </w:rPr>
              <w:t>请理事会将本</w:t>
            </w:r>
            <w:r w:rsidR="00197DC4">
              <w:rPr>
                <w:rFonts w:hint="eastAsia"/>
                <w:sz w:val="24"/>
                <w:szCs w:val="22"/>
                <w:lang w:val="en-US"/>
              </w:rPr>
              <w:t>文件及其建议</w:t>
            </w:r>
            <w:r w:rsidRPr="00EB0B6E">
              <w:rPr>
                <w:rFonts w:hint="eastAsia"/>
                <w:b/>
                <w:bCs/>
                <w:sz w:val="24"/>
                <w:szCs w:val="22"/>
                <w:lang w:val="en-US"/>
              </w:rPr>
              <w:t>记录在案</w:t>
            </w:r>
            <w:r w:rsidRPr="00EB0B6E">
              <w:rPr>
                <w:rFonts w:hint="eastAsia"/>
                <w:sz w:val="24"/>
                <w:szCs w:val="22"/>
                <w:lang w:val="en-US"/>
              </w:rPr>
              <w:t>。</w:t>
            </w:r>
          </w:p>
          <w:p w14:paraId="0B045C2D" w14:textId="77777777" w:rsidR="009164A9" w:rsidRPr="00156F65" w:rsidRDefault="00B40A53" w:rsidP="00156F65">
            <w:pPr>
              <w:jc w:val="center"/>
              <w:rPr>
                <w:sz w:val="28"/>
                <w:szCs w:val="22"/>
                <w:lang w:eastAsia="zh-CN"/>
              </w:rPr>
            </w:pPr>
            <w:r>
              <w:rPr>
                <w:sz w:val="28"/>
                <w:szCs w:val="22"/>
                <w:lang w:eastAsia="zh-CN"/>
              </w:rPr>
              <w:t>______________</w:t>
            </w:r>
          </w:p>
          <w:p w14:paraId="4150E82A" w14:textId="77777777" w:rsidR="009164A9" w:rsidRPr="008418F5" w:rsidRDefault="009164A9" w:rsidP="003C2E37">
            <w:pPr>
              <w:pStyle w:val="Headingb"/>
              <w:rPr>
                <w:lang w:eastAsia="zh-CN"/>
              </w:rPr>
            </w:pPr>
            <w:r w:rsidRPr="003949A2">
              <w:rPr>
                <w:rFonts w:hint="eastAsia"/>
                <w:lang w:eastAsia="zh-CN"/>
              </w:rPr>
              <w:t>参考文件</w:t>
            </w:r>
          </w:p>
          <w:p w14:paraId="57E7677A" w14:textId="5CB6C475" w:rsidR="00B40A53" w:rsidRPr="00EB0B6E" w:rsidRDefault="000D4F60"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hyperlink r:id="rId9" w:history="1">
              <w:r w:rsidR="00197DC4" w:rsidRPr="00197DC4">
                <w:rPr>
                  <w:rFonts w:asciiTheme="minorHAnsi" w:eastAsia="Times New Roman" w:hAnsiTheme="minorHAnsi" w:cstheme="minorHAnsi"/>
                  <w:color w:val="0000FF"/>
                  <w:sz w:val="24"/>
                  <w:szCs w:val="24"/>
                  <w:u w:val="single"/>
                  <w:lang w:eastAsia="zh-CN"/>
                </w:rPr>
                <w:t>CWG-FHR-15/21</w:t>
              </w:r>
            </w:hyperlink>
            <w:r w:rsidR="00197DC4">
              <w:rPr>
                <w:rFonts w:ascii="SimSun" w:hAnsi="SimSun" w:cs="SimSun" w:hint="eastAsia"/>
                <w:sz w:val="24"/>
                <w:lang w:eastAsia="zh-CN"/>
              </w:rPr>
              <w:t>号文件</w:t>
            </w:r>
          </w:p>
        </w:tc>
      </w:tr>
    </w:tbl>
    <w:p w14:paraId="6EB8774F" w14:textId="35C5F701" w:rsidR="00DE7286" w:rsidRDefault="00DE7286">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szCs w:val="24"/>
          <w:lang w:val="en-US" w:eastAsia="zh-CN"/>
        </w:rPr>
      </w:pPr>
    </w:p>
    <w:p w14:paraId="032AA780" w14:textId="77777777" w:rsidR="00DE7286" w:rsidRDefault="00DE7286">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b/>
          <w:bCs/>
          <w:szCs w:val="24"/>
          <w:lang w:val="en-US" w:eastAsia="zh-CN"/>
        </w:rPr>
      </w:pPr>
      <w:r>
        <w:rPr>
          <w:rFonts w:asciiTheme="minorHAnsi" w:eastAsia="Times New Roman" w:hAnsiTheme="minorHAnsi" w:cstheme="minorHAnsi"/>
          <w:b/>
          <w:bCs/>
          <w:szCs w:val="24"/>
          <w:lang w:val="en-US" w:eastAsia="zh-CN"/>
        </w:rPr>
        <w:br w:type="page"/>
      </w:r>
    </w:p>
    <w:p w14:paraId="4A23F3EF" w14:textId="4CE62E80" w:rsidR="00197DC4" w:rsidRPr="00197DC4" w:rsidRDefault="00197DC4" w:rsidP="00483B3A">
      <w:pPr>
        <w:tabs>
          <w:tab w:val="clear" w:pos="794"/>
          <w:tab w:val="clear" w:pos="1191"/>
          <w:tab w:val="clear" w:pos="1588"/>
          <w:tab w:val="clear" w:pos="1985"/>
          <w:tab w:val="left" w:pos="709"/>
          <w:tab w:val="center" w:pos="4819"/>
        </w:tabs>
        <w:overflowPunct/>
        <w:autoSpaceDE/>
        <w:autoSpaceDN/>
        <w:adjustRightInd/>
        <w:spacing w:before="360" w:after="120"/>
        <w:textAlignment w:val="auto"/>
        <w:rPr>
          <w:rFonts w:asciiTheme="minorHAnsi" w:eastAsia="Times New Roman" w:hAnsiTheme="minorHAnsi" w:cstheme="minorHAnsi"/>
          <w:szCs w:val="24"/>
          <w:lang w:val="en-US" w:eastAsia="zh-CN"/>
        </w:rPr>
      </w:pPr>
      <w:r w:rsidRPr="00197DC4">
        <w:rPr>
          <w:rFonts w:asciiTheme="minorHAnsi" w:eastAsia="Times New Roman" w:hAnsiTheme="minorHAnsi" w:cstheme="minorHAnsi"/>
          <w:b/>
          <w:bCs/>
          <w:szCs w:val="24"/>
          <w:lang w:val="en-US" w:eastAsia="zh-CN"/>
        </w:rPr>
        <w:lastRenderedPageBreak/>
        <w:t>1</w:t>
      </w:r>
      <w:r w:rsidRPr="00197DC4">
        <w:rPr>
          <w:rFonts w:asciiTheme="minorHAnsi" w:eastAsia="Times New Roman" w:hAnsiTheme="minorHAnsi" w:cstheme="minorHAnsi"/>
          <w:b/>
          <w:bCs/>
          <w:szCs w:val="24"/>
          <w:lang w:val="en-US" w:eastAsia="zh-CN"/>
        </w:rPr>
        <w:tab/>
      </w:r>
      <w:r w:rsidR="00980577">
        <w:rPr>
          <w:rFonts w:ascii="SimSun" w:hAnsi="SimSun" w:cs="SimSun" w:hint="eastAsia"/>
          <w:b/>
          <w:bCs/>
          <w:szCs w:val="24"/>
          <w:lang w:val="en-US" w:eastAsia="zh-CN"/>
        </w:rPr>
        <w:t>引言</w:t>
      </w:r>
    </w:p>
    <w:p w14:paraId="6051FCAD" w14:textId="450ED7D2" w:rsidR="00197DC4" w:rsidRPr="00483B3A"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pPr>
      <w:r w:rsidRPr="00197DC4">
        <w:rPr>
          <w:rFonts w:asciiTheme="minorHAnsi" w:eastAsia="Times New Roman" w:hAnsiTheme="minorHAnsi" w:cstheme="minorHAnsi"/>
          <w:color w:val="000000"/>
          <w:szCs w:val="24"/>
          <w:lang w:eastAsia="zh-CN"/>
        </w:rPr>
        <w:t>1.1</w:t>
      </w:r>
      <w:r w:rsidRPr="00197DC4">
        <w:rPr>
          <w:rFonts w:asciiTheme="minorHAnsi" w:eastAsia="Times New Roman" w:hAnsiTheme="minorHAnsi" w:cstheme="minorHAnsi"/>
          <w:color w:val="000000"/>
          <w:szCs w:val="24"/>
          <w:lang w:eastAsia="zh-CN"/>
        </w:rPr>
        <w:tab/>
      </w:r>
      <w:r w:rsidR="00980577" w:rsidRPr="00980577">
        <w:rPr>
          <w:rFonts w:hint="eastAsia"/>
          <w:lang w:eastAsia="zh-CN"/>
        </w:rPr>
        <w:t>按照《财务规则和财务细则》，通过创立自</w:t>
      </w:r>
      <w:r w:rsidR="00980577" w:rsidRPr="00980577">
        <w:rPr>
          <w:rFonts w:hint="eastAsia"/>
          <w:lang w:eastAsia="zh-CN"/>
        </w:rPr>
        <w:t>2020</w:t>
      </w:r>
      <w:r w:rsidR="00980577" w:rsidRPr="00980577">
        <w:rPr>
          <w:rFonts w:hint="eastAsia"/>
          <w:lang w:eastAsia="zh-CN"/>
        </w:rPr>
        <w:t>年起根据理事会决定供资的风险登记基金</w:t>
      </w:r>
      <w:r w:rsidR="00980577">
        <w:rPr>
          <w:rFonts w:hint="eastAsia"/>
          <w:lang w:eastAsia="zh-CN"/>
        </w:rPr>
        <w:t>，</w:t>
      </w:r>
      <w:r w:rsidR="00980577" w:rsidRPr="00980577">
        <w:rPr>
          <w:rFonts w:hint="eastAsia"/>
          <w:szCs w:val="22"/>
          <w:lang w:val="en-US" w:eastAsia="zh-CN"/>
        </w:rPr>
        <w:t>理事会</w:t>
      </w:r>
      <w:r w:rsidR="00980577">
        <w:rPr>
          <w:rFonts w:hint="eastAsia"/>
          <w:szCs w:val="22"/>
          <w:lang w:val="en-US" w:eastAsia="zh-CN"/>
        </w:rPr>
        <w:t>通过</w:t>
      </w:r>
      <w:r w:rsidR="00980577">
        <w:rPr>
          <w:rFonts w:hint="eastAsia"/>
          <w:szCs w:val="22"/>
          <w:lang w:val="en-US" w:eastAsia="zh-CN"/>
        </w:rPr>
        <w:t>2019</w:t>
      </w:r>
      <w:r w:rsidR="00980577">
        <w:rPr>
          <w:rFonts w:hint="eastAsia"/>
          <w:szCs w:val="22"/>
          <w:lang w:val="en-US" w:eastAsia="zh-CN"/>
        </w:rPr>
        <w:t>年</w:t>
      </w:r>
      <w:r w:rsidR="00980577">
        <w:rPr>
          <w:rFonts w:hint="eastAsia"/>
          <w:szCs w:val="22"/>
          <w:lang w:val="en-US" w:eastAsia="zh-CN"/>
        </w:rPr>
        <w:t>9</w:t>
      </w:r>
      <w:r w:rsidR="00980577">
        <w:rPr>
          <w:rFonts w:hint="eastAsia"/>
          <w:szCs w:val="22"/>
          <w:lang w:val="en-US" w:eastAsia="zh-CN"/>
        </w:rPr>
        <w:t>月增开会议批准的第</w:t>
      </w:r>
      <w:r w:rsidR="00980577">
        <w:rPr>
          <w:rFonts w:hint="eastAsia"/>
          <w:szCs w:val="22"/>
          <w:lang w:val="en-US" w:eastAsia="zh-CN"/>
        </w:rPr>
        <w:t>619</w:t>
      </w:r>
      <w:r w:rsidR="00980577">
        <w:rPr>
          <w:rFonts w:hint="eastAsia"/>
          <w:szCs w:val="22"/>
          <w:lang w:val="en-US" w:eastAsia="zh-CN"/>
        </w:rPr>
        <w:t>号决定，</w:t>
      </w:r>
      <w:r w:rsidR="00980577" w:rsidRPr="00980577">
        <w:rPr>
          <w:rFonts w:hint="eastAsia"/>
          <w:szCs w:val="22"/>
          <w:lang w:val="en-US" w:eastAsia="zh-CN"/>
        </w:rPr>
        <w:t>决定提供额外的财务担保，以补偿不可减轻的风险，最高金额为</w:t>
      </w:r>
      <w:r w:rsidR="00980577">
        <w:rPr>
          <w:szCs w:val="22"/>
          <w:lang w:val="en-US" w:eastAsia="zh-CN"/>
        </w:rPr>
        <w:t>1260</w:t>
      </w:r>
      <w:r w:rsidR="00980577" w:rsidRPr="00980577">
        <w:rPr>
          <w:rFonts w:hint="eastAsia"/>
          <w:szCs w:val="22"/>
          <w:lang w:val="en-US" w:eastAsia="zh-CN"/>
        </w:rPr>
        <w:t>万瑞郎，</w:t>
      </w:r>
      <w:r w:rsidR="00980577">
        <w:rPr>
          <w:rFonts w:hint="eastAsia"/>
          <w:szCs w:val="22"/>
          <w:lang w:val="en-US" w:eastAsia="zh-CN"/>
        </w:rPr>
        <w:t>即</w:t>
      </w:r>
      <w:r w:rsidR="00980577" w:rsidRPr="00980577">
        <w:rPr>
          <w:rFonts w:hint="eastAsia"/>
          <w:szCs w:val="22"/>
          <w:lang w:val="en-US" w:eastAsia="zh-CN"/>
        </w:rPr>
        <w:t>C19-ADD/2</w:t>
      </w:r>
      <w:r w:rsidR="00980577" w:rsidRPr="00980577">
        <w:rPr>
          <w:rFonts w:hint="eastAsia"/>
          <w:szCs w:val="22"/>
          <w:lang w:val="en-US" w:eastAsia="zh-CN"/>
        </w:rPr>
        <w:t>号文件所述当前直接费用估</w:t>
      </w:r>
      <w:r w:rsidR="00980577">
        <w:rPr>
          <w:rFonts w:hint="eastAsia"/>
          <w:szCs w:val="22"/>
          <w:lang w:val="en-US" w:eastAsia="zh-CN"/>
        </w:rPr>
        <w:t>算额的</w:t>
      </w:r>
      <w:r w:rsidR="00980577" w:rsidRPr="00980577">
        <w:rPr>
          <w:rFonts w:hint="eastAsia"/>
          <w:szCs w:val="22"/>
          <w:lang w:val="en-US" w:eastAsia="zh-CN"/>
        </w:rPr>
        <w:t>8%</w:t>
      </w:r>
      <w:r w:rsidR="00980577" w:rsidRPr="00980577">
        <w:rPr>
          <w:rFonts w:hint="eastAsia"/>
          <w:szCs w:val="22"/>
          <w:lang w:val="en-US" w:eastAsia="zh-CN"/>
        </w:rPr>
        <w:t>的累计限额</w:t>
      </w:r>
      <w:r w:rsidR="00980577">
        <w:rPr>
          <w:rFonts w:hint="eastAsia"/>
          <w:szCs w:val="22"/>
          <w:lang w:val="en-US" w:eastAsia="zh-CN"/>
        </w:rPr>
        <w:t>。</w:t>
      </w:r>
    </w:p>
    <w:p w14:paraId="4457656B" w14:textId="378D1635"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1.2</w:t>
      </w:r>
      <w:r w:rsidRPr="00197DC4">
        <w:rPr>
          <w:rFonts w:asciiTheme="minorHAnsi" w:eastAsia="Times New Roman" w:hAnsiTheme="minorHAnsi" w:cstheme="minorHAnsi"/>
          <w:color w:val="000000"/>
          <w:szCs w:val="24"/>
          <w:lang w:eastAsia="zh-CN"/>
        </w:rPr>
        <w:tab/>
      </w:r>
      <w:r w:rsidR="00980577" w:rsidRPr="00980577">
        <w:rPr>
          <w:rFonts w:hint="eastAsia"/>
          <w:lang w:eastAsia="zh-CN"/>
        </w:rPr>
        <w:t>在</w:t>
      </w:r>
      <w:r w:rsidR="00980577" w:rsidRPr="00980577">
        <w:rPr>
          <w:rFonts w:hint="eastAsia"/>
          <w:lang w:eastAsia="zh-CN"/>
        </w:rPr>
        <w:t>2021</w:t>
      </w:r>
      <w:r w:rsidR="00980577" w:rsidRPr="00980577">
        <w:rPr>
          <w:rFonts w:hint="eastAsia"/>
          <w:lang w:eastAsia="zh-CN"/>
        </w:rPr>
        <w:t>年</w:t>
      </w:r>
      <w:r w:rsidR="00980577" w:rsidRPr="00980577">
        <w:rPr>
          <w:rFonts w:hint="eastAsia"/>
          <w:lang w:eastAsia="zh-CN"/>
        </w:rPr>
        <w:t>12</w:t>
      </w:r>
      <w:r w:rsidR="00980577" w:rsidRPr="00980577">
        <w:rPr>
          <w:rFonts w:hint="eastAsia"/>
          <w:lang w:eastAsia="zh-CN"/>
        </w:rPr>
        <w:t>月</w:t>
      </w:r>
      <w:r w:rsidR="00980577" w:rsidRPr="00980577">
        <w:rPr>
          <w:rFonts w:hint="eastAsia"/>
          <w:lang w:eastAsia="zh-CN"/>
        </w:rPr>
        <w:t>15</w:t>
      </w:r>
      <w:r w:rsidR="00980577" w:rsidRPr="00980577">
        <w:rPr>
          <w:rFonts w:hint="eastAsia"/>
          <w:lang w:eastAsia="zh-CN"/>
        </w:rPr>
        <w:t>日的成员国顾问组</w:t>
      </w:r>
      <w:r w:rsidR="00980577">
        <w:rPr>
          <w:rFonts w:hint="eastAsia"/>
          <w:lang w:eastAsia="zh-CN"/>
        </w:rPr>
        <w:t>（</w:t>
      </w:r>
      <w:r w:rsidR="00980577" w:rsidRPr="00980577">
        <w:rPr>
          <w:rFonts w:hint="eastAsia"/>
          <w:lang w:eastAsia="zh-CN"/>
        </w:rPr>
        <w:t>MSAG</w:t>
      </w:r>
      <w:r w:rsidR="00980577">
        <w:rPr>
          <w:rFonts w:hint="eastAsia"/>
          <w:lang w:eastAsia="zh-CN"/>
        </w:rPr>
        <w:t>）</w:t>
      </w:r>
      <w:r w:rsidR="00980577" w:rsidRPr="00980577">
        <w:rPr>
          <w:rFonts w:hint="eastAsia"/>
          <w:lang w:eastAsia="zh-CN"/>
        </w:rPr>
        <w:t>会议上，以及随后在</w:t>
      </w:r>
      <w:r w:rsidR="00980577" w:rsidRPr="00980577">
        <w:rPr>
          <w:rFonts w:hint="eastAsia"/>
          <w:lang w:eastAsia="zh-CN"/>
        </w:rPr>
        <w:t>2022</w:t>
      </w:r>
      <w:r w:rsidR="00980577" w:rsidRPr="00980577">
        <w:rPr>
          <w:rFonts w:hint="eastAsia"/>
          <w:lang w:eastAsia="zh-CN"/>
        </w:rPr>
        <w:t>年</w:t>
      </w:r>
      <w:r w:rsidR="00980577" w:rsidRPr="00980577">
        <w:rPr>
          <w:rFonts w:hint="eastAsia"/>
          <w:lang w:eastAsia="zh-CN"/>
        </w:rPr>
        <w:t>1</w:t>
      </w:r>
      <w:r w:rsidR="00980577" w:rsidRPr="00980577">
        <w:rPr>
          <w:rFonts w:hint="eastAsia"/>
          <w:lang w:eastAsia="zh-CN"/>
        </w:rPr>
        <w:t>月</w:t>
      </w:r>
      <w:r w:rsidR="00980577" w:rsidRPr="00980577">
        <w:rPr>
          <w:rFonts w:hint="eastAsia"/>
          <w:lang w:eastAsia="zh-CN"/>
        </w:rPr>
        <w:t>11</w:t>
      </w:r>
      <w:r w:rsidR="00980577" w:rsidRPr="00980577">
        <w:rPr>
          <w:rFonts w:hint="eastAsia"/>
          <w:lang w:eastAsia="zh-CN"/>
        </w:rPr>
        <w:t>日和</w:t>
      </w:r>
      <w:r w:rsidR="00980577" w:rsidRPr="00980577">
        <w:rPr>
          <w:rFonts w:hint="eastAsia"/>
          <w:lang w:eastAsia="zh-CN"/>
        </w:rPr>
        <w:t>12</w:t>
      </w:r>
      <w:r w:rsidR="00980577" w:rsidRPr="00980577">
        <w:rPr>
          <w:rFonts w:hint="eastAsia"/>
          <w:lang w:eastAsia="zh-CN"/>
        </w:rPr>
        <w:t>日的</w:t>
      </w:r>
      <w:r w:rsidR="00980577" w:rsidRPr="00980577">
        <w:rPr>
          <w:rFonts w:hint="eastAsia"/>
          <w:lang w:eastAsia="zh-CN"/>
        </w:rPr>
        <w:t>CWG-FHR</w:t>
      </w:r>
      <w:r w:rsidR="00980577" w:rsidRPr="00980577">
        <w:rPr>
          <w:rFonts w:hint="eastAsia"/>
          <w:lang w:eastAsia="zh-CN"/>
        </w:rPr>
        <w:t>会议上，秘书处被</w:t>
      </w:r>
      <w:r w:rsidR="00980577">
        <w:rPr>
          <w:rFonts w:hint="eastAsia"/>
          <w:lang w:eastAsia="zh-CN"/>
        </w:rPr>
        <w:t>责成</w:t>
      </w:r>
      <w:r w:rsidR="00980577" w:rsidRPr="00980577">
        <w:rPr>
          <w:rFonts w:hint="eastAsia"/>
          <w:lang w:eastAsia="zh-CN"/>
        </w:rPr>
        <w:t>收集必要的信息，以了解风险登记基金未供资的风险可能转移给第三方机构的情况</w:t>
      </w:r>
      <w:r w:rsidR="0064083E">
        <w:rPr>
          <w:rFonts w:hint="eastAsia"/>
          <w:lang w:eastAsia="zh-CN"/>
        </w:rPr>
        <w:t>。</w:t>
      </w:r>
    </w:p>
    <w:p w14:paraId="67DA9B47" w14:textId="45BFC4BD"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1.3</w:t>
      </w:r>
      <w:r w:rsidRPr="00197DC4">
        <w:rPr>
          <w:rFonts w:asciiTheme="minorHAnsi" w:eastAsia="Times New Roman" w:hAnsiTheme="minorHAnsi" w:cstheme="minorHAnsi"/>
          <w:color w:val="000000"/>
          <w:szCs w:val="24"/>
          <w:lang w:eastAsia="zh-CN"/>
        </w:rPr>
        <w:tab/>
      </w:r>
      <w:r w:rsidR="004B5CBB" w:rsidRPr="00B513F1">
        <w:rPr>
          <w:rFonts w:hint="eastAsia"/>
          <w:lang w:eastAsia="zh-CN"/>
        </w:rPr>
        <w:t>CWG-FHR</w:t>
      </w:r>
      <w:r w:rsidR="004B5CBB" w:rsidRPr="00B513F1">
        <w:rPr>
          <w:rFonts w:hint="eastAsia"/>
          <w:lang w:eastAsia="zh-CN"/>
        </w:rPr>
        <w:t>的工作一完成，国际电联秘书处就开始接触经纪公司，调查市场上是否有这种保险。</w:t>
      </w:r>
    </w:p>
    <w:p w14:paraId="4883D1BA" w14:textId="252CE0FB"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lang w:eastAsia="zh-CN"/>
        </w:rPr>
        <w:t>1.4</w:t>
      </w:r>
      <w:r w:rsidRPr="00197DC4">
        <w:rPr>
          <w:lang w:eastAsia="zh-CN"/>
        </w:rPr>
        <w:tab/>
      </w:r>
      <w:r w:rsidR="004B5CBB" w:rsidRPr="00B513F1">
        <w:rPr>
          <w:rFonts w:hint="eastAsia"/>
          <w:lang w:eastAsia="zh-CN"/>
        </w:rPr>
        <w:t>秘书处还对联合国其他机构开展的类似项目的管理进行了经验总结。</w:t>
      </w:r>
    </w:p>
    <w:p w14:paraId="0411ABBC" w14:textId="2658D500"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lang w:eastAsia="zh-CN"/>
        </w:rPr>
        <w:t>1.5</w:t>
      </w:r>
      <w:r w:rsidRPr="00197DC4">
        <w:rPr>
          <w:lang w:eastAsia="zh-CN"/>
        </w:rPr>
        <w:tab/>
      </w:r>
      <w:r w:rsidR="004B5CBB" w:rsidRPr="00B513F1">
        <w:rPr>
          <w:rFonts w:hint="eastAsia"/>
          <w:lang w:eastAsia="zh-CN"/>
        </w:rPr>
        <w:t>此外，秘书处联系了其承包商</w:t>
      </w:r>
      <w:r w:rsidR="004B5CBB" w:rsidRPr="00B513F1">
        <w:rPr>
          <w:rFonts w:hint="eastAsia"/>
          <w:lang w:eastAsia="zh-CN"/>
        </w:rPr>
        <w:t>CDTK</w:t>
      </w:r>
      <w:r w:rsidR="004B5CBB" w:rsidRPr="00B513F1">
        <w:rPr>
          <w:rFonts w:hint="eastAsia"/>
          <w:lang w:eastAsia="zh-CN"/>
        </w:rPr>
        <w:t>和</w:t>
      </w:r>
      <w:r w:rsidR="004B5CBB" w:rsidRPr="00B513F1">
        <w:rPr>
          <w:rFonts w:hint="eastAsia"/>
          <w:lang w:eastAsia="zh-CN"/>
        </w:rPr>
        <w:t>Hill International</w:t>
      </w:r>
      <w:r w:rsidR="004B5CBB" w:rsidRPr="00B513F1">
        <w:rPr>
          <w:rFonts w:hint="eastAsia"/>
          <w:lang w:eastAsia="zh-CN"/>
        </w:rPr>
        <w:t>，以获得他们对该风险登记册保险提案的意见</w:t>
      </w:r>
      <w:r w:rsidR="00B513F1">
        <w:rPr>
          <w:rFonts w:hint="eastAsia"/>
          <w:lang w:eastAsia="zh-CN"/>
        </w:rPr>
        <w:t>。</w:t>
      </w:r>
    </w:p>
    <w:p w14:paraId="34F5F2A3" w14:textId="7B64E50B" w:rsidR="00197DC4" w:rsidRPr="00197DC4" w:rsidRDefault="00197DC4" w:rsidP="00197DC4">
      <w:pPr>
        <w:tabs>
          <w:tab w:val="clear" w:pos="794"/>
          <w:tab w:val="clear" w:pos="1191"/>
          <w:tab w:val="clear" w:pos="1588"/>
          <w:tab w:val="clear" w:pos="1985"/>
          <w:tab w:val="left" w:pos="709"/>
        </w:tabs>
        <w:overflowPunct/>
        <w:autoSpaceDE/>
        <w:autoSpaceDN/>
        <w:adjustRightInd/>
        <w:spacing w:before="360" w:after="120"/>
        <w:textAlignment w:val="auto"/>
        <w:rPr>
          <w:rFonts w:asciiTheme="minorHAnsi" w:eastAsia="Times New Roman" w:hAnsiTheme="minorHAnsi" w:cstheme="minorHAnsi"/>
          <w:color w:val="000000"/>
          <w:szCs w:val="24"/>
          <w:lang w:eastAsia="zh-CN"/>
        </w:rPr>
      </w:pPr>
      <w:r w:rsidRPr="00197DC4">
        <w:rPr>
          <w:rFonts w:asciiTheme="minorHAnsi" w:eastAsia="Times New Roman" w:hAnsiTheme="minorHAnsi" w:cstheme="minorHAnsi"/>
          <w:b/>
          <w:bCs/>
          <w:szCs w:val="24"/>
          <w:lang w:eastAsia="zh-CN"/>
        </w:rPr>
        <w:t>2</w:t>
      </w:r>
      <w:r w:rsidRPr="00197DC4">
        <w:rPr>
          <w:rFonts w:asciiTheme="minorHAnsi" w:eastAsia="Times New Roman" w:hAnsiTheme="minorHAnsi" w:cstheme="minorHAnsi"/>
          <w:b/>
          <w:bCs/>
          <w:szCs w:val="24"/>
          <w:lang w:eastAsia="zh-CN"/>
        </w:rPr>
        <w:tab/>
      </w:r>
      <w:bookmarkStart w:id="3" w:name="lt_pId035"/>
      <w:r w:rsidR="00B513F1">
        <w:rPr>
          <w:rFonts w:ascii="SimSun" w:hAnsi="SimSun" w:cs="SimSun" w:hint="eastAsia"/>
          <w:b/>
          <w:bCs/>
          <w:szCs w:val="24"/>
          <w:lang w:eastAsia="zh-CN"/>
        </w:rPr>
        <w:t>新办公楼项目中的经济公司和合作公司</w:t>
      </w:r>
      <w:bookmarkEnd w:id="3"/>
    </w:p>
    <w:p w14:paraId="5A6A188D" w14:textId="01AD41DA" w:rsidR="00197DC4" w:rsidRPr="00197DC4" w:rsidRDefault="00197DC4" w:rsidP="00197DC4">
      <w:pPr>
        <w:tabs>
          <w:tab w:val="clear" w:pos="794"/>
          <w:tab w:val="clear" w:pos="1191"/>
          <w:tab w:val="clear" w:pos="1588"/>
          <w:tab w:val="clear" w:pos="1985"/>
          <w:tab w:val="left" w:pos="709"/>
          <w:tab w:val="left" w:pos="851"/>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2.1</w:t>
      </w:r>
      <w:r w:rsidRPr="00197DC4">
        <w:rPr>
          <w:rFonts w:asciiTheme="minorHAnsi" w:eastAsia="Times New Roman" w:hAnsiTheme="minorHAnsi" w:cstheme="minorHAnsi"/>
          <w:color w:val="000000"/>
          <w:szCs w:val="24"/>
          <w:lang w:eastAsia="zh-CN"/>
        </w:rPr>
        <w:tab/>
      </w:r>
      <w:bookmarkStart w:id="4" w:name="lt_pId037"/>
      <w:r w:rsidR="00B513F1" w:rsidRPr="00DE7286">
        <w:rPr>
          <w:rFonts w:hint="eastAsia"/>
          <w:spacing w:val="-4"/>
          <w:lang w:eastAsia="zh-CN"/>
        </w:rPr>
        <w:t>根据提交给经纪公司的风险登记册，所审查的风险实际上没有一个是市场上可保险的，</w:t>
      </w:r>
      <w:r w:rsidR="00B513F1" w:rsidRPr="00B513F1">
        <w:rPr>
          <w:rFonts w:hint="eastAsia"/>
          <w:lang w:eastAsia="zh-CN"/>
        </w:rPr>
        <w:t>因为它们不是与有形损失或损害或法律责任有关的风险，而是商业或合同风险</w:t>
      </w:r>
      <w:bookmarkEnd w:id="4"/>
      <w:r w:rsidR="00B513F1">
        <w:rPr>
          <w:rFonts w:hint="eastAsia"/>
          <w:lang w:eastAsia="zh-CN"/>
        </w:rPr>
        <w:t>。</w:t>
      </w:r>
    </w:p>
    <w:p w14:paraId="333CC20C" w14:textId="10A0CF62"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2.2</w:t>
      </w:r>
      <w:r w:rsidRPr="00197DC4">
        <w:rPr>
          <w:rFonts w:asciiTheme="minorHAnsi" w:eastAsia="Times New Roman" w:hAnsiTheme="minorHAnsi" w:cstheme="minorHAnsi"/>
          <w:color w:val="000000"/>
          <w:szCs w:val="24"/>
          <w:lang w:eastAsia="zh-CN"/>
        </w:rPr>
        <w:tab/>
      </w:r>
      <w:bookmarkStart w:id="5" w:name="lt_pId039"/>
      <w:r w:rsidR="00B513F1" w:rsidRPr="00B513F1">
        <w:rPr>
          <w:rFonts w:hint="eastAsia"/>
          <w:lang w:eastAsia="zh-CN"/>
        </w:rPr>
        <w:t>如果我们要解决</w:t>
      </w:r>
      <w:r w:rsidR="00AE7DAC">
        <w:rPr>
          <w:rFonts w:hint="eastAsia"/>
          <w:lang w:eastAsia="zh-CN"/>
        </w:rPr>
        <w:t>施工</w:t>
      </w:r>
      <w:r w:rsidR="00B513F1" w:rsidRPr="00B513F1">
        <w:rPr>
          <w:rFonts w:hint="eastAsia"/>
          <w:lang w:eastAsia="zh-CN"/>
        </w:rPr>
        <w:t>项目中的一般风险控制问题，就必须决定应对可能后果的措施，因此</w:t>
      </w:r>
      <w:bookmarkEnd w:id="5"/>
      <w:r w:rsidR="00B513F1" w:rsidRPr="00B513F1">
        <w:rPr>
          <w:rFonts w:hint="eastAsia"/>
          <w:lang w:eastAsia="zh-CN"/>
        </w:rPr>
        <w:t>：</w:t>
      </w:r>
    </w:p>
    <w:p w14:paraId="0EDFE22C" w14:textId="257CD866" w:rsidR="00B513F1" w:rsidRPr="00B513F1" w:rsidRDefault="00DE7286" w:rsidP="00DE7286">
      <w:pPr>
        <w:pStyle w:val="enumlev1"/>
        <w:rPr>
          <w:lang w:eastAsia="zh-CN"/>
        </w:rPr>
      </w:pPr>
      <w:r>
        <w:rPr>
          <w:lang w:eastAsia="zh-CN"/>
        </w:rPr>
        <w:t>–</w:t>
      </w:r>
      <w:r>
        <w:rPr>
          <w:lang w:eastAsia="zh-CN"/>
        </w:rPr>
        <w:tab/>
      </w:r>
      <w:r w:rsidR="00B513F1">
        <w:rPr>
          <w:rFonts w:hint="eastAsia"/>
          <w:lang w:eastAsia="zh-CN"/>
        </w:rPr>
        <w:t>如果在</w:t>
      </w:r>
      <w:r w:rsidR="00B513F1" w:rsidRPr="00B513F1">
        <w:rPr>
          <w:rFonts w:hint="eastAsia"/>
          <w:lang w:eastAsia="zh-CN"/>
        </w:rPr>
        <w:t>没有可能投保的情况下</w:t>
      </w:r>
      <w:r w:rsidR="00B513F1">
        <w:rPr>
          <w:rFonts w:hint="eastAsia"/>
          <w:lang w:eastAsia="zh-CN"/>
        </w:rPr>
        <w:t>，</w:t>
      </w:r>
      <w:r w:rsidR="00B513F1" w:rsidRPr="00B513F1">
        <w:rPr>
          <w:rFonts w:hint="eastAsia"/>
          <w:lang w:eastAsia="zh-CN"/>
        </w:rPr>
        <w:t>通过预防可能导致风险的因素</w:t>
      </w:r>
      <w:r w:rsidR="00B513F1">
        <w:rPr>
          <w:rFonts w:hint="eastAsia"/>
          <w:lang w:eastAsia="zh-CN"/>
        </w:rPr>
        <w:t>（</w:t>
      </w:r>
      <w:r w:rsidR="00B513F1" w:rsidRPr="00B513F1">
        <w:rPr>
          <w:rFonts w:hint="eastAsia"/>
          <w:lang w:eastAsia="zh-CN"/>
        </w:rPr>
        <w:t>不适当的施工技术等</w:t>
      </w:r>
      <w:r w:rsidR="00B513F1">
        <w:rPr>
          <w:rFonts w:hint="eastAsia"/>
          <w:lang w:eastAsia="zh-CN"/>
        </w:rPr>
        <w:t>）</w:t>
      </w:r>
      <w:r w:rsidR="00B513F1" w:rsidRPr="00B513F1">
        <w:rPr>
          <w:rFonts w:hint="eastAsia"/>
          <w:lang w:eastAsia="zh-CN"/>
        </w:rPr>
        <w:t>避免风险；</w:t>
      </w:r>
    </w:p>
    <w:p w14:paraId="3DF4781E" w14:textId="149950EF" w:rsidR="00B513F1" w:rsidRPr="00B513F1" w:rsidRDefault="00DE7286" w:rsidP="00DE7286">
      <w:pPr>
        <w:pStyle w:val="enumlev1"/>
        <w:rPr>
          <w:lang w:eastAsia="zh-CN"/>
        </w:rPr>
      </w:pPr>
      <w:r>
        <w:rPr>
          <w:lang w:eastAsia="zh-CN"/>
        </w:rPr>
        <w:t>–</w:t>
      </w:r>
      <w:r>
        <w:rPr>
          <w:lang w:eastAsia="zh-CN"/>
        </w:rPr>
        <w:tab/>
      </w:r>
      <w:r w:rsidR="00B513F1" w:rsidRPr="00B513F1">
        <w:rPr>
          <w:rFonts w:hint="eastAsia"/>
          <w:lang w:eastAsia="zh-CN"/>
        </w:rPr>
        <w:t>通过建立储备，承担被认为可以承受或无法投保的风险，如可预见的损害</w:t>
      </w:r>
      <w:r w:rsidR="00B513F1">
        <w:rPr>
          <w:rFonts w:hint="eastAsia"/>
          <w:lang w:eastAsia="zh-CN"/>
        </w:rPr>
        <w:t>（</w:t>
      </w:r>
      <w:r w:rsidR="00B513F1" w:rsidRPr="00B513F1">
        <w:rPr>
          <w:rFonts w:hint="eastAsia"/>
          <w:lang w:eastAsia="zh-CN"/>
        </w:rPr>
        <w:t>给定时间和地点的已知天气状况、已知洪水等</w:t>
      </w:r>
      <w:r w:rsidR="00B513F1">
        <w:rPr>
          <w:rFonts w:hint="eastAsia"/>
          <w:lang w:eastAsia="zh-CN"/>
        </w:rPr>
        <w:t>）</w:t>
      </w:r>
      <w:r w:rsidR="00B513F1" w:rsidRPr="00B513F1">
        <w:rPr>
          <w:rFonts w:hint="eastAsia"/>
          <w:lang w:eastAsia="zh-CN"/>
        </w:rPr>
        <w:t>、工作造成的滋扰</w:t>
      </w:r>
      <w:r w:rsidR="00B513F1">
        <w:rPr>
          <w:rFonts w:hint="eastAsia"/>
          <w:lang w:eastAsia="zh-CN"/>
        </w:rPr>
        <w:t>（</w:t>
      </w:r>
      <w:r w:rsidR="00B513F1" w:rsidRPr="00B513F1">
        <w:rPr>
          <w:rFonts w:hint="eastAsia"/>
          <w:lang w:eastAsia="zh-CN"/>
        </w:rPr>
        <w:t>噪音、灰尘等</w:t>
      </w:r>
      <w:r w:rsidR="00B513F1">
        <w:rPr>
          <w:rFonts w:hint="eastAsia"/>
          <w:lang w:eastAsia="zh-CN"/>
        </w:rPr>
        <w:t>）</w:t>
      </w:r>
      <w:r w:rsidR="00B513F1" w:rsidRPr="00B513F1">
        <w:rPr>
          <w:rFonts w:hint="eastAsia"/>
          <w:lang w:eastAsia="zh-CN"/>
        </w:rPr>
        <w:t>和其他风险；</w:t>
      </w:r>
    </w:p>
    <w:p w14:paraId="66B0F156" w14:textId="58C294E6" w:rsidR="00B513F1" w:rsidRPr="00B513F1" w:rsidRDefault="00DE7286" w:rsidP="00DE7286">
      <w:pPr>
        <w:pStyle w:val="enumlev1"/>
        <w:rPr>
          <w:lang w:eastAsia="zh-CN"/>
        </w:rPr>
      </w:pPr>
      <w:r>
        <w:rPr>
          <w:lang w:eastAsia="zh-CN"/>
        </w:rPr>
        <w:t>–</w:t>
      </w:r>
      <w:r>
        <w:rPr>
          <w:lang w:eastAsia="zh-CN"/>
        </w:rPr>
        <w:tab/>
      </w:r>
      <w:r w:rsidR="00B513F1" w:rsidRPr="00B513F1">
        <w:rPr>
          <w:rFonts w:hint="eastAsia"/>
          <w:lang w:eastAsia="zh-CN"/>
        </w:rPr>
        <w:t>采取预防措施，以避免因没有保险解决方案而发生担心的事件，或履行投保人采取此类措施的义务；</w:t>
      </w:r>
    </w:p>
    <w:p w14:paraId="7896308E" w14:textId="3BD71E9C" w:rsidR="00197DC4" w:rsidRPr="00197DC4" w:rsidRDefault="00DE7286" w:rsidP="00DE7286">
      <w:pPr>
        <w:pStyle w:val="enumlev1"/>
        <w:rPr>
          <w:lang w:eastAsia="zh-CN"/>
        </w:rPr>
      </w:pPr>
      <w:r>
        <w:rPr>
          <w:lang w:eastAsia="zh-CN"/>
        </w:rPr>
        <w:t>–</w:t>
      </w:r>
      <w:r>
        <w:rPr>
          <w:lang w:eastAsia="zh-CN"/>
        </w:rPr>
        <w:tab/>
      </w:r>
      <w:r w:rsidR="00FC4B53" w:rsidRPr="00FC4B53">
        <w:rPr>
          <w:rFonts w:hint="eastAsia"/>
          <w:lang w:eastAsia="zh-CN"/>
        </w:rPr>
        <w:t>明知保险公司不愿意承担所有风险，即使是在给定的承保范围内</w:t>
      </w:r>
      <w:r w:rsidR="00FC4B53">
        <w:rPr>
          <w:rFonts w:hint="eastAsia"/>
          <w:lang w:eastAsia="zh-CN"/>
        </w:rPr>
        <w:t>（</w:t>
      </w:r>
      <w:r w:rsidR="00FC4B53" w:rsidRPr="00FC4B53">
        <w:rPr>
          <w:rFonts w:hint="eastAsia"/>
          <w:lang w:eastAsia="zh-CN"/>
        </w:rPr>
        <w:t>不包括在内</w:t>
      </w:r>
      <w:r w:rsidR="00FC4B53">
        <w:rPr>
          <w:rFonts w:hint="eastAsia"/>
          <w:lang w:eastAsia="zh-CN"/>
        </w:rPr>
        <w:t>）</w:t>
      </w:r>
      <w:r w:rsidR="00AE7DAC" w:rsidRPr="00FC4B53">
        <w:rPr>
          <w:rFonts w:hint="eastAsia"/>
          <w:lang w:eastAsia="zh-CN"/>
        </w:rPr>
        <w:t>，将某些风险转移给保险公司或其他人</w:t>
      </w:r>
      <w:r w:rsidR="00FC4B53">
        <w:rPr>
          <w:rFonts w:hint="eastAsia"/>
          <w:lang w:eastAsia="zh-CN"/>
        </w:rPr>
        <w:t>。</w:t>
      </w:r>
    </w:p>
    <w:p w14:paraId="34D1C01B" w14:textId="239604EA" w:rsidR="00197DC4" w:rsidRPr="00197DC4" w:rsidRDefault="00197DC4" w:rsidP="00197DC4">
      <w:pPr>
        <w:tabs>
          <w:tab w:val="clear" w:pos="794"/>
          <w:tab w:val="clear" w:pos="1191"/>
          <w:tab w:val="clear" w:pos="1588"/>
          <w:tab w:val="clear" w:pos="1985"/>
        </w:tabs>
        <w:overflowPunct/>
        <w:autoSpaceDE/>
        <w:autoSpaceDN/>
        <w:adjustRightInd/>
        <w:spacing w:after="120"/>
        <w:jc w:val="both"/>
        <w:textAlignment w:val="auto"/>
        <w:rPr>
          <w:rFonts w:asciiTheme="minorHAnsi" w:eastAsia="Times New Roman" w:hAnsiTheme="minorHAnsi" w:cstheme="minorHAnsi"/>
          <w:szCs w:val="24"/>
          <w:lang w:eastAsia="zh-CN"/>
        </w:rPr>
      </w:pPr>
      <w:r w:rsidRPr="00197DC4">
        <w:rPr>
          <w:rFonts w:asciiTheme="minorHAnsi" w:eastAsia="Times New Roman" w:hAnsiTheme="minorHAnsi" w:cstheme="minorHAnsi"/>
          <w:szCs w:val="24"/>
          <w:lang w:eastAsia="zh-CN"/>
        </w:rPr>
        <w:t>2.3</w:t>
      </w:r>
      <w:r w:rsidRPr="00197DC4">
        <w:rPr>
          <w:rFonts w:asciiTheme="minorHAnsi" w:eastAsia="Times New Roman" w:hAnsiTheme="minorHAnsi" w:cstheme="minorHAnsi"/>
          <w:szCs w:val="24"/>
          <w:lang w:eastAsia="zh-CN"/>
        </w:rPr>
        <w:tab/>
      </w:r>
      <w:r w:rsidR="00D23CF4" w:rsidRPr="00D23CF4">
        <w:rPr>
          <w:rFonts w:hint="eastAsia"/>
          <w:lang w:eastAsia="zh-CN"/>
        </w:rPr>
        <w:t>目前建立的风险登记册的目的是包含、管理和减轻与</w:t>
      </w:r>
      <w:r w:rsidR="00D23CF4">
        <w:rPr>
          <w:rFonts w:hint="eastAsia"/>
          <w:lang w:eastAsia="zh-CN"/>
        </w:rPr>
        <w:t>建设</w:t>
      </w:r>
      <w:r w:rsidR="00D23CF4" w:rsidRPr="00D23CF4">
        <w:rPr>
          <w:rFonts w:hint="eastAsia"/>
          <w:lang w:eastAsia="zh-CN"/>
        </w:rPr>
        <w:t>工程合同相关的所有风险，并将包括在总承包商保险和国际电联责任保险中。后者将由经纪</w:t>
      </w:r>
      <w:r w:rsidR="00D23CF4">
        <w:rPr>
          <w:rFonts w:hint="eastAsia"/>
          <w:lang w:eastAsia="zh-CN"/>
        </w:rPr>
        <w:t>公司审议。</w:t>
      </w:r>
    </w:p>
    <w:p w14:paraId="6DC3A3D9" w14:textId="58052488" w:rsidR="00197DC4" w:rsidRPr="00197DC4" w:rsidRDefault="00197DC4" w:rsidP="00197DC4">
      <w:pPr>
        <w:tabs>
          <w:tab w:val="clear" w:pos="794"/>
          <w:tab w:val="clear" w:pos="1191"/>
          <w:tab w:val="clear" w:pos="1588"/>
          <w:tab w:val="clear" w:pos="1985"/>
        </w:tabs>
        <w:overflowPunct/>
        <w:autoSpaceDE/>
        <w:autoSpaceDN/>
        <w:adjustRightInd/>
        <w:spacing w:after="120"/>
        <w:jc w:val="both"/>
        <w:textAlignment w:val="auto"/>
        <w:rPr>
          <w:lang w:eastAsia="zh-CN"/>
        </w:rPr>
      </w:pPr>
      <w:r w:rsidRPr="00197DC4">
        <w:rPr>
          <w:rFonts w:asciiTheme="minorHAnsi" w:eastAsia="Times New Roman" w:hAnsiTheme="minorHAnsi" w:cstheme="minorHAnsi"/>
          <w:szCs w:val="24"/>
          <w:lang w:eastAsia="zh-CN"/>
        </w:rPr>
        <w:t>2.4</w:t>
      </w:r>
      <w:r w:rsidRPr="00197DC4">
        <w:rPr>
          <w:rFonts w:asciiTheme="minorHAnsi" w:eastAsia="Times New Roman" w:hAnsiTheme="minorHAnsi" w:cstheme="minorHAnsi"/>
          <w:szCs w:val="24"/>
          <w:lang w:eastAsia="zh-CN"/>
        </w:rPr>
        <w:tab/>
      </w:r>
      <w:r w:rsidR="00D23CF4" w:rsidRPr="00D23CF4">
        <w:rPr>
          <w:rFonts w:hint="eastAsia"/>
          <w:lang w:eastAsia="zh-CN"/>
        </w:rPr>
        <w:t>还应指出，所有这些风险都包含在为此提供的</w:t>
      </w:r>
      <w:r w:rsidR="00D23CF4" w:rsidRPr="00D23CF4">
        <w:rPr>
          <w:rFonts w:hint="eastAsia"/>
          <w:lang w:eastAsia="zh-CN"/>
        </w:rPr>
        <w:t>1260</w:t>
      </w:r>
      <w:r w:rsidR="00D23CF4" w:rsidRPr="00D23CF4">
        <w:rPr>
          <w:rFonts w:hint="eastAsia"/>
          <w:lang w:eastAsia="zh-CN"/>
        </w:rPr>
        <w:t>万瑞郎的应急</w:t>
      </w:r>
      <w:r w:rsidR="00D23CF4" w:rsidRPr="00D23CF4">
        <w:rPr>
          <w:rFonts w:hint="eastAsia"/>
          <w:lang w:eastAsia="zh-CN"/>
        </w:rPr>
        <w:t>/</w:t>
      </w:r>
      <w:r w:rsidR="00D23CF4" w:rsidRPr="00D23CF4">
        <w:rPr>
          <w:rFonts w:hint="eastAsia"/>
          <w:lang w:eastAsia="zh-CN"/>
        </w:rPr>
        <w:t>储备金中</w:t>
      </w:r>
      <w:r w:rsidR="00D23CF4">
        <w:rPr>
          <w:rFonts w:hint="eastAsia"/>
          <w:lang w:eastAsia="zh-CN"/>
        </w:rPr>
        <w:t>。</w:t>
      </w:r>
    </w:p>
    <w:p w14:paraId="0571A616" w14:textId="7DD92B49" w:rsidR="00197DC4" w:rsidRPr="00197DC4" w:rsidRDefault="00197DC4" w:rsidP="00197DC4">
      <w:pPr>
        <w:tabs>
          <w:tab w:val="clear" w:pos="794"/>
          <w:tab w:val="clear" w:pos="1191"/>
          <w:tab w:val="clear" w:pos="1588"/>
          <w:tab w:val="clear" w:pos="1985"/>
          <w:tab w:val="left" w:pos="709"/>
          <w:tab w:val="left" w:pos="851"/>
        </w:tabs>
        <w:overflowPunct/>
        <w:autoSpaceDE/>
        <w:autoSpaceDN/>
        <w:adjustRightInd/>
        <w:spacing w:before="360" w:after="120"/>
        <w:jc w:val="both"/>
        <w:textAlignment w:val="auto"/>
        <w:rPr>
          <w:rFonts w:ascii="SimSun" w:hAnsi="SimSun" w:cs="SimSun"/>
          <w:b/>
          <w:bCs/>
          <w:szCs w:val="24"/>
          <w:lang w:eastAsia="zh-CN"/>
        </w:rPr>
      </w:pPr>
      <w:r w:rsidRPr="00197DC4">
        <w:rPr>
          <w:rFonts w:asciiTheme="minorHAnsi" w:eastAsia="Times New Roman" w:hAnsiTheme="minorHAnsi" w:cstheme="minorHAnsi"/>
          <w:b/>
          <w:bCs/>
          <w:color w:val="000000"/>
          <w:szCs w:val="24"/>
          <w:lang w:eastAsia="zh-CN"/>
        </w:rPr>
        <w:t>3</w:t>
      </w:r>
      <w:r w:rsidRPr="00197DC4">
        <w:rPr>
          <w:rFonts w:asciiTheme="minorHAnsi" w:eastAsia="Times New Roman" w:hAnsiTheme="minorHAnsi" w:cstheme="minorHAnsi"/>
          <w:b/>
          <w:bCs/>
          <w:color w:val="000000"/>
          <w:szCs w:val="24"/>
          <w:lang w:eastAsia="zh-CN"/>
        </w:rPr>
        <w:tab/>
      </w:r>
      <w:r w:rsidR="00D23CF4" w:rsidRPr="00D23CF4">
        <w:rPr>
          <w:rFonts w:ascii="SimSun" w:hAnsi="SimSun" w:cs="SimSun" w:hint="eastAsia"/>
          <w:b/>
          <w:bCs/>
          <w:szCs w:val="24"/>
          <w:lang w:eastAsia="zh-CN"/>
        </w:rPr>
        <w:t>设在日内瓦的国际组织</w:t>
      </w:r>
      <w:r w:rsidRPr="00197DC4">
        <w:rPr>
          <w:rFonts w:ascii="SimSun" w:hAnsi="SimSun" w:cs="SimSun"/>
          <w:b/>
          <w:bCs/>
          <w:szCs w:val="24"/>
          <w:lang w:eastAsia="zh-CN"/>
        </w:rPr>
        <w:t xml:space="preserve"> </w:t>
      </w:r>
    </w:p>
    <w:p w14:paraId="009D93F7" w14:textId="6EC40303" w:rsidR="00D23CF4" w:rsidRPr="00D23CF4" w:rsidRDefault="00197DC4" w:rsidP="00D23CF4">
      <w:pPr>
        <w:tabs>
          <w:tab w:val="clear" w:pos="794"/>
          <w:tab w:val="clear" w:pos="1191"/>
          <w:tab w:val="clear" w:pos="1588"/>
          <w:tab w:val="clear" w:pos="1985"/>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3.1</w:t>
      </w:r>
      <w:r w:rsidRPr="00197DC4">
        <w:rPr>
          <w:rFonts w:asciiTheme="minorHAnsi" w:eastAsia="Times New Roman" w:hAnsiTheme="minorHAnsi" w:cstheme="minorHAnsi"/>
          <w:color w:val="000000"/>
          <w:szCs w:val="24"/>
          <w:lang w:eastAsia="zh-CN"/>
        </w:rPr>
        <w:tab/>
      </w:r>
      <w:r w:rsidR="00D23CF4" w:rsidRPr="00D23CF4">
        <w:rPr>
          <w:rFonts w:hint="eastAsia"/>
          <w:lang w:eastAsia="zh-CN"/>
        </w:rPr>
        <w:t>秘书处还联系了劳工组织</w:t>
      </w:r>
      <w:r w:rsidR="00AE7DAC">
        <w:rPr>
          <w:rFonts w:hint="eastAsia"/>
          <w:lang w:eastAsia="zh-CN"/>
        </w:rPr>
        <w:t>（</w:t>
      </w:r>
      <w:r w:rsidR="00AE7DAC">
        <w:rPr>
          <w:rFonts w:hint="eastAsia"/>
          <w:lang w:eastAsia="zh-CN"/>
        </w:rPr>
        <w:t>ILO</w:t>
      </w:r>
      <w:r w:rsidR="00AE7DAC">
        <w:rPr>
          <w:rFonts w:hint="eastAsia"/>
          <w:lang w:eastAsia="zh-CN"/>
        </w:rPr>
        <w:t>）</w:t>
      </w:r>
      <w:r w:rsidR="00D23CF4" w:rsidRPr="00D23CF4">
        <w:rPr>
          <w:rFonts w:hint="eastAsia"/>
          <w:lang w:eastAsia="zh-CN"/>
        </w:rPr>
        <w:t>和联合国日内瓦办事处</w:t>
      </w:r>
      <w:r w:rsidR="00AE7DAC">
        <w:rPr>
          <w:rFonts w:hint="eastAsia"/>
          <w:lang w:eastAsia="zh-CN"/>
        </w:rPr>
        <w:t>（</w:t>
      </w:r>
      <w:r w:rsidR="00AE7DAC">
        <w:rPr>
          <w:rFonts w:hint="eastAsia"/>
          <w:lang w:eastAsia="zh-CN"/>
        </w:rPr>
        <w:t>UNOG</w:t>
      </w:r>
      <w:r w:rsidR="00AE7DAC">
        <w:rPr>
          <w:rFonts w:hint="eastAsia"/>
          <w:lang w:eastAsia="zh-CN"/>
        </w:rPr>
        <w:t>）</w:t>
      </w:r>
      <w:r w:rsidR="00D23CF4" w:rsidRPr="00D23CF4">
        <w:rPr>
          <w:rFonts w:hint="eastAsia"/>
          <w:lang w:eastAsia="zh-CN"/>
        </w:rPr>
        <w:t>，这两个机构最近开展了类似的项目。</w:t>
      </w:r>
    </w:p>
    <w:p w14:paraId="73FD3CFB" w14:textId="3EA180B1" w:rsidR="00197DC4" w:rsidRPr="00197DC4" w:rsidRDefault="00D23CF4" w:rsidP="00DE7286">
      <w:pPr>
        <w:keepNext/>
        <w:keepLines/>
        <w:tabs>
          <w:tab w:val="clear" w:pos="794"/>
          <w:tab w:val="clear" w:pos="1191"/>
          <w:tab w:val="clear" w:pos="1588"/>
          <w:tab w:val="clear" w:pos="1985"/>
        </w:tabs>
        <w:overflowPunct/>
        <w:autoSpaceDE/>
        <w:autoSpaceDN/>
        <w:adjustRightInd/>
        <w:spacing w:after="120"/>
        <w:jc w:val="both"/>
        <w:textAlignment w:val="auto"/>
        <w:rPr>
          <w:rFonts w:asciiTheme="minorHAnsi" w:eastAsia="Times New Roman" w:hAnsiTheme="minorHAnsi" w:cstheme="minorHAnsi"/>
          <w:color w:val="000000"/>
          <w:szCs w:val="24"/>
          <w:lang w:eastAsia="zh-CN"/>
        </w:rPr>
      </w:pPr>
      <w:r w:rsidRPr="00D23CF4">
        <w:rPr>
          <w:rFonts w:hint="eastAsia"/>
          <w:lang w:eastAsia="zh-CN"/>
        </w:rPr>
        <w:lastRenderedPageBreak/>
        <w:t>3.2</w:t>
      </w:r>
      <w:r>
        <w:rPr>
          <w:lang w:eastAsia="zh-CN"/>
        </w:rPr>
        <w:tab/>
      </w:r>
      <w:r w:rsidRPr="00D23CF4">
        <w:rPr>
          <w:rFonts w:hint="eastAsia"/>
          <w:lang w:eastAsia="zh-CN"/>
        </w:rPr>
        <w:t>劳工组织确认，它采用了同样的方法，即根据风险的性质制定了几份保险单</w:t>
      </w:r>
      <w:r>
        <w:rPr>
          <w:rFonts w:hint="eastAsia"/>
          <w:lang w:eastAsia="zh-CN"/>
        </w:rPr>
        <w:t>以</w:t>
      </w:r>
      <w:r w:rsidRPr="00D23CF4">
        <w:rPr>
          <w:rFonts w:hint="eastAsia"/>
          <w:lang w:eastAsia="zh-CN"/>
        </w:rPr>
        <w:t>承保风险</w:t>
      </w:r>
      <w:r>
        <w:rPr>
          <w:rFonts w:hint="eastAsia"/>
          <w:lang w:eastAsia="zh-CN"/>
        </w:rPr>
        <w:t>：</w:t>
      </w:r>
    </w:p>
    <w:p w14:paraId="513F8050" w14:textId="518601B7" w:rsidR="00D23CF4" w:rsidRPr="00D23CF4" w:rsidRDefault="00DE7286" w:rsidP="00DE7286">
      <w:pPr>
        <w:pStyle w:val="enumlev1"/>
        <w:rPr>
          <w:lang w:eastAsia="zh-CN"/>
        </w:rPr>
      </w:pPr>
      <w:r>
        <w:rPr>
          <w:lang w:eastAsia="zh-CN"/>
        </w:rPr>
        <w:t>–</w:t>
      </w:r>
      <w:r w:rsidR="00197DC4" w:rsidRPr="00197DC4">
        <w:rPr>
          <w:lang w:eastAsia="zh-CN"/>
        </w:rPr>
        <w:tab/>
      </w:r>
      <w:r w:rsidR="00D23CF4" w:rsidRPr="00D23CF4">
        <w:rPr>
          <w:rFonts w:hint="eastAsia"/>
          <w:lang w:eastAsia="zh-CN"/>
        </w:rPr>
        <w:t>损坏、事故、工作区域损坏等</w:t>
      </w:r>
      <w:r w:rsidR="00D23CF4">
        <w:rPr>
          <w:rFonts w:hint="eastAsia"/>
          <w:lang w:eastAsia="zh-CN"/>
        </w:rPr>
        <w:t>：</w:t>
      </w:r>
      <w:r w:rsidR="00D23CF4" w:rsidRPr="00D23CF4">
        <w:rPr>
          <w:rFonts w:hint="eastAsia"/>
          <w:lang w:eastAsia="zh-CN"/>
        </w:rPr>
        <w:t>涵盖</w:t>
      </w:r>
      <w:r w:rsidR="001B558D" w:rsidRPr="00D23CF4">
        <w:rPr>
          <w:rFonts w:hint="eastAsia"/>
          <w:lang w:eastAsia="zh-CN"/>
        </w:rPr>
        <w:t>施工阶段</w:t>
      </w:r>
      <w:r w:rsidR="00D23CF4" w:rsidRPr="00D23CF4">
        <w:rPr>
          <w:rFonts w:hint="eastAsia"/>
          <w:lang w:eastAsia="zh-CN"/>
        </w:rPr>
        <w:t>所有相关方</w:t>
      </w:r>
      <w:r w:rsidR="00D23CF4">
        <w:rPr>
          <w:rFonts w:hint="eastAsia"/>
          <w:lang w:eastAsia="zh-CN"/>
        </w:rPr>
        <w:t>（</w:t>
      </w:r>
      <w:r w:rsidR="00D23CF4" w:rsidRPr="00D23CF4">
        <w:rPr>
          <w:rFonts w:hint="eastAsia"/>
          <w:lang w:eastAsia="zh-CN"/>
        </w:rPr>
        <w:t>业主、</w:t>
      </w:r>
      <w:r w:rsidR="00D23CF4" w:rsidRPr="00D23CF4">
        <w:rPr>
          <w:rFonts w:hint="eastAsia"/>
          <w:lang w:eastAsia="zh-CN"/>
        </w:rPr>
        <w:t>ET</w:t>
      </w:r>
      <w:r w:rsidR="00D23CF4" w:rsidRPr="00D23CF4">
        <w:rPr>
          <w:rFonts w:hint="eastAsia"/>
          <w:lang w:eastAsia="zh-CN"/>
        </w:rPr>
        <w:t>、</w:t>
      </w:r>
      <w:r w:rsidR="00D23CF4" w:rsidRPr="00D23CF4">
        <w:rPr>
          <w:rFonts w:hint="eastAsia"/>
          <w:lang w:eastAsia="zh-CN"/>
        </w:rPr>
        <w:t>SST</w:t>
      </w:r>
      <w:r w:rsidR="00D23CF4" w:rsidRPr="00D23CF4">
        <w:rPr>
          <w:rFonts w:hint="eastAsia"/>
          <w:lang w:eastAsia="zh-CN"/>
        </w:rPr>
        <w:t>、代理商等</w:t>
      </w:r>
      <w:r w:rsidR="00D23CF4">
        <w:rPr>
          <w:rFonts w:hint="eastAsia"/>
          <w:lang w:eastAsia="zh-CN"/>
        </w:rPr>
        <w:t>）</w:t>
      </w:r>
      <w:r w:rsidR="00D23CF4" w:rsidRPr="00D23CF4">
        <w:rPr>
          <w:rFonts w:hint="eastAsia"/>
          <w:lang w:eastAsia="zh-CN"/>
        </w:rPr>
        <w:t>的建筑工程综合险；</w:t>
      </w:r>
    </w:p>
    <w:p w14:paraId="0C2A5DCC" w14:textId="51400213" w:rsidR="00D23CF4" w:rsidRPr="00D23CF4" w:rsidRDefault="00DE7286" w:rsidP="00DE7286">
      <w:pPr>
        <w:pStyle w:val="enumlev1"/>
        <w:rPr>
          <w:lang w:eastAsia="zh-CN"/>
        </w:rPr>
      </w:pPr>
      <w:r>
        <w:rPr>
          <w:lang w:eastAsia="zh-CN"/>
        </w:rPr>
        <w:t>–</w:t>
      </w:r>
      <w:r w:rsidR="001B558D">
        <w:rPr>
          <w:lang w:eastAsia="zh-CN"/>
        </w:rPr>
        <w:tab/>
      </w:r>
      <w:r w:rsidR="00D23CF4" w:rsidRPr="00D23CF4">
        <w:rPr>
          <w:rFonts w:hint="eastAsia"/>
          <w:lang w:eastAsia="zh-CN"/>
        </w:rPr>
        <w:t>设计错误、</w:t>
      </w:r>
      <w:r w:rsidR="003C771D">
        <w:rPr>
          <w:rFonts w:hint="eastAsia"/>
          <w:lang w:eastAsia="zh-CN"/>
        </w:rPr>
        <w:t>规范</w:t>
      </w:r>
      <w:r w:rsidR="00D23CF4" w:rsidRPr="00D23CF4">
        <w:rPr>
          <w:rFonts w:hint="eastAsia"/>
          <w:lang w:eastAsia="zh-CN"/>
        </w:rPr>
        <w:t>不完整等</w:t>
      </w:r>
      <w:r w:rsidR="003C771D">
        <w:rPr>
          <w:rFonts w:hint="eastAsia"/>
          <w:lang w:eastAsia="zh-CN"/>
        </w:rPr>
        <w:t>：</w:t>
      </w:r>
      <w:r w:rsidR="00D23CF4" w:rsidRPr="00D23CF4">
        <w:rPr>
          <w:rFonts w:hint="eastAsia"/>
          <w:lang w:eastAsia="zh-CN"/>
        </w:rPr>
        <w:t>包含在</w:t>
      </w:r>
      <w:r w:rsidR="003C771D" w:rsidRPr="00D23CF4">
        <w:rPr>
          <w:rFonts w:hint="eastAsia"/>
          <w:lang w:eastAsia="zh-CN"/>
        </w:rPr>
        <w:t>对设计负全部责任，并对结果负有义务</w:t>
      </w:r>
      <w:r w:rsidR="003C771D">
        <w:rPr>
          <w:rFonts w:hint="eastAsia"/>
          <w:lang w:eastAsia="zh-CN"/>
        </w:rPr>
        <w:t>的</w:t>
      </w:r>
      <w:r w:rsidR="00D23CF4" w:rsidRPr="00D23CF4">
        <w:rPr>
          <w:rFonts w:hint="eastAsia"/>
          <w:lang w:eastAsia="zh-CN"/>
        </w:rPr>
        <w:t>总承包合同中</w:t>
      </w:r>
      <w:r w:rsidR="003C771D">
        <w:rPr>
          <w:rFonts w:hint="eastAsia"/>
          <w:lang w:eastAsia="zh-CN"/>
        </w:rPr>
        <w:t>；</w:t>
      </w:r>
    </w:p>
    <w:p w14:paraId="505D21B1" w14:textId="7A3974EC" w:rsidR="00D23CF4" w:rsidRPr="003C771D" w:rsidRDefault="00DE7286" w:rsidP="00DE7286">
      <w:pPr>
        <w:pStyle w:val="enumlev1"/>
        <w:rPr>
          <w:lang w:eastAsia="zh-CN"/>
        </w:rPr>
      </w:pPr>
      <w:r>
        <w:rPr>
          <w:lang w:eastAsia="zh-CN"/>
        </w:rPr>
        <w:t>–</w:t>
      </w:r>
      <w:r w:rsidR="003C771D">
        <w:rPr>
          <w:lang w:eastAsia="zh-CN"/>
        </w:rPr>
        <w:tab/>
      </w:r>
      <w:r w:rsidR="00D23CF4" w:rsidRPr="00D23CF4">
        <w:rPr>
          <w:rFonts w:hint="eastAsia"/>
          <w:lang w:eastAsia="zh-CN"/>
        </w:rPr>
        <w:t>预算超支</w:t>
      </w:r>
      <w:r w:rsidR="003C771D">
        <w:rPr>
          <w:rFonts w:hint="eastAsia"/>
          <w:lang w:eastAsia="zh-CN"/>
        </w:rPr>
        <w:t>：</w:t>
      </w:r>
      <w:r w:rsidR="00D23CF4" w:rsidRPr="00D23CF4">
        <w:rPr>
          <w:rFonts w:hint="eastAsia"/>
          <w:lang w:eastAsia="zh-CN"/>
        </w:rPr>
        <w:t>通过实施保证价格上限</w:t>
      </w:r>
      <w:r w:rsidR="003C771D">
        <w:rPr>
          <w:rFonts w:hint="eastAsia"/>
          <w:lang w:eastAsia="zh-CN"/>
        </w:rPr>
        <w:t>（</w:t>
      </w:r>
      <w:r w:rsidR="00D23CF4" w:rsidRPr="00D23CF4">
        <w:rPr>
          <w:rFonts w:hint="eastAsia"/>
          <w:lang w:eastAsia="zh-CN"/>
        </w:rPr>
        <w:t>GMP</w:t>
      </w:r>
      <w:r w:rsidR="003C771D">
        <w:rPr>
          <w:rFonts w:hint="eastAsia"/>
          <w:lang w:eastAsia="zh-CN"/>
        </w:rPr>
        <w:t>）</w:t>
      </w:r>
      <w:r w:rsidR="00D23CF4" w:rsidRPr="00D23CF4">
        <w:rPr>
          <w:rFonts w:hint="eastAsia"/>
          <w:lang w:eastAsia="zh-CN"/>
        </w:rPr>
        <w:t>纳入</w:t>
      </w:r>
      <w:r w:rsidR="003C771D">
        <w:rPr>
          <w:rFonts w:hint="eastAsia"/>
          <w:lang w:eastAsia="zh-CN"/>
        </w:rPr>
        <w:t>通用</w:t>
      </w:r>
      <w:r w:rsidR="00D23CF4" w:rsidRPr="00D23CF4">
        <w:rPr>
          <w:rFonts w:hint="eastAsia"/>
          <w:lang w:eastAsia="zh-CN"/>
        </w:rPr>
        <w:t>企业合同，保证价格上限涵盖成本增加的风险</w:t>
      </w:r>
      <w:r w:rsidR="003C771D">
        <w:rPr>
          <w:rFonts w:hint="eastAsia"/>
          <w:lang w:eastAsia="zh-CN"/>
        </w:rPr>
        <w:t>（</w:t>
      </w:r>
      <w:r w:rsidR="00D23CF4" w:rsidRPr="00D23CF4">
        <w:rPr>
          <w:rFonts w:hint="eastAsia"/>
          <w:lang w:eastAsia="zh-CN"/>
        </w:rPr>
        <w:t>通货膨胀、</w:t>
      </w:r>
      <w:r w:rsidR="003C771D">
        <w:rPr>
          <w:rFonts w:hint="eastAsia"/>
          <w:lang w:eastAsia="zh-CN"/>
        </w:rPr>
        <w:t>新冠病毒（</w:t>
      </w:r>
      <w:proofErr w:type="spellStart"/>
      <w:r w:rsidR="003C771D">
        <w:rPr>
          <w:rFonts w:hint="eastAsia"/>
          <w:lang w:eastAsia="zh-CN"/>
        </w:rPr>
        <w:t>Covid</w:t>
      </w:r>
      <w:proofErr w:type="spellEnd"/>
      <w:r w:rsidR="003C771D">
        <w:rPr>
          <w:rFonts w:hint="eastAsia"/>
          <w:lang w:eastAsia="zh-CN"/>
        </w:rPr>
        <w:t>）影响</w:t>
      </w:r>
      <w:r w:rsidR="00D23CF4" w:rsidRPr="00D23CF4">
        <w:rPr>
          <w:rFonts w:hint="eastAsia"/>
          <w:lang w:eastAsia="zh-CN"/>
        </w:rPr>
        <w:t>、交付工程所需的不可预见工作、工地停工等</w:t>
      </w:r>
      <w:r w:rsidR="003C771D">
        <w:rPr>
          <w:rFonts w:hint="eastAsia"/>
          <w:lang w:eastAsia="zh-CN"/>
        </w:rPr>
        <w:t>）；</w:t>
      </w:r>
    </w:p>
    <w:p w14:paraId="1FE26130" w14:textId="14D56298" w:rsidR="00D23CF4" w:rsidRPr="00D23CF4" w:rsidRDefault="00DE7286" w:rsidP="00DE7286">
      <w:pPr>
        <w:pStyle w:val="enumlev1"/>
        <w:rPr>
          <w:lang w:eastAsia="zh-CN"/>
        </w:rPr>
      </w:pPr>
      <w:r>
        <w:rPr>
          <w:lang w:eastAsia="zh-CN"/>
        </w:rPr>
        <w:t>–</w:t>
      </w:r>
      <w:r w:rsidR="003C771D">
        <w:rPr>
          <w:lang w:eastAsia="zh-CN"/>
        </w:rPr>
        <w:tab/>
      </w:r>
      <w:r w:rsidR="00D23CF4" w:rsidRPr="00D23CF4">
        <w:rPr>
          <w:rFonts w:hint="eastAsia"/>
          <w:lang w:eastAsia="zh-CN"/>
        </w:rPr>
        <w:t>延期</w:t>
      </w:r>
      <w:r w:rsidR="003C771D">
        <w:rPr>
          <w:rFonts w:hint="eastAsia"/>
          <w:lang w:eastAsia="zh-CN"/>
        </w:rPr>
        <w:t>：通用</w:t>
      </w:r>
      <w:r w:rsidR="00D23CF4" w:rsidRPr="00D23CF4">
        <w:rPr>
          <w:rFonts w:hint="eastAsia"/>
          <w:lang w:eastAsia="zh-CN"/>
        </w:rPr>
        <w:t>企业合同中包含的罚款；</w:t>
      </w:r>
    </w:p>
    <w:p w14:paraId="4AB738C4" w14:textId="3E91DC42" w:rsidR="00D23CF4" w:rsidRPr="00D23CF4" w:rsidRDefault="00DE7286" w:rsidP="00DE7286">
      <w:pPr>
        <w:pStyle w:val="enumlev1"/>
        <w:rPr>
          <w:lang w:eastAsia="zh-CN"/>
        </w:rPr>
      </w:pPr>
      <w:r>
        <w:rPr>
          <w:lang w:eastAsia="zh-CN"/>
        </w:rPr>
        <w:t>–</w:t>
      </w:r>
      <w:r w:rsidR="003C771D">
        <w:rPr>
          <w:lang w:eastAsia="zh-CN"/>
        </w:rPr>
        <w:tab/>
      </w:r>
      <w:r w:rsidR="00D23CF4" w:rsidRPr="00D23CF4">
        <w:rPr>
          <w:rFonts w:hint="eastAsia"/>
          <w:lang w:eastAsia="zh-CN"/>
        </w:rPr>
        <w:t>缺陷</w:t>
      </w:r>
      <w:r w:rsidR="003C771D">
        <w:rPr>
          <w:rFonts w:hint="eastAsia"/>
          <w:lang w:eastAsia="zh-CN"/>
        </w:rPr>
        <w:t>：</w:t>
      </w:r>
      <w:r w:rsidR="00D23CF4" w:rsidRPr="00D23CF4">
        <w:rPr>
          <w:rFonts w:hint="eastAsia"/>
          <w:lang w:eastAsia="zh-CN"/>
        </w:rPr>
        <w:t>对某些部分，如外墙和屋顶，实行</w:t>
      </w:r>
      <w:r w:rsidR="00D23CF4" w:rsidRPr="00D23CF4">
        <w:rPr>
          <w:rFonts w:hint="eastAsia"/>
          <w:lang w:eastAsia="zh-CN"/>
        </w:rPr>
        <w:t>10</w:t>
      </w:r>
      <w:r w:rsidR="00D23CF4" w:rsidRPr="00D23CF4">
        <w:rPr>
          <w:rFonts w:hint="eastAsia"/>
          <w:lang w:eastAsia="zh-CN"/>
        </w:rPr>
        <w:t>年</w:t>
      </w:r>
      <w:r w:rsidR="003C771D">
        <w:rPr>
          <w:rFonts w:hint="eastAsia"/>
          <w:lang w:eastAsia="zh-CN"/>
        </w:rPr>
        <w:t>担保（</w:t>
      </w:r>
      <w:r w:rsidR="00D23CF4" w:rsidRPr="00D23CF4">
        <w:rPr>
          <w:rFonts w:hint="eastAsia"/>
          <w:lang w:eastAsia="zh-CN"/>
        </w:rPr>
        <w:t>而不是</w:t>
      </w:r>
      <w:r w:rsidR="00D23CF4" w:rsidRPr="00D23CF4">
        <w:rPr>
          <w:rFonts w:hint="eastAsia"/>
          <w:lang w:eastAsia="zh-CN"/>
        </w:rPr>
        <w:t>SIA</w:t>
      </w:r>
      <w:r w:rsidR="00D23CF4" w:rsidRPr="00D23CF4">
        <w:rPr>
          <w:rFonts w:hint="eastAsia"/>
          <w:lang w:eastAsia="zh-CN"/>
        </w:rPr>
        <w:t>规定的</w:t>
      </w:r>
      <w:r w:rsidR="00D23CF4" w:rsidRPr="00D23CF4">
        <w:rPr>
          <w:rFonts w:hint="eastAsia"/>
          <w:lang w:eastAsia="zh-CN"/>
        </w:rPr>
        <w:t>5</w:t>
      </w:r>
      <w:r w:rsidR="00D23CF4" w:rsidRPr="00D23CF4">
        <w:rPr>
          <w:rFonts w:hint="eastAsia"/>
          <w:lang w:eastAsia="zh-CN"/>
        </w:rPr>
        <w:t>年</w:t>
      </w:r>
      <w:r w:rsidR="003C771D">
        <w:rPr>
          <w:rFonts w:hint="eastAsia"/>
          <w:lang w:eastAsia="zh-CN"/>
        </w:rPr>
        <w:t>）；</w:t>
      </w:r>
    </w:p>
    <w:p w14:paraId="0BF37AFC" w14:textId="46156C9B" w:rsidR="00197DC4" w:rsidRPr="00197DC4" w:rsidRDefault="00DE7286" w:rsidP="00DE7286">
      <w:pPr>
        <w:pStyle w:val="enumlev1"/>
        <w:rPr>
          <w:lang w:eastAsia="zh-CN"/>
        </w:rPr>
      </w:pPr>
      <w:r>
        <w:rPr>
          <w:lang w:eastAsia="zh-CN"/>
        </w:rPr>
        <w:t>–</w:t>
      </w:r>
      <w:r w:rsidR="003C771D">
        <w:rPr>
          <w:lang w:eastAsia="zh-CN"/>
        </w:rPr>
        <w:tab/>
      </w:r>
      <w:r w:rsidR="00D23CF4" w:rsidRPr="00D23CF4">
        <w:rPr>
          <w:rFonts w:hint="eastAsia"/>
          <w:lang w:eastAsia="zh-CN"/>
        </w:rPr>
        <w:t>范围蔓延</w:t>
      </w:r>
      <w:r w:rsidR="003C771D">
        <w:rPr>
          <w:rFonts w:hint="eastAsia"/>
          <w:lang w:eastAsia="zh-CN"/>
        </w:rPr>
        <w:t>：通用</w:t>
      </w:r>
      <w:r w:rsidR="00D23CF4" w:rsidRPr="00D23CF4">
        <w:rPr>
          <w:rFonts w:hint="eastAsia"/>
          <w:lang w:eastAsia="zh-CN"/>
        </w:rPr>
        <w:t>企业合同中的共享节约机制</w:t>
      </w:r>
      <w:r w:rsidR="003C771D">
        <w:rPr>
          <w:rFonts w:hint="eastAsia"/>
          <w:lang w:eastAsia="zh-CN"/>
        </w:rPr>
        <w:t>。</w:t>
      </w:r>
    </w:p>
    <w:p w14:paraId="16C1C1D5" w14:textId="1FEF74F4"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rFonts w:asciiTheme="minorHAnsi" w:eastAsia="Times New Roman" w:hAnsiTheme="minorHAnsi" w:cstheme="minorHAnsi"/>
          <w:color w:val="000000"/>
          <w:szCs w:val="24"/>
          <w:lang w:eastAsia="zh-CN"/>
        </w:rPr>
      </w:pPr>
      <w:r w:rsidRPr="00197DC4">
        <w:rPr>
          <w:rFonts w:asciiTheme="minorHAnsi" w:eastAsia="Times New Roman" w:hAnsiTheme="minorHAnsi" w:cstheme="minorHAnsi"/>
          <w:color w:val="000000"/>
          <w:szCs w:val="24"/>
          <w:lang w:eastAsia="zh-CN"/>
        </w:rPr>
        <w:t>3.3</w:t>
      </w:r>
      <w:r w:rsidRPr="00197DC4">
        <w:rPr>
          <w:rFonts w:asciiTheme="minorHAnsi" w:eastAsia="Times New Roman" w:hAnsiTheme="minorHAnsi" w:cstheme="minorHAnsi"/>
          <w:color w:val="000000"/>
          <w:szCs w:val="24"/>
          <w:lang w:eastAsia="zh-CN"/>
        </w:rPr>
        <w:tab/>
      </w:r>
      <w:r w:rsidR="009D3420" w:rsidRPr="009D3420">
        <w:rPr>
          <w:rFonts w:hint="eastAsia"/>
          <w:lang w:eastAsia="zh-CN"/>
        </w:rPr>
        <w:t>对于其他</w:t>
      </w:r>
      <w:r w:rsidR="009D3420">
        <w:rPr>
          <w:rFonts w:hint="eastAsia"/>
          <w:lang w:eastAsia="zh-CN"/>
        </w:rPr>
        <w:t>（</w:t>
      </w:r>
      <w:r w:rsidR="009D3420" w:rsidRPr="009D3420">
        <w:rPr>
          <w:rFonts w:hint="eastAsia"/>
          <w:lang w:eastAsia="zh-CN"/>
        </w:rPr>
        <w:t>众多</w:t>
      </w:r>
      <w:r w:rsidR="009D3420">
        <w:rPr>
          <w:rFonts w:hint="eastAsia"/>
          <w:lang w:eastAsia="zh-CN"/>
        </w:rPr>
        <w:t>）</w:t>
      </w:r>
      <w:r w:rsidR="009D3420" w:rsidRPr="009D3420">
        <w:rPr>
          <w:rFonts w:hint="eastAsia"/>
          <w:lang w:eastAsia="zh-CN"/>
        </w:rPr>
        <w:t>风险，国际劳工组织没有为风险管理提供额外的保险，以防这些风险成为现实</w:t>
      </w:r>
      <w:r w:rsidR="009D3420">
        <w:rPr>
          <w:rFonts w:hint="eastAsia"/>
          <w:lang w:eastAsia="zh-CN"/>
        </w:rPr>
        <w:t>。</w:t>
      </w:r>
    </w:p>
    <w:p w14:paraId="2235C945" w14:textId="2CF4E7F6"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rFonts w:asciiTheme="minorHAnsi" w:eastAsia="Times New Roman" w:hAnsiTheme="minorHAnsi" w:cstheme="minorHAnsi"/>
          <w:color w:val="000000"/>
          <w:szCs w:val="24"/>
          <w:lang w:eastAsia="zh-CN"/>
        </w:rPr>
      </w:pPr>
      <w:r w:rsidRPr="00197DC4">
        <w:rPr>
          <w:rFonts w:asciiTheme="minorHAnsi" w:eastAsia="Times New Roman" w:hAnsiTheme="minorHAnsi" w:cstheme="minorHAnsi"/>
          <w:color w:val="000000"/>
          <w:szCs w:val="24"/>
          <w:lang w:eastAsia="zh-CN"/>
        </w:rPr>
        <w:t>3.4</w:t>
      </w:r>
      <w:r w:rsidRPr="00197DC4">
        <w:rPr>
          <w:rFonts w:asciiTheme="minorHAnsi" w:eastAsia="Times New Roman" w:hAnsiTheme="minorHAnsi" w:cstheme="minorHAnsi"/>
          <w:color w:val="000000"/>
          <w:szCs w:val="24"/>
          <w:lang w:eastAsia="zh-CN"/>
        </w:rPr>
        <w:tab/>
      </w:r>
      <w:r w:rsidR="009D3420" w:rsidRPr="009D3420">
        <w:rPr>
          <w:rFonts w:hint="eastAsia"/>
          <w:lang w:eastAsia="zh-CN"/>
        </w:rPr>
        <w:t>在联合国日内瓦办事处的战略遗产计划</w:t>
      </w:r>
      <w:r w:rsidR="009D3420">
        <w:rPr>
          <w:rFonts w:hint="eastAsia"/>
          <w:lang w:eastAsia="zh-CN"/>
        </w:rPr>
        <w:t>（</w:t>
      </w:r>
      <w:r w:rsidR="009D3420" w:rsidRPr="009D3420">
        <w:rPr>
          <w:rFonts w:hint="eastAsia"/>
          <w:lang w:eastAsia="zh-CN"/>
        </w:rPr>
        <w:t>SHP</w:t>
      </w:r>
      <w:r w:rsidR="009D3420">
        <w:rPr>
          <w:rFonts w:hint="eastAsia"/>
          <w:lang w:eastAsia="zh-CN"/>
        </w:rPr>
        <w:t>）</w:t>
      </w:r>
      <w:r w:rsidR="009D3420" w:rsidRPr="009D3420">
        <w:rPr>
          <w:rFonts w:hint="eastAsia"/>
          <w:lang w:eastAsia="zh-CN"/>
        </w:rPr>
        <w:t>项目中，建设和翻修项目的管理层并不知道存在风险登记册中的假设金额的保险。他们主张使用总预算的应急</w:t>
      </w:r>
      <w:r w:rsidR="009D3420" w:rsidRPr="009D3420">
        <w:rPr>
          <w:rFonts w:hint="eastAsia"/>
          <w:lang w:eastAsia="zh-CN"/>
        </w:rPr>
        <w:t>/</w:t>
      </w:r>
      <w:r w:rsidR="009D3420" w:rsidRPr="009D3420">
        <w:rPr>
          <w:rFonts w:hint="eastAsia"/>
          <w:lang w:eastAsia="zh-CN"/>
        </w:rPr>
        <w:t>储备金，根据风险的概率和可能发生的时间分配给不同的风险</w:t>
      </w:r>
      <w:r w:rsidR="009D3420">
        <w:rPr>
          <w:rFonts w:hint="eastAsia"/>
          <w:lang w:eastAsia="zh-CN"/>
        </w:rPr>
        <w:t>。</w:t>
      </w:r>
    </w:p>
    <w:p w14:paraId="04771B16" w14:textId="52C77B5F" w:rsidR="00197DC4" w:rsidRPr="00197DC4" w:rsidRDefault="00197DC4" w:rsidP="00197DC4">
      <w:pPr>
        <w:tabs>
          <w:tab w:val="clear" w:pos="794"/>
          <w:tab w:val="clear" w:pos="1191"/>
          <w:tab w:val="clear" w:pos="1588"/>
          <w:tab w:val="clear" w:pos="1985"/>
          <w:tab w:val="left" w:pos="709"/>
        </w:tabs>
        <w:overflowPunct/>
        <w:autoSpaceDE/>
        <w:autoSpaceDN/>
        <w:adjustRightInd/>
        <w:spacing w:before="360" w:after="120"/>
        <w:jc w:val="both"/>
        <w:textAlignment w:val="auto"/>
        <w:rPr>
          <w:rFonts w:asciiTheme="minorHAnsi" w:eastAsia="Times New Roman" w:hAnsiTheme="minorHAnsi" w:cstheme="minorHAnsi"/>
          <w:color w:val="000000"/>
          <w:szCs w:val="24"/>
        </w:rPr>
      </w:pPr>
      <w:r w:rsidRPr="00197DC4">
        <w:rPr>
          <w:rFonts w:asciiTheme="minorHAnsi" w:eastAsia="Times New Roman" w:hAnsiTheme="minorHAnsi" w:cstheme="minorHAnsi"/>
          <w:b/>
          <w:bCs/>
          <w:color w:val="000000"/>
          <w:szCs w:val="24"/>
        </w:rPr>
        <w:t>4</w:t>
      </w:r>
      <w:r w:rsidRPr="00197DC4">
        <w:rPr>
          <w:rFonts w:asciiTheme="minorHAnsi" w:eastAsia="Times New Roman" w:hAnsiTheme="minorHAnsi" w:cstheme="minorHAnsi"/>
          <w:b/>
          <w:bCs/>
          <w:color w:val="000000"/>
          <w:szCs w:val="24"/>
        </w:rPr>
        <w:tab/>
      </w:r>
      <w:bookmarkStart w:id="6" w:name="lt_pId079"/>
      <w:r w:rsidR="009D3420">
        <w:rPr>
          <w:rFonts w:ascii="SimSun" w:hAnsi="SimSun" w:cs="SimSun" w:hint="eastAsia"/>
          <w:b/>
          <w:bCs/>
          <w:color w:val="000000"/>
          <w:szCs w:val="24"/>
          <w:lang w:eastAsia="zh-CN"/>
        </w:rPr>
        <w:t>承包商</w:t>
      </w:r>
      <w:r w:rsidRPr="00197DC4">
        <w:rPr>
          <w:rFonts w:asciiTheme="minorHAnsi" w:eastAsia="Times New Roman" w:hAnsiTheme="minorHAnsi" w:cstheme="minorHAnsi"/>
          <w:b/>
          <w:bCs/>
          <w:color w:val="000000"/>
          <w:szCs w:val="24"/>
        </w:rPr>
        <w:t>CDTK</w:t>
      </w:r>
      <w:r w:rsidR="008434D2">
        <w:rPr>
          <w:rFonts w:ascii="SimSun" w:hAnsi="SimSun" w:cs="SimSun" w:hint="eastAsia"/>
          <w:b/>
          <w:bCs/>
          <w:color w:val="000000"/>
          <w:szCs w:val="24"/>
          <w:lang w:eastAsia="zh-CN"/>
        </w:rPr>
        <w:t>和</w:t>
      </w:r>
      <w:r w:rsidRPr="00197DC4">
        <w:rPr>
          <w:rFonts w:asciiTheme="minorHAnsi" w:eastAsia="Times New Roman" w:hAnsiTheme="minorHAnsi" w:cstheme="minorHAnsi"/>
          <w:b/>
          <w:bCs/>
          <w:color w:val="000000"/>
          <w:szCs w:val="24"/>
        </w:rPr>
        <w:t>ECPSS</w:t>
      </w:r>
      <w:r w:rsidR="008434D2">
        <w:rPr>
          <w:rFonts w:ascii="SimSun" w:hAnsi="SimSun" w:cs="SimSun" w:hint="eastAsia"/>
          <w:b/>
          <w:bCs/>
          <w:color w:val="000000"/>
          <w:szCs w:val="24"/>
          <w:lang w:eastAsia="zh-CN"/>
        </w:rPr>
        <w:t>、</w:t>
      </w:r>
      <w:r w:rsidRPr="00197DC4">
        <w:rPr>
          <w:rFonts w:asciiTheme="minorHAnsi" w:eastAsia="Times New Roman" w:hAnsiTheme="minorHAnsi" w:cstheme="minorHAnsi"/>
          <w:b/>
          <w:bCs/>
          <w:color w:val="000000"/>
          <w:szCs w:val="24"/>
        </w:rPr>
        <w:t>Hill int.</w:t>
      </w:r>
      <w:bookmarkEnd w:id="6"/>
    </w:p>
    <w:p w14:paraId="6856C540" w14:textId="64D56AC3"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lang w:eastAsia="zh-CN"/>
        </w:rPr>
      </w:pPr>
      <w:r w:rsidRPr="00197DC4">
        <w:rPr>
          <w:rFonts w:asciiTheme="minorHAnsi" w:eastAsia="Times New Roman" w:hAnsiTheme="minorHAnsi" w:cstheme="minorHAnsi"/>
          <w:color w:val="000000"/>
          <w:szCs w:val="24"/>
          <w:lang w:eastAsia="zh-CN"/>
        </w:rPr>
        <w:t>4.1</w:t>
      </w:r>
      <w:r w:rsidRPr="00197DC4">
        <w:rPr>
          <w:rFonts w:asciiTheme="minorHAnsi" w:eastAsia="Times New Roman" w:hAnsiTheme="minorHAnsi" w:cstheme="minorHAnsi"/>
          <w:color w:val="000000"/>
          <w:szCs w:val="24"/>
          <w:lang w:eastAsia="zh-CN"/>
        </w:rPr>
        <w:tab/>
      </w:r>
      <w:r w:rsidR="008434D2" w:rsidRPr="008434D2">
        <w:rPr>
          <w:rFonts w:hint="eastAsia"/>
          <w:lang w:eastAsia="zh-CN"/>
        </w:rPr>
        <w:t>秘书处还与</w:t>
      </w:r>
      <w:r w:rsidR="008434D2" w:rsidRPr="008434D2">
        <w:rPr>
          <w:rFonts w:hint="eastAsia"/>
          <w:lang w:eastAsia="zh-CN"/>
        </w:rPr>
        <w:t>CDTK</w:t>
      </w:r>
      <w:r w:rsidR="008434D2" w:rsidRPr="008434D2">
        <w:rPr>
          <w:rFonts w:hint="eastAsia"/>
          <w:lang w:eastAsia="zh-CN"/>
        </w:rPr>
        <w:t>和</w:t>
      </w:r>
      <w:r w:rsidR="008434D2" w:rsidRPr="008434D2">
        <w:rPr>
          <w:rFonts w:hint="eastAsia"/>
          <w:lang w:eastAsia="zh-CN"/>
        </w:rPr>
        <w:t>Hill International</w:t>
      </w:r>
      <w:r w:rsidR="008434D2" w:rsidRPr="008434D2">
        <w:rPr>
          <w:rFonts w:hint="eastAsia"/>
          <w:lang w:eastAsia="zh-CN"/>
        </w:rPr>
        <w:t>联系，征求他们对这一建议的意见。这两家公司不相信这种保险的优势。他们认为当地市场上不存在这种保险，而且无论如何也不符合瑞士</w:t>
      </w:r>
      <w:r w:rsidR="008434D2" w:rsidRPr="008434D2">
        <w:rPr>
          <w:rFonts w:hint="eastAsia"/>
          <w:lang w:eastAsia="zh-CN"/>
        </w:rPr>
        <w:t>SIA</w:t>
      </w:r>
      <w:r w:rsidR="008434D2" w:rsidRPr="008434D2">
        <w:rPr>
          <w:rFonts w:hint="eastAsia"/>
          <w:lang w:eastAsia="zh-CN"/>
        </w:rPr>
        <w:t>的标准和惯例</w:t>
      </w:r>
      <w:r w:rsidR="008434D2">
        <w:rPr>
          <w:rFonts w:hint="eastAsia"/>
          <w:lang w:eastAsia="zh-CN"/>
        </w:rPr>
        <w:t>。</w:t>
      </w:r>
    </w:p>
    <w:p w14:paraId="63DA132C" w14:textId="31EDE5AE" w:rsidR="00197DC4" w:rsidRPr="00197DC4" w:rsidRDefault="00197DC4" w:rsidP="00197DC4">
      <w:pPr>
        <w:tabs>
          <w:tab w:val="clear" w:pos="794"/>
          <w:tab w:val="clear" w:pos="1191"/>
          <w:tab w:val="clear" w:pos="1588"/>
          <w:tab w:val="clear" w:pos="1985"/>
          <w:tab w:val="left" w:pos="709"/>
        </w:tabs>
        <w:overflowPunct/>
        <w:autoSpaceDE/>
        <w:autoSpaceDN/>
        <w:adjustRightInd/>
        <w:spacing w:before="360" w:after="120"/>
        <w:jc w:val="both"/>
        <w:textAlignment w:val="auto"/>
        <w:rPr>
          <w:rFonts w:asciiTheme="minorHAnsi" w:eastAsia="Times New Roman" w:hAnsiTheme="minorHAnsi" w:cstheme="minorHAnsi"/>
          <w:color w:val="000000"/>
          <w:szCs w:val="24"/>
          <w:lang w:eastAsia="zh-CN"/>
        </w:rPr>
      </w:pPr>
      <w:r w:rsidRPr="00197DC4">
        <w:rPr>
          <w:rFonts w:asciiTheme="minorHAnsi" w:eastAsia="Times New Roman" w:hAnsiTheme="minorHAnsi" w:cstheme="minorHAnsi"/>
          <w:b/>
          <w:bCs/>
          <w:color w:val="000000"/>
          <w:szCs w:val="24"/>
          <w:lang w:eastAsia="zh-CN"/>
        </w:rPr>
        <w:t>5</w:t>
      </w:r>
      <w:r w:rsidRPr="00197DC4">
        <w:rPr>
          <w:rFonts w:asciiTheme="minorHAnsi" w:eastAsia="Times New Roman" w:hAnsiTheme="minorHAnsi" w:cstheme="minorHAnsi"/>
          <w:b/>
          <w:bCs/>
          <w:color w:val="000000"/>
          <w:szCs w:val="24"/>
          <w:lang w:eastAsia="zh-CN"/>
        </w:rPr>
        <w:tab/>
      </w:r>
      <w:r w:rsidR="008434D2">
        <w:rPr>
          <w:rFonts w:ascii="SimSun" w:hAnsi="SimSun" w:cs="SimSun" w:hint="eastAsia"/>
          <w:b/>
          <w:bCs/>
          <w:color w:val="000000"/>
          <w:szCs w:val="24"/>
          <w:lang w:eastAsia="zh-CN"/>
        </w:rPr>
        <w:t>建议</w:t>
      </w:r>
    </w:p>
    <w:p w14:paraId="401E608B" w14:textId="3E8C145B"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rFonts w:asciiTheme="minorHAnsi" w:eastAsia="Times New Roman" w:hAnsiTheme="minorHAnsi" w:cstheme="minorHAnsi"/>
          <w:color w:val="000000"/>
          <w:szCs w:val="24"/>
          <w:lang w:eastAsia="zh-CN"/>
        </w:rPr>
      </w:pPr>
      <w:r w:rsidRPr="00197DC4">
        <w:rPr>
          <w:rFonts w:asciiTheme="minorHAnsi" w:eastAsia="Times New Roman" w:hAnsiTheme="minorHAnsi" w:cstheme="minorHAnsi"/>
          <w:color w:val="000000"/>
          <w:szCs w:val="24"/>
          <w:lang w:eastAsia="zh-CN"/>
        </w:rPr>
        <w:t>5.1</w:t>
      </w:r>
      <w:r w:rsidRPr="00197DC4">
        <w:rPr>
          <w:rFonts w:asciiTheme="minorHAnsi" w:eastAsia="Times New Roman" w:hAnsiTheme="minorHAnsi" w:cstheme="minorHAnsi"/>
          <w:color w:val="000000"/>
          <w:szCs w:val="24"/>
          <w:lang w:eastAsia="zh-CN"/>
        </w:rPr>
        <w:tab/>
      </w:r>
      <w:r w:rsidR="008434D2" w:rsidRPr="008434D2">
        <w:rPr>
          <w:rFonts w:hint="eastAsia"/>
          <w:lang w:eastAsia="zh-CN"/>
        </w:rPr>
        <w:t>建议继续优先考虑为风险登记基金提供资金，而不是转为保险，因为目前市场上本身就不存在保险</w:t>
      </w:r>
      <w:r w:rsidR="008434D2">
        <w:rPr>
          <w:rFonts w:hint="eastAsia"/>
          <w:lang w:eastAsia="zh-CN"/>
        </w:rPr>
        <w:t>。</w:t>
      </w:r>
    </w:p>
    <w:p w14:paraId="686A7B00" w14:textId="6662664B" w:rsidR="00197DC4" w:rsidRPr="00197DC4" w:rsidRDefault="00197DC4" w:rsidP="00197DC4">
      <w:pPr>
        <w:tabs>
          <w:tab w:val="clear" w:pos="794"/>
          <w:tab w:val="clear" w:pos="1191"/>
          <w:tab w:val="clear" w:pos="1588"/>
          <w:tab w:val="clear" w:pos="1985"/>
          <w:tab w:val="left" w:pos="709"/>
        </w:tabs>
        <w:overflowPunct/>
        <w:autoSpaceDE/>
        <w:autoSpaceDN/>
        <w:adjustRightInd/>
        <w:spacing w:after="120"/>
        <w:jc w:val="both"/>
        <w:textAlignment w:val="auto"/>
        <w:rPr>
          <w:rFonts w:ascii="Times New Roman" w:eastAsia="Times New Roman" w:hAnsi="Times New Roman"/>
          <w:szCs w:val="24"/>
          <w:lang w:eastAsia="zh-CN"/>
        </w:rPr>
      </w:pPr>
      <w:r w:rsidRPr="00197DC4">
        <w:rPr>
          <w:rFonts w:asciiTheme="minorHAnsi" w:eastAsia="Times New Roman" w:hAnsiTheme="minorHAnsi" w:cstheme="minorHAnsi"/>
          <w:color w:val="000000"/>
          <w:szCs w:val="24"/>
          <w:lang w:eastAsia="zh-CN"/>
        </w:rPr>
        <w:t>5.2</w:t>
      </w:r>
      <w:r w:rsidRPr="00197DC4">
        <w:rPr>
          <w:rFonts w:asciiTheme="minorHAnsi" w:eastAsia="Times New Roman" w:hAnsiTheme="minorHAnsi" w:cstheme="minorHAnsi"/>
          <w:color w:val="000000"/>
          <w:szCs w:val="24"/>
          <w:lang w:eastAsia="zh-CN"/>
        </w:rPr>
        <w:tab/>
      </w:r>
      <w:bookmarkStart w:id="7" w:name="lt_pId088"/>
      <w:r w:rsidR="008434D2" w:rsidRPr="008434D2">
        <w:rPr>
          <w:rFonts w:hint="eastAsia"/>
          <w:lang w:eastAsia="zh-CN"/>
        </w:rPr>
        <w:t>应牢记的是，根据第</w:t>
      </w:r>
      <w:r w:rsidR="008434D2" w:rsidRPr="008434D2">
        <w:rPr>
          <w:rFonts w:hint="eastAsia"/>
          <w:lang w:eastAsia="zh-CN"/>
        </w:rPr>
        <w:t>619</w:t>
      </w:r>
      <w:r w:rsidR="008434D2" w:rsidRPr="008434D2">
        <w:rPr>
          <w:rFonts w:hint="eastAsia"/>
          <w:lang w:eastAsia="zh-CN"/>
        </w:rPr>
        <w:t>号决定，在施工结束时，该账户中的任何剩余资金都将返回到储备金账目</w:t>
      </w:r>
      <w:bookmarkEnd w:id="7"/>
      <w:r w:rsidR="008434D2">
        <w:rPr>
          <w:rFonts w:hint="eastAsia"/>
          <w:lang w:eastAsia="zh-CN"/>
        </w:rPr>
        <w:t>。</w:t>
      </w:r>
    </w:p>
    <w:p w14:paraId="27D4E13C" w14:textId="49D4C56D" w:rsidR="00EB0B6E" w:rsidRPr="00970364" w:rsidRDefault="00197DC4" w:rsidP="00DE7286">
      <w:pPr>
        <w:tabs>
          <w:tab w:val="clear" w:pos="794"/>
          <w:tab w:val="clear" w:pos="1191"/>
          <w:tab w:val="clear" w:pos="1588"/>
          <w:tab w:val="clear" w:pos="1985"/>
        </w:tabs>
        <w:overflowPunct/>
        <w:autoSpaceDE/>
        <w:autoSpaceDN/>
        <w:adjustRightInd/>
        <w:spacing w:before="840"/>
        <w:jc w:val="center"/>
        <w:textAlignment w:val="auto"/>
        <w:rPr>
          <w:lang w:eastAsia="zh-CN"/>
        </w:rPr>
      </w:pPr>
      <w:bookmarkStart w:id="8" w:name="_GoBack"/>
      <w:bookmarkEnd w:id="8"/>
      <w:r w:rsidRPr="00197DC4">
        <w:rPr>
          <w:rFonts w:ascii="Times New Roman" w:eastAsia="Times New Roman" w:hAnsi="Times New Roman"/>
          <w:szCs w:val="24"/>
        </w:rPr>
        <w:t>_______________</w:t>
      </w:r>
    </w:p>
    <w:sectPr w:rsidR="00EB0B6E" w:rsidRPr="00970364"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6E1D4" w14:textId="77777777" w:rsidR="00AC24D8" w:rsidRDefault="00AC24D8">
      <w:r>
        <w:separator/>
      </w:r>
    </w:p>
  </w:endnote>
  <w:endnote w:type="continuationSeparator" w:id="0">
    <w:p w14:paraId="2E922953" w14:textId="77777777" w:rsidR="00AC24D8" w:rsidRDefault="00AC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2ED5" w14:textId="14ACFBF2" w:rsidR="00B40A53" w:rsidRPr="000D4F60" w:rsidRDefault="000D4F60" w:rsidP="00760848">
    <w:pPr>
      <w:pStyle w:val="Footer"/>
      <w:rPr>
        <w:color w:val="F2F2F2" w:themeColor="background1" w:themeShade="F2"/>
      </w:rPr>
    </w:pPr>
    <w:r w:rsidRPr="000D4F60">
      <w:rPr>
        <w:color w:val="F2F2F2" w:themeColor="background1" w:themeShade="F2"/>
      </w:rPr>
      <w:fldChar w:fldCharType="begin"/>
    </w:r>
    <w:r w:rsidRPr="000D4F60">
      <w:rPr>
        <w:color w:val="F2F2F2" w:themeColor="background1" w:themeShade="F2"/>
      </w:rPr>
      <w:instrText xml:space="preserve"> FILENAME \p  \* MERGEFORMAT </w:instrText>
    </w:r>
    <w:r w:rsidRPr="000D4F60">
      <w:rPr>
        <w:color w:val="F2F2F2" w:themeColor="background1" w:themeShade="F2"/>
      </w:rPr>
      <w:fldChar w:fldCharType="separate"/>
    </w:r>
    <w:r w:rsidR="00483B3A" w:rsidRPr="000D4F60">
      <w:rPr>
        <w:color w:val="F2F2F2" w:themeColor="background1" w:themeShade="F2"/>
      </w:rPr>
      <w:t>P:\CHI\SG\CONSEIL\C22\000\062C.docx</w:t>
    </w:r>
    <w:r w:rsidRPr="000D4F60">
      <w:rPr>
        <w:color w:val="F2F2F2" w:themeColor="background1" w:themeShade="F2"/>
      </w:rPr>
      <w:fldChar w:fldCharType="end"/>
    </w:r>
    <w:r w:rsidR="00760848" w:rsidRPr="000D4F60">
      <w:rPr>
        <w:color w:val="F2F2F2" w:themeColor="background1" w:themeShade="F2"/>
      </w:rPr>
      <w:t xml:space="preserve"> (</w:t>
    </w:r>
    <w:r w:rsidR="00483B3A" w:rsidRPr="000D4F60">
      <w:rPr>
        <w:color w:val="F2F2F2" w:themeColor="background1" w:themeShade="F2"/>
      </w:rPr>
      <w:t>501630</w:t>
    </w:r>
    <w:r w:rsidR="00760848" w:rsidRPr="000D4F60">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EB6F"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48A99" w14:textId="77777777" w:rsidR="00AC24D8" w:rsidRDefault="00AC24D8">
      <w:r>
        <w:t>____________________</w:t>
      </w:r>
    </w:p>
  </w:footnote>
  <w:footnote w:type="continuationSeparator" w:id="0">
    <w:p w14:paraId="2480572A" w14:textId="77777777" w:rsidR="00AC24D8" w:rsidRDefault="00AC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A880" w14:textId="77777777" w:rsidR="00AC516F" w:rsidRDefault="00AC516F" w:rsidP="00CE6F22">
    <w:pPr>
      <w:pStyle w:val="Header"/>
    </w:pPr>
    <w:r>
      <w:fldChar w:fldCharType="begin"/>
    </w:r>
    <w:r>
      <w:instrText>PAGE</w:instrText>
    </w:r>
    <w:r>
      <w:fldChar w:fldCharType="separate"/>
    </w:r>
    <w:r w:rsidR="00760848">
      <w:rPr>
        <w:noProof/>
      </w:rPr>
      <w:t>3</w:t>
    </w:r>
    <w:r>
      <w:rPr>
        <w:noProof/>
      </w:rPr>
      <w:fldChar w:fldCharType="end"/>
    </w:r>
  </w:p>
  <w:p w14:paraId="3380064D" w14:textId="447162C0" w:rsidR="00AC516F" w:rsidRDefault="0098459B" w:rsidP="00D453EE">
    <w:pPr>
      <w:pStyle w:val="Header"/>
      <w:rPr>
        <w:lang w:eastAsia="zh-CN"/>
      </w:rPr>
    </w:pPr>
    <w:r>
      <w:t>C</w:t>
    </w:r>
    <w:r w:rsidR="0009409E">
      <w:t>2</w:t>
    </w:r>
    <w:r w:rsidR="00AE195F">
      <w:t>2</w:t>
    </w:r>
    <w:r w:rsidR="004672E6">
      <w:t>/</w:t>
    </w:r>
    <w:r w:rsidR="00483B3A">
      <w:rPr>
        <w:lang w:eastAsia="zh-CN"/>
      </w:rPr>
      <w:t>62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CFA166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A36C4E"/>
    <w:multiLevelType w:val="hybridMultilevel"/>
    <w:tmpl w:val="837CC698"/>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7" w15:restartNumberingAfterBreak="0">
    <w:nsid w:val="490506FE"/>
    <w:multiLevelType w:val="hybridMultilevel"/>
    <w:tmpl w:val="B2A846CA"/>
    <w:lvl w:ilvl="0" w:tplc="E420385E">
      <w:numFmt w:val="bullet"/>
      <w:lvlText w:val="-"/>
      <w:lvlJc w:val="left"/>
      <w:pPr>
        <w:ind w:left="927" w:hanging="360"/>
      </w:pPr>
      <w:rPr>
        <w:rFonts w:ascii="Calibri" w:eastAsia="Calibri" w:hAnsi="Calibri" w:cs="Calibri" w:hint="default"/>
      </w:rPr>
    </w:lvl>
    <w:lvl w:ilvl="1" w:tplc="F8EAE88E">
      <w:start w:val="1"/>
      <w:numFmt w:val="bullet"/>
      <w:lvlText w:val="o"/>
      <w:lvlJc w:val="left"/>
      <w:pPr>
        <w:ind w:left="1440" w:hanging="360"/>
      </w:pPr>
      <w:rPr>
        <w:rFonts w:ascii="Courier New" w:hAnsi="Courier New" w:cs="Courier New" w:hint="default"/>
      </w:rPr>
    </w:lvl>
    <w:lvl w:ilvl="2" w:tplc="0B7A8F48">
      <w:start w:val="1"/>
      <w:numFmt w:val="bullet"/>
      <w:lvlText w:val=""/>
      <w:lvlJc w:val="left"/>
      <w:pPr>
        <w:ind w:left="2160" w:hanging="360"/>
      </w:pPr>
      <w:rPr>
        <w:rFonts w:ascii="Wingdings" w:hAnsi="Wingdings" w:hint="default"/>
      </w:rPr>
    </w:lvl>
    <w:lvl w:ilvl="3" w:tplc="5E4A9F76">
      <w:start w:val="1"/>
      <w:numFmt w:val="bullet"/>
      <w:lvlText w:val=""/>
      <w:lvlJc w:val="left"/>
      <w:pPr>
        <w:ind w:left="2880" w:hanging="360"/>
      </w:pPr>
      <w:rPr>
        <w:rFonts w:ascii="Symbol" w:hAnsi="Symbol" w:hint="default"/>
      </w:rPr>
    </w:lvl>
    <w:lvl w:ilvl="4" w:tplc="FC76DA20">
      <w:start w:val="1"/>
      <w:numFmt w:val="bullet"/>
      <w:lvlText w:val="o"/>
      <w:lvlJc w:val="left"/>
      <w:pPr>
        <w:ind w:left="3600" w:hanging="360"/>
      </w:pPr>
      <w:rPr>
        <w:rFonts w:ascii="Courier New" w:hAnsi="Courier New" w:cs="Courier New" w:hint="default"/>
      </w:rPr>
    </w:lvl>
    <w:lvl w:ilvl="5" w:tplc="7F229954">
      <w:start w:val="1"/>
      <w:numFmt w:val="bullet"/>
      <w:lvlText w:val=""/>
      <w:lvlJc w:val="left"/>
      <w:pPr>
        <w:ind w:left="4320" w:hanging="360"/>
      </w:pPr>
      <w:rPr>
        <w:rFonts w:ascii="Wingdings" w:hAnsi="Wingdings" w:hint="default"/>
      </w:rPr>
    </w:lvl>
    <w:lvl w:ilvl="6" w:tplc="CDBAEAC8">
      <w:start w:val="1"/>
      <w:numFmt w:val="bullet"/>
      <w:lvlText w:val=""/>
      <w:lvlJc w:val="left"/>
      <w:pPr>
        <w:ind w:left="5040" w:hanging="360"/>
      </w:pPr>
      <w:rPr>
        <w:rFonts w:ascii="Symbol" w:hAnsi="Symbol" w:hint="default"/>
      </w:rPr>
    </w:lvl>
    <w:lvl w:ilvl="7" w:tplc="97C02842">
      <w:start w:val="1"/>
      <w:numFmt w:val="bullet"/>
      <w:lvlText w:val="o"/>
      <w:lvlJc w:val="left"/>
      <w:pPr>
        <w:ind w:left="5760" w:hanging="360"/>
      </w:pPr>
      <w:rPr>
        <w:rFonts w:ascii="Courier New" w:hAnsi="Courier New" w:cs="Courier New" w:hint="default"/>
      </w:rPr>
    </w:lvl>
    <w:lvl w:ilvl="8" w:tplc="E4121D14">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8"/>
  </w:num>
  <w:num w:numId="5">
    <w:abstractNumId w:val="10"/>
  </w:num>
  <w:num w:numId="6">
    <w:abstractNumId w:val="9"/>
  </w:num>
  <w:num w:numId="7">
    <w:abstractNumId w:val="2"/>
  </w:num>
  <w:num w:numId="8">
    <w:abstractNumId w:val="3"/>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6E"/>
    <w:rsid w:val="00001B77"/>
    <w:rsid w:val="0000517A"/>
    <w:rsid w:val="00031E72"/>
    <w:rsid w:val="000324CF"/>
    <w:rsid w:val="000404D2"/>
    <w:rsid w:val="000853C0"/>
    <w:rsid w:val="0009409E"/>
    <w:rsid w:val="000A1C21"/>
    <w:rsid w:val="000C0BC5"/>
    <w:rsid w:val="000D15EA"/>
    <w:rsid w:val="000D4F60"/>
    <w:rsid w:val="00100D84"/>
    <w:rsid w:val="00124C9D"/>
    <w:rsid w:val="00152218"/>
    <w:rsid w:val="00156F65"/>
    <w:rsid w:val="00157773"/>
    <w:rsid w:val="0018251A"/>
    <w:rsid w:val="00190272"/>
    <w:rsid w:val="00193244"/>
    <w:rsid w:val="00195C6C"/>
    <w:rsid w:val="00195FED"/>
    <w:rsid w:val="00197DC4"/>
    <w:rsid w:val="001A4BD6"/>
    <w:rsid w:val="001B558D"/>
    <w:rsid w:val="001D5A18"/>
    <w:rsid w:val="0020779F"/>
    <w:rsid w:val="00253EEC"/>
    <w:rsid w:val="00280EB8"/>
    <w:rsid w:val="002A6670"/>
    <w:rsid w:val="002B2245"/>
    <w:rsid w:val="002F2641"/>
    <w:rsid w:val="00303502"/>
    <w:rsid w:val="00325C25"/>
    <w:rsid w:val="00372C8F"/>
    <w:rsid w:val="00380ECE"/>
    <w:rsid w:val="00390E9B"/>
    <w:rsid w:val="00393DDF"/>
    <w:rsid w:val="003949A2"/>
    <w:rsid w:val="00397F55"/>
    <w:rsid w:val="003A12D0"/>
    <w:rsid w:val="003B2591"/>
    <w:rsid w:val="003B4454"/>
    <w:rsid w:val="003C2E37"/>
    <w:rsid w:val="003C771D"/>
    <w:rsid w:val="003D1E67"/>
    <w:rsid w:val="003F1415"/>
    <w:rsid w:val="0040144C"/>
    <w:rsid w:val="00403EB7"/>
    <w:rsid w:val="00430BF0"/>
    <w:rsid w:val="004672E6"/>
    <w:rsid w:val="00474ED1"/>
    <w:rsid w:val="00483B3A"/>
    <w:rsid w:val="00493085"/>
    <w:rsid w:val="004A36EC"/>
    <w:rsid w:val="004B5CBB"/>
    <w:rsid w:val="004D163F"/>
    <w:rsid w:val="004E4BFF"/>
    <w:rsid w:val="004F2598"/>
    <w:rsid w:val="00515C4A"/>
    <w:rsid w:val="005403F7"/>
    <w:rsid w:val="00540632"/>
    <w:rsid w:val="00541CF4"/>
    <w:rsid w:val="005451E8"/>
    <w:rsid w:val="005507F2"/>
    <w:rsid w:val="005759CC"/>
    <w:rsid w:val="00587E70"/>
    <w:rsid w:val="005A72E1"/>
    <w:rsid w:val="005C6632"/>
    <w:rsid w:val="005D1C9E"/>
    <w:rsid w:val="005E5335"/>
    <w:rsid w:val="0064083E"/>
    <w:rsid w:val="00654257"/>
    <w:rsid w:val="0065435A"/>
    <w:rsid w:val="00661E07"/>
    <w:rsid w:val="006A2DD3"/>
    <w:rsid w:val="006A5AF8"/>
    <w:rsid w:val="006C36CD"/>
    <w:rsid w:val="006F0E8F"/>
    <w:rsid w:val="00700D1F"/>
    <w:rsid w:val="007205CB"/>
    <w:rsid w:val="00726073"/>
    <w:rsid w:val="00734FE8"/>
    <w:rsid w:val="007360CE"/>
    <w:rsid w:val="00760848"/>
    <w:rsid w:val="00765017"/>
    <w:rsid w:val="00772315"/>
    <w:rsid w:val="007745B7"/>
    <w:rsid w:val="00775157"/>
    <w:rsid w:val="007813AE"/>
    <w:rsid w:val="007A37DB"/>
    <w:rsid w:val="007E189D"/>
    <w:rsid w:val="007E4FFA"/>
    <w:rsid w:val="00811259"/>
    <w:rsid w:val="00813AA2"/>
    <w:rsid w:val="008173A3"/>
    <w:rsid w:val="008418F5"/>
    <w:rsid w:val="008434D2"/>
    <w:rsid w:val="008572DA"/>
    <w:rsid w:val="0086059C"/>
    <w:rsid w:val="008618C1"/>
    <w:rsid w:val="00864589"/>
    <w:rsid w:val="008814EF"/>
    <w:rsid w:val="00890AFB"/>
    <w:rsid w:val="00890FC4"/>
    <w:rsid w:val="00895905"/>
    <w:rsid w:val="008B0E3E"/>
    <w:rsid w:val="009056D1"/>
    <w:rsid w:val="00911867"/>
    <w:rsid w:val="009164A9"/>
    <w:rsid w:val="009258CB"/>
    <w:rsid w:val="0093362E"/>
    <w:rsid w:val="00944563"/>
    <w:rsid w:val="00945DD0"/>
    <w:rsid w:val="00953160"/>
    <w:rsid w:val="00953A5D"/>
    <w:rsid w:val="009625D8"/>
    <w:rsid w:val="00980577"/>
    <w:rsid w:val="0098459B"/>
    <w:rsid w:val="00997185"/>
    <w:rsid w:val="009C2458"/>
    <w:rsid w:val="009C4A7B"/>
    <w:rsid w:val="009C6123"/>
    <w:rsid w:val="009D3420"/>
    <w:rsid w:val="009F1E3E"/>
    <w:rsid w:val="00A1213C"/>
    <w:rsid w:val="00A272FF"/>
    <w:rsid w:val="00A5354B"/>
    <w:rsid w:val="00A57FB9"/>
    <w:rsid w:val="00A60E82"/>
    <w:rsid w:val="00A71B57"/>
    <w:rsid w:val="00A84D6C"/>
    <w:rsid w:val="00AB42C1"/>
    <w:rsid w:val="00AC24D8"/>
    <w:rsid w:val="00AC516F"/>
    <w:rsid w:val="00AC5223"/>
    <w:rsid w:val="00AE195F"/>
    <w:rsid w:val="00AE2926"/>
    <w:rsid w:val="00AE7DAC"/>
    <w:rsid w:val="00B0184B"/>
    <w:rsid w:val="00B035CD"/>
    <w:rsid w:val="00B03ACB"/>
    <w:rsid w:val="00B0769D"/>
    <w:rsid w:val="00B217F8"/>
    <w:rsid w:val="00B332EA"/>
    <w:rsid w:val="00B40A53"/>
    <w:rsid w:val="00B45365"/>
    <w:rsid w:val="00B46A65"/>
    <w:rsid w:val="00B513F1"/>
    <w:rsid w:val="00B60184"/>
    <w:rsid w:val="00B62D20"/>
    <w:rsid w:val="00B7375B"/>
    <w:rsid w:val="00B81E75"/>
    <w:rsid w:val="00BD1A5A"/>
    <w:rsid w:val="00BD7A9B"/>
    <w:rsid w:val="00BD7BE1"/>
    <w:rsid w:val="00BF416B"/>
    <w:rsid w:val="00C007FF"/>
    <w:rsid w:val="00C64E4E"/>
    <w:rsid w:val="00C66E64"/>
    <w:rsid w:val="00C74DD6"/>
    <w:rsid w:val="00C761A0"/>
    <w:rsid w:val="00C81EA7"/>
    <w:rsid w:val="00C85F7E"/>
    <w:rsid w:val="00C90D53"/>
    <w:rsid w:val="00CA2FAE"/>
    <w:rsid w:val="00CD47F0"/>
    <w:rsid w:val="00CD5566"/>
    <w:rsid w:val="00CD64D7"/>
    <w:rsid w:val="00CE0A62"/>
    <w:rsid w:val="00CE6F22"/>
    <w:rsid w:val="00CF41F6"/>
    <w:rsid w:val="00CF6487"/>
    <w:rsid w:val="00CF7D3E"/>
    <w:rsid w:val="00D02B4E"/>
    <w:rsid w:val="00D20906"/>
    <w:rsid w:val="00D21F11"/>
    <w:rsid w:val="00D23CF4"/>
    <w:rsid w:val="00D36817"/>
    <w:rsid w:val="00D453EE"/>
    <w:rsid w:val="00D5666C"/>
    <w:rsid w:val="00D666BC"/>
    <w:rsid w:val="00D83542"/>
    <w:rsid w:val="00D92F45"/>
    <w:rsid w:val="00D94637"/>
    <w:rsid w:val="00D9725C"/>
    <w:rsid w:val="00DA7006"/>
    <w:rsid w:val="00DC6427"/>
    <w:rsid w:val="00DD66A1"/>
    <w:rsid w:val="00DE196D"/>
    <w:rsid w:val="00DE7286"/>
    <w:rsid w:val="00DF6B49"/>
    <w:rsid w:val="00E067C5"/>
    <w:rsid w:val="00E265BF"/>
    <w:rsid w:val="00E34363"/>
    <w:rsid w:val="00E378D8"/>
    <w:rsid w:val="00E43A12"/>
    <w:rsid w:val="00E67C67"/>
    <w:rsid w:val="00E77476"/>
    <w:rsid w:val="00E8228B"/>
    <w:rsid w:val="00EA64E1"/>
    <w:rsid w:val="00EA7D9E"/>
    <w:rsid w:val="00EB0B6E"/>
    <w:rsid w:val="00EE5706"/>
    <w:rsid w:val="00EF373D"/>
    <w:rsid w:val="00F11595"/>
    <w:rsid w:val="00F13BC9"/>
    <w:rsid w:val="00F209E2"/>
    <w:rsid w:val="00F357B2"/>
    <w:rsid w:val="00F36556"/>
    <w:rsid w:val="00F705DF"/>
    <w:rsid w:val="00F70622"/>
    <w:rsid w:val="00F85624"/>
    <w:rsid w:val="00F87C05"/>
    <w:rsid w:val="00F93191"/>
    <w:rsid w:val="00F93A17"/>
    <w:rsid w:val="00FA2AF6"/>
    <w:rsid w:val="00FB073D"/>
    <w:rsid w:val="00FB771F"/>
    <w:rsid w:val="00FC4B53"/>
    <w:rsid w:val="00FC5386"/>
    <w:rsid w:val="00FC6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3ED8F8"/>
  <w15:docId w15:val="{F25244D2-CD02-4FB5-9BBA-6CE32D9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WGFHR15-C-0021/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7CE0-4A82-4C51-B2C5-574D3AEF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3</Pages>
  <Words>1654</Words>
  <Characters>403</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Summary report on the work of the Member States Advisory Group on the Union's headquarters premises project</vt:lpstr>
    </vt:vector>
  </TitlesOfParts>
  <Manager>General Secretariat - Pool</Manager>
  <Company>International Telecommunication Union (ITU)</Company>
  <LinksUpToDate>false</LinksUpToDate>
  <CharactersWithSpaces>2053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approach to financial risk management of construction</dc:title>
  <dc:subject>Council 2022</dc:subject>
  <dc:creator>Liu, Yiqi</dc:creator>
  <cp:keywords>C2022, C22, Council-22</cp:keywords>
  <dc:description/>
  <cp:lastModifiedBy>Xue, Kun</cp:lastModifiedBy>
  <cp:revision>2</cp:revision>
  <cp:lastPrinted>2015-02-24T13:23:00Z</cp:lastPrinted>
  <dcterms:created xsi:type="dcterms:W3CDTF">2022-03-20T14:16:00Z</dcterms:created>
  <dcterms:modified xsi:type="dcterms:W3CDTF">2022-03-20T14:16:00Z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