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B00DA" w14:paraId="5F953D85" w14:textId="77777777">
        <w:trPr>
          <w:cantSplit/>
        </w:trPr>
        <w:tc>
          <w:tcPr>
            <w:tcW w:w="6912" w:type="dxa"/>
          </w:tcPr>
          <w:p w14:paraId="6182841C" w14:textId="77777777" w:rsidR="00520F36" w:rsidRPr="007B00DA" w:rsidRDefault="00520F36" w:rsidP="002E2421">
            <w:pPr>
              <w:spacing w:before="360"/>
            </w:pPr>
            <w:bookmarkStart w:id="0" w:name="dc06"/>
            <w:bookmarkEnd w:id="0"/>
            <w:r w:rsidRPr="007B00DA">
              <w:rPr>
                <w:b/>
                <w:bCs/>
                <w:sz w:val="30"/>
                <w:szCs w:val="30"/>
              </w:rPr>
              <w:t>Conseil 20</w:t>
            </w:r>
            <w:r w:rsidR="009C353C" w:rsidRPr="007B00DA">
              <w:rPr>
                <w:b/>
                <w:bCs/>
                <w:sz w:val="30"/>
                <w:szCs w:val="30"/>
              </w:rPr>
              <w:t>2</w:t>
            </w:r>
            <w:r w:rsidR="0083391C" w:rsidRPr="007B00DA">
              <w:rPr>
                <w:b/>
                <w:bCs/>
                <w:sz w:val="30"/>
                <w:szCs w:val="30"/>
              </w:rPr>
              <w:t>2</w:t>
            </w:r>
            <w:r w:rsidRPr="007B00DA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7B00DA">
              <w:rPr>
                <w:b/>
                <w:bCs/>
                <w:sz w:val="28"/>
                <w:szCs w:val="28"/>
              </w:rPr>
              <w:t>Genève</w:t>
            </w:r>
            <w:r w:rsidRPr="007B00DA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7B00DA">
              <w:rPr>
                <w:b/>
                <w:bCs/>
                <w:sz w:val="28"/>
                <w:szCs w:val="28"/>
              </w:rPr>
              <w:t>21</w:t>
            </w:r>
            <w:r w:rsidRPr="007B00DA">
              <w:rPr>
                <w:b/>
                <w:bCs/>
                <w:sz w:val="28"/>
                <w:szCs w:val="28"/>
              </w:rPr>
              <w:t>-</w:t>
            </w:r>
            <w:r w:rsidR="0083391C" w:rsidRPr="007B00DA">
              <w:rPr>
                <w:b/>
                <w:bCs/>
                <w:sz w:val="28"/>
                <w:szCs w:val="28"/>
              </w:rPr>
              <w:t>31</w:t>
            </w:r>
            <w:r w:rsidR="00106B19" w:rsidRPr="007B00DA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7B00DA">
              <w:rPr>
                <w:b/>
                <w:bCs/>
                <w:sz w:val="28"/>
                <w:szCs w:val="28"/>
              </w:rPr>
              <w:t>mars</w:t>
            </w:r>
            <w:r w:rsidRPr="007B00DA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7B00DA">
              <w:rPr>
                <w:b/>
                <w:bCs/>
                <w:sz w:val="28"/>
                <w:szCs w:val="28"/>
              </w:rPr>
              <w:t>2</w:t>
            </w:r>
            <w:r w:rsidR="0083391C" w:rsidRPr="007B00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7130434" w14:textId="77777777" w:rsidR="00520F36" w:rsidRPr="007B00DA" w:rsidRDefault="009C353C" w:rsidP="002E2421">
            <w:pPr>
              <w:spacing w:before="0"/>
            </w:pPr>
            <w:bookmarkStart w:id="1" w:name="ditulogo"/>
            <w:bookmarkEnd w:id="1"/>
            <w:r w:rsidRPr="007B00DA">
              <w:rPr>
                <w:noProof/>
                <w:lang w:eastAsia="en-GB"/>
              </w:rPr>
              <w:drawing>
                <wp:inline distT="0" distB="0" distL="0" distR="0" wp14:anchorId="2CA4DDF7" wp14:editId="4BE408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B00DA" w14:paraId="28E7A2D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B65F01A" w14:textId="77777777" w:rsidR="00520F36" w:rsidRPr="007B00DA" w:rsidRDefault="00520F36" w:rsidP="002E2421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0B91F04" w14:textId="77777777" w:rsidR="00520F36" w:rsidRPr="007B00DA" w:rsidRDefault="00520F36" w:rsidP="002E2421">
            <w:pPr>
              <w:spacing w:before="0"/>
              <w:rPr>
                <w:b/>
                <w:bCs/>
              </w:rPr>
            </w:pPr>
          </w:p>
        </w:tc>
      </w:tr>
      <w:tr w:rsidR="00520F36" w:rsidRPr="007B00DA" w14:paraId="136DEE5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95DCE8B" w14:textId="77777777" w:rsidR="00520F36" w:rsidRPr="007B00DA" w:rsidRDefault="00520F36" w:rsidP="002E2421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EC9812F" w14:textId="77777777" w:rsidR="00520F36" w:rsidRPr="007B00DA" w:rsidRDefault="00520F36" w:rsidP="002E2421">
            <w:pPr>
              <w:spacing w:before="0"/>
              <w:rPr>
                <w:b/>
                <w:bCs/>
              </w:rPr>
            </w:pPr>
          </w:p>
        </w:tc>
      </w:tr>
      <w:tr w:rsidR="00520F36" w:rsidRPr="007B00DA" w14:paraId="66749D8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B5D92FC" w14:textId="5466B402" w:rsidR="00520F36" w:rsidRPr="007B00DA" w:rsidRDefault="00F27C8B" w:rsidP="002E2421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B00DA">
              <w:rPr>
                <w:rFonts w:cs="Times"/>
                <w:b/>
                <w:bCs/>
                <w:szCs w:val="24"/>
              </w:rPr>
              <w:t>Point de l'ordre du jour: ADM 26</w:t>
            </w:r>
          </w:p>
        </w:tc>
        <w:tc>
          <w:tcPr>
            <w:tcW w:w="3261" w:type="dxa"/>
          </w:tcPr>
          <w:p w14:paraId="4FDCD8C3" w14:textId="6DFB2271" w:rsidR="00520F36" w:rsidRPr="007B00DA" w:rsidRDefault="00520F36" w:rsidP="002E2421">
            <w:pPr>
              <w:spacing w:before="0"/>
              <w:rPr>
                <w:b/>
                <w:bCs/>
              </w:rPr>
            </w:pPr>
            <w:r w:rsidRPr="007B00DA">
              <w:rPr>
                <w:b/>
                <w:bCs/>
              </w:rPr>
              <w:t>Document C</w:t>
            </w:r>
            <w:r w:rsidR="009C353C" w:rsidRPr="007B00DA">
              <w:rPr>
                <w:b/>
                <w:bCs/>
              </w:rPr>
              <w:t>2</w:t>
            </w:r>
            <w:r w:rsidR="0083391C" w:rsidRPr="007B00DA">
              <w:rPr>
                <w:b/>
                <w:bCs/>
              </w:rPr>
              <w:t>2</w:t>
            </w:r>
            <w:r w:rsidRPr="007B00DA">
              <w:rPr>
                <w:b/>
                <w:bCs/>
              </w:rPr>
              <w:t>/</w:t>
            </w:r>
            <w:r w:rsidR="00F27C8B" w:rsidRPr="007B00DA">
              <w:rPr>
                <w:b/>
                <w:bCs/>
              </w:rPr>
              <w:t>65</w:t>
            </w:r>
            <w:r w:rsidRPr="007B00DA">
              <w:rPr>
                <w:b/>
                <w:bCs/>
              </w:rPr>
              <w:t>-F</w:t>
            </w:r>
          </w:p>
        </w:tc>
      </w:tr>
      <w:tr w:rsidR="00520F36" w:rsidRPr="007B00DA" w14:paraId="1754D419" w14:textId="77777777">
        <w:trPr>
          <w:cantSplit/>
          <w:trHeight w:val="20"/>
        </w:trPr>
        <w:tc>
          <w:tcPr>
            <w:tcW w:w="6912" w:type="dxa"/>
            <w:vMerge/>
          </w:tcPr>
          <w:p w14:paraId="22CD664B" w14:textId="77777777" w:rsidR="00520F36" w:rsidRPr="007B00DA" w:rsidRDefault="00520F36" w:rsidP="002E2421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CDA21F0" w14:textId="481E475C" w:rsidR="00520F36" w:rsidRPr="007B00DA" w:rsidRDefault="00F27C8B" w:rsidP="002E2421">
            <w:pPr>
              <w:spacing w:before="0"/>
              <w:rPr>
                <w:b/>
                <w:bCs/>
              </w:rPr>
            </w:pPr>
            <w:r w:rsidRPr="007B00DA">
              <w:rPr>
                <w:b/>
                <w:bCs/>
              </w:rPr>
              <w:t>18 février 2022</w:t>
            </w:r>
          </w:p>
        </w:tc>
      </w:tr>
      <w:tr w:rsidR="00520F36" w:rsidRPr="007B00DA" w14:paraId="3AB51A29" w14:textId="77777777">
        <w:trPr>
          <w:cantSplit/>
          <w:trHeight w:val="20"/>
        </w:trPr>
        <w:tc>
          <w:tcPr>
            <w:tcW w:w="6912" w:type="dxa"/>
            <w:vMerge/>
          </w:tcPr>
          <w:p w14:paraId="2C5989BE" w14:textId="77777777" w:rsidR="00520F36" w:rsidRPr="007B00DA" w:rsidRDefault="00520F36" w:rsidP="002E2421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205FC85" w14:textId="77777777" w:rsidR="00520F36" w:rsidRPr="007B00DA" w:rsidRDefault="00520F36" w:rsidP="002E2421">
            <w:pPr>
              <w:spacing w:before="0"/>
              <w:rPr>
                <w:b/>
                <w:bCs/>
              </w:rPr>
            </w:pPr>
            <w:r w:rsidRPr="007B00DA">
              <w:rPr>
                <w:b/>
                <w:bCs/>
              </w:rPr>
              <w:t>Original: anglais</w:t>
            </w:r>
          </w:p>
        </w:tc>
      </w:tr>
      <w:tr w:rsidR="00F27C8B" w:rsidRPr="007B00DA" w14:paraId="764917E8" w14:textId="77777777">
        <w:trPr>
          <w:cantSplit/>
        </w:trPr>
        <w:tc>
          <w:tcPr>
            <w:tcW w:w="10173" w:type="dxa"/>
            <w:gridSpan w:val="2"/>
          </w:tcPr>
          <w:p w14:paraId="50B9784E" w14:textId="4854070B" w:rsidR="00F27C8B" w:rsidRPr="007B00DA" w:rsidRDefault="00F27C8B" w:rsidP="002E2421">
            <w:pPr>
              <w:pStyle w:val="Source"/>
            </w:pPr>
            <w:bookmarkStart w:id="6" w:name="dsource" w:colFirst="0" w:colLast="0"/>
            <w:bookmarkEnd w:id="5"/>
            <w:r w:rsidRPr="007B00DA">
              <w:t>Rapport du Secrétaire général</w:t>
            </w:r>
          </w:p>
        </w:tc>
      </w:tr>
      <w:tr w:rsidR="00F27C8B" w:rsidRPr="007B00DA" w14:paraId="105FF043" w14:textId="77777777">
        <w:trPr>
          <w:cantSplit/>
        </w:trPr>
        <w:tc>
          <w:tcPr>
            <w:tcW w:w="10173" w:type="dxa"/>
            <w:gridSpan w:val="2"/>
          </w:tcPr>
          <w:p w14:paraId="6D271BBC" w14:textId="7320ECB2" w:rsidR="00F27C8B" w:rsidRPr="007B00DA" w:rsidRDefault="001E36C5" w:rsidP="002E2421">
            <w:pPr>
              <w:pStyle w:val="Title1"/>
            </w:pPr>
            <w:bookmarkStart w:id="7" w:name="dtitle1" w:colFirst="0" w:colLast="0"/>
            <w:bookmarkEnd w:id="6"/>
            <w:r w:rsidRPr="007B00DA">
              <w:t>Réunions virtuelles et hybrides</w:t>
            </w:r>
          </w:p>
        </w:tc>
      </w:tr>
      <w:bookmarkEnd w:id="7"/>
    </w:tbl>
    <w:p w14:paraId="4B9102A5" w14:textId="77777777" w:rsidR="00520F36" w:rsidRPr="007B00DA" w:rsidRDefault="00520F36" w:rsidP="002E242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7B00DA" w14:paraId="46F1D4F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F58A6" w14:textId="77777777" w:rsidR="00520F36" w:rsidRPr="007B00DA" w:rsidRDefault="00520F36" w:rsidP="002E2421">
            <w:pPr>
              <w:pStyle w:val="Headingb"/>
            </w:pPr>
            <w:r w:rsidRPr="007B00DA">
              <w:t>Résumé</w:t>
            </w:r>
          </w:p>
          <w:p w14:paraId="6E989093" w14:textId="409E8F78" w:rsidR="00520F36" w:rsidRPr="007B00DA" w:rsidRDefault="001E36C5" w:rsidP="002E2421">
            <w:r w:rsidRPr="007B00DA">
              <w:t xml:space="preserve">Lors de sa réunion tenue les 11 et 12 janvier 2022, le Groupe de travail du Conseil sur les ressources financières et les ressources humaines (GTC-FHR) a examiné une contribution soumise par l'Australie et le Canada concernant les réunions virtuelles et hybrides. Le Groupe est convenu de reporter </w:t>
            </w:r>
            <w:r w:rsidR="006F1BB7" w:rsidRPr="007B00DA">
              <w:t>à la session de 2022 du</w:t>
            </w:r>
            <w:r w:rsidRPr="007B00DA">
              <w:t xml:space="preserve"> Conseil</w:t>
            </w:r>
            <w:r w:rsidR="002E2421" w:rsidRPr="007B00DA">
              <w:t xml:space="preserve"> </w:t>
            </w:r>
            <w:r w:rsidR="00917C90" w:rsidRPr="007B00DA">
              <w:t>la poursuite de l</w:t>
            </w:r>
            <w:r w:rsidR="002E2421" w:rsidRPr="007B00DA">
              <w:t>'</w:t>
            </w:r>
            <w:r w:rsidR="00917C90" w:rsidRPr="007B00DA">
              <w:t>examen des</w:t>
            </w:r>
            <w:r w:rsidRPr="007B00DA">
              <w:t xml:space="preserve"> règles</w:t>
            </w:r>
            <w:r w:rsidR="00F27C8B" w:rsidRPr="007B00DA">
              <w:t xml:space="preserve"> </w:t>
            </w:r>
            <w:r w:rsidR="00873791" w:rsidRPr="007B00DA">
              <w:rPr>
                <w:bCs/>
              </w:rPr>
              <w:t>et procédures relatives aux réunions virtuelles et hybrides</w:t>
            </w:r>
            <w:r w:rsidRPr="007B00DA">
              <w:rPr>
                <w:bCs/>
              </w:rPr>
              <w:t>, telles que présentées dans la contribution.</w:t>
            </w:r>
          </w:p>
          <w:p w14:paraId="6DEF410C" w14:textId="77777777" w:rsidR="00520F36" w:rsidRPr="007B00DA" w:rsidRDefault="00520F36" w:rsidP="002E2421">
            <w:pPr>
              <w:pStyle w:val="Headingb"/>
            </w:pPr>
            <w:r w:rsidRPr="007B00DA">
              <w:t>Suite à donner</w:t>
            </w:r>
          </w:p>
          <w:p w14:paraId="0D613323" w14:textId="646CDA0A" w:rsidR="001E36C5" w:rsidRPr="007B00DA" w:rsidRDefault="001E36C5" w:rsidP="002E2421">
            <w:r w:rsidRPr="007B00DA">
              <w:t xml:space="preserve">Le Conseil est invité à </w:t>
            </w:r>
            <w:r w:rsidRPr="007B00DA">
              <w:rPr>
                <w:b/>
              </w:rPr>
              <w:t>examiner</w:t>
            </w:r>
            <w:r w:rsidRPr="007B00DA">
              <w:t xml:space="preserve"> la </w:t>
            </w:r>
            <w:r w:rsidR="00917C90" w:rsidRPr="007B00DA">
              <w:t xml:space="preserve">contribution </w:t>
            </w:r>
            <w:r w:rsidRPr="007B00DA">
              <w:t xml:space="preserve">soumise par l'Australie et le Canada </w:t>
            </w:r>
            <w:r w:rsidR="00917C90" w:rsidRPr="007B00DA">
              <w:t xml:space="preserve">(Annexe 1) </w:t>
            </w:r>
            <w:r w:rsidRPr="007B00DA">
              <w:t>concernant les réunions virtuelles et hybrides</w:t>
            </w:r>
            <w:r w:rsidR="002E2421" w:rsidRPr="007B00DA">
              <w:t>.</w:t>
            </w:r>
          </w:p>
          <w:p w14:paraId="154E034D" w14:textId="77777777" w:rsidR="00520F36" w:rsidRPr="007B00DA" w:rsidRDefault="00520F36" w:rsidP="002E242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7B00DA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6CE1703F" w14:textId="77777777" w:rsidR="00520F36" w:rsidRPr="007B00DA" w:rsidRDefault="00520F36" w:rsidP="002E2421">
            <w:pPr>
              <w:pStyle w:val="Headingb"/>
            </w:pPr>
            <w:r w:rsidRPr="007B00DA">
              <w:t>Références</w:t>
            </w:r>
          </w:p>
          <w:p w14:paraId="3EF137AE" w14:textId="766F0CD6" w:rsidR="00520F36" w:rsidRPr="007B00DA" w:rsidRDefault="00D04F27" w:rsidP="002E2421">
            <w:pPr>
              <w:spacing w:after="120"/>
              <w:rPr>
                <w:i/>
                <w:iCs/>
              </w:rPr>
            </w:pPr>
            <w:hyperlink r:id="rId8" w:history="1">
              <w:r w:rsidR="00F27C8B" w:rsidRPr="007B00DA">
                <w:rPr>
                  <w:rStyle w:val="Hyperlink"/>
                  <w:i/>
                  <w:iCs/>
                </w:rPr>
                <w:t>CWG-FHR-15/19</w:t>
              </w:r>
            </w:hyperlink>
            <w:r w:rsidR="00F27C8B" w:rsidRPr="007B00DA">
              <w:rPr>
                <w:i/>
                <w:iCs/>
              </w:rPr>
              <w:t xml:space="preserve">, </w:t>
            </w:r>
            <w:hyperlink r:id="rId9" w:history="1">
              <w:r w:rsidR="00F27C8B" w:rsidRPr="007B00DA">
                <w:rPr>
                  <w:rStyle w:val="Hyperlink"/>
                  <w:i/>
                  <w:iCs/>
                </w:rPr>
                <w:t>C22/50</w:t>
              </w:r>
            </w:hyperlink>
          </w:p>
        </w:tc>
      </w:tr>
    </w:tbl>
    <w:p w14:paraId="6250F320" w14:textId="77777777" w:rsidR="00F27C8B" w:rsidRPr="007B00DA" w:rsidRDefault="00F27C8B" w:rsidP="002E2421">
      <w:pPr>
        <w:pStyle w:val="Heading1"/>
      </w:pPr>
      <w:r w:rsidRPr="007B00DA">
        <w:t>1</w:t>
      </w:r>
      <w:r w:rsidRPr="007B00DA">
        <w:tab/>
        <w:t>Introduction</w:t>
      </w:r>
    </w:p>
    <w:p w14:paraId="568BEF63" w14:textId="21D02ACB" w:rsidR="00F27C8B" w:rsidRPr="007B00DA" w:rsidRDefault="001E36C5" w:rsidP="002E2421">
      <w:r w:rsidRPr="007B00DA">
        <w:t xml:space="preserve">Lors de sa réunion tenue les 11 et 12 janvier 2022, le Groupe de travail du Conseil sur les ressources financières et les ressources humaines (GTC-FHR) a examiné une contribution soumise par l'Australie et le Canada concernant les </w:t>
      </w:r>
      <w:r w:rsidR="00663C3E" w:rsidRPr="007B00DA">
        <w:t>réunions virtuelles et hybrides</w:t>
      </w:r>
      <w:r w:rsidR="00F27C8B" w:rsidRPr="007B00DA">
        <w:rPr>
          <w:b/>
          <w:bCs/>
        </w:rPr>
        <w:t xml:space="preserve"> </w:t>
      </w:r>
      <w:r w:rsidR="00F27C8B" w:rsidRPr="007B00DA" w:rsidDel="00F83883">
        <w:rPr>
          <w:b/>
          <w:bCs/>
        </w:rPr>
        <w:t>(Document</w:t>
      </w:r>
      <w:r w:rsidR="002E2421" w:rsidRPr="007B00DA">
        <w:rPr>
          <w:b/>
          <w:bCs/>
        </w:rPr>
        <w:t> </w:t>
      </w:r>
      <w:hyperlink r:id="rId10" w:history="1">
        <w:r w:rsidR="00F27C8B" w:rsidRPr="007B00DA" w:rsidDel="00F83883">
          <w:rPr>
            <w:rStyle w:val="Hyperlink"/>
            <w:b/>
            <w:bCs/>
          </w:rPr>
          <w:t>CWG</w:t>
        </w:r>
        <w:r w:rsidR="002E2421" w:rsidRPr="007B00DA">
          <w:rPr>
            <w:rStyle w:val="Hyperlink"/>
            <w:b/>
            <w:bCs/>
          </w:rPr>
          <w:noBreakHyphen/>
        </w:r>
        <w:r w:rsidR="00F27C8B" w:rsidRPr="007B00DA" w:rsidDel="00F83883">
          <w:rPr>
            <w:rStyle w:val="Hyperlink"/>
            <w:b/>
            <w:bCs/>
          </w:rPr>
          <w:t>FHR</w:t>
        </w:r>
        <w:r w:rsidR="002E2421" w:rsidRPr="007B00DA">
          <w:rPr>
            <w:rStyle w:val="Hyperlink"/>
            <w:b/>
            <w:bCs/>
          </w:rPr>
          <w:noBreakHyphen/>
        </w:r>
        <w:r w:rsidR="00F27C8B" w:rsidRPr="007B00DA" w:rsidDel="00F83883">
          <w:rPr>
            <w:rStyle w:val="Hyperlink"/>
            <w:b/>
            <w:bCs/>
          </w:rPr>
          <w:t>15/19</w:t>
        </w:r>
      </w:hyperlink>
      <w:r w:rsidR="00F27C8B" w:rsidRPr="007B00DA" w:rsidDel="00F83883">
        <w:rPr>
          <w:b/>
          <w:bCs/>
          <w:u w:val="single"/>
        </w:rPr>
        <w:t>)</w:t>
      </w:r>
      <w:r w:rsidR="00F27C8B" w:rsidRPr="007B00DA">
        <w:t>.</w:t>
      </w:r>
    </w:p>
    <w:p w14:paraId="516B7DDC" w14:textId="1E4E0FB7" w:rsidR="00F27C8B" w:rsidRPr="007B00DA" w:rsidRDefault="00F27C8B" w:rsidP="002E2421">
      <w:pPr>
        <w:pStyle w:val="Heading1"/>
      </w:pPr>
      <w:r w:rsidRPr="007B00DA">
        <w:t>2</w:t>
      </w:r>
      <w:r w:rsidRPr="007B00DA">
        <w:tab/>
      </w:r>
      <w:r w:rsidR="006F1BB7" w:rsidRPr="007B00DA">
        <w:t>Discussions</w:t>
      </w:r>
      <w:r w:rsidR="00663C3E" w:rsidRPr="007B00DA">
        <w:t xml:space="preserve"> tenu</w:t>
      </w:r>
      <w:r w:rsidR="006F1BB7" w:rsidRPr="007B00DA">
        <w:t>e</w:t>
      </w:r>
      <w:r w:rsidR="00663C3E" w:rsidRPr="007B00DA">
        <w:t>s par le Groupe de travail du Conseil sur les ressources financières et les ressources humaines</w:t>
      </w:r>
    </w:p>
    <w:p w14:paraId="54F45B3A" w14:textId="35C6B482" w:rsidR="00873791" w:rsidRPr="007B00DA" w:rsidDel="00F83883" w:rsidRDefault="00873791" w:rsidP="002E2421">
      <w:r w:rsidRPr="007B00DA">
        <w:t>2</w:t>
      </w:r>
      <w:r w:rsidRPr="007B00DA" w:rsidDel="00F83883">
        <w:t>.1</w:t>
      </w:r>
      <w:r w:rsidRPr="007B00DA" w:rsidDel="00F83883">
        <w:tab/>
      </w:r>
      <w:r w:rsidRPr="007B00DA">
        <w:t>Le délégué de l'Australie a présenté le document</w:t>
      </w:r>
      <w:r w:rsidR="002E2421" w:rsidRPr="007B00DA">
        <w:t xml:space="preserve"> </w:t>
      </w:r>
      <w:r w:rsidRPr="007B00DA">
        <w:t xml:space="preserve">sur les réunions virtuelles et hybrides, </w:t>
      </w:r>
      <w:r w:rsidR="00917C90" w:rsidRPr="007B00DA">
        <w:t>qui traite de</w:t>
      </w:r>
      <w:r w:rsidR="002E2421" w:rsidRPr="007B00DA">
        <w:t xml:space="preserve"> </w:t>
      </w:r>
      <w:r w:rsidRPr="007B00DA">
        <w:t xml:space="preserve">la nécessité d'élaborer des procédures, des lignes directrices et des règles </w:t>
      </w:r>
      <w:r w:rsidR="00917C90" w:rsidRPr="007B00DA">
        <w:t>visant à faciliter</w:t>
      </w:r>
      <w:r w:rsidRPr="007B00DA">
        <w:t xml:space="preserve"> à la fois les réunions </w:t>
      </w:r>
      <w:r w:rsidR="00917C90" w:rsidRPr="007B00DA">
        <w:rPr>
          <w:color w:val="000000"/>
        </w:rPr>
        <w:t>entièrement</w:t>
      </w:r>
      <w:r w:rsidR="002E2421" w:rsidRPr="007B00DA">
        <w:rPr>
          <w:color w:val="000000"/>
        </w:rPr>
        <w:t xml:space="preserve"> </w:t>
      </w:r>
      <w:r w:rsidRPr="007B00DA">
        <w:t>virtuelles (sans présence physique) et les</w:t>
      </w:r>
      <w:r w:rsidR="002E2421" w:rsidRPr="007B00DA">
        <w:t xml:space="preserve"> </w:t>
      </w:r>
      <w:r w:rsidR="00917C90" w:rsidRPr="007B00DA">
        <w:t xml:space="preserve">réunions </w:t>
      </w:r>
      <w:r w:rsidR="009863C9" w:rsidRPr="007B00DA">
        <w:t>en modes</w:t>
      </w:r>
      <w:r w:rsidR="002E2421" w:rsidRPr="007B00DA">
        <w:t xml:space="preserve"> </w:t>
      </w:r>
      <w:r w:rsidRPr="007B00DA">
        <w:t>virtuel et présentiel</w:t>
      </w:r>
      <w:r w:rsidR="00917C90" w:rsidRPr="007B00DA">
        <w:t xml:space="preserve"> (</w:t>
      </w:r>
      <w:r w:rsidRPr="007B00DA">
        <w:t>"hybrides"</w:t>
      </w:r>
      <w:r w:rsidR="00917C90" w:rsidRPr="007B00DA">
        <w:t>)</w:t>
      </w:r>
      <w:r w:rsidRPr="007B00DA">
        <w:t xml:space="preserve">, </w:t>
      </w:r>
      <w:r w:rsidR="00917C90" w:rsidRPr="007B00DA">
        <w:t>de façon</w:t>
      </w:r>
      <w:r w:rsidR="002E2421" w:rsidRPr="007B00DA">
        <w:t xml:space="preserve"> </w:t>
      </w:r>
      <w:r w:rsidRPr="007B00DA">
        <w:t xml:space="preserve">à </w:t>
      </w:r>
      <w:r w:rsidR="00917C90" w:rsidRPr="007B00DA">
        <w:rPr>
          <w:color w:val="000000"/>
        </w:rPr>
        <w:t>préserver</w:t>
      </w:r>
      <w:r w:rsidR="002E2421" w:rsidRPr="007B00DA">
        <w:rPr>
          <w:color w:val="000000"/>
        </w:rPr>
        <w:t xml:space="preserve"> </w:t>
      </w:r>
      <w:r w:rsidRPr="007B00DA">
        <w:t xml:space="preserve">et à faire </w:t>
      </w:r>
      <w:r w:rsidR="00917C90" w:rsidRPr="007B00DA">
        <w:t xml:space="preserve">avancer </w:t>
      </w:r>
      <w:r w:rsidRPr="007B00DA">
        <w:t>les travaux</w:t>
      </w:r>
      <w:r w:rsidR="00791051" w:rsidRPr="007B00DA">
        <w:t xml:space="preserve"> futurs</w:t>
      </w:r>
      <w:r w:rsidR="002E2421" w:rsidRPr="007B00DA">
        <w:t xml:space="preserve"> </w:t>
      </w:r>
      <w:r w:rsidRPr="007B00DA">
        <w:t>de l'UIT.</w:t>
      </w:r>
    </w:p>
    <w:p w14:paraId="3D5C9198" w14:textId="6362B62D" w:rsidR="00873791" w:rsidRPr="007B00DA" w:rsidDel="00F83883" w:rsidRDefault="00873791" w:rsidP="002E2421">
      <w:r w:rsidRPr="007B00DA">
        <w:lastRenderedPageBreak/>
        <w:t>2</w:t>
      </w:r>
      <w:r w:rsidRPr="007B00DA" w:rsidDel="00F83883">
        <w:t>.2</w:t>
      </w:r>
      <w:r w:rsidRPr="007B00DA" w:rsidDel="00F83883">
        <w:tab/>
      </w:r>
      <w:r w:rsidR="00791051" w:rsidRPr="007B00DA">
        <w:t>Ce délégué</w:t>
      </w:r>
      <w:r w:rsidR="002E2421" w:rsidRPr="007B00DA">
        <w:t xml:space="preserve"> </w:t>
      </w:r>
      <w:r w:rsidR="00791051" w:rsidRPr="007B00DA">
        <w:t xml:space="preserve">a </w:t>
      </w:r>
      <w:r w:rsidRPr="007B00DA">
        <w:t xml:space="preserve">souligné </w:t>
      </w:r>
      <w:r w:rsidR="00791051" w:rsidRPr="007B00DA">
        <w:t>qu</w:t>
      </w:r>
      <w:r w:rsidR="002E2421" w:rsidRPr="007B00DA">
        <w:t>'</w:t>
      </w:r>
      <w:r w:rsidR="00791051" w:rsidRPr="007B00DA">
        <w:t>il n</w:t>
      </w:r>
      <w:r w:rsidR="002E2421" w:rsidRPr="007B00DA">
        <w:t>'</w:t>
      </w:r>
      <w:r w:rsidR="00791051" w:rsidRPr="007B00DA">
        <w:t>était pas proposé de</w:t>
      </w:r>
      <w:r w:rsidRPr="007B00DA">
        <w:t xml:space="preserve"> remplacer toutes les manifestations et</w:t>
      </w:r>
      <w:r w:rsidR="002E2421" w:rsidRPr="007B00DA">
        <w:t xml:space="preserve"> </w:t>
      </w:r>
      <w:r w:rsidRPr="007B00DA">
        <w:t>réunions de l'UIT par des</w:t>
      </w:r>
      <w:r w:rsidR="002E2421" w:rsidRPr="007B00DA">
        <w:t xml:space="preserve"> </w:t>
      </w:r>
      <w:r w:rsidR="00791051" w:rsidRPr="007B00DA">
        <w:t xml:space="preserve">réunions </w:t>
      </w:r>
      <w:r w:rsidRPr="007B00DA">
        <w:t>virtuel</w:t>
      </w:r>
      <w:r w:rsidR="00791051" w:rsidRPr="007B00DA">
        <w:t>le</w:t>
      </w:r>
      <w:r w:rsidRPr="007B00DA">
        <w:t xml:space="preserve">s ou hybrides, ni </w:t>
      </w:r>
      <w:r w:rsidR="00791051" w:rsidRPr="007B00DA">
        <w:t>d</w:t>
      </w:r>
      <w:r w:rsidR="002E2421" w:rsidRPr="007B00DA">
        <w:t>'</w:t>
      </w:r>
      <w:r w:rsidR="00791051" w:rsidRPr="007B00DA">
        <w:t>accroître</w:t>
      </w:r>
      <w:r w:rsidRPr="007B00DA">
        <w:t xml:space="preserve"> inutilement le nombre de réunions virtuelles.</w:t>
      </w:r>
    </w:p>
    <w:p w14:paraId="234A3FAC" w14:textId="0CFD1CF9" w:rsidR="00873791" w:rsidRPr="007B00DA" w:rsidDel="00F83883" w:rsidRDefault="00873791" w:rsidP="002E2421">
      <w:r w:rsidRPr="007B00DA">
        <w:t>2</w:t>
      </w:r>
      <w:r w:rsidRPr="007B00DA" w:rsidDel="00F83883">
        <w:t>.3</w:t>
      </w:r>
      <w:r w:rsidRPr="007B00DA" w:rsidDel="00F83883">
        <w:tab/>
      </w:r>
      <w:r w:rsidR="00791051" w:rsidRPr="007B00DA">
        <w:t xml:space="preserve">Parmi </w:t>
      </w:r>
      <w:r w:rsidRPr="007B00DA">
        <w:t xml:space="preserve">les mesures </w:t>
      </w:r>
      <w:r w:rsidR="00791051" w:rsidRPr="007B00DA">
        <w:t xml:space="preserve">concrètes </w:t>
      </w:r>
      <w:r w:rsidR="000175D1" w:rsidRPr="007B00DA">
        <w:t>envisageables</w:t>
      </w:r>
      <w:r w:rsidR="00791051" w:rsidRPr="007B00DA">
        <w:t xml:space="preserve"> pour</w:t>
      </w:r>
      <w:r w:rsidR="002E2421" w:rsidRPr="007B00DA">
        <w:t xml:space="preserve"> </w:t>
      </w:r>
      <w:r w:rsidR="00791051" w:rsidRPr="007B00DA">
        <w:t xml:space="preserve">offrir </w:t>
      </w:r>
      <w:r w:rsidRPr="007B00DA">
        <w:t xml:space="preserve">à toutes les administrations </w:t>
      </w:r>
      <w:r w:rsidR="00791051" w:rsidRPr="007B00DA">
        <w:rPr>
          <w:color w:val="000000"/>
        </w:rPr>
        <w:t xml:space="preserve">la possibilité </w:t>
      </w:r>
      <w:r w:rsidRPr="007B00DA">
        <w:t>de participer aux réunions</w:t>
      </w:r>
      <w:r w:rsidR="00313017" w:rsidRPr="007B00DA">
        <w:t xml:space="preserve"> de manière équitable</w:t>
      </w:r>
      <w:r w:rsidRPr="007B00DA">
        <w:t>,</w:t>
      </w:r>
      <w:r w:rsidR="000175D1" w:rsidRPr="007B00DA">
        <w:t xml:space="preserve"> </w:t>
      </w:r>
      <w:r w:rsidR="00313017" w:rsidRPr="007B00DA">
        <w:t>on pourrait</w:t>
      </w:r>
      <w:r w:rsidR="002E2421" w:rsidRPr="007B00DA">
        <w:t xml:space="preserve"> </w:t>
      </w:r>
      <w:r w:rsidR="00313017" w:rsidRPr="007B00DA">
        <w:t>prévoir</w:t>
      </w:r>
      <w:r w:rsidR="002E2421" w:rsidRPr="007B00DA">
        <w:t xml:space="preserve"> </w:t>
      </w:r>
      <w:r w:rsidRPr="007B00DA">
        <w:t xml:space="preserve">une rotation </w:t>
      </w:r>
      <w:r w:rsidR="000175D1" w:rsidRPr="007B00DA">
        <w:t>en fonction des</w:t>
      </w:r>
      <w:r w:rsidRPr="007B00DA">
        <w:t xml:space="preserve"> fuseaux horaires,</w:t>
      </w:r>
      <w:r w:rsidR="002E2421" w:rsidRPr="007B00DA">
        <w:t xml:space="preserve"> </w:t>
      </w:r>
      <w:r w:rsidR="00313017" w:rsidRPr="007B00DA">
        <w:t xml:space="preserve">ménager </w:t>
      </w:r>
      <w:r w:rsidR="00791051" w:rsidRPr="007B00DA">
        <w:rPr>
          <w:color w:val="000000"/>
        </w:rPr>
        <w:t>une certaine souplesse</w:t>
      </w:r>
      <w:r w:rsidR="00B045F8" w:rsidRPr="007B00DA">
        <w:rPr>
          <w:color w:val="000000"/>
        </w:rPr>
        <w:t xml:space="preserve"> </w:t>
      </w:r>
      <w:r w:rsidR="000175D1" w:rsidRPr="007B00DA">
        <w:rPr>
          <w:color w:val="000000"/>
        </w:rPr>
        <w:t>quant à</w:t>
      </w:r>
      <w:r w:rsidR="002E2421" w:rsidRPr="007B00DA">
        <w:rPr>
          <w:color w:val="000000"/>
        </w:rPr>
        <w:t xml:space="preserve"> </w:t>
      </w:r>
      <w:r w:rsidR="00791051" w:rsidRPr="007B00DA">
        <w:rPr>
          <w:color w:val="000000"/>
        </w:rPr>
        <w:t xml:space="preserve">la durée </w:t>
      </w:r>
      <w:r w:rsidRPr="007B00DA">
        <w:t>des</w:t>
      </w:r>
      <w:r w:rsidR="002E2421" w:rsidRPr="007B00DA">
        <w:t xml:space="preserve"> </w:t>
      </w:r>
      <w:r w:rsidRPr="007B00DA">
        <w:t>réunion</w:t>
      </w:r>
      <w:r w:rsidR="00791051" w:rsidRPr="007B00DA">
        <w:t>s</w:t>
      </w:r>
      <w:r w:rsidR="002E2421" w:rsidRPr="007B00DA">
        <w:t xml:space="preserve">, </w:t>
      </w:r>
      <w:r w:rsidR="000175D1" w:rsidRPr="007B00DA">
        <w:t xml:space="preserve">apporter </w:t>
      </w:r>
      <w:r w:rsidRPr="007B00DA">
        <w:t>une assistance et un</w:t>
      </w:r>
      <w:r w:rsidR="00791051" w:rsidRPr="007B00DA">
        <w:t xml:space="preserve"> appui</w:t>
      </w:r>
      <w:r w:rsidR="002E2421" w:rsidRPr="007B00DA">
        <w:t xml:space="preserve"> </w:t>
      </w:r>
      <w:r w:rsidRPr="007B00DA">
        <w:t>aux présidents de réunion</w:t>
      </w:r>
      <w:r w:rsidR="00791051" w:rsidRPr="007B00DA">
        <w:t xml:space="preserve"> pour</w:t>
      </w:r>
      <w:r w:rsidR="002E2421" w:rsidRPr="007B00DA">
        <w:t xml:space="preserve"> </w:t>
      </w:r>
      <w:r w:rsidRPr="007B00DA">
        <w:t>leur permett</w:t>
      </w:r>
      <w:r w:rsidR="00791051" w:rsidRPr="007B00DA">
        <w:t>re</w:t>
      </w:r>
      <w:r w:rsidR="002E2421" w:rsidRPr="007B00DA">
        <w:t xml:space="preserve"> </w:t>
      </w:r>
      <w:r w:rsidRPr="007B00DA">
        <w:t xml:space="preserve">de gérer </w:t>
      </w:r>
      <w:r w:rsidR="000175D1" w:rsidRPr="007B00DA">
        <w:t>équitablement</w:t>
      </w:r>
      <w:r w:rsidR="00791051" w:rsidRPr="007B00DA">
        <w:t xml:space="preserve"> </w:t>
      </w:r>
      <w:r w:rsidRPr="007B00DA">
        <w:t xml:space="preserve">la participation à distance </w:t>
      </w:r>
      <w:r w:rsidR="00313017" w:rsidRPr="007B00DA">
        <w:t>et</w:t>
      </w:r>
      <w:r w:rsidR="002E2421" w:rsidRPr="007B00DA">
        <w:t xml:space="preserve"> </w:t>
      </w:r>
      <w:r w:rsidR="00313017" w:rsidRPr="007B00DA">
        <w:t>fournir un</w:t>
      </w:r>
      <w:r w:rsidR="002E2421" w:rsidRPr="007B00DA">
        <w:t xml:space="preserve"> </w:t>
      </w:r>
      <w:r w:rsidR="00313017" w:rsidRPr="007B00DA">
        <w:t>appui</w:t>
      </w:r>
      <w:r w:rsidR="002E2421" w:rsidRPr="007B00DA">
        <w:t xml:space="preserve"> </w:t>
      </w:r>
      <w:r w:rsidR="000175D1" w:rsidRPr="007B00DA">
        <w:t>supplémentaire</w:t>
      </w:r>
      <w:r w:rsidR="002E2421" w:rsidRPr="007B00DA">
        <w:t xml:space="preserve"> </w:t>
      </w:r>
      <w:r w:rsidRPr="007B00DA">
        <w:t>lors des réunions physiques</w:t>
      </w:r>
      <w:r w:rsidR="00313017" w:rsidRPr="007B00DA">
        <w:t>,</w:t>
      </w:r>
      <w:r w:rsidR="002E2421" w:rsidRPr="007B00DA">
        <w:t xml:space="preserve"> </w:t>
      </w:r>
      <w:r w:rsidR="00313017" w:rsidRPr="007B00DA">
        <w:t>pour</w:t>
      </w:r>
      <w:r w:rsidR="002E2421" w:rsidRPr="007B00DA">
        <w:t xml:space="preserve"> </w:t>
      </w:r>
      <w:r w:rsidRPr="007B00DA">
        <w:t>garantir que les participants bénéficient des mêmes possibilités durant les réunions.</w:t>
      </w:r>
    </w:p>
    <w:p w14:paraId="72797FF3" w14:textId="49A64EFD" w:rsidR="00873791" w:rsidRPr="007B00DA" w:rsidDel="00F83883" w:rsidRDefault="00873791" w:rsidP="002E2421">
      <w:r w:rsidRPr="007B00DA">
        <w:t>2</w:t>
      </w:r>
      <w:r w:rsidRPr="007B00DA" w:rsidDel="00F83883">
        <w:t>.4</w:t>
      </w:r>
      <w:r w:rsidRPr="007B00DA" w:rsidDel="00F83883">
        <w:tab/>
      </w:r>
      <w:r w:rsidRPr="007B00DA">
        <w:t>L'</w:t>
      </w:r>
      <w:r w:rsidRPr="007B00DA" w:rsidDel="00F83883">
        <w:t>Australi</w:t>
      </w:r>
      <w:r w:rsidRPr="007B00DA">
        <w:t xml:space="preserve">e et le </w:t>
      </w:r>
      <w:r w:rsidRPr="007B00DA" w:rsidDel="00F83883">
        <w:t>Canada propose</w:t>
      </w:r>
      <w:r w:rsidRPr="007B00DA">
        <w:t>nt</w:t>
      </w:r>
      <w:r w:rsidRPr="007B00DA" w:rsidDel="00F83883">
        <w:t xml:space="preserve"> </w:t>
      </w:r>
      <w:r w:rsidRPr="007B00DA">
        <w:t>que le GTC</w:t>
      </w:r>
      <w:r w:rsidRPr="007B00DA" w:rsidDel="00F83883">
        <w:t xml:space="preserve">-FHR </w:t>
      </w:r>
      <w:r w:rsidR="000175D1" w:rsidRPr="007B00DA">
        <w:t>recommande des mesures, pour</w:t>
      </w:r>
      <w:r w:rsidR="002E2421" w:rsidRPr="007B00DA">
        <w:t xml:space="preserve"> </w:t>
      </w:r>
      <w:r w:rsidRPr="007B00DA">
        <w:t xml:space="preserve">examen </w:t>
      </w:r>
      <w:r w:rsidR="000175D1" w:rsidRPr="007B00DA">
        <w:t>par le</w:t>
      </w:r>
      <w:r w:rsidR="002E2421" w:rsidRPr="007B00DA">
        <w:t xml:space="preserve"> </w:t>
      </w:r>
      <w:r w:rsidRPr="007B00DA">
        <w:t>Conseil de l'UIT</w:t>
      </w:r>
      <w:r w:rsidR="000175D1" w:rsidRPr="007B00DA">
        <w:t>,</w:t>
      </w:r>
      <w:r w:rsidR="002E2421" w:rsidRPr="007B00DA">
        <w:t xml:space="preserve"> </w:t>
      </w:r>
      <w:r w:rsidR="000333B5" w:rsidRPr="007B00DA">
        <w:t>concernant</w:t>
      </w:r>
      <w:r w:rsidRPr="007B00DA">
        <w:t xml:space="preserve"> l'élaboration de procédures, de règles et de lignes directrices, </w:t>
      </w:r>
      <w:r w:rsidR="000333B5" w:rsidRPr="007B00DA">
        <w:t xml:space="preserve">portant notamment sur </w:t>
      </w:r>
      <w:r w:rsidRPr="007B00DA">
        <w:t>la gouvernance et la gestion adaptées des réunions virtuelles et hybrides</w:t>
      </w:r>
      <w:r w:rsidR="000333B5" w:rsidRPr="007B00DA">
        <w:t>,</w:t>
      </w:r>
      <w:r w:rsidR="002E2421" w:rsidRPr="007B00DA">
        <w:t xml:space="preserve"> </w:t>
      </w:r>
      <w:r w:rsidR="000333B5" w:rsidRPr="007B00DA">
        <w:rPr>
          <w:color w:val="000000"/>
        </w:rPr>
        <w:t xml:space="preserve">qui </w:t>
      </w:r>
      <w:r w:rsidR="00646BCC" w:rsidRPr="007B00DA">
        <w:rPr>
          <w:color w:val="000000"/>
        </w:rPr>
        <w:t xml:space="preserve">permettent aux </w:t>
      </w:r>
      <w:r w:rsidR="000333B5" w:rsidRPr="007B00DA">
        <w:t>participants aux réunions</w:t>
      </w:r>
      <w:r w:rsidR="00646BCC" w:rsidRPr="007B00DA">
        <w:rPr>
          <w:color w:val="000000"/>
        </w:rPr>
        <w:t xml:space="preserve"> d'être traités sur un pied d'égalité et de participer aux réunions sans discrimination,</w:t>
      </w:r>
      <w:r w:rsidRPr="007B00DA">
        <w:t xml:space="preserve"> garantissant un traitement sur un pied d'égalité et sans discrimination</w:t>
      </w:r>
      <w:r w:rsidR="002E2421" w:rsidRPr="007B00DA">
        <w:t>.</w:t>
      </w:r>
      <w:r w:rsidRPr="007B00DA">
        <w:t xml:space="preserve"> Ces procédures, règles et lignes directrices s'appliqueraient</w:t>
      </w:r>
      <w:r w:rsidR="002E2421" w:rsidRPr="007B00DA">
        <w:t xml:space="preserve"> </w:t>
      </w:r>
      <w:r w:rsidR="00646BCC" w:rsidRPr="007B00DA">
        <w:t>à</w:t>
      </w:r>
      <w:r w:rsidRPr="007B00DA">
        <w:t xml:space="preserve"> </w:t>
      </w:r>
      <w:r w:rsidR="000333B5" w:rsidRPr="007B00DA">
        <w:t>l</w:t>
      </w:r>
      <w:r w:rsidR="002E2421" w:rsidRPr="007B00DA">
        <w:t>'</w:t>
      </w:r>
      <w:r w:rsidR="000333B5" w:rsidRPr="007B00DA">
        <w:t xml:space="preserve">ensemble de </w:t>
      </w:r>
      <w:r w:rsidRPr="007B00DA">
        <w:t xml:space="preserve">l'UIT, </w:t>
      </w:r>
      <w:r w:rsidR="00646BCC" w:rsidRPr="007B00DA">
        <w:t xml:space="preserve">sachant que </w:t>
      </w:r>
      <w:r w:rsidRPr="007B00DA">
        <w:t xml:space="preserve">chaque Secteur </w:t>
      </w:r>
      <w:r w:rsidR="00646BCC" w:rsidRPr="007B00DA">
        <w:t>prendrait en considération,</w:t>
      </w:r>
      <w:r w:rsidRPr="007B00DA">
        <w:t xml:space="preserve"> </w:t>
      </w:r>
      <w:r w:rsidR="000333B5" w:rsidRPr="007B00DA">
        <w:t>s</w:t>
      </w:r>
      <w:r w:rsidR="002E2421" w:rsidRPr="007B00DA">
        <w:t>'</w:t>
      </w:r>
      <w:r w:rsidR="000333B5" w:rsidRPr="007B00DA">
        <w:t>il y a lieu</w:t>
      </w:r>
      <w:r w:rsidR="00646BCC" w:rsidRPr="007B00DA">
        <w:t>,</w:t>
      </w:r>
      <w:r w:rsidR="002E2421" w:rsidRPr="007B00DA">
        <w:t xml:space="preserve"> </w:t>
      </w:r>
      <w:r w:rsidRPr="007B00DA">
        <w:t xml:space="preserve">ses propres </w:t>
      </w:r>
      <w:r w:rsidR="00646BCC" w:rsidRPr="007B00DA">
        <w:t xml:space="preserve">règles et </w:t>
      </w:r>
      <w:r w:rsidRPr="007B00DA">
        <w:t>méthodes</w:t>
      </w:r>
      <w:r w:rsidR="002E2421" w:rsidRPr="007B00DA">
        <w:t xml:space="preserve"> </w:t>
      </w:r>
      <w:r w:rsidRPr="007B00DA">
        <w:t>de travail. Chaque Secteur travaillerait ouvertement avec toutes les administrations</w:t>
      </w:r>
      <w:r w:rsidR="00646BCC" w:rsidRPr="007B00DA">
        <w:t>,</w:t>
      </w:r>
      <w:r w:rsidRPr="007B00DA">
        <w:t xml:space="preserve"> en vue de leur </w:t>
      </w:r>
      <w:r w:rsidR="00646BCC" w:rsidRPr="007B00DA">
        <w:t>permettre</w:t>
      </w:r>
      <w:r w:rsidR="002E2421" w:rsidRPr="007B00DA">
        <w:t xml:space="preserve"> </w:t>
      </w:r>
      <w:r w:rsidRPr="007B00DA">
        <w:t xml:space="preserve">de participer efficacement à l'élaboration de ces </w:t>
      </w:r>
      <w:r w:rsidR="00646BCC" w:rsidRPr="007B00DA">
        <w:t>règles</w:t>
      </w:r>
      <w:r w:rsidR="002E2421" w:rsidRPr="007B00DA">
        <w:t xml:space="preserve"> </w:t>
      </w:r>
      <w:r w:rsidR="00646BCC" w:rsidRPr="007B00DA">
        <w:t xml:space="preserve">et </w:t>
      </w:r>
      <w:r w:rsidRPr="007B00DA">
        <w:t>méthodes</w:t>
      </w:r>
      <w:r w:rsidR="002E2421" w:rsidRPr="007B00DA">
        <w:t xml:space="preserve"> </w:t>
      </w:r>
      <w:r w:rsidRPr="007B00DA">
        <w:t>de travail.</w:t>
      </w:r>
    </w:p>
    <w:p w14:paraId="24BD530A" w14:textId="54A4162D" w:rsidR="00873791" w:rsidRPr="007B00DA" w:rsidDel="00F83883" w:rsidRDefault="00873791" w:rsidP="002E2421">
      <w:r w:rsidRPr="007B00DA">
        <w:t>2</w:t>
      </w:r>
      <w:r w:rsidRPr="007B00DA" w:rsidDel="00F83883">
        <w:t>.5</w:t>
      </w:r>
      <w:r w:rsidRPr="007B00DA" w:rsidDel="00F83883">
        <w:tab/>
      </w:r>
      <w:r w:rsidR="00C74F14" w:rsidRPr="007B00DA">
        <w:t>Plusieurs</w:t>
      </w:r>
      <w:r w:rsidRPr="007B00DA">
        <w:t xml:space="preserve"> délégués ont remercié l'Australie et le Canada pour cette proposition</w:t>
      </w:r>
      <w:r w:rsidR="00C74F14" w:rsidRPr="007B00DA">
        <w:t>,</w:t>
      </w:r>
      <w:r w:rsidRPr="007B00DA">
        <w:t xml:space="preserve"> que </w:t>
      </w:r>
      <w:r w:rsidR="00C74F14" w:rsidRPr="007B00DA">
        <w:t xml:space="preserve">certains </w:t>
      </w:r>
      <w:r w:rsidRPr="007B00DA">
        <w:t xml:space="preserve">considèrent comme </w:t>
      </w:r>
      <w:r w:rsidR="00C74F14" w:rsidRPr="007B00DA">
        <w:t>d</w:t>
      </w:r>
      <w:r w:rsidR="002E2421" w:rsidRPr="007B00DA">
        <w:t>'</w:t>
      </w:r>
      <w:r w:rsidR="00C74F14" w:rsidRPr="007B00DA">
        <w:t xml:space="preserve">une importance cruciale, </w:t>
      </w:r>
      <w:r w:rsidRPr="007B00DA">
        <w:t xml:space="preserve">et ont </w:t>
      </w:r>
      <w:r w:rsidR="00C74F14" w:rsidRPr="007B00DA">
        <w:t>souligné la nécessité</w:t>
      </w:r>
      <w:r w:rsidRPr="007B00DA">
        <w:t>:</w:t>
      </w:r>
    </w:p>
    <w:p w14:paraId="0E276AF9" w14:textId="526BA2CE" w:rsidR="00873791" w:rsidRPr="007B00DA" w:rsidDel="00F83883" w:rsidRDefault="00873791" w:rsidP="002E2421">
      <w:pPr>
        <w:pStyle w:val="enumlev1"/>
      </w:pPr>
      <w:r w:rsidRPr="007B00DA">
        <w:t>•</w:t>
      </w:r>
      <w:r w:rsidRPr="007B00DA">
        <w:tab/>
      </w:r>
      <w:r w:rsidR="00C74F14" w:rsidRPr="007B00DA">
        <w:rPr>
          <w:color w:val="000000"/>
        </w:rPr>
        <w:t>d</w:t>
      </w:r>
      <w:r w:rsidR="002E2421" w:rsidRPr="007B00DA">
        <w:rPr>
          <w:color w:val="000000"/>
        </w:rPr>
        <w:t>'</w:t>
      </w:r>
      <w:r w:rsidR="00C74F14" w:rsidRPr="007B00DA">
        <w:rPr>
          <w:color w:val="000000"/>
        </w:rPr>
        <w:t>é</w:t>
      </w:r>
      <w:r w:rsidR="00347168" w:rsidRPr="007B00DA">
        <w:rPr>
          <w:color w:val="000000"/>
        </w:rPr>
        <w:t>tablir une distinction claire entre</w:t>
      </w:r>
      <w:r w:rsidR="00347168" w:rsidRPr="007B00DA">
        <w:t xml:space="preserve"> </w:t>
      </w:r>
      <w:r w:rsidRPr="007B00DA">
        <w:t>les réunions hybrides</w:t>
      </w:r>
      <w:r w:rsidR="002E2421" w:rsidRPr="007B00DA">
        <w:t xml:space="preserve"> </w:t>
      </w:r>
      <w:r w:rsidR="00347168" w:rsidRPr="007B00DA">
        <w:t xml:space="preserve">et </w:t>
      </w:r>
      <w:r w:rsidRPr="007B00DA">
        <w:t>la participation à distance</w:t>
      </w:r>
      <w:r w:rsidR="002E2421" w:rsidRPr="007B00DA">
        <w:t xml:space="preserve"> </w:t>
      </w:r>
      <w:r w:rsidR="00347168" w:rsidRPr="007B00DA">
        <w:t xml:space="preserve">pendant les </w:t>
      </w:r>
      <w:r w:rsidRPr="007B00DA">
        <w:t>réunions physiques</w:t>
      </w:r>
      <w:r w:rsidR="0006031F" w:rsidRPr="007B00DA">
        <w:t>;</w:t>
      </w:r>
    </w:p>
    <w:p w14:paraId="193F78C0" w14:textId="0496EFF4" w:rsidR="00873791" w:rsidRPr="007B00DA" w:rsidDel="00F83883" w:rsidRDefault="00873791" w:rsidP="002E2421">
      <w:pPr>
        <w:pStyle w:val="enumlev1"/>
      </w:pPr>
      <w:r w:rsidRPr="007B00DA">
        <w:t>•</w:t>
      </w:r>
      <w:r w:rsidRPr="007B00DA">
        <w:tab/>
      </w:r>
      <w:r w:rsidR="00C74F14" w:rsidRPr="007B00DA">
        <w:t>de c</w:t>
      </w:r>
      <w:r w:rsidRPr="007B00DA">
        <w:t xml:space="preserve">larifier les droits des membres </w:t>
      </w:r>
      <w:r w:rsidR="00347168" w:rsidRPr="007B00DA">
        <w:t xml:space="preserve">qui participent </w:t>
      </w:r>
      <w:r w:rsidRPr="007B00DA">
        <w:t>à distance</w:t>
      </w:r>
      <w:r w:rsidR="00C74F14" w:rsidRPr="007B00DA">
        <w:t>,</w:t>
      </w:r>
      <w:r w:rsidR="002E2421" w:rsidRPr="007B00DA">
        <w:t xml:space="preserve"> </w:t>
      </w:r>
      <w:r w:rsidR="00347168" w:rsidRPr="007B00DA">
        <w:t>s</w:t>
      </w:r>
      <w:r w:rsidR="002E2421" w:rsidRPr="007B00DA">
        <w:t>'</w:t>
      </w:r>
      <w:r w:rsidR="00347168" w:rsidRPr="007B00DA">
        <w:t>agissant de la</w:t>
      </w:r>
      <w:r w:rsidRPr="007B00DA">
        <w:t xml:space="preserve"> </w:t>
      </w:r>
      <w:r w:rsidR="00347168" w:rsidRPr="007B00DA">
        <w:t>prise</w:t>
      </w:r>
      <w:r w:rsidR="002E2421" w:rsidRPr="007B00DA">
        <w:t xml:space="preserve"> </w:t>
      </w:r>
      <w:r w:rsidRPr="007B00DA">
        <w:t>de décision</w:t>
      </w:r>
      <w:r w:rsidR="00347168" w:rsidRPr="007B00DA">
        <w:t>s</w:t>
      </w:r>
      <w:r w:rsidRPr="007B00DA">
        <w:t xml:space="preserve"> et</w:t>
      </w:r>
      <w:r w:rsidR="002E2421" w:rsidRPr="007B00DA">
        <w:t xml:space="preserve"> </w:t>
      </w:r>
      <w:r w:rsidR="00347168" w:rsidRPr="007B00DA">
        <w:t xml:space="preserve">du </w:t>
      </w:r>
      <w:r w:rsidRPr="007B00DA">
        <w:t>processus de vote</w:t>
      </w:r>
      <w:r w:rsidR="0006031F" w:rsidRPr="007B00DA">
        <w:t>;</w:t>
      </w:r>
    </w:p>
    <w:p w14:paraId="33080A42" w14:textId="2396C782" w:rsidR="00873791" w:rsidRPr="007B00DA" w:rsidDel="00F83883" w:rsidRDefault="00873791" w:rsidP="002E2421">
      <w:pPr>
        <w:pStyle w:val="enumlev1"/>
      </w:pPr>
      <w:r w:rsidRPr="007B00DA">
        <w:t>•</w:t>
      </w:r>
      <w:r w:rsidRPr="007B00DA">
        <w:tab/>
      </w:r>
      <w:r w:rsidR="00C74F14" w:rsidRPr="007B00DA">
        <w:t>de f</w:t>
      </w:r>
      <w:r w:rsidRPr="007B00DA">
        <w:t xml:space="preserve">aciliter les discussions et les </w:t>
      </w:r>
      <w:r w:rsidR="00347168" w:rsidRPr="007B00DA">
        <w:t>échanges</w:t>
      </w:r>
      <w:r w:rsidRPr="007B00DA">
        <w:t>, y compris durant la Conférence de plénipotentiaires</w:t>
      </w:r>
      <w:r w:rsidR="0006031F" w:rsidRPr="007B00DA">
        <w:t>;</w:t>
      </w:r>
    </w:p>
    <w:p w14:paraId="567E5BC5" w14:textId="79137363" w:rsidR="00873791" w:rsidRPr="007B00DA" w:rsidDel="00F83883" w:rsidRDefault="00873791" w:rsidP="002E2421">
      <w:pPr>
        <w:pStyle w:val="enumlev1"/>
      </w:pPr>
      <w:r w:rsidRPr="007B00DA">
        <w:t>•</w:t>
      </w:r>
      <w:r w:rsidRPr="007B00DA">
        <w:tab/>
      </w:r>
      <w:r w:rsidR="00C74F14" w:rsidRPr="007B00DA">
        <w:t>de d</w:t>
      </w:r>
      <w:r w:rsidRPr="007B00DA">
        <w:t>ébattre de la question des fuseaux horaires</w:t>
      </w:r>
      <w:r w:rsidR="0006031F" w:rsidRPr="007B00DA">
        <w:t>;</w:t>
      </w:r>
    </w:p>
    <w:p w14:paraId="48936D95" w14:textId="0F71B8EF" w:rsidR="00873791" w:rsidRPr="007B00DA" w:rsidDel="00F83883" w:rsidRDefault="00873791" w:rsidP="002E2421">
      <w:pPr>
        <w:pStyle w:val="enumlev1"/>
      </w:pPr>
      <w:r w:rsidRPr="007B00DA">
        <w:t>•</w:t>
      </w:r>
      <w:r w:rsidRPr="007B00DA">
        <w:tab/>
      </w:r>
      <w:r w:rsidR="00C74F14" w:rsidRPr="007B00DA">
        <w:t>d</w:t>
      </w:r>
      <w:r w:rsidR="002E2421" w:rsidRPr="007B00DA">
        <w:t>'</w:t>
      </w:r>
      <w:r w:rsidR="00C74F14" w:rsidRPr="007B00DA">
        <w:t>e</w:t>
      </w:r>
      <w:r w:rsidRPr="007B00DA">
        <w:t xml:space="preserve">nvisager </w:t>
      </w:r>
      <w:r w:rsidR="00347168" w:rsidRPr="007B00DA">
        <w:t xml:space="preserve">de tenir </w:t>
      </w:r>
      <w:r w:rsidRPr="007B00DA">
        <w:t>davantage de réunions virtuelles et hybrides</w:t>
      </w:r>
      <w:r w:rsidRPr="007B00DA" w:rsidDel="00F83883">
        <w:t>.</w:t>
      </w:r>
    </w:p>
    <w:p w14:paraId="1CA9AE30" w14:textId="0FC63F95" w:rsidR="00F27C8B" w:rsidRPr="007B00DA" w:rsidRDefault="00873791" w:rsidP="002E2421">
      <w:pPr>
        <w:rPr>
          <w:bCs/>
        </w:rPr>
      </w:pPr>
      <w:r w:rsidRPr="007B00DA">
        <w:rPr>
          <w:bCs/>
        </w:rPr>
        <w:t>2</w:t>
      </w:r>
      <w:r w:rsidRPr="007B00DA" w:rsidDel="00F83883">
        <w:rPr>
          <w:bCs/>
        </w:rPr>
        <w:t>.6</w:t>
      </w:r>
      <w:r w:rsidRPr="007B00DA" w:rsidDel="00F83883">
        <w:rPr>
          <w:bCs/>
        </w:rPr>
        <w:tab/>
      </w:r>
      <w:r w:rsidRPr="007B00DA">
        <w:rPr>
          <w:bCs/>
        </w:rPr>
        <w:t>À la lumière de ce qui précède, la Présidente a conclu que</w:t>
      </w:r>
      <w:r w:rsidR="00347168" w:rsidRPr="007B00DA">
        <w:rPr>
          <w:color w:val="000000"/>
        </w:rPr>
        <w:t xml:space="preserve"> l'idée de transmettre</w:t>
      </w:r>
      <w:r w:rsidR="002E2421" w:rsidRPr="007B00DA">
        <w:rPr>
          <w:bCs/>
        </w:rPr>
        <w:t xml:space="preserve"> </w:t>
      </w:r>
      <w:r w:rsidRPr="007B00DA">
        <w:rPr>
          <w:bCs/>
        </w:rPr>
        <w:t>au Conseil</w:t>
      </w:r>
      <w:r w:rsidR="002E2421" w:rsidRPr="007B00DA">
        <w:rPr>
          <w:bCs/>
        </w:rPr>
        <w:t xml:space="preserve"> </w:t>
      </w:r>
      <w:r w:rsidR="00347168" w:rsidRPr="007B00DA">
        <w:rPr>
          <w:color w:val="000000"/>
        </w:rPr>
        <w:t>à sa session de</w:t>
      </w:r>
      <w:r w:rsidR="002E2421" w:rsidRPr="007B00DA">
        <w:rPr>
          <w:color w:val="000000"/>
        </w:rPr>
        <w:t xml:space="preserve"> </w:t>
      </w:r>
      <w:r w:rsidRPr="007B00DA">
        <w:rPr>
          <w:bCs/>
        </w:rPr>
        <w:t>2022</w:t>
      </w:r>
      <w:r w:rsidR="00347168" w:rsidRPr="007B00DA">
        <w:rPr>
          <w:bCs/>
        </w:rPr>
        <w:t>,</w:t>
      </w:r>
      <w:r w:rsidRPr="007B00DA">
        <w:rPr>
          <w:bCs/>
        </w:rPr>
        <w:t xml:space="preserve"> </w:t>
      </w:r>
      <w:r w:rsidR="00347168" w:rsidRPr="007B00DA">
        <w:rPr>
          <w:color w:val="000000"/>
        </w:rPr>
        <w:t>pour examen complémentaire,</w:t>
      </w:r>
      <w:r w:rsidR="002E2421" w:rsidRPr="007B00DA">
        <w:rPr>
          <w:bCs/>
        </w:rPr>
        <w:t xml:space="preserve"> </w:t>
      </w:r>
      <w:r w:rsidR="00347168" w:rsidRPr="007B00DA">
        <w:rPr>
          <w:bCs/>
        </w:rPr>
        <w:t>la question des</w:t>
      </w:r>
      <w:r w:rsidRPr="007B00DA">
        <w:rPr>
          <w:bCs/>
        </w:rPr>
        <w:t xml:space="preserve"> règles et procédures relatives aux réunions virtuelles et hybrides, </w:t>
      </w:r>
      <w:r w:rsidR="00347168" w:rsidRPr="007B00DA">
        <w:rPr>
          <w:bCs/>
        </w:rPr>
        <w:t>telle</w:t>
      </w:r>
      <w:r w:rsidR="002E2421" w:rsidRPr="007B00DA">
        <w:rPr>
          <w:bCs/>
        </w:rPr>
        <w:t xml:space="preserve"> </w:t>
      </w:r>
      <w:r w:rsidRPr="007B00DA">
        <w:rPr>
          <w:bCs/>
        </w:rPr>
        <w:t xml:space="preserve">que </w:t>
      </w:r>
      <w:r w:rsidR="00347168" w:rsidRPr="007B00DA">
        <w:rPr>
          <w:bCs/>
        </w:rPr>
        <w:t>présentée</w:t>
      </w:r>
      <w:r w:rsidR="002E2421" w:rsidRPr="007B00DA">
        <w:rPr>
          <w:bCs/>
        </w:rPr>
        <w:t xml:space="preserve"> </w:t>
      </w:r>
      <w:r w:rsidRPr="007B00DA">
        <w:rPr>
          <w:bCs/>
        </w:rPr>
        <w:t>dans le document, re</w:t>
      </w:r>
      <w:r w:rsidR="00663C3E" w:rsidRPr="007B00DA">
        <w:rPr>
          <w:bCs/>
        </w:rPr>
        <w:t>ncontrait l'assentiment général</w:t>
      </w:r>
      <w:r w:rsidR="00F27C8B" w:rsidRPr="007B00DA">
        <w:rPr>
          <w:bCs/>
        </w:rPr>
        <w:t xml:space="preserve"> (</w:t>
      </w:r>
      <w:r w:rsidR="00663C3E" w:rsidRPr="007B00DA">
        <w:rPr>
          <w:bCs/>
        </w:rPr>
        <w:t>voir l'</w:t>
      </w:r>
      <w:hyperlink w:anchor="Annexe" w:history="1">
        <w:r w:rsidRPr="007B00DA">
          <w:rPr>
            <w:rStyle w:val="Hyperlink"/>
            <w:bCs/>
          </w:rPr>
          <w:t>Annexe</w:t>
        </w:r>
      </w:hyperlink>
      <w:r w:rsidR="00F27C8B" w:rsidRPr="007B00DA">
        <w:rPr>
          <w:bCs/>
        </w:rPr>
        <w:t>).</w:t>
      </w:r>
    </w:p>
    <w:p w14:paraId="7F2206F8" w14:textId="02605AEC" w:rsidR="00F27C8B" w:rsidRPr="007B00DA" w:rsidRDefault="00F27C8B" w:rsidP="00EF72D5">
      <w:pPr>
        <w:spacing w:before="1680"/>
        <w:rPr>
          <w:b/>
          <w:bCs/>
          <w:i/>
          <w:iCs/>
        </w:rPr>
      </w:pPr>
      <w:r w:rsidRPr="007B00DA">
        <w:rPr>
          <w:b/>
          <w:bCs/>
          <w:i/>
          <w:iCs/>
        </w:rPr>
        <w:t>Annex</w:t>
      </w:r>
      <w:r w:rsidR="00DE5D35" w:rsidRPr="007B00DA">
        <w:rPr>
          <w:b/>
          <w:bCs/>
          <w:i/>
          <w:iCs/>
        </w:rPr>
        <w:t>e</w:t>
      </w:r>
      <w:r w:rsidRPr="007B00DA">
        <w:rPr>
          <w:b/>
          <w:bCs/>
          <w:i/>
          <w:iCs/>
        </w:rPr>
        <w:t>: 1</w:t>
      </w:r>
      <w:r w:rsidRPr="007B00DA">
        <w:rPr>
          <w:b/>
          <w:bCs/>
          <w:i/>
          <w:iCs/>
        </w:rPr>
        <w:br w:type="page"/>
      </w:r>
    </w:p>
    <w:p w14:paraId="576AFF40" w14:textId="77777777" w:rsidR="00A46421" w:rsidRPr="007B00DA" w:rsidRDefault="00A46421" w:rsidP="0006031F">
      <w:pPr>
        <w:pStyle w:val="AnnexNo"/>
        <w:spacing w:after="120"/>
      </w:pPr>
      <w:bookmarkStart w:id="8" w:name="Annexe"/>
      <w:bookmarkEnd w:id="8"/>
      <w:r w:rsidRPr="007B00DA">
        <w:lastRenderedPageBreak/>
        <w:t>ANNEXE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08"/>
      </w:tblGrid>
      <w:tr w:rsidR="00A46421" w:rsidRPr="007B00DA" w14:paraId="45045290" w14:textId="77777777" w:rsidTr="007554FD">
        <w:tc>
          <w:tcPr>
            <w:tcW w:w="6521" w:type="dxa"/>
          </w:tcPr>
          <w:p w14:paraId="3ECF1BE2" w14:textId="77777777" w:rsidR="00A46421" w:rsidRPr="007B00DA" w:rsidRDefault="00A46421" w:rsidP="0006031F">
            <w:pPr>
              <w:spacing w:before="480"/>
            </w:pPr>
            <w:r w:rsidRPr="007B00DA">
              <w:rPr>
                <w:b/>
                <w:bCs/>
                <w:sz w:val="30"/>
                <w:szCs w:val="30"/>
              </w:rPr>
              <w:t>Groupe de travail du Conseil sur les ressources financières et les ressources humaines</w:t>
            </w:r>
          </w:p>
        </w:tc>
        <w:tc>
          <w:tcPr>
            <w:tcW w:w="3108" w:type="dxa"/>
          </w:tcPr>
          <w:p w14:paraId="2A6D7A94" w14:textId="77777777" w:rsidR="00A46421" w:rsidRPr="007B00DA" w:rsidRDefault="00A46421" w:rsidP="002E2421">
            <w:r w:rsidRPr="007B00DA">
              <w:rPr>
                <w:noProof/>
                <w:lang w:eastAsia="en-GB"/>
              </w:rPr>
              <w:drawing>
                <wp:inline distT="0" distB="0" distL="0" distR="0" wp14:anchorId="1DFF2747" wp14:editId="60928C28">
                  <wp:extent cx="6823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421" w:rsidRPr="007B00DA" w14:paraId="7DFFA090" w14:textId="77777777" w:rsidTr="007554FD">
        <w:tc>
          <w:tcPr>
            <w:tcW w:w="6521" w:type="dxa"/>
            <w:tcBorders>
              <w:bottom w:val="single" w:sz="12" w:space="0" w:color="auto"/>
            </w:tcBorders>
          </w:tcPr>
          <w:p w14:paraId="51E02D23" w14:textId="536CB10C" w:rsidR="00A46421" w:rsidRPr="007B00DA" w:rsidRDefault="00A46421" w:rsidP="002E2421">
            <w:r w:rsidRPr="007B00DA">
              <w:rPr>
                <w:b/>
              </w:rPr>
              <w:t xml:space="preserve">Quinzième réunion </w:t>
            </w:r>
            <w:r w:rsidR="0006031F" w:rsidRPr="007B00DA">
              <w:rPr>
                <w:b/>
              </w:rPr>
              <w:t>–</w:t>
            </w:r>
            <w:r w:rsidRPr="007B00DA">
              <w:rPr>
                <w:b/>
              </w:rPr>
              <w:t xml:space="preserve"> 11 et 12 janvier 2022</w:t>
            </w:r>
          </w:p>
        </w:tc>
        <w:tc>
          <w:tcPr>
            <w:tcW w:w="3108" w:type="dxa"/>
            <w:tcBorders>
              <w:bottom w:val="single" w:sz="12" w:space="0" w:color="auto"/>
            </w:tcBorders>
          </w:tcPr>
          <w:p w14:paraId="203074DA" w14:textId="77777777" w:rsidR="00A46421" w:rsidRPr="007B00DA" w:rsidRDefault="00A46421" w:rsidP="002E2421"/>
        </w:tc>
      </w:tr>
      <w:tr w:rsidR="00A46421" w:rsidRPr="007B00DA" w14:paraId="51F909BC" w14:textId="77777777" w:rsidTr="007554FD">
        <w:tc>
          <w:tcPr>
            <w:tcW w:w="6521" w:type="dxa"/>
            <w:tcBorders>
              <w:top w:val="single" w:sz="12" w:space="0" w:color="auto"/>
            </w:tcBorders>
          </w:tcPr>
          <w:p w14:paraId="52BFBE8E" w14:textId="77777777" w:rsidR="00A46421" w:rsidRPr="007B00DA" w:rsidRDefault="00A46421" w:rsidP="002E2421">
            <w:pPr>
              <w:spacing w:before="0"/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20FE2C5F" w14:textId="77777777" w:rsidR="00A46421" w:rsidRPr="007B00DA" w:rsidRDefault="00A46421" w:rsidP="002E2421">
            <w:pPr>
              <w:spacing w:before="0"/>
            </w:pPr>
          </w:p>
        </w:tc>
      </w:tr>
      <w:tr w:rsidR="00A46421" w:rsidRPr="007B00DA" w14:paraId="6346E00A" w14:textId="77777777" w:rsidTr="007554FD">
        <w:tc>
          <w:tcPr>
            <w:tcW w:w="6521" w:type="dxa"/>
          </w:tcPr>
          <w:p w14:paraId="59F7473D" w14:textId="77777777" w:rsidR="00A46421" w:rsidRPr="007B00DA" w:rsidRDefault="00A46421" w:rsidP="002E2421">
            <w:pPr>
              <w:spacing w:before="0"/>
            </w:pPr>
          </w:p>
        </w:tc>
        <w:tc>
          <w:tcPr>
            <w:tcW w:w="3108" w:type="dxa"/>
          </w:tcPr>
          <w:p w14:paraId="7E74D61C" w14:textId="4DA9356C" w:rsidR="00A46421" w:rsidRPr="007B00DA" w:rsidRDefault="00A46421" w:rsidP="002E2421">
            <w:pPr>
              <w:spacing w:before="0"/>
            </w:pPr>
            <w:r w:rsidRPr="007B00DA">
              <w:rPr>
                <w:rFonts w:cstheme="minorHAnsi"/>
                <w:b/>
                <w:spacing w:val="-4"/>
                <w:szCs w:val="24"/>
              </w:rPr>
              <w:t>Document CWG-FHR-15/19-</w:t>
            </w:r>
            <w:r w:rsidR="0006031F" w:rsidRPr="007B00DA">
              <w:rPr>
                <w:rFonts w:cstheme="minorHAnsi"/>
                <w:b/>
                <w:spacing w:val="-4"/>
                <w:szCs w:val="24"/>
              </w:rPr>
              <w:t>F</w:t>
            </w:r>
          </w:p>
        </w:tc>
      </w:tr>
      <w:tr w:rsidR="00A46421" w:rsidRPr="007B00DA" w14:paraId="70C50B29" w14:textId="77777777" w:rsidTr="007554FD">
        <w:tc>
          <w:tcPr>
            <w:tcW w:w="6521" w:type="dxa"/>
          </w:tcPr>
          <w:p w14:paraId="310DC0D1" w14:textId="77777777" w:rsidR="00A46421" w:rsidRPr="007B00DA" w:rsidRDefault="00A46421" w:rsidP="002E2421">
            <w:pPr>
              <w:spacing w:before="0"/>
            </w:pPr>
          </w:p>
        </w:tc>
        <w:tc>
          <w:tcPr>
            <w:tcW w:w="3108" w:type="dxa"/>
          </w:tcPr>
          <w:p w14:paraId="77AADBF4" w14:textId="77777777" w:rsidR="00A46421" w:rsidRPr="007B00DA" w:rsidRDefault="00A46421" w:rsidP="002E2421">
            <w:pPr>
              <w:spacing w:before="0"/>
            </w:pPr>
            <w:r w:rsidRPr="007B00DA">
              <w:rPr>
                <w:rFonts w:cstheme="minorHAnsi"/>
                <w:b/>
                <w:szCs w:val="24"/>
              </w:rPr>
              <w:t>26 décembre 2021</w:t>
            </w:r>
          </w:p>
        </w:tc>
      </w:tr>
      <w:tr w:rsidR="00A46421" w:rsidRPr="007B00DA" w14:paraId="49F26C9E" w14:textId="77777777" w:rsidTr="007554FD">
        <w:tc>
          <w:tcPr>
            <w:tcW w:w="6521" w:type="dxa"/>
          </w:tcPr>
          <w:p w14:paraId="524A16E9" w14:textId="77777777" w:rsidR="00A46421" w:rsidRPr="007B00DA" w:rsidRDefault="00A46421" w:rsidP="002E2421">
            <w:pPr>
              <w:spacing w:before="0"/>
            </w:pPr>
          </w:p>
        </w:tc>
        <w:tc>
          <w:tcPr>
            <w:tcW w:w="3108" w:type="dxa"/>
          </w:tcPr>
          <w:p w14:paraId="7F5DBB96" w14:textId="6F7349B3" w:rsidR="00A46421" w:rsidRPr="007B00DA" w:rsidRDefault="00C74F14" w:rsidP="002E2421">
            <w:pPr>
              <w:spacing w:before="0"/>
            </w:pPr>
            <w:r w:rsidRPr="007B00DA">
              <w:rPr>
                <w:rFonts w:cstheme="minorHAnsi"/>
                <w:b/>
                <w:szCs w:val="24"/>
              </w:rPr>
              <w:t>Original</w:t>
            </w:r>
            <w:r w:rsidR="002E2421" w:rsidRPr="007B00DA">
              <w:rPr>
                <w:rFonts w:cstheme="minorHAnsi"/>
                <w:b/>
                <w:szCs w:val="24"/>
              </w:rPr>
              <w:t>:</w:t>
            </w:r>
            <w:r w:rsidRPr="007B00DA">
              <w:rPr>
                <w:rFonts w:cstheme="minorHAnsi"/>
                <w:b/>
                <w:szCs w:val="24"/>
              </w:rPr>
              <w:t xml:space="preserve"> a</w:t>
            </w:r>
            <w:r w:rsidR="00A46421" w:rsidRPr="007B00DA">
              <w:rPr>
                <w:rFonts w:cstheme="minorHAnsi"/>
                <w:b/>
                <w:szCs w:val="24"/>
              </w:rPr>
              <w:t>nglais</w:t>
            </w:r>
          </w:p>
        </w:tc>
      </w:tr>
      <w:tr w:rsidR="00A46421" w:rsidRPr="007B00DA" w14:paraId="7FBFD51B" w14:textId="77777777" w:rsidTr="007554FD">
        <w:tc>
          <w:tcPr>
            <w:tcW w:w="9629" w:type="dxa"/>
            <w:gridSpan w:val="2"/>
          </w:tcPr>
          <w:p w14:paraId="743DBE70" w14:textId="77777777" w:rsidR="00A46421" w:rsidRPr="007B00DA" w:rsidRDefault="00A46421" w:rsidP="002E2421">
            <w:pPr>
              <w:pStyle w:val="Source"/>
            </w:pPr>
            <w:r w:rsidRPr="007B00DA">
              <w:t>Contribution de l'Australie et du Canada</w:t>
            </w:r>
          </w:p>
        </w:tc>
      </w:tr>
      <w:tr w:rsidR="00A46421" w:rsidRPr="007B00DA" w14:paraId="502266A1" w14:textId="77777777" w:rsidTr="007554FD">
        <w:tc>
          <w:tcPr>
            <w:tcW w:w="9629" w:type="dxa"/>
            <w:gridSpan w:val="2"/>
          </w:tcPr>
          <w:p w14:paraId="7D5F67EA" w14:textId="77777777" w:rsidR="00A46421" w:rsidRPr="007B00DA" w:rsidRDefault="00A46421" w:rsidP="002E2421">
            <w:pPr>
              <w:pStyle w:val="Title1"/>
            </w:pPr>
            <w:r w:rsidRPr="007B00DA">
              <w:t>Réunions virtuelles et hybrides</w:t>
            </w:r>
          </w:p>
        </w:tc>
      </w:tr>
    </w:tbl>
    <w:p w14:paraId="52C81A9C" w14:textId="77777777" w:rsidR="00A46421" w:rsidRPr="007B00DA" w:rsidRDefault="00A46421" w:rsidP="002E2421">
      <w:pPr>
        <w:pStyle w:val="Headingb"/>
        <w:rPr>
          <w:rFonts w:eastAsia="SimSun"/>
          <w:lang w:eastAsia="zh-CN"/>
        </w:rPr>
      </w:pPr>
      <w:r w:rsidRPr="007B00DA">
        <w:t>Introduction</w:t>
      </w:r>
    </w:p>
    <w:p w14:paraId="61B1B0A1" w14:textId="34DF38B0" w:rsidR="00A46421" w:rsidRPr="007B00DA" w:rsidRDefault="00A46421" w:rsidP="0006031F">
      <w:pPr>
        <w:rPr>
          <w:szCs w:val="24"/>
        </w:rPr>
      </w:pPr>
      <w:r w:rsidRPr="007B00DA">
        <w:t>L'Australie et le Canada ont le plaisir de soumettre la présente contribution au Groupe de travail du Conseil de l'UIT sur les ressources financières et les ressources humaines (GTC-FHR)</w:t>
      </w:r>
      <w:r w:rsidR="002E2421" w:rsidRPr="007B00DA">
        <w:t>,</w:t>
      </w:r>
      <w:r w:rsidR="00023B1D" w:rsidRPr="007B00DA">
        <w:t xml:space="preserve"> pour qu</w:t>
      </w:r>
      <w:r w:rsidR="002E2421" w:rsidRPr="007B00DA">
        <w:t>'</w:t>
      </w:r>
      <w:r w:rsidR="00023B1D" w:rsidRPr="007B00DA">
        <w:t>il l</w:t>
      </w:r>
      <w:r w:rsidR="002E2421" w:rsidRPr="007B00DA">
        <w:t>'</w:t>
      </w:r>
      <w:r w:rsidR="00023B1D" w:rsidRPr="007B00DA">
        <w:t>examine</w:t>
      </w:r>
      <w:r w:rsidR="002E2421" w:rsidRPr="007B00DA">
        <w:t xml:space="preserve"> </w:t>
      </w:r>
      <w:r w:rsidR="00023B1D" w:rsidRPr="007B00DA">
        <w:t>à sa</w:t>
      </w:r>
      <w:r w:rsidR="002E2421" w:rsidRPr="007B00DA">
        <w:t xml:space="preserve"> </w:t>
      </w:r>
      <w:r w:rsidRPr="007B00DA">
        <w:t>réunion des 11 et 12 janvier 2022.</w:t>
      </w:r>
    </w:p>
    <w:p w14:paraId="78D20825" w14:textId="5E92FDF8" w:rsidR="00A46421" w:rsidRPr="007B00DA" w:rsidRDefault="00A46421" w:rsidP="0006031F">
      <w:r w:rsidRPr="007B00DA">
        <w:t xml:space="preserve">Malgré les incertitudes actuelles </w:t>
      </w:r>
      <w:r w:rsidR="001D2054" w:rsidRPr="007B00DA">
        <w:t xml:space="preserve">relatives </w:t>
      </w:r>
      <w:r w:rsidR="00023B1D" w:rsidRPr="007B00DA">
        <w:t>aux nouveaux</w:t>
      </w:r>
      <w:r w:rsidRPr="007B00DA">
        <w:t xml:space="preserve"> variants du COVID-19 et les</w:t>
      </w:r>
      <w:r w:rsidR="002E2421" w:rsidRPr="007B00DA">
        <w:t xml:space="preserve"> </w:t>
      </w:r>
      <w:r w:rsidRPr="007B00DA">
        <w:t xml:space="preserve">restrictions aux frontières, le personnel </w:t>
      </w:r>
      <w:r w:rsidR="005B3F7D" w:rsidRPr="007B00DA">
        <w:t xml:space="preserve">et les membres </w:t>
      </w:r>
      <w:r w:rsidRPr="007B00DA">
        <w:t xml:space="preserve">de l'UIT se sont </w:t>
      </w:r>
      <w:r w:rsidR="005B3F7D" w:rsidRPr="007B00DA">
        <w:t xml:space="preserve">bien </w:t>
      </w:r>
      <w:r w:rsidRPr="007B00DA">
        <w:t>adaptés</w:t>
      </w:r>
      <w:r w:rsidR="002E2421" w:rsidRPr="007B00DA">
        <w:t xml:space="preserve"> </w:t>
      </w:r>
      <w:r w:rsidRPr="007B00DA">
        <w:t>aux plates-</w:t>
      </w:r>
      <w:r w:rsidR="001D2054" w:rsidRPr="007B00DA">
        <w:t xml:space="preserve">formes de réunion virtuelle et </w:t>
      </w:r>
      <w:r w:rsidR="005B3F7D" w:rsidRPr="007B00DA">
        <w:t>ont continué de faire avancer de manière satisfaisante</w:t>
      </w:r>
      <w:r w:rsidR="002E2421" w:rsidRPr="007B00DA">
        <w:t xml:space="preserve"> </w:t>
      </w:r>
      <w:r w:rsidR="005B3F7D" w:rsidRPr="007B00DA">
        <w:t>les</w:t>
      </w:r>
      <w:r w:rsidRPr="007B00DA">
        <w:t xml:space="preserve"> travaux importants de l'organisation</w:t>
      </w:r>
      <w:r w:rsidR="0006031F" w:rsidRPr="007B00DA">
        <w:t>.</w:t>
      </w:r>
    </w:p>
    <w:p w14:paraId="2C8F76B8" w14:textId="568EA5B1" w:rsidR="00A46421" w:rsidRPr="007B00DA" w:rsidRDefault="00A46421" w:rsidP="0006031F">
      <w:r w:rsidRPr="007B00DA">
        <w:t>L'UIT a publiquement souligné le rôle crucial des technologies de l'information et de la communication (TIC), qui sont devenues plus importantes qu</w:t>
      </w:r>
      <w:r w:rsidR="001D2054" w:rsidRPr="007B00DA">
        <w:t xml:space="preserve">e jamais </w:t>
      </w:r>
      <w:r w:rsidR="005B3F7D" w:rsidRPr="007B00DA">
        <w:t>en ce qu</w:t>
      </w:r>
      <w:r w:rsidR="002E2421" w:rsidRPr="007B00DA">
        <w:t>'</w:t>
      </w:r>
      <w:r w:rsidR="005B3F7D" w:rsidRPr="007B00DA">
        <w:t>elles ont aidé</w:t>
      </w:r>
      <w:r w:rsidR="002E2421" w:rsidRPr="007B00DA">
        <w:t xml:space="preserve"> </w:t>
      </w:r>
      <w:r w:rsidRPr="007B00DA">
        <w:t xml:space="preserve">les pays à utiliser les technologies numériques pour le télétravail, le commerce électronique, l'apprentissage à distance et la télémédecine. Dans cet esprit, les travaux de l'UIT pendant la pandémie ont </w:t>
      </w:r>
      <w:r w:rsidR="00323B8E" w:rsidRPr="007B00DA">
        <w:t>permis d</w:t>
      </w:r>
      <w:r w:rsidR="002E2421" w:rsidRPr="007B00DA">
        <w:t>'</w:t>
      </w:r>
      <w:r w:rsidR="00323B8E" w:rsidRPr="007B00DA">
        <w:t xml:space="preserve">accomplir </w:t>
      </w:r>
      <w:r w:rsidRPr="007B00DA">
        <w:t>d'important</w:t>
      </w:r>
      <w:r w:rsidR="001D2054" w:rsidRPr="007B00DA">
        <w:t>s</w:t>
      </w:r>
      <w:r w:rsidRPr="007B00DA">
        <w:t xml:space="preserve"> progrès</w:t>
      </w:r>
      <w:r w:rsidR="002E2421" w:rsidRPr="007B00DA">
        <w:t>,</w:t>
      </w:r>
      <w:r w:rsidR="00323B8E" w:rsidRPr="007B00DA">
        <w:t xml:space="preserve"> en améliorant</w:t>
      </w:r>
      <w:r w:rsidR="002E2421" w:rsidRPr="007B00DA">
        <w:t xml:space="preserve"> </w:t>
      </w:r>
      <w:r w:rsidRPr="007B00DA">
        <w:t xml:space="preserve">la capacité des réseaux de communication, en particulier pour les pays et régions les moins </w:t>
      </w:r>
      <w:r w:rsidR="00323B8E" w:rsidRPr="007B00DA">
        <w:t>avancés</w:t>
      </w:r>
      <w:r w:rsidR="00B86ED9" w:rsidRPr="007B00DA">
        <w:t>.</w:t>
      </w:r>
    </w:p>
    <w:p w14:paraId="16CA2D50" w14:textId="354D7743" w:rsidR="00A46421" w:rsidRPr="007B00DA" w:rsidRDefault="00323B8E" w:rsidP="0006031F">
      <w:r w:rsidRPr="007B00DA">
        <w:t xml:space="preserve">Il est apparu ces </w:t>
      </w:r>
      <w:r w:rsidR="00A46421" w:rsidRPr="007B00DA">
        <w:t>18 derniers mois</w:t>
      </w:r>
      <w:r w:rsidR="002E2421" w:rsidRPr="007B00DA">
        <w:t xml:space="preserve"> </w:t>
      </w:r>
      <w:r w:rsidR="00A46421" w:rsidRPr="007B00DA">
        <w:t>que les plates-formes de réunion virtuelle</w:t>
      </w:r>
      <w:r w:rsidR="0078323F" w:rsidRPr="007B00DA">
        <w:t xml:space="preserve"> pouvaient</w:t>
      </w:r>
      <w:r w:rsidR="00A46421" w:rsidRPr="007B00DA">
        <w:t xml:space="preserve"> </w:t>
      </w:r>
      <w:r w:rsidRPr="007B00DA">
        <w:t>servir</w:t>
      </w:r>
      <w:r w:rsidR="002E2421" w:rsidRPr="007B00DA">
        <w:t xml:space="preserve"> </w:t>
      </w:r>
      <w:r w:rsidR="00A46421" w:rsidRPr="007B00DA">
        <w:t>de plate</w:t>
      </w:r>
      <w:r w:rsidR="0078323F" w:rsidRPr="007B00DA">
        <w:t>s</w:t>
      </w:r>
      <w:r w:rsidR="00A46421" w:rsidRPr="007B00DA">
        <w:t>-forme</w:t>
      </w:r>
      <w:r w:rsidR="0078323F" w:rsidRPr="007B00DA">
        <w:t>s</w:t>
      </w:r>
      <w:r w:rsidR="00A46421" w:rsidRPr="007B00DA">
        <w:t xml:space="preserve"> </w:t>
      </w:r>
      <w:r w:rsidR="0081340D" w:rsidRPr="007B00DA">
        <w:t>permettant de</w:t>
      </w:r>
      <w:r w:rsidR="002E2421" w:rsidRPr="007B00DA">
        <w:t xml:space="preserve"> </w:t>
      </w:r>
      <w:r w:rsidR="00A46421" w:rsidRPr="007B00DA">
        <w:t>poursui</w:t>
      </w:r>
      <w:r w:rsidR="0081340D" w:rsidRPr="007B00DA">
        <w:t>vre</w:t>
      </w:r>
      <w:r w:rsidR="002E2421" w:rsidRPr="007B00DA">
        <w:t xml:space="preserve"> </w:t>
      </w:r>
      <w:r w:rsidR="00A46421" w:rsidRPr="007B00DA">
        <w:t xml:space="preserve">des travaux importants de l'UIT, en </w:t>
      </w:r>
      <w:r w:rsidR="0081340D" w:rsidRPr="007B00DA">
        <w:t>garantissant</w:t>
      </w:r>
      <w:r w:rsidR="0078323F" w:rsidRPr="007B00DA">
        <w:t xml:space="preserve"> l</w:t>
      </w:r>
      <w:r w:rsidR="00A46421" w:rsidRPr="007B00DA">
        <w:t xml:space="preserve">'accès, </w:t>
      </w:r>
      <w:r w:rsidR="0078323F" w:rsidRPr="007B00DA">
        <w:t>l</w:t>
      </w:r>
      <w:r w:rsidR="00A46421" w:rsidRPr="007B00DA">
        <w:t xml:space="preserve">'inclusivité et </w:t>
      </w:r>
      <w:r w:rsidR="0078323F" w:rsidRPr="007B00DA">
        <w:t>la</w:t>
      </w:r>
      <w:r w:rsidR="00A46421" w:rsidRPr="007B00DA">
        <w:t xml:space="preserve"> participation</w:t>
      </w:r>
      <w:r w:rsidR="0078323F" w:rsidRPr="007B00DA">
        <w:t xml:space="preserve"> des membres</w:t>
      </w:r>
      <w:r w:rsidR="0081340D" w:rsidRPr="007B00DA">
        <w:t xml:space="preserve"> et </w:t>
      </w:r>
      <w:r w:rsidR="0078323F" w:rsidRPr="007B00DA">
        <w:t>en</w:t>
      </w:r>
      <w:r w:rsidR="002E2421" w:rsidRPr="007B00DA">
        <w:t xml:space="preserve"> </w:t>
      </w:r>
      <w:r w:rsidR="0081340D" w:rsidRPr="007B00DA">
        <w:t>ménageant</w:t>
      </w:r>
      <w:r w:rsidR="00B86ED9" w:rsidRPr="007B00DA">
        <w:t xml:space="preserve"> </w:t>
      </w:r>
      <w:r w:rsidR="00A46421" w:rsidRPr="007B00DA">
        <w:t>une plus grande souplesse pour la tenue de</w:t>
      </w:r>
      <w:r w:rsidR="0081340D" w:rsidRPr="007B00DA">
        <w:t>s</w:t>
      </w:r>
      <w:r w:rsidR="00A46421" w:rsidRPr="007B00DA">
        <w:t xml:space="preserve"> réunions.</w:t>
      </w:r>
    </w:p>
    <w:p w14:paraId="65391FF1" w14:textId="77E52086" w:rsidR="00A46421" w:rsidRPr="007B00DA" w:rsidRDefault="00A46421" w:rsidP="0006031F">
      <w:r w:rsidRPr="007B00DA">
        <w:t xml:space="preserve">Cependant, alors </w:t>
      </w:r>
      <w:r w:rsidR="0081340D" w:rsidRPr="007B00DA">
        <w:t>qu</w:t>
      </w:r>
      <w:r w:rsidR="002E2421" w:rsidRPr="007B00DA">
        <w:t>'</w:t>
      </w:r>
      <w:r w:rsidR="0081340D" w:rsidRPr="007B00DA">
        <w:t>il nous faut</w:t>
      </w:r>
      <w:r w:rsidR="002E2421" w:rsidRPr="007B00DA">
        <w:t xml:space="preserve"> </w:t>
      </w:r>
      <w:r w:rsidRPr="007B00DA">
        <w:t>appren</w:t>
      </w:r>
      <w:r w:rsidR="0081340D" w:rsidRPr="007B00DA">
        <w:t>dre</w:t>
      </w:r>
      <w:r w:rsidR="002E2421" w:rsidRPr="007B00DA">
        <w:t xml:space="preserve"> </w:t>
      </w:r>
      <w:r w:rsidRPr="007B00DA">
        <w:t>à vivre avec les incidences</w:t>
      </w:r>
      <w:r w:rsidR="002E2421" w:rsidRPr="007B00DA">
        <w:t xml:space="preserve"> </w:t>
      </w:r>
      <w:r w:rsidRPr="007B00DA">
        <w:t xml:space="preserve">du COVID-19, il est </w:t>
      </w:r>
      <w:r w:rsidR="0081340D" w:rsidRPr="007B00DA">
        <w:t xml:space="preserve">essentiel </w:t>
      </w:r>
      <w:r w:rsidRPr="007B00DA">
        <w:t>de</w:t>
      </w:r>
      <w:r w:rsidR="0081340D" w:rsidRPr="007B00DA">
        <w:t xml:space="preserve"> concevoir</w:t>
      </w:r>
      <w:r w:rsidRPr="007B00DA">
        <w:t xml:space="preserve"> des </w:t>
      </w:r>
      <w:r w:rsidR="00C4700C" w:rsidRPr="007B00DA">
        <w:t>solutions</w:t>
      </w:r>
      <w:r w:rsidRPr="007B00DA">
        <w:t xml:space="preserve"> souples et inclusives pour la participation aux réunions de l'UIT. Les voyages internationaux continuent de poser des problèmes, en raison des contraintes</w:t>
      </w:r>
      <w:r w:rsidR="0081340D" w:rsidRPr="007B00DA">
        <w:t xml:space="preserve"> de déplacement</w:t>
      </w:r>
      <w:r w:rsidRPr="007B00DA">
        <w:t xml:space="preserve"> qui évoluent rapidement</w:t>
      </w:r>
      <w:r w:rsidR="0081340D" w:rsidRPr="007B00DA">
        <w:t xml:space="preserve"> et</w:t>
      </w:r>
      <w:r w:rsidR="002E2421" w:rsidRPr="007B00DA">
        <w:t xml:space="preserve"> </w:t>
      </w:r>
      <w:r w:rsidRPr="007B00DA">
        <w:t>empêch</w:t>
      </w:r>
      <w:r w:rsidR="0081340D" w:rsidRPr="007B00DA">
        <w:t>e</w:t>
      </w:r>
      <w:r w:rsidRPr="007B00DA">
        <w:t>nt ainsi de nombreuses administrations de voyager. Si les réunions hybrides ne sont pas</w:t>
      </w:r>
      <w:r w:rsidR="0081340D" w:rsidRPr="007B00DA">
        <w:rPr>
          <w:color w:val="000000"/>
        </w:rPr>
        <w:t xml:space="preserve"> soigneusement organisées, leurs résultats</w:t>
      </w:r>
      <w:r w:rsidR="002E2421" w:rsidRPr="007B00DA">
        <w:rPr>
          <w:color w:val="000000"/>
        </w:rPr>
        <w:t xml:space="preserve"> </w:t>
      </w:r>
      <w:r w:rsidR="0081340D" w:rsidRPr="007B00DA">
        <w:rPr>
          <w:color w:val="000000"/>
        </w:rPr>
        <w:t>risquent fort de ne pas refléter un consensus entre les États Membres, ce qui pourrait compromettre</w:t>
      </w:r>
      <w:r w:rsidR="002E2421" w:rsidRPr="007B00DA">
        <w:rPr>
          <w:color w:val="000000"/>
        </w:rPr>
        <w:t xml:space="preserve"> </w:t>
      </w:r>
      <w:r w:rsidRPr="007B00DA">
        <w:t>l'ensemble du processus.</w:t>
      </w:r>
    </w:p>
    <w:p w14:paraId="5B8B3E23" w14:textId="1579D1B1" w:rsidR="00A46421" w:rsidRPr="007B00DA" w:rsidRDefault="009863C9" w:rsidP="002E2421">
      <w:pPr>
        <w:pStyle w:val="Headingb"/>
      </w:pPr>
      <w:r w:rsidRPr="007B00DA">
        <w:lastRenderedPageBreak/>
        <w:t>Examen</w:t>
      </w:r>
    </w:p>
    <w:p w14:paraId="07DB998A" w14:textId="15D44EE9" w:rsidR="00A46421" w:rsidRPr="007B00DA" w:rsidRDefault="00A46421" w:rsidP="002E2421">
      <w:pPr>
        <w:spacing w:after="120"/>
        <w:rPr>
          <w:rFonts w:cstheme="minorHAnsi"/>
          <w:szCs w:val="24"/>
        </w:rPr>
      </w:pPr>
      <w:r w:rsidRPr="007B00DA">
        <w:rPr>
          <w:rFonts w:cstheme="minorHAnsi"/>
        </w:rPr>
        <w:t xml:space="preserve">L'Australie et le Canada estiment qu'il est nécessaire </w:t>
      </w:r>
      <w:r w:rsidR="0021079D" w:rsidRPr="007B00DA">
        <w:t>que l</w:t>
      </w:r>
      <w:r w:rsidR="002E2421" w:rsidRPr="007B00DA">
        <w:t>'</w:t>
      </w:r>
      <w:r w:rsidR="0021079D" w:rsidRPr="007B00DA">
        <w:t xml:space="preserve">UIT élabore des procédures, des lignes directrices et des règles visant à faciliter à la fois les réunions </w:t>
      </w:r>
      <w:r w:rsidR="0021079D" w:rsidRPr="007B00DA">
        <w:rPr>
          <w:color w:val="000000"/>
        </w:rPr>
        <w:t>entièrement</w:t>
      </w:r>
      <w:r w:rsidR="00B86ED9" w:rsidRPr="007B00DA">
        <w:rPr>
          <w:color w:val="000000"/>
        </w:rPr>
        <w:t xml:space="preserve"> </w:t>
      </w:r>
      <w:r w:rsidR="0021079D" w:rsidRPr="007B00DA">
        <w:t>virtuelles (sans présence physique) et les</w:t>
      </w:r>
      <w:r w:rsidR="002E2421" w:rsidRPr="007B00DA">
        <w:t xml:space="preserve"> </w:t>
      </w:r>
      <w:r w:rsidR="0021079D" w:rsidRPr="007B00DA">
        <w:t>réunions en modes</w:t>
      </w:r>
      <w:r w:rsidR="002E2421" w:rsidRPr="007B00DA">
        <w:t xml:space="preserve"> </w:t>
      </w:r>
      <w:r w:rsidR="0021079D" w:rsidRPr="007B00DA">
        <w:t>virtuel et présentiel ("hybrides")</w:t>
      </w:r>
      <w:r w:rsidR="00B86ED9" w:rsidRPr="007B00DA">
        <w:t>.</w:t>
      </w:r>
      <w:r w:rsidR="002E2421" w:rsidRPr="007B00DA">
        <w:t xml:space="preserve"> </w:t>
      </w:r>
      <w:r w:rsidR="0021079D" w:rsidRPr="007B00DA">
        <w:rPr>
          <w:rFonts w:cstheme="minorHAnsi"/>
        </w:rPr>
        <w:t xml:space="preserve">Il faut adapter les </w:t>
      </w:r>
      <w:r w:rsidRPr="007B00DA">
        <w:rPr>
          <w:rFonts w:cstheme="minorHAnsi"/>
        </w:rPr>
        <w:t>règles relatives à la participation aux réunions de l'UIT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pour </w:t>
      </w:r>
      <w:r w:rsidR="0021079D" w:rsidRPr="007B00DA">
        <w:t xml:space="preserve">garantir la représentation égale </w:t>
      </w:r>
      <w:r w:rsidR="0021079D" w:rsidRPr="007B00DA">
        <w:rPr>
          <w:rFonts w:cstheme="minorHAnsi"/>
        </w:rPr>
        <w:t>des</w:t>
      </w:r>
      <w:r w:rsidR="002E2421" w:rsidRPr="007B00DA">
        <w:rPr>
          <w:rFonts w:cstheme="minorHAnsi"/>
        </w:rPr>
        <w:t xml:space="preserve"> </w:t>
      </w:r>
      <w:r w:rsidR="00030FAA" w:rsidRPr="007B00DA">
        <w:rPr>
          <w:rFonts w:cstheme="minorHAnsi"/>
        </w:rPr>
        <w:t xml:space="preserve">délégués </w:t>
      </w:r>
      <w:r w:rsidR="00A6605E" w:rsidRPr="007B00DA">
        <w:rPr>
          <w:rFonts w:cstheme="minorHAnsi"/>
        </w:rPr>
        <w:t>et pour qu</w:t>
      </w:r>
      <w:r w:rsidR="002E2421" w:rsidRPr="007B00DA">
        <w:rPr>
          <w:rFonts w:cstheme="minorHAnsi"/>
        </w:rPr>
        <w:t>'</w:t>
      </w:r>
      <w:r w:rsidR="00A6605E" w:rsidRPr="007B00DA">
        <w:rPr>
          <w:rFonts w:cstheme="minorHAnsi"/>
        </w:rPr>
        <w:t xml:space="preserve">ils </w:t>
      </w:r>
      <w:r w:rsidR="00030FAA" w:rsidRPr="007B00DA">
        <w:rPr>
          <w:rFonts w:cstheme="minorHAnsi"/>
        </w:rPr>
        <w:t>bénéficient</w:t>
      </w:r>
      <w:r w:rsidR="002E2421" w:rsidRPr="007B00DA">
        <w:rPr>
          <w:rFonts w:cstheme="minorHAnsi"/>
        </w:rPr>
        <w:t xml:space="preserve"> </w:t>
      </w:r>
      <w:r w:rsidR="00030FAA" w:rsidRPr="007B00DA">
        <w:rPr>
          <w:rFonts w:cstheme="minorHAnsi"/>
        </w:rPr>
        <w:t>des</w:t>
      </w:r>
      <w:r w:rsidRPr="007B00DA">
        <w:rPr>
          <w:rFonts w:cstheme="minorHAnsi"/>
        </w:rPr>
        <w:t xml:space="preserve"> mêmes droits, qu'ils</w:t>
      </w:r>
      <w:r w:rsidR="002E2421" w:rsidRPr="007B00DA">
        <w:rPr>
          <w:rFonts w:cstheme="minorHAnsi"/>
        </w:rPr>
        <w:t xml:space="preserve"> </w:t>
      </w:r>
      <w:r w:rsidR="0021079D" w:rsidRPr="007B00DA">
        <w:rPr>
          <w:color w:val="000000"/>
        </w:rPr>
        <w:t>participent sur place ou à distance</w:t>
      </w:r>
      <w:r w:rsidR="00B86ED9" w:rsidRPr="007B00DA">
        <w:rPr>
          <w:color w:val="000000"/>
        </w:rPr>
        <w:t>.</w:t>
      </w:r>
    </w:p>
    <w:p w14:paraId="0E9DE7ED" w14:textId="438DDFD6" w:rsidR="00A46421" w:rsidRPr="007B00DA" w:rsidRDefault="00A46421" w:rsidP="002E2421">
      <w:pPr>
        <w:spacing w:after="120"/>
        <w:rPr>
          <w:rFonts w:cstheme="minorHAnsi"/>
        </w:rPr>
      </w:pPr>
      <w:r w:rsidRPr="007B00DA">
        <w:rPr>
          <w:rFonts w:cstheme="minorHAnsi"/>
        </w:rPr>
        <w:t xml:space="preserve">L'Australie et le Canada reconnaissent que les plates-formes virtuelles peuvent </w:t>
      </w:r>
      <w:r w:rsidR="00A6605E" w:rsidRPr="007B00DA">
        <w:rPr>
          <w:rFonts w:cstheme="minorHAnsi"/>
        </w:rPr>
        <w:t>poser des problèmes</w:t>
      </w:r>
      <w:r w:rsidRPr="007B00DA">
        <w:rPr>
          <w:rFonts w:cstheme="minorHAnsi"/>
        </w:rPr>
        <w:t xml:space="preserve"> </w:t>
      </w:r>
      <w:r w:rsidR="00C56C38" w:rsidRPr="007B00DA">
        <w:rPr>
          <w:rFonts w:cstheme="minorHAnsi"/>
        </w:rPr>
        <w:t>–</w:t>
      </w:r>
      <w:r w:rsidR="00930FC8" w:rsidRPr="007B00DA">
        <w:rPr>
          <w:rFonts w:cstheme="minorHAnsi"/>
        </w:rPr>
        <w:t xml:space="preserve"> perte </w:t>
      </w:r>
      <w:r w:rsidR="00947D48" w:rsidRPr="007B00DA">
        <w:rPr>
          <w:rFonts w:cstheme="minorHAnsi"/>
        </w:rPr>
        <w:t>de lien</w:t>
      </w:r>
      <w:r w:rsidR="00930FC8" w:rsidRPr="007B00DA">
        <w:rPr>
          <w:rFonts w:cstheme="minorHAnsi"/>
        </w:rPr>
        <w:t xml:space="preserve"> social</w:t>
      </w:r>
      <w:r w:rsidR="00947D48" w:rsidRPr="007B00DA">
        <w:rPr>
          <w:rFonts w:cstheme="minorHAnsi"/>
        </w:rPr>
        <w:t xml:space="preserve"> et de</w:t>
      </w:r>
      <w:r w:rsidR="002E2421" w:rsidRPr="007B00DA">
        <w:rPr>
          <w:rFonts w:cstheme="minorHAnsi"/>
        </w:rPr>
        <w:t xml:space="preserve"> </w:t>
      </w:r>
      <w:r w:rsidR="00930FC8" w:rsidRPr="007B00DA">
        <w:rPr>
          <w:rFonts w:cstheme="minorHAnsi"/>
        </w:rPr>
        <w:t>connectivité</w:t>
      </w:r>
      <w:r w:rsidR="00947D48" w:rsidRPr="007B00DA">
        <w:rPr>
          <w:rFonts w:cstheme="minorHAnsi"/>
        </w:rPr>
        <w:t>,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>adaptation à de nombreux fuseaux horaires</w:t>
      </w:r>
      <w:r w:rsidR="00947D48" w:rsidRPr="007B00DA">
        <w:rPr>
          <w:rFonts w:cstheme="minorHAnsi"/>
        </w:rPr>
        <w:t xml:space="preserve">, par exemple </w:t>
      </w:r>
      <w:r w:rsidR="00C56C38" w:rsidRPr="007B00DA">
        <w:rPr>
          <w:rFonts w:cstheme="minorHAnsi"/>
        </w:rPr>
        <w:t>–</w:t>
      </w:r>
      <w:r w:rsidR="002E2421" w:rsidRPr="007B00DA">
        <w:rPr>
          <w:rFonts w:cstheme="minorHAnsi"/>
        </w:rPr>
        <w:t>,</w:t>
      </w:r>
      <w:r w:rsidR="00947D48" w:rsidRPr="007B00DA">
        <w:rPr>
          <w:rFonts w:cstheme="minorHAnsi"/>
        </w:rPr>
        <w:t xml:space="preserve"> mais cela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ne devrait pas </w:t>
      </w:r>
      <w:r w:rsidR="00947D48" w:rsidRPr="007B00DA">
        <w:rPr>
          <w:rFonts w:cstheme="minorHAnsi"/>
        </w:rPr>
        <w:t>empêcher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l'UIT de s'adapter </w:t>
      </w:r>
      <w:r w:rsidR="00947D48" w:rsidRPr="007B00DA">
        <w:rPr>
          <w:rFonts w:cstheme="minorHAnsi"/>
        </w:rPr>
        <w:t>aux</w:t>
      </w:r>
      <w:r w:rsidRPr="007B00DA">
        <w:rPr>
          <w:rFonts w:cstheme="minorHAnsi"/>
        </w:rPr>
        <w:t xml:space="preserve"> réunions virtuelles ou hybrides, lorsque </w:t>
      </w:r>
      <w:r w:rsidR="00947D48" w:rsidRPr="007B00DA">
        <w:rPr>
          <w:rFonts w:cstheme="minorHAnsi"/>
        </w:rPr>
        <w:t xml:space="preserve">cela </w:t>
      </w:r>
      <w:r w:rsidRPr="007B00DA">
        <w:rPr>
          <w:rFonts w:cstheme="minorHAnsi"/>
        </w:rPr>
        <w:t>est possible. En outre, il est probable que l'utilisation de plates-formes virtuelles se poursuive et évolue</w:t>
      </w:r>
      <w:r w:rsidR="002E2421" w:rsidRPr="007B00DA">
        <w:rPr>
          <w:rFonts w:cstheme="minorHAnsi"/>
        </w:rPr>
        <w:t xml:space="preserve"> </w:t>
      </w:r>
      <w:r w:rsidR="00947D48" w:rsidRPr="007B00DA">
        <w:rPr>
          <w:rFonts w:cstheme="minorHAnsi"/>
        </w:rPr>
        <w:t>bien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après la fin de la pandémie </w:t>
      </w:r>
      <w:r w:rsidR="00947D48" w:rsidRPr="007B00DA">
        <w:rPr>
          <w:rFonts w:cstheme="minorHAnsi"/>
        </w:rPr>
        <w:t>et s</w:t>
      </w:r>
      <w:r w:rsidR="002E2421" w:rsidRPr="007B00DA">
        <w:rPr>
          <w:rFonts w:cstheme="minorHAnsi"/>
        </w:rPr>
        <w:t>'</w:t>
      </w:r>
      <w:r w:rsidR="00947D48" w:rsidRPr="007B00DA">
        <w:rPr>
          <w:rFonts w:cstheme="minorHAnsi"/>
        </w:rPr>
        <w:t>impose comme un</w:t>
      </w:r>
      <w:r w:rsidRPr="007B00DA">
        <w:rPr>
          <w:rFonts w:cstheme="minorHAnsi"/>
        </w:rPr>
        <w:t xml:space="preserve"> moyen de communication et un outil de travail indispensable.</w:t>
      </w:r>
      <w:r w:rsidR="002E2421" w:rsidRPr="007B00DA">
        <w:rPr>
          <w:rFonts w:cstheme="minorHAnsi"/>
        </w:rPr>
        <w:t xml:space="preserve"> </w:t>
      </w:r>
      <w:r w:rsidR="00947D48" w:rsidRPr="007B00DA">
        <w:rPr>
          <w:rFonts w:cstheme="minorHAnsi"/>
        </w:rPr>
        <w:t>L</w:t>
      </w:r>
      <w:r w:rsidRPr="007B00DA">
        <w:rPr>
          <w:rFonts w:cstheme="minorHAnsi"/>
        </w:rPr>
        <w:t xml:space="preserve">'Australie et le Canada estiment qu'il </w:t>
      </w:r>
      <w:r w:rsidR="00947D48" w:rsidRPr="007B00DA">
        <w:rPr>
          <w:rFonts w:cstheme="minorHAnsi"/>
        </w:rPr>
        <w:t>faut d</w:t>
      </w:r>
      <w:r w:rsidR="002E2421" w:rsidRPr="007B00DA">
        <w:rPr>
          <w:rFonts w:cstheme="minorHAnsi"/>
        </w:rPr>
        <w:t>'</w:t>
      </w:r>
      <w:r w:rsidR="00947D48" w:rsidRPr="007B00DA">
        <w:rPr>
          <w:rFonts w:cstheme="minorHAnsi"/>
        </w:rPr>
        <w:t>urgence</w:t>
      </w:r>
      <w:r w:rsidRPr="007B00DA">
        <w:rPr>
          <w:rFonts w:cstheme="minorHAnsi"/>
        </w:rPr>
        <w:t xml:space="preserve"> élaborer des procédures, des règles et des lignes directrices</w:t>
      </w:r>
      <w:r w:rsidR="002E2421" w:rsidRPr="007B00DA">
        <w:rPr>
          <w:rFonts w:cstheme="minorHAnsi"/>
        </w:rPr>
        <w:t xml:space="preserve"> </w:t>
      </w:r>
      <w:r w:rsidR="00947D48" w:rsidRPr="007B00DA">
        <w:rPr>
          <w:rFonts w:cstheme="minorHAnsi"/>
        </w:rPr>
        <w:t>permettant de</w:t>
      </w:r>
      <w:r w:rsidR="00930FC8" w:rsidRPr="007B00DA">
        <w:rPr>
          <w:rFonts w:cstheme="minorHAnsi"/>
        </w:rPr>
        <w:t xml:space="preserve"> préserver et </w:t>
      </w:r>
      <w:r w:rsidR="00947D48" w:rsidRPr="007B00DA">
        <w:rPr>
          <w:rFonts w:cstheme="minorHAnsi"/>
        </w:rPr>
        <w:t>de</w:t>
      </w:r>
      <w:r w:rsidR="002E2421" w:rsidRPr="007B00DA">
        <w:rPr>
          <w:rFonts w:cstheme="minorHAnsi"/>
        </w:rPr>
        <w:t xml:space="preserve"> </w:t>
      </w:r>
      <w:r w:rsidR="00930FC8" w:rsidRPr="007B00DA">
        <w:rPr>
          <w:rFonts w:cstheme="minorHAnsi"/>
        </w:rPr>
        <w:t xml:space="preserve">faire avancer les travaux </w:t>
      </w:r>
      <w:r w:rsidR="00947D48" w:rsidRPr="007B00DA">
        <w:rPr>
          <w:rFonts w:cstheme="minorHAnsi"/>
        </w:rPr>
        <w:t xml:space="preserve">futurs </w:t>
      </w:r>
      <w:r w:rsidR="00930FC8" w:rsidRPr="007B00DA">
        <w:rPr>
          <w:rFonts w:cstheme="minorHAnsi"/>
        </w:rPr>
        <w:t>de l'UIT</w:t>
      </w:r>
      <w:r w:rsidRPr="007B00DA">
        <w:rPr>
          <w:rFonts w:cstheme="minorHAnsi"/>
        </w:rPr>
        <w:t>.</w:t>
      </w:r>
    </w:p>
    <w:p w14:paraId="5AD729B1" w14:textId="0485109B" w:rsidR="00A46421" w:rsidRPr="007B00DA" w:rsidRDefault="00A46421" w:rsidP="002E2421">
      <w:pPr>
        <w:spacing w:after="120"/>
        <w:rPr>
          <w:rFonts w:cstheme="minorHAnsi"/>
        </w:rPr>
      </w:pPr>
      <w:r w:rsidRPr="007B00DA">
        <w:rPr>
          <w:rFonts w:cstheme="minorHAnsi"/>
        </w:rPr>
        <w:t>L'Australie et le Canada ne proposent pas de remplacer toutes les manifestations et les réunions de l'UIT par des</w:t>
      </w:r>
      <w:r w:rsidR="00E3514A" w:rsidRPr="007B00DA">
        <w:rPr>
          <w:rFonts w:cstheme="minorHAnsi"/>
        </w:rPr>
        <w:t xml:space="preserve"> réunions</w:t>
      </w:r>
      <w:r w:rsidRPr="007B00DA">
        <w:rPr>
          <w:rFonts w:cstheme="minorHAnsi"/>
        </w:rPr>
        <w:t xml:space="preserve"> virtuel</w:t>
      </w:r>
      <w:r w:rsidR="00E3514A" w:rsidRPr="007B00DA">
        <w:rPr>
          <w:rFonts w:cstheme="minorHAnsi"/>
        </w:rPr>
        <w:t>le</w:t>
      </w:r>
      <w:r w:rsidRPr="007B00DA">
        <w:rPr>
          <w:rFonts w:cstheme="minorHAnsi"/>
        </w:rPr>
        <w:t xml:space="preserve">s ou hybrides, ni </w:t>
      </w:r>
      <w:r w:rsidR="00E3514A" w:rsidRPr="007B00DA">
        <w:rPr>
          <w:rFonts w:cstheme="minorHAnsi"/>
        </w:rPr>
        <w:t xml:space="preserve">d'accroître </w:t>
      </w:r>
      <w:r w:rsidRPr="007B00DA">
        <w:rPr>
          <w:rFonts w:cstheme="minorHAnsi"/>
        </w:rPr>
        <w:t>inutilement le nombre de réunions virtuelles. Nous</w:t>
      </w:r>
      <w:r w:rsidR="002E2421" w:rsidRPr="007B00DA">
        <w:rPr>
          <w:rFonts w:cstheme="minorHAnsi"/>
        </w:rPr>
        <w:t xml:space="preserve"> </w:t>
      </w:r>
      <w:r w:rsidR="00E3514A" w:rsidRPr="007B00DA">
        <w:rPr>
          <w:rFonts w:cstheme="minorHAnsi"/>
        </w:rPr>
        <w:t>n</w:t>
      </w:r>
      <w:r w:rsidR="002E2421" w:rsidRPr="007B00DA">
        <w:rPr>
          <w:rFonts w:cstheme="minorHAnsi"/>
        </w:rPr>
        <w:t>'</w:t>
      </w:r>
      <w:r w:rsidR="00E3514A" w:rsidRPr="007B00DA">
        <w:rPr>
          <w:rFonts w:cstheme="minorHAnsi"/>
        </w:rPr>
        <w:t xml:space="preserve">ignorons pas </w:t>
      </w:r>
      <w:r w:rsidRPr="007B00DA">
        <w:rPr>
          <w:rFonts w:cstheme="minorHAnsi"/>
        </w:rPr>
        <w:t xml:space="preserve">que des réunions physiques sont nécessaires lorsque des interactions en face à face ou un vote sont nécessaires (par exemple pour </w:t>
      </w:r>
      <w:r w:rsidR="00E3514A" w:rsidRPr="007B00DA">
        <w:rPr>
          <w:rFonts w:cstheme="minorHAnsi"/>
        </w:rPr>
        <w:t xml:space="preserve">la </w:t>
      </w:r>
      <w:r w:rsidRPr="007B00DA">
        <w:rPr>
          <w:rFonts w:cstheme="minorHAnsi"/>
        </w:rPr>
        <w:t xml:space="preserve">PP, </w:t>
      </w:r>
      <w:r w:rsidR="00E3514A" w:rsidRPr="007B00DA">
        <w:rPr>
          <w:rFonts w:cstheme="minorHAnsi"/>
        </w:rPr>
        <w:t>l</w:t>
      </w:r>
      <w:r w:rsidR="002E2421" w:rsidRPr="007B00DA">
        <w:rPr>
          <w:rFonts w:cstheme="minorHAnsi"/>
        </w:rPr>
        <w:t>'</w:t>
      </w:r>
      <w:r w:rsidRPr="007B00DA">
        <w:rPr>
          <w:rFonts w:cstheme="minorHAnsi"/>
        </w:rPr>
        <w:t xml:space="preserve">AMNT, </w:t>
      </w:r>
      <w:r w:rsidR="00E3514A" w:rsidRPr="007B00DA">
        <w:rPr>
          <w:rFonts w:cstheme="minorHAnsi"/>
        </w:rPr>
        <w:t xml:space="preserve">la </w:t>
      </w:r>
      <w:r w:rsidRPr="007B00DA">
        <w:rPr>
          <w:rFonts w:cstheme="minorHAnsi"/>
        </w:rPr>
        <w:t xml:space="preserve">CMDT, </w:t>
      </w:r>
      <w:r w:rsidR="00E3514A" w:rsidRPr="007B00DA">
        <w:rPr>
          <w:rFonts w:cstheme="minorHAnsi"/>
        </w:rPr>
        <w:t xml:space="preserve">la </w:t>
      </w:r>
      <w:r w:rsidRPr="007B00DA">
        <w:rPr>
          <w:rFonts w:cstheme="minorHAnsi"/>
        </w:rPr>
        <w:t xml:space="preserve">CMR, </w:t>
      </w:r>
      <w:r w:rsidR="00E3514A" w:rsidRPr="007B00DA">
        <w:rPr>
          <w:rFonts w:cstheme="minorHAnsi"/>
        </w:rPr>
        <w:t xml:space="preserve">la </w:t>
      </w:r>
      <w:r w:rsidRPr="007B00DA">
        <w:rPr>
          <w:rFonts w:cstheme="minorHAnsi"/>
        </w:rPr>
        <w:t xml:space="preserve">CMTI et le Conseil), compte tenu des </w:t>
      </w:r>
      <w:r w:rsidR="00E3514A" w:rsidRPr="007B00DA">
        <w:rPr>
          <w:rFonts w:cstheme="minorHAnsi"/>
        </w:rPr>
        <w:t xml:space="preserve">dispositions </w:t>
      </w:r>
      <w:r w:rsidRPr="007B00DA">
        <w:rPr>
          <w:rFonts w:cstheme="minorHAnsi"/>
        </w:rPr>
        <w:t xml:space="preserve">de la Constitution et de la Convention de l'UIT </w:t>
      </w:r>
      <w:r w:rsidR="00E3514A" w:rsidRPr="007B00DA">
        <w:rPr>
          <w:rFonts w:cstheme="minorHAnsi"/>
        </w:rPr>
        <w:t>relatives aux</w:t>
      </w:r>
      <w:r w:rsidRPr="007B00DA">
        <w:rPr>
          <w:rFonts w:cstheme="minorHAnsi"/>
        </w:rPr>
        <w:t xml:space="preserve"> manifestations et </w:t>
      </w:r>
      <w:r w:rsidR="00E3514A" w:rsidRPr="007B00DA">
        <w:rPr>
          <w:rFonts w:cstheme="minorHAnsi"/>
        </w:rPr>
        <w:t xml:space="preserve">aux </w:t>
      </w:r>
      <w:r w:rsidRPr="007B00DA">
        <w:rPr>
          <w:rFonts w:cstheme="minorHAnsi"/>
        </w:rPr>
        <w:t>réunions (</w:t>
      </w:r>
      <w:r w:rsidR="00E3514A" w:rsidRPr="007B00DA">
        <w:rPr>
          <w:rFonts w:cstheme="minorHAnsi"/>
        </w:rPr>
        <w:t>c</w:t>
      </w:r>
      <w:r w:rsidR="002E2421" w:rsidRPr="007B00DA">
        <w:rPr>
          <w:rFonts w:cstheme="minorHAnsi"/>
        </w:rPr>
        <w:t>'</w:t>
      </w:r>
      <w:r w:rsidR="00E3514A" w:rsidRPr="007B00DA">
        <w:rPr>
          <w:rFonts w:cstheme="minorHAnsi"/>
        </w:rPr>
        <w:t xml:space="preserve">est-à-dire les dispositions selon lesquelles </w:t>
      </w:r>
      <w:r w:rsidRPr="007B00DA">
        <w:rPr>
          <w:rFonts w:cstheme="minorHAnsi"/>
        </w:rPr>
        <w:t>les délégations</w:t>
      </w:r>
      <w:r w:rsidR="002E2421" w:rsidRPr="007B00DA">
        <w:rPr>
          <w:rFonts w:cstheme="minorHAnsi"/>
        </w:rPr>
        <w:t xml:space="preserve"> </w:t>
      </w:r>
      <w:r w:rsidR="00E3514A" w:rsidRPr="007B00DA">
        <w:rPr>
          <w:rFonts w:cstheme="minorHAnsi"/>
        </w:rPr>
        <w:t xml:space="preserve">doivent être </w:t>
      </w:r>
      <w:r w:rsidRPr="007B00DA">
        <w:rPr>
          <w:rFonts w:cstheme="minorHAnsi"/>
        </w:rPr>
        <w:t>dûment accréditées et que celles qui sont présentes physiquement sont habilitées à prendre des décisions,</w:t>
      </w:r>
      <w:r w:rsidR="002E2421" w:rsidRPr="007B00DA">
        <w:rPr>
          <w:rFonts w:cstheme="minorHAnsi"/>
        </w:rPr>
        <w:t xml:space="preserve"> </w:t>
      </w:r>
      <w:r w:rsidR="00655411" w:rsidRPr="007B00DA">
        <w:rPr>
          <w:rFonts w:cstheme="minorHAnsi"/>
        </w:rPr>
        <w:t>à la suite ou non d</w:t>
      </w:r>
      <w:r w:rsidR="002E2421" w:rsidRPr="007B00DA">
        <w:rPr>
          <w:rFonts w:cstheme="minorHAnsi"/>
        </w:rPr>
        <w:t>'</w:t>
      </w:r>
      <w:r w:rsidR="00655411" w:rsidRPr="007B00DA">
        <w:rPr>
          <w:rFonts w:cstheme="minorHAnsi"/>
        </w:rPr>
        <w:t>un</w:t>
      </w:r>
      <w:r w:rsidR="002E2421" w:rsidRPr="007B00DA">
        <w:rPr>
          <w:rFonts w:cstheme="minorHAnsi"/>
        </w:rPr>
        <w:t xml:space="preserve"> </w:t>
      </w:r>
      <w:r w:rsidR="00655411" w:rsidRPr="007B00DA">
        <w:rPr>
          <w:rFonts w:cstheme="minorHAnsi"/>
        </w:rPr>
        <w:t>vote</w:t>
      </w:r>
      <w:r w:rsidRPr="007B00DA">
        <w:rPr>
          <w:rFonts w:cstheme="minorHAnsi"/>
        </w:rPr>
        <w:t>). Par exemple, les</w:t>
      </w:r>
      <w:r w:rsidR="002E2421" w:rsidRPr="007B00DA">
        <w:rPr>
          <w:rFonts w:cstheme="minorHAnsi"/>
        </w:rPr>
        <w:t xml:space="preserve"> </w:t>
      </w:r>
      <w:r w:rsidR="00C56C38" w:rsidRPr="007B00DA">
        <w:rPr>
          <w:rFonts w:cstheme="minorHAnsi"/>
        </w:rPr>
        <w:t>G</w:t>
      </w:r>
      <w:r w:rsidRPr="007B00DA">
        <w:rPr>
          <w:rFonts w:cstheme="minorHAnsi"/>
        </w:rPr>
        <w:t xml:space="preserve">roupes de travail du Conseil pourraient </w:t>
      </w:r>
      <w:r w:rsidR="00655411" w:rsidRPr="007B00DA">
        <w:rPr>
          <w:rFonts w:cstheme="minorHAnsi"/>
        </w:rPr>
        <w:t>se réunir dans le cadre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de réunions hybrides et les réunions interrégionales pourraient </w:t>
      </w:r>
      <w:r w:rsidR="00C4700C" w:rsidRPr="007B00DA">
        <w:rPr>
          <w:rFonts w:cstheme="minorHAnsi"/>
        </w:rPr>
        <w:t xml:space="preserve">être organisées </w:t>
      </w:r>
      <w:r w:rsidR="00655411" w:rsidRPr="007B00DA">
        <w:rPr>
          <w:rFonts w:cstheme="minorHAnsi"/>
        </w:rPr>
        <w:t>en mode</w:t>
      </w:r>
      <w:r w:rsidRPr="007B00DA">
        <w:rPr>
          <w:rFonts w:cstheme="minorHAnsi"/>
        </w:rPr>
        <w:t xml:space="preserve"> entièrement virtuel.</w:t>
      </w:r>
    </w:p>
    <w:p w14:paraId="0B6746CB" w14:textId="00A28348" w:rsidR="00A46421" w:rsidRPr="007B00DA" w:rsidRDefault="00A46421" w:rsidP="002E2421">
      <w:pPr>
        <w:spacing w:after="120"/>
      </w:pPr>
      <w:r w:rsidRPr="007B00DA">
        <w:rPr>
          <w:rFonts w:cstheme="minorHAnsi"/>
        </w:rPr>
        <w:t>L'Australie et le Canada</w:t>
      </w:r>
      <w:r w:rsidR="002E2421" w:rsidRPr="007B00DA">
        <w:rPr>
          <w:rFonts w:cstheme="minorHAnsi"/>
        </w:rPr>
        <w:t xml:space="preserve"> </w:t>
      </w:r>
      <w:r w:rsidR="00655411" w:rsidRPr="007B00DA">
        <w:rPr>
          <w:rFonts w:cstheme="minorHAnsi"/>
        </w:rPr>
        <w:t xml:space="preserve">proposent </w:t>
      </w:r>
      <w:r w:rsidRPr="007B00DA">
        <w:rPr>
          <w:rFonts w:cstheme="minorHAnsi"/>
        </w:rPr>
        <w:t xml:space="preserve">que les procédures, </w:t>
      </w:r>
      <w:r w:rsidR="00655411" w:rsidRPr="007B00DA">
        <w:rPr>
          <w:rFonts w:cstheme="minorHAnsi"/>
        </w:rPr>
        <w:t xml:space="preserve">les </w:t>
      </w:r>
      <w:r w:rsidRPr="007B00DA">
        <w:rPr>
          <w:rFonts w:cstheme="minorHAnsi"/>
        </w:rPr>
        <w:t xml:space="preserve">règles et </w:t>
      </w:r>
      <w:r w:rsidR="00655411" w:rsidRPr="007B00DA">
        <w:rPr>
          <w:rFonts w:cstheme="minorHAnsi"/>
        </w:rPr>
        <w:t xml:space="preserve">les </w:t>
      </w:r>
      <w:r w:rsidRPr="007B00DA">
        <w:rPr>
          <w:rFonts w:cstheme="minorHAnsi"/>
        </w:rPr>
        <w:t>lignes directrices relatives aux réunions hybrides</w:t>
      </w:r>
      <w:r w:rsidR="002E2421" w:rsidRPr="007B00DA">
        <w:rPr>
          <w:rFonts w:cstheme="minorHAnsi"/>
        </w:rPr>
        <w:t xml:space="preserve"> </w:t>
      </w:r>
      <w:r w:rsidR="00655411" w:rsidRPr="007B00DA">
        <w:rPr>
          <w:rFonts w:cstheme="minorHAnsi"/>
        </w:rPr>
        <w:t>tiennent compte de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la diversité des membres de l'UIT. </w:t>
      </w:r>
      <w:r w:rsidR="00B045F8" w:rsidRPr="007B00DA">
        <w:t>Il conviendrait de prendre des</w:t>
      </w:r>
      <w:r w:rsidR="002E2421" w:rsidRPr="007B00DA">
        <w:t xml:space="preserve"> </w:t>
      </w:r>
      <w:r w:rsidR="00B045F8" w:rsidRPr="007B00DA">
        <w:t>mesures concrètes</w:t>
      </w:r>
      <w:r w:rsidR="002E2421" w:rsidRPr="007B00DA">
        <w:t xml:space="preserve"> </w:t>
      </w:r>
      <w:r w:rsidR="00B045F8" w:rsidRPr="007B00DA">
        <w:t>pour</w:t>
      </w:r>
      <w:r w:rsidR="002E2421" w:rsidRPr="007B00DA">
        <w:t xml:space="preserve"> </w:t>
      </w:r>
      <w:r w:rsidR="00B045F8" w:rsidRPr="007B00DA">
        <w:t xml:space="preserve">offrir à toutes les administrations </w:t>
      </w:r>
      <w:r w:rsidR="00B045F8" w:rsidRPr="007B00DA">
        <w:rPr>
          <w:color w:val="000000"/>
        </w:rPr>
        <w:t xml:space="preserve">la possibilité </w:t>
      </w:r>
      <w:r w:rsidR="00B045F8" w:rsidRPr="007B00DA">
        <w:t xml:space="preserve">de participer aux réunions de manière équitable. </w:t>
      </w:r>
      <w:r w:rsidR="00A23809" w:rsidRPr="007B00DA">
        <w:t>À</w:t>
      </w:r>
      <w:r w:rsidR="00B045F8" w:rsidRPr="007B00DA">
        <w:t xml:space="preserve"> cette fin, on pourrait</w:t>
      </w:r>
      <w:r w:rsidR="002E2421" w:rsidRPr="007B00DA">
        <w:t xml:space="preserve"> </w:t>
      </w:r>
      <w:r w:rsidR="00B045F8" w:rsidRPr="007B00DA">
        <w:t>prévoir</w:t>
      </w:r>
      <w:r w:rsidR="002E2421" w:rsidRPr="007B00DA">
        <w:t xml:space="preserve"> </w:t>
      </w:r>
      <w:r w:rsidR="00B045F8" w:rsidRPr="007B00DA">
        <w:t xml:space="preserve">une rotation en fonction des fuseaux horaires et ménager </w:t>
      </w:r>
      <w:r w:rsidR="00B045F8" w:rsidRPr="007B00DA">
        <w:rPr>
          <w:color w:val="000000"/>
        </w:rPr>
        <w:t>une certaine souplesse quant à</w:t>
      </w:r>
      <w:r w:rsidR="002E2421" w:rsidRPr="007B00DA">
        <w:rPr>
          <w:color w:val="000000"/>
        </w:rPr>
        <w:t xml:space="preserve"> </w:t>
      </w:r>
      <w:r w:rsidR="00B045F8" w:rsidRPr="007B00DA">
        <w:rPr>
          <w:color w:val="000000"/>
        </w:rPr>
        <w:t xml:space="preserve">la durée </w:t>
      </w:r>
      <w:r w:rsidR="00B045F8" w:rsidRPr="007B00DA">
        <w:t>des</w:t>
      </w:r>
      <w:r w:rsidR="002E2421" w:rsidRPr="007B00DA">
        <w:t xml:space="preserve"> </w:t>
      </w:r>
      <w:r w:rsidR="00B045F8" w:rsidRPr="007B00DA">
        <w:t>réunions</w:t>
      </w:r>
      <w:r w:rsidR="002E2421" w:rsidRPr="007B00DA">
        <w:t xml:space="preserve">, </w:t>
      </w:r>
      <w:r w:rsidR="00B045F8" w:rsidRPr="007B00DA">
        <w:t>apporter une assistance et un appui</w:t>
      </w:r>
      <w:r w:rsidR="002E2421" w:rsidRPr="007B00DA">
        <w:t xml:space="preserve"> </w:t>
      </w:r>
      <w:r w:rsidR="00B045F8" w:rsidRPr="007B00DA">
        <w:t>aux présidents de réunion pour</w:t>
      </w:r>
      <w:r w:rsidR="002E2421" w:rsidRPr="007B00DA">
        <w:t xml:space="preserve"> </w:t>
      </w:r>
      <w:r w:rsidR="00B045F8" w:rsidRPr="007B00DA">
        <w:t>leur permettre</w:t>
      </w:r>
      <w:r w:rsidR="002E2421" w:rsidRPr="007B00DA">
        <w:t xml:space="preserve"> </w:t>
      </w:r>
      <w:r w:rsidR="00B045F8" w:rsidRPr="007B00DA">
        <w:t>de gérer équitablement la participation à distance et</w:t>
      </w:r>
      <w:r w:rsidR="002E2421" w:rsidRPr="007B00DA">
        <w:t xml:space="preserve"> </w:t>
      </w:r>
      <w:r w:rsidR="00B045F8" w:rsidRPr="007B00DA">
        <w:t>fournir un</w:t>
      </w:r>
      <w:r w:rsidR="002E2421" w:rsidRPr="007B00DA">
        <w:t xml:space="preserve"> </w:t>
      </w:r>
      <w:r w:rsidR="00B045F8" w:rsidRPr="007B00DA">
        <w:t>appui</w:t>
      </w:r>
      <w:r w:rsidR="002E2421" w:rsidRPr="007B00DA">
        <w:t xml:space="preserve"> </w:t>
      </w:r>
      <w:r w:rsidR="00B045F8" w:rsidRPr="007B00DA">
        <w:t>supplémentaire</w:t>
      </w:r>
      <w:r w:rsidR="002E2421" w:rsidRPr="007B00DA">
        <w:t xml:space="preserve"> </w:t>
      </w:r>
      <w:r w:rsidR="00B045F8" w:rsidRPr="007B00DA">
        <w:t>lors des réunions physiques,</w:t>
      </w:r>
      <w:r w:rsidR="002E2421" w:rsidRPr="007B00DA">
        <w:t xml:space="preserve"> </w:t>
      </w:r>
      <w:r w:rsidR="00B045F8" w:rsidRPr="007B00DA">
        <w:t>pour</w:t>
      </w:r>
      <w:r w:rsidR="002E2421" w:rsidRPr="007B00DA">
        <w:t xml:space="preserve"> </w:t>
      </w:r>
      <w:r w:rsidR="00A91903" w:rsidRPr="007B00DA">
        <w:t xml:space="preserve">veiller à ce </w:t>
      </w:r>
      <w:r w:rsidR="00B045F8" w:rsidRPr="007B00DA">
        <w:rPr>
          <w:color w:val="000000"/>
        </w:rPr>
        <w:t>que</w:t>
      </w:r>
      <w:r w:rsidR="002E2421" w:rsidRPr="007B00DA">
        <w:rPr>
          <w:color w:val="000000"/>
        </w:rPr>
        <w:t xml:space="preserve"> </w:t>
      </w:r>
      <w:r w:rsidR="00B045F8" w:rsidRPr="007B00DA">
        <w:rPr>
          <w:color w:val="000000"/>
        </w:rPr>
        <w:t>les participants</w:t>
      </w:r>
      <w:r w:rsidR="00A91903" w:rsidRPr="007B00DA">
        <w:rPr>
          <w:color w:val="000000"/>
        </w:rPr>
        <w:t xml:space="preserve"> en mode virtuel</w:t>
      </w:r>
      <w:r w:rsidR="002E2421" w:rsidRPr="007B00DA">
        <w:rPr>
          <w:color w:val="000000"/>
        </w:rPr>
        <w:t xml:space="preserve"> </w:t>
      </w:r>
      <w:r w:rsidR="00B045F8" w:rsidRPr="007B00DA">
        <w:rPr>
          <w:color w:val="000000"/>
        </w:rPr>
        <w:t>bénéficient des mêmes possibilités de participation aux réunions.</w:t>
      </w:r>
      <w:r w:rsidR="007B00DA" w:rsidRPr="007B00DA">
        <w:t xml:space="preserve"> </w:t>
      </w:r>
      <w:r w:rsidRPr="007B00DA">
        <w:rPr>
          <w:rFonts w:cstheme="minorHAnsi"/>
        </w:rPr>
        <w:t xml:space="preserve">Ces mesures </w:t>
      </w:r>
      <w:r w:rsidR="00A91903" w:rsidRPr="007B00DA">
        <w:rPr>
          <w:rFonts w:cstheme="minorHAnsi"/>
        </w:rPr>
        <w:t xml:space="preserve">– parmi </w:t>
      </w:r>
      <w:r w:rsidRPr="007B00DA">
        <w:rPr>
          <w:rFonts w:cstheme="minorHAnsi"/>
        </w:rPr>
        <w:t>d'autres</w:t>
      </w:r>
      <w:r w:rsidR="00C56C38" w:rsidRPr="007B00DA">
        <w:rPr>
          <w:rFonts w:cstheme="minorHAnsi"/>
        </w:rPr>
        <w:t xml:space="preserve"> – </w:t>
      </w:r>
      <w:r w:rsidR="00A91903" w:rsidRPr="007B00DA">
        <w:rPr>
          <w:rFonts w:cstheme="minorHAnsi"/>
        </w:rPr>
        <w:t>sont de nature à</w:t>
      </w:r>
      <w:r w:rsidR="002E2421" w:rsidRPr="007B00DA">
        <w:rPr>
          <w:rFonts w:cstheme="minorHAnsi"/>
        </w:rPr>
        <w:t xml:space="preserve"> </w:t>
      </w:r>
      <w:r w:rsidRPr="007B00DA">
        <w:rPr>
          <w:rFonts w:cstheme="minorHAnsi"/>
        </w:rPr>
        <w:t xml:space="preserve">alléger la charge </w:t>
      </w:r>
      <w:r w:rsidR="00A91903" w:rsidRPr="007B00DA">
        <w:rPr>
          <w:rFonts w:cstheme="minorHAnsi"/>
        </w:rPr>
        <w:t xml:space="preserve">qui pèse </w:t>
      </w:r>
      <w:r w:rsidRPr="007B00DA">
        <w:rPr>
          <w:rFonts w:cstheme="minorHAnsi"/>
        </w:rPr>
        <w:t xml:space="preserve">sur les régions, dans les cas où les membres participent en </w:t>
      </w:r>
      <w:r w:rsidR="00A91903" w:rsidRPr="007B00DA">
        <w:rPr>
          <w:rFonts w:cstheme="minorHAnsi"/>
        </w:rPr>
        <w:t xml:space="preserve">principe </w:t>
      </w:r>
      <w:r w:rsidRPr="007B00DA">
        <w:rPr>
          <w:rFonts w:cstheme="minorHAnsi"/>
        </w:rPr>
        <w:t xml:space="preserve">aux réunions virtuelles à des heures </w:t>
      </w:r>
      <w:r w:rsidR="00C4700C" w:rsidRPr="007B00DA">
        <w:rPr>
          <w:rFonts w:cstheme="minorHAnsi"/>
        </w:rPr>
        <w:t>tardives</w:t>
      </w:r>
      <w:r w:rsidRPr="007B00DA">
        <w:rPr>
          <w:rFonts w:cstheme="minorHAnsi"/>
        </w:rPr>
        <w:t xml:space="preserve"> du jour ou de la nuit, ou </w:t>
      </w:r>
      <w:r w:rsidR="00A91903" w:rsidRPr="007B00DA">
        <w:rPr>
          <w:rFonts w:cstheme="minorHAnsi"/>
        </w:rPr>
        <w:t>lorsque</w:t>
      </w:r>
      <w:r w:rsidRPr="007B00DA">
        <w:rPr>
          <w:rFonts w:cstheme="minorHAnsi"/>
        </w:rPr>
        <w:t xml:space="preserve"> les voyages internationaux ne sont pas </w:t>
      </w:r>
      <w:r w:rsidR="00C4700C" w:rsidRPr="007B00DA">
        <w:rPr>
          <w:rFonts w:cstheme="minorHAnsi"/>
        </w:rPr>
        <w:t>envisageables</w:t>
      </w:r>
      <w:r w:rsidRPr="007B00DA">
        <w:rPr>
          <w:rFonts w:cstheme="minorHAnsi"/>
        </w:rPr>
        <w:t>.</w:t>
      </w:r>
    </w:p>
    <w:p w14:paraId="141384E8" w14:textId="427FE52A" w:rsidR="00A46421" w:rsidRPr="007B00DA" w:rsidRDefault="00A46421" w:rsidP="002E2421">
      <w:pPr>
        <w:spacing w:after="120"/>
        <w:rPr>
          <w:rFonts w:cstheme="minorHAnsi"/>
        </w:rPr>
      </w:pPr>
      <w:r w:rsidRPr="007B00DA">
        <w:rPr>
          <w:rFonts w:cstheme="minorHAnsi"/>
        </w:rPr>
        <w:t>L'Australie et le Canada prennent note des travaux du Groupe consultatif de la normalisation des télécommunications (GCNT) concernant la gouvernance et la gestion des réunions électroniques de l'UIT-T, qui pourraient servir de base pour des considérations plus générales au sein de l'UIT.</w:t>
      </w:r>
    </w:p>
    <w:p w14:paraId="6120FA03" w14:textId="77777777" w:rsidR="007B00DA" w:rsidRPr="007B00DA" w:rsidRDefault="007B00DA" w:rsidP="002E2421">
      <w:pPr>
        <w:pStyle w:val="Headingb"/>
      </w:pPr>
      <w:r w:rsidRPr="007B00DA">
        <w:br w:type="page"/>
      </w:r>
    </w:p>
    <w:p w14:paraId="4BDE83BC" w14:textId="7E0D591F" w:rsidR="00A46421" w:rsidRPr="007B00DA" w:rsidRDefault="00A46421" w:rsidP="002E2421">
      <w:pPr>
        <w:pStyle w:val="Headingb"/>
      </w:pPr>
      <w:r w:rsidRPr="007B00DA">
        <w:lastRenderedPageBreak/>
        <w:t>Proposition</w:t>
      </w:r>
    </w:p>
    <w:p w14:paraId="327099C4" w14:textId="5CD8283F" w:rsidR="00A46421" w:rsidRPr="007B00DA" w:rsidRDefault="00A91903" w:rsidP="002E2421">
      <w:pPr>
        <w:spacing w:after="120"/>
      </w:pPr>
      <w:r w:rsidRPr="007B00DA">
        <w:t>L'</w:t>
      </w:r>
      <w:r w:rsidRPr="007B00DA" w:rsidDel="00F83883">
        <w:t>Australi</w:t>
      </w:r>
      <w:r w:rsidRPr="007B00DA">
        <w:t xml:space="preserve">e et le </w:t>
      </w:r>
      <w:r w:rsidRPr="007B00DA" w:rsidDel="00F83883">
        <w:t>Canada propose</w:t>
      </w:r>
      <w:r w:rsidRPr="007B00DA">
        <w:t>nt</w:t>
      </w:r>
      <w:r w:rsidRPr="007B00DA" w:rsidDel="00F83883">
        <w:t xml:space="preserve"> </w:t>
      </w:r>
      <w:r w:rsidRPr="007B00DA">
        <w:t>que le GTC</w:t>
      </w:r>
      <w:r w:rsidRPr="007B00DA" w:rsidDel="00F83883">
        <w:t xml:space="preserve">-FHR </w:t>
      </w:r>
      <w:r w:rsidRPr="007B00DA">
        <w:t>recommande l</w:t>
      </w:r>
      <w:r w:rsidR="002E2421" w:rsidRPr="007B00DA">
        <w:t>'</w:t>
      </w:r>
      <w:r w:rsidRPr="007B00DA">
        <w:t>adoption de</w:t>
      </w:r>
      <w:r w:rsidR="002E2421" w:rsidRPr="007B00DA">
        <w:t xml:space="preserve"> </w:t>
      </w:r>
      <w:r w:rsidRPr="007B00DA">
        <w:t>mesures, pour</w:t>
      </w:r>
      <w:r w:rsidR="002E2421" w:rsidRPr="007B00DA">
        <w:t xml:space="preserve"> </w:t>
      </w:r>
      <w:r w:rsidRPr="007B00DA">
        <w:t>examen par le</w:t>
      </w:r>
      <w:r w:rsidR="002E2421" w:rsidRPr="007B00DA">
        <w:t xml:space="preserve"> </w:t>
      </w:r>
      <w:r w:rsidRPr="007B00DA">
        <w:t>Conseil de l'UIT,</w:t>
      </w:r>
      <w:r w:rsidR="002E2421" w:rsidRPr="007B00DA">
        <w:t xml:space="preserve"> </w:t>
      </w:r>
      <w:r w:rsidRPr="007B00DA">
        <w:t>concernant l'élaboration de procédures, de règles et de lignes directrices, portant notamment sur la gouvernance et la gestion adaptées des réunions virtuelles et hybrides. Ces procédures</w:t>
      </w:r>
      <w:r w:rsidR="002E2421" w:rsidRPr="007B00DA">
        <w:t xml:space="preserve"> </w:t>
      </w:r>
      <w:r w:rsidRPr="007B00DA">
        <w:rPr>
          <w:color w:val="000000"/>
        </w:rPr>
        <w:t xml:space="preserve">permettront aux </w:t>
      </w:r>
      <w:r w:rsidRPr="007B00DA">
        <w:t>délégués,</w:t>
      </w:r>
      <w:r w:rsidR="002E2421" w:rsidRPr="007B00DA">
        <w:t xml:space="preserve"> </w:t>
      </w:r>
      <w:r w:rsidR="00C26704" w:rsidRPr="007B00DA">
        <w:rPr>
          <w:rFonts w:cstheme="minorHAnsi"/>
        </w:rPr>
        <w:t>qu'ils</w:t>
      </w:r>
      <w:r w:rsidR="002E2421" w:rsidRPr="007B00DA">
        <w:rPr>
          <w:rFonts w:cstheme="minorHAnsi"/>
        </w:rPr>
        <w:t xml:space="preserve"> </w:t>
      </w:r>
      <w:r w:rsidR="00C26704" w:rsidRPr="007B00DA">
        <w:rPr>
          <w:color w:val="000000"/>
        </w:rPr>
        <w:t>participent sur place ou en mode virtuel,</w:t>
      </w:r>
      <w:r w:rsidR="002E2421" w:rsidRPr="007B00DA">
        <w:rPr>
          <w:color w:val="000000"/>
        </w:rPr>
        <w:t xml:space="preserve"> </w:t>
      </w:r>
      <w:r w:rsidRPr="007B00DA">
        <w:rPr>
          <w:color w:val="000000"/>
        </w:rPr>
        <w:t>d'être traités sur un pied d'égalité et sans discrimination</w:t>
      </w:r>
      <w:r w:rsidR="00C26704" w:rsidRPr="007B00DA">
        <w:rPr>
          <w:color w:val="000000"/>
        </w:rPr>
        <w:t xml:space="preserve"> lors des réunions</w:t>
      </w:r>
      <w:r w:rsidR="002E2421" w:rsidRPr="007B00DA">
        <w:rPr>
          <w:color w:val="000000"/>
        </w:rPr>
        <w:t>.</w:t>
      </w:r>
      <w:r w:rsidRPr="007B00DA">
        <w:t xml:space="preserve"> </w:t>
      </w:r>
      <w:r w:rsidR="00C26704" w:rsidRPr="007B00DA">
        <w:t xml:space="preserve">En outre, les </w:t>
      </w:r>
      <w:r w:rsidRPr="007B00DA">
        <w:t>procédures, règles et lignes directrices s'appliqueraient</w:t>
      </w:r>
      <w:r w:rsidR="002E2421" w:rsidRPr="007B00DA">
        <w:t xml:space="preserve"> </w:t>
      </w:r>
      <w:r w:rsidRPr="007B00DA">
        <w:t>à l</w:t>
      </w:r>
      <w:r w:rsidR="002E2421" w:rsidRPr="007B00DA">
        <w:t>'</w:t>
      </w:r>
      <w:r w:rsidRPr="007B00DA">
        <w:t xml:space="preserve">ensemble de l'UIT, sachant que chaque Secteur </w:t>
      </w:r>
      <w:r w:rsidR="00C26704" w:rsidRPr="007B00DA">
        <w:t xml:space="preserve">devrait </w:t>
      </w:r>
      <w:r w:rsidRPr="007B00DA">
        <w:t>prendr</w:t>
      </w:r>
      <w:r w:rsidR="00C26704" w:rsidRPr="007B00DA">
        <w:t>e</w:t>
      </w:r>
      <w:r w:rsidR="002E2421" w:rsidRPr="007B00DA">
        <w:t xml:space="preserve"> </w:t>
      </w:r>
      <w:r w:rsidRPr="007B00DA">
        <w:t>en considération, s</w:t>
      </w:r>
      <w:r w:rsidR="002E2421" w:rsidRPr="007B00DA">
        <w:t>'</w:t>
      </w:r>
      <w:r w:rsidRPr="007B00DA">
        <w:t>il y a lieu,</w:t>
      </w:r>
      <w:r w:rsidR="002E2421" w:rsidRPr="007B00DA">
        <w:t xml:space="preserve"> </w:t>
      </w:r>
      <w:r w:rsidRPr="007B00DA">
        <w:t>ses propres règles et méthodes</w:t>
      </w:r>
      <w:r w:rsidR="002E2421" w:rsidRPr="007B00DA">
        <w:t xml:space="preserve"> </w:t>
      </w:r>
      <w:r w:rsidRPr="007B00DA">
        <w:t xml:space="preserve">de travail. </w:t>
      </w:r>
      <w:r w:rsidR="00C26704" w:rsidRPr="007B00DA">
        <w:rPr>
          <w:color w:val="000000"/>
        </w:rPr>
        <w:t xml:space="preserve">Lorsque cela est possible et réalisable, </w:t>
      </w:r>
      <w:r w:rsidR="00C26704" w:rsidRPr="007B00DA">
        <w:t>c</w:t>
      </w:r>
      <w:r w:rsidRPr="007B00DA">
        <w:t xml:space="preserve">haque Secteur </w:t>
      </w:r>
      <w:r w:rsidR="00C26704" w:rsidRPr="007B00DA">
        <w:t xml:space="preserve">devrait </w:t>
      </w:r>
      <w:r w:rsidRPr="007B00DA">
        <w:t>travailler</w:t>
      </w:r>
      <w:r w:rsidR="002E2421" w:rsidRPr="007B00DA">
        <w:t xml:space="preserve"> </w:t>
      </w:r>
      <w:r w:rsidRPr="007B00DA">
        <w:t>ouvertement avec toutes les administrations, en vue de leur permettre</w:t>
      </w:r>
      <w:r w:rsidR="002E2421" w:rsidRPr="007B00DA">
        <w:t xml:space="preserve"> </w:t>
      </w:r>
      <w:r w:rsidRPr="007B00DA">
        <w:t>de participer efficacement à l'élaboration de ces règles</w:t>
      </w:r>
      <w:r w:rsidR="002E2421" w:rsidRPr="007B00DA">
        <w:t xml:space="preserve"> </w:t>
      </w:r>
      <w:r w:rsidRPr="007B00DA">
        <w:t>et méthodes</w:t>
      </w:r>
      <w:r w:rsidR="002E2421" w:rsidRPr="007B00DA">
        <w:t xml:space="preserve"> </w:t>
      </w:r>
      <w:r w:rsidRPr="007B00DA">
        <w:t>de travail.</w:t>
      </w:r>
    </w:p>
    <w:p w14:paraId="18695519" w14:textId="50CA7749" w:rsidR="00FC2603" w:rsidRPr="007B00DA" w:rsidRDefault="00A46421" w:rsidP="002E2421">
      <w:pPr>
        <w:spacing w:before="360"/>
        <w:jc w:val="center"/>
      </w:pPr>
      <w:r w:rsidRPr="007B00DA">
        <w:t>______________</w:t>
      </w:r>
    </w:p>
    <w:sectPr w:rsidR="00FC2603" w:rsidRPr="007B00DA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8DAB" w14:textId="77777777" w:rsidR="00F27C8B" w:rsidRDefault="00F27C8B">
      <w:r>
        <w:separator/>
      </w:r>
    </w:p>
  </w:endnote>
  <w:endnote w:type="continuationSeparator" w:id="0">
    <w:p w14:paraId="1FCC1488" w14:textId="77777777" w:rsidR="00F27C8B" w:rsidRDefault="00F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3378" w14:textId="3AFD12A2" w:rsidR="00732045" w:rsidRDefault="00D04F2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B00DA">
      <w:t>P:\FRA\SG\CONSEIL\C22\000\065F.docx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17.03.22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B00D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3544" w14:textId="5524CC70" w:rsidR="00732045" w:rsidRPr="00D04F27" w:rsidRDefault="00D04F27">
    <w:pPr>
      <w:pStyle w:val="Footer"/>
      <w:rPr>
        <w:color w:val="D9D9D9" w:themeColor="background1" w:themeShade="D9"/>
      </w:rPr>
    </w:pPr>
    <w:r w:rsidRPr="00D04F27">
      <w:rPr>
        <w:color w:val="D9D9D9" w:themeColor="background1" w:themeShade="D9"/>
      </w:rPr>
      <w:fldChar w:fldCharType="begin"/>
    </w:r>
    <w:r w:rsidRPr="00D04F27">
      <w:rPr>
        <w:color w:val="D9D9D9" w:themeColor="background1" w:themeShade="D9"/>
      </w:rPr>
      <w:instrText xml:space="preserve"> FILENAME \p \* MERGEFORMAT </w:instrText>
    </w:r>
    <w:r w:rsidRPr="00D04F27">
      <w:rPr>
        <w:color w:val="D9D9D9" w:themeColor="background1" w:themeShade="D9"/>
      </w:rPr>
      <w:fldChar w:fldCharType="separate"/>
    </w:r>
    <w:r w:rsidR="007B00DA" w:rsidRPr="00D04F27">
      <w:rPr>
        <w:color w:val="D9D9D9" w:themeColor="background1" w:themeShade="D9"/>
      </w:rPr>
      <w:t>P:\FRA\SG\CONSEIL\C22\000\065F.docx</w:t>
    </w:r>
    <w:r w:rsidRPr="00D04F27">
      <w:rPr>
        <w:color w:val="D9D9D9" w:themeColor="background1" w:themeShade="D9"/>
      </w:rPr>
      <w:fldChar w:fldCharType="end"/>
    </w:r>
    <w:r w:rsidR="00DE5D35" w:rsidRPr="00D04F27">
      <w:rPr>
        <w:color w:val="D9D9D9" w:themeColor="background1" w:themeShade="D9"/>
      </w:rPr>
      <w:t xml:space="preserve"> (501772)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DAD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AFE6" w14:textId="77777777" w:rsidR="00F27C8B" w:rsidRDefault="00F27C8B">
      <w:r>
        <w:t>____________________</w:t>
      </w:r>
    </w:p>
  </w:footnote>
  <w:footnote w:type="continuationSeparator" w:id="0">
    <w:p w14:paraId="2946FA15" w14:textId="77777777" w:rsidR="00F27C8B" w:rsidRDefault="00F2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CD2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51C65CB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FB18" w14:textId="0A086730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D585F">
      <w:rPr>
        <w:noProof/>
      </w:rPr>
      <w:t>2</w:t>
    </w:r>
    <w:r>
      <w:rPr>
        <w:noProof/>
      </w:rPr>
      <w:fldChar w:fldCharType="end"/>
    </w:r>
  </w:p>
  <w:p w14:paraId="59AC76D9" w14:textId="1D192689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F27C8B">
      <w:t>65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DF7"/>
    <w:multiLevelType w:val="hybridMultilevel"/>
    <w:tmpl w:val="14E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8B"/>
    <w:rsid w:val="000175D1"/>
    <w:rsid w:val="00023B1D"/>
    <w:rsid w:val="00030FAA"/>
    <w:rsid w:val="000333B5"/>
    <w:rsid w:val="0006031F"/>
    <w:rsid w:val="00080CC5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2054"/>
    <w:rsid w:val="001D4C31"/>
    <w:rsid w:val="001E36C5"/>
    <w:rsid w:val="001E4D21"/>
    <w:rsid w:val="00207CD1"/>
    <w:rsid w:val="0021079D"/>
    <w:rsid w:val="002477A2"/>
    <w:rsid w:val="00263A51"/>
    <w:rsid w:val="00267E02"/>
    <w:rsid w:val="002A5D44"/>
    <w:rsid w:val="002E0BC4"/>
    <w:rsid w:val="002E2421"/>
    <w:rsid w:val="002F1B76"/>
    <w:rsid w:val="00313017"/>
    <w:rsid w:val="00323B8E"/>
    <w:rsid w:val="0033568E"/>
    <w:rsid w:val="00347168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B3F7D"/>
    <w:rsid w:val="005C3890"/>
    <w:rsid w:val="005F7BFE"/>
    <w:rsid w:val="00600017"/>
    <w:rsid w:val="006235CA"/>
    <w:rsid w:val="00646BCC"/>
    <w:rsid w:val="00655411"/>
    <w:rsid w:val="00663C3E"/>
    <w:rsid w:val="006643AB"/>
    <w:rsid w:val="006F1BB7"/>
    <w:rsid w:val="007210CD"/>
    <w:rsid w:val="00732045"/>
    <w:rsid w:val="007369DB"/>
    <w:rsid w:val="0078323F"/>
    <w:rsid w:val="00791051"/>
    <w:rsid w:val="007956C2"/>
    <w:rsid w:val="007A187E"/>
    <w:rsid w:val="007B00DA"/>
    <w:rsid w:val="007C72C2"/>
    <w:rsid w:val="007D4436"/>
    <w:rsid w:val="007F257A"/>
    <w:rsid w:val="007F3665"/>
    <w:rsid w:val="00800037"/>
    <w:rsid w:val="008065CC"/>
    <w:rsid w:val="0081340D"/>
    <w:rsid w:val="0083391C"/>
    <w:rsid w:val="00861D73"/>
    <w:rsid w:val="00873791"/>
    <w:rsid w:val="00897553"/>
    <w:rsid w:val="008A4E87"/>
    <w:rsid w:val="008D76E6"/>
    <w:rsid w:val="00917C90"/>
    <w:rsid w:val="0092392D"/>
    <w:rsid w:val="00930FC8"/>
    <w:rsid w:val="0093234A"/>
    <w:rsid w:val="00947D48"/>
    <w:rsid w:val="0097363B"/>
    <w:rsid w:val="009863C9"/>
    <w:rsid w:val="009C307F"/>
    <w:rsid w:val="009C353C"/>
    <w:rsid w:val="00A2113E"/>
    <w:rsid w:val="00A23809"/>
    <w:rsid w:val="00A23A51"/>
    <w:rsid w:val="00A24607"/>
    <w:rsid w:val="00A25CD3"/>
    <w:rsid w:val="00A46421"/>
    <w:rsid w:val="00A6605E"/>
    <w:rsid w:val="00A709FE"/>
    <w:rsid w:val="00A82767"/>
    <w:rsid w:val="00A91903"/>
    <w:rsid w:val="00AA332F"/>
    <w:rsid w:val="00AA7BBB"/>
    <w:rsid w:val="00AB64A8"/>
    <w:rsid w:val="00AC0266"/>
    <w:rsid w:val="00AD24EC"/>
    <w:rsid w:val="00B045F8"/>
    <w:rsid w:val="00B309F9"/>
    <w:rsid w:val="00B32B60"/>
    <w:rsid w:val="00B61619"/>
    <w:rsid w:val="00B86ED9"/>
    <w:rsid w:val="00BB4545"/>
    <w:rsid w:val="00BD5873"/>
    <w:rsid w:val="00C04BE3"/>
    <w:rsid w:val="00C25D29"/>
    <w:rsid w:val="00C26704"/>
    <w:rsid w:val="00C27A7C"/>
    <w:rsid w:val="00C4700C"/>
    <w:rsid w:val="00C56C38"/>
    <w:rsid w:val="00C74F14"/>
    <w:rsid w:val="00CA08ED"/>
    <w:rsid w:val="00CF183B"/>
    <w:rsid w:val="00D04F27"/>
    <w:rsid w:val="00D375CD"/>
    <w:rsid w:val="00D553A2"/>
    <w:rsid w:val="00D774D3"/>
    <w:rsid w:val="00D904E8"/>
    <w:rsid w:val="00DA08C3"/>
    <w:rsid w:val="00DB5A3E"/>
    <w:rsid w:val="00DC22AA"/>
    <w:rsid w:val="00DD585F"/>
    <w:rsid w:val="00DE3D61"/>
    <w:rsid w:val="00DE5D35"/>
    <w:rsid w:val="00DF74DD"/>
    <w:rsid w:val="00E25AD0"/>
    <w:rsid w:val="00E3514A"/>
    <w:rsid w:val="00EB6350"/>
    <w:rsid w:val="00EF72D5"/>
    <w:rsid w:val="00F15B57"/>
    <w:rsid w:val="00F27C8B"/>
    <w:rsid w:val="00F427DB"/>
    <w:rsid w:val="00FA5EB1"/>
    <w:rsid w:val="00FA7439"/>
    <w:rsid w:val="00FC2603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FE135"/>
  <w15:docId w15:val="{BEE5CBEC-125C-4228-BC3F-C14A4BF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7C8B"/>
    <w:rPr>
      <w:color w:val="605E5C"/>
      <w:shd w:val="clear" w:color="auto" w:fill="E1DFDD"/>
    </w:rPr>
  </w:style>
  <w:style w:type="table" w:styleId="TableGrid">
    <w:name w:val="Table Grid"/>
    <w:basedOn w:val="TableNormal"/>
    <w:rsid w:val="00DE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65CC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03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WGFHR15-C-0019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CWGFHR15-C-001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50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</TotalTime>
  <Pages>5</Pages>
  <Words>1655</Words>
  <Characters>9641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11274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Réunions virtuelles et hybrides</dc:title>
  <dc:subject>Conseil 2022</dc:subject>
  <dc:creator>French</dc:creator>
  <cp:keywords>C22, Council-22, Conseil-22, council 2022</cp:keywords>
  <dc:description/>
  <cp:lastModifiedBy>Brouard, Ricarda</cp:lastModifiedBy>
  <cp:revision>2</cp:revision>
  <cp:lastPrinted>2000-07-18T08:55:00Z</cp:lastPrinted>
  <dcterms:created xsi:type="dcterms:W3CDTF">2022-03-17T18:43:00Z</dcterms:created>
  <dcterms:modified xsi:type="dcterms:W3CDTF">2022-03-17T18:43:00Z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