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26FB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CA26FB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26F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A26F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CA26F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A26F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CA26FB">
              <w:rPr>
                <w:b/>
                <w:bCs/>
                <w:szCs w:val="22"/>
                <w:lang w:val="ru-RU"/>
              </w:rPr>
              <w:t>Женева</w:t>
            </w:r>
            <w:r w:rsidR="00225368" w:rsidRPr="00CA26FB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CA26FB">
              <w:rPr>
                <w:b/>
                <w:bCs/>
                <w:szCs w:val="22"/>
                <w:lang w:val="ru-RU"/>
              </w:rPr>
              <w:t>21</w:t>
            </w:r>
            <w:r w:rsidR="005B3DEC" w:rsidRPr="00CA26FB">
              <w:rPr>
                <w:b/>
                <w:bCs/>
                <w:szCs w:val="22"/>
                <w:lang w:val="ru-RU"/>
              </w:rPr>
              <w:t>–</w:t>
            </w:r>
            <w:r w:rsidR="00005BE0" w:rsidRPr="00CA26FB">
              <w:rPr>
                <w:b/>
                <w:bCs/>
                <w:szCs w:val="22"/>
                <w:lang w:val="ru-RU"/>
              </w:rPr>
              <w:t>31</w:t>
            </w:r>
            <w:r w:rsidR="00005BE0" w:rsidRPr="00CA26FB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CA26FB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CA26FB">
              <w:rPr>
                <w:b/>
                <w:bCs/>
                <w:szCs w:val="22"/>
                <w:lang w:val="ru-RU"/>
              </w:rPr>
              <w:t>20</w:t>
            </w:r>
            <w:r w:rsidR="00442515" w:rsidRPr="00CA26FB">
              <w:rPr>
                <w:b/>
                <w:bCs/>
                <w:szCs w:val="22"/>
                <w:lang w:val="ru-RU"/>
              </w:rPr>
              <w:t>2</w:t>
            </w:r>
            <w:r w:rsidR="00005BE0" w:rsidRPr="00CA26FB">
              <w:rPr>
                <w:b/>
                <w:bCs/>
                <w:szCs w:val="22"/>
                <w:lang w:val="ru-RU"/>
              </w:rPr>
              <w:t>2</w:t>
            </w:r>
            <w:r w:rsidR="00225368" w:rsidRPr="00CA26F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CA26F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A26FB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26FB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CA26F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CA26F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26FB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CA26F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CA26F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26FB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21B96363" w:rsidR="00BC7BC0" w:rsidRPr="00CA26F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26F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26FB">
              <w:rPr>
                <w:b/>
                <w:bCs/>
                <w:caps/>
                <w:szCs w:val="22"/>
                <w:lang w:val="ru-RU"/>
              </w:rPr>
              <w:t xml:space="preserve"> PL</w:t>
            </w:r>
            <w:r w:rsidR="005C1166" w:rsidRPr="00CA26FB">
              <w:rPr>
                <w:b/>
                <w:bCs/>
                <w:caps/>
                <w:szCs w:val="22"/>
                <w:lang w:val="ru-RU"/>
              </w:rPr>
              <w:t xml:space="preserve"> 1.7</w:t>
            </w:r>
          </w:p>
        </w:tc>
        <w:tc>
          <w:tcPr>
            <w:tcW w:w="3120" w:type="dxa"/>
          </w:tcPr>
          <w:p w14:paraId="088F64AC" w14:textId="66A2D0AD" w:rsidR="00BC7BC0" w:rsidRPr="00CA26FB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26F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A26FB">
              <w:rPr>
                <w:b/>
                <w:bCs/>
                <w:szCs w:val="22"/>
                <w:lang w:val="ru-RU"/>
              </w:rPr>
              <w:t>2</w:t>
            </w:r>
            <w:r w:rsidR="00005BE0" w:rsidRPr="00CA26FB">
              <w:rPr>
                <w:b/>
                <w:bCs/>
                <w:szCs w:val="22"/>
                <w:lang w:val="ru-RU"/>
              </w:rPr>
              <w:t>2</w:t>
            </w:r>
            <w:r w:rsidRPr="00CA26FB">
              <w:rPr>
                <w:b/>
                <w:bCs/>
                <w:szCs w:val="22"/>
                <w:lang w:val="ru-RU"/>
              </w:rPr>
              <w:t>/</w:t>
            </w:r>
            <w:r w:rsidR="00F37D63" w:rsidRPr="00CA26FB">
              <w:rPr>
                <w:b/>
                <w:bCs/>
                <w:szCs w:val="22"/>
                <w:lang w:val="ru-RU"/>
              </w:rPr>
              <w:t>67</w:t>
            </w:r>
            <w:r w:rsidRPr="00CA26F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26FB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CA26F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5E6BA37C" w:rsidR="00BC7BC0" w:rsidRPr="00CA26FB" w:rsidRDefault="00F37D6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26FB">
              <w:rPr>
                <w:b/>
                <w:bCs/>
                <w:szCs w:val="22"/>
                <w:lang w:val="ru-RU"/>
              </w:rPr>
              <w:t>3 марта</w:t>
            </w:r>
            <w:r w:rsidR="004F19F5" w:rsidRPr="00CA26FB">
              <w:rPr>
                <w:b/>
                <w:bCs/>
                <w:szCs w:val="22"/>
                <w:lang w:val="ru-RU"/>
              </w:rPr>
              <w:t xml:space="preserve"> 2022</w:t>
            </w:r>
            <w:r w:rsidR="00BC7BC0" w:rsidRPr="00CA26F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26FB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CA26F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CA26F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26F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26FB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3DBBF967" w:rsidR="00BC7BC0" w:rsidRPr="00CA26FB" w:rsidRDefault="00F37D6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A26FB">
              <w:rPr>
                <w:lang w:val="ru-RU"/>
              </w:rPr>
              <w:t>Вклад Арабской Республики Египет и Государства Кувейт</w:t>
            </w:r>
          </w:p>
        </w:tc>
      </w:tr>
      <w:tr w:rsidR="00BC7BC0" w:rsidRPr="00CA26FB" w14:paraId="15554A34" w14:textId="77777777" w:rsidTr="001B3ACB">
        <w:trPr>
          <w:cantSplit/>
          <w:trHeight w:val="339"/>
        </w:trPr>
        <w:tc>
          <w:tcPr>
            <w:tcW w:w="10031" w:type="dxa"/>
            <w:gridSpan w:val="2"/>
          </w:tcPr>
          <w:p w14:paraId="4545798F" w14:textId="0BAF610C" w:rsidR="00BC7BC0" w:rsidRPr="00CA26FB" w:rsidRDefault="001B3ACB" w:rsidP="001F36F3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CA26FB">
              <w:rPr>
                <w:lang w:val="ru-RU"/>
              </w:rPr>
              <w:t>Мнения относительно</w:t>
            </w:r>
            <w:r w:rsidR="00F4657F" w:rsidRPr="00CA26FB">
              <w:rPr>
                <w:lang w:val="ru-RU"/>
              </w:rPr>
              <w:t xml:space="preserve"> </w:t>
            </w:r>
            <w:r w:rsidRPr="00CA26FB">
              <w:rPr>
                <w:lang w:val="ru-RU"/>
              </w:rPr>
              <w:t>дальнейшей работы</w:t>
            </w:r>
            <w:r w:rsidR="001F36F3" w:rsidRPr="00CA26FB">
              <w:rPr>
                <w:lang w:val="ru-RU"/>
              </w:rPr>
              <w:t xml:space="preserve"> ПО</w:t>
            </w:r>
            <w:r w:rsidRPr="00CA26FB">
              <w:rPr>
                <w:lang w:val="ru-RU"/>
              </w:rPr>
              <w:t xml:space="preserve"> РМЭ</w:t>
            </w:r>
            <w:bookmarkEnd w:id="2"/>
          </w:p>
        </w:tc>
      </w:tr>
      <w:bookmarkEnd w:id="3"/>
    </w:tbl>
    <w:p w14:paraId="040C6BE9" w14:textId="77777777" w:rsidR="002D2F57" w:rsidRPr="00CA26F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70729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CA26FB" w:rsidRDefault="002D2F57">
            <w:pPr>
              <w:pStyle w:val="Headingb"/>
              <w:rPr>
                <w:szCs w:val="22"/>
                <w:lang w:val="ru-RU"/>
              </w:rPr>
            </w:pPr>
            <w:r w:rsidRPr="00CA26FB">
              <w:rPr>
                <w:szCs w:val="22"/>
                <w:lang w:val="ru-RU"/>
              </w:rPr>
              <w:t>Резюме</w:t>
            </w:r>
          </w:p>
          <w:p w14:paraId="392F4FD7" w14:textId="0332A02F" w:rsidR="002D2F57" w:rsidRPr="00CA26FB" w:rsidRDefault="005B3A14">
            <w:pPr>
              <w:rPr>
                <w:szCs w:val="22"/>
                <w:lang w:val="ru-RU"/>
              </w:rPr>
            </w:pPr>
            <w:r w:rsidRPr="00CA26FB">
              <w:rPr>
                <w:rFonts w:asciiTheme="minorHAnsi" w:hAnsiTheme="minorHAnsi" w:cstheme="minorHAnsi"/>
                <w:color w:val="000000"/>
                <w:lang w:val="ru-RU"/>
              </w:rPr>
              <w:t xml:space="preserve">Кувейт и Египет считают, что </w:t>
            </w:r>
            <w:r w:rsidR="0019744E" w:rsidRPr="00CA26FB">
              <w:rPr>
                <w:rFonts w:asciiTheme="minorHAnsi" w:hAnsiTheme="minorHAnsi" w:cstheme="minorHAnsi"/>
                <w:color w:val="000000"/>
                <w:lang w:val="ru-RU"/>
              </w:rPr>
              <w:t xml:space="preserve">для достижения консенсуса </w:t>
            </w:r>
            <w:r w:rsidRPr="00CA26FB">
              <w:rPr>
                <w:rFonts w:asciiTheme="minorHAnsi" w:hAnsiTheme="minorHAnsi" w:cstheme="minorHAnsi"/>
                <w:color w:val="000000"/>
                <w:lang w:val="ru-RU"/>
              </w:rPr>
              <w:t>необходимо продолж</w:t>
            </w:r>
            <w:r w:rsidR="0019744E" w:rsidRPr="00CA26FB">
              <w:rPr>
                <w:rFonts w:asciiTheme="minorHAnsi" w:hAnsiTheme="minorHAnsi" w:cstheme="minorHAnsi"/>
                <w:color w:val="000000"/>
                <w:lang w:val="ru-RU"/>
              </w:rPr>
              <w:t>а</w:t>
            </w:r>
            <w:r w:rsidRPr="00CA26FB">
              <w:rPr>
                <w:rFonts w:asciiTheme="minorHAnsi" w:hAnsiTheme="minorHAnsi" w:cstheme="minorHAnsi"/>
                <w:color w:val="000000"/>
                <w:lang w:val="ru-RU"/>
              </w:rPr>
              <w:t xml:space="preserve">ть работу по РМЭ в рамках </w:t>
            </w:r>
            <w:r w:rsidR="008A3F86" w:rsidRPr="00CA26FB">
              <w:rPr>
                <w:rFonts w:asciiTheme="minorHAnsi" w:hAnsiTheme="minorHAnsi" w:cstheme="minorHAnsi"/>
                <w:color w:val="000000"/>
                <w:lang w:val="ru-RU"/>
              </w:rPr>
              <w:t>группы экспертов</w:t>
            </w:r>
            <w:r w:rsidRPr="00CA26FB">
              <w:rPr>
                <w:rFonts w:asciiTheme="minorHAnsi" w:hAnsiTheme="minorHAnsi" w:cstheme="minorHAnsi"/>
                <w:color w:val="000000"/>
                <w:lang w:val="ru-RU"/>
              </w:rPr>
              <w:t xml:space="preserve">. Текущая ситуация существования двух версий договора является проблемой, которая требует решения. Сохранение ситуации, при которой существует две версии договора, </w:t>
            </w:r>
            <w:r w:rsidR="0019744E" w:rsidRPr="00CA26FB">
              <w:rPr>
                <w:rFonts w:asciiTheme="minorHAnsi" w:hAnsiTheme="minorHAnsi" w:cstheme="minorHAnsi"/>
                <w:color w:val="000000"/>
                <w:lang w:val="ru-RU"/>
              </w:rPr>
              <w:t xml:space="preserve">не является </w:t>
            </w:r>
            <w:r w:rsidRPr="00CA26FB">
              <w:rPr>
                <w:rFonts w:asciiTheme="minorHAnsi" w:hAnsiTheme="minorHAnsi" w:cstheme="minorHAnsi"/>
                <w:color w:val="000000"/>
                <w:lang w:val="ru-RU"/>
              </w:rPr>
              <w:t>решением.</w:t>
            </w:r>
          </w:p>
          <w:p w14:paraId="6716CCBC" w14:textId="77777777" w:rsidR="002D2F57" w:rsidRPr="00CA26FB" w:rsidRDefault="002D2F57" w:rsidP="00E55121">
            <w:pPr>
              <w:pStyle w:val="Headingb"/>
              <w:rPr>
                <w:lang w:val="ru-RU"/>
              </w:rPr>
            </w:pPr>
            <w:r w:rsidRPr="00CA26FB">
              <w:rPr>
                <w:lang w:val="ru-RU"/>
              </w:rPr>
              <w:t xml:space="preserve">Необходимые </w:t>
            </w:r>
            <w:r w:rsidR="00F5225B" w:rsidRPr="00CA26FB">
              <w:rPr>
                <w:lang w:val="ru-RU"/>
              </w:rPr>
              <w:t>действия</w:t>
            </w:r>
          </w:p>
          <w:p w14:paraId="70B93C22" w14:textId="078D8D95" w:rsidR="002D2F57" w:rsidRPr="00CA26FB" w:rsidRDefault="008A3F86">
            <w:pPr>
              <w:rPr>
                <w:szCs w:val="22"/>
                <w:lang w:val="ru-RU"/>
              </w:rPr>
            </w:pPr>
            <w:bookmarkStart w:id="4" w:name="lt_pId017"/>
            <w:r w:rsidRPr="00CA26FB">
              <w:rPr>
                <w:szCs w:val="22"/>
                <w:lang w:val="ru-RU"/>
              </w:rPr>
              <w:t xml:space="preserve">Совету предлагается </w:t>
            </w:r>
            <w:r w:rsidRPr="00CA26FB">
              <w:rPr>
                <w:b/>
                <w:szCs w:val="22"/>
                <w:lang w:val="ru-RU"/>
              </w:rPr>
              <w:t>рассмотреть</w:t>
            </w:r>
            <w:r w:rsidRPr="00CA26FB">
              <w:rPr>
                <w:szCs w:val="22"/>
                <w:lang w:val="ru-RU"/>
              </w:rPr>
              <w:t xml:space="preserve"> возможность создания новой Группы экспертов по РМЭ.</w:t>
            </w:r>
            <w:bookmarkEnd w:id="4"/>
          </w:p>
          <w:p w14:paraId="0D44DD84" w14:textId="77777777" w:rsidR="002D2F57" w:rsidRPr="00CA26F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A26FB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CA26FB" w:rsidRDefault="002D2F57">
            <w:pPr>
              <w:pStyle w:val="Headingb"/>
              <w:rPr>
                <w:szCs w:val="22"/>
                <w:lang w:val="ru-RU"/>
              </w:rPr>
            </w:pPr>
            <w:r w:rsidRPr="00CA26FB">
              <w:rPr>
                <w:szCs w:val="22"/>
                <w:lang w:val="ru-RU"/>
              </w:rPr>
              <w:t>Справочные материалы</w:t>
            </w:r>
          </w:p>
          <w:p w14:paraId="6BC2D483" w14:textId="12B45EB6" w:rsidR="002D2F57" w:rsidRPr="00CA26FB" w:rsidRDefault="00370729" w:rsidP="00A2172B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bookmarkStart w:id="5" w:name="lt_pId020"/>
              <w:r w:rsidR="00CB3238" w:rsidRPr="00CA26FB">
                <w:rPr>
                  <w:rStyle w:val="Hyperlink"/>
                  <w:lang w:val="ru-RU"/>
                </w:rPr>
                <w:t>С</w:t>
              </w:r>
              <w:r w:rsidR="00A2172B" w:rsidRPr="00CA26FB">
                <w:rPr>
                  <w:rStyle w:val="Hyperlink"/>
                  <w:lang w:val="ru-RU"/>
                </w:rPr>
                <w:t>обрания ГЭ-РМЭ</w:t>
              </w:r>
              <w:bookmarkEnd w:id="5"/>
            </w:hyperlink>
          </w:p>
        </w:tc>
      </w:tr>
    </w:tbl>
    <w:p w14:paraId="06973D55" w14:textId="12BC98B9" w:rsidR="00F4657F" w:rsidRPr="00CA26FB" w:rsidRDefault="00A16B34" w:rsidP="00F4657F">
      <w:pPr>
        <w:rPr>
          <w:rFonts w:asciiTheme="minorHAnsi" w:hAnsiTheme="minorHAnsi" w:cstheme="minorHAnsi"/>
          <w:color w:val="000000"/>
          <w:lang w:val="ru-RU"/>
        </w:rPr>
      </w:pPr>
      <w:bookmarkStart w:id="6" w:name="lt_pId007"/>
      <w:r w:rsidRPr="00CA26FB">
        <w:rPr>
          <w:rFonts w:asciiTheme="minorHAnsi" w:hAnsiTheme="minorHAnsi" w:cstheme="minorHAnsi"/>
          <w:color w:val="000000"/>
          <w:lang w:val="ru-RU"/>
        </w:rPr>
        <w:t>Кувейт и Египет были рады принять участие во всех собраниях Группы экспертов по РМЭ, поскольку мы верим в важность этого договора</w:t>
      </w:r>
      <w:r w:rsidR="006C3175" w:rsidRPr="00CA26FB">
        <w:rPr>
          <w:rFonts w:asciiTheme="minorHAnsi" w:hAnsiTheme="minorHAnsi" w:cstheme="minorHAnsi"/>
          <w:color w:val="000000"/>
          <w:lang w:val="ru-RU"/>
        </w:rPr>
        <w:t xml:space="preserve"> и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 важность достижения общего понимания и консенсуса в отношении одной из основ МСЭ. Этот договор не только является одной из основ МСЭ и единственным договором, определяющим отношения между Государствами-Членами </w:t>
      </w:r>
      <w:r w:rsidR="00671B83" w:rsidRPr="00CA26FB">
        <w:rPr>
          <w:rFonts w:asciiTheme="minorHAnsi" w:hAnsiTheme="minorHAnsi" w:cstheme="minorHAnsi"/>
          <w:color w:val="000000"/>
          <w:lang w:val="ru-RU"/>
        </w:rPr>
        <w:t>в области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 электросвязи/ИКТ, он также служит инструментом, который может эффективно использоваться для содействия достижению ЦУР.</w:t>
      </w:r>
    </w:p>
    <w:p w14:paraId="73189D2C" w14:textId="6C18D42E" w:rsidR="00F4657F" w:rsidRPr="00CA26FB" w:rsidRDefault="00671B83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>Обсуждения четко показали</w:t>
      </w:r>
      <w:r w:rsidR="003A3D5C" w:rsidRPr="00CA26FB">
        <w:rPr>
          <w:rFonts w:asciiTheme="minorHAnsi" w:hAnsiTheme="minorHAnsi" w:cstheme="minorHAnsi"/>
          <w:color w:val="000000"/>
          <w:lang w:val="ru-RU"/>
        </w:rPr>
        <w:t xml:space="preserve"> отсутствие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 согласия по </w:t>
      </w:r>
      <w:r w:rsidR="00F14A33" w:rsidRPr="00CA26FB">
        <w:rPr>
          <w:rFonts w:asciiTheme="minorHAnsi" w:hAnsiTheme="minorHAnsi" w:cstheme="minorHAnsi"/>
          <w:color w:val="000000"/>
          <w:lang w:val="ru-RU"/>
        </w:rPr>
        <w:t xml:space="preserve">этому 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договору. </w:t>
      </w:r>
      <w:r w:rsidR="000F091E" w:rsidRPr="00CA26FB">
        <w:rPr>
          <w:rFonts w:asciiTheme="minorHAnsi" w:hAnsiTheme="minorHAnsi" w:cstheme="minorHAnsi"/>
          <w:color w:val="000000"/>
          <w:lang w:val="ru-RU"/>
        </w:rPr>
        <w:t xml:space="preserve">Некоторые Члены считают, что РМЭ актуален и применим, </w:t>
      </w:r>
      <w:r w:rsidR="00FB21FA" w:rsidRPr="00CA26FB">
        <w:rPr>
          <w:rFonts w:asciiTheme="minorHAnsi" w:hAnsiTheme="minorHAnsi" w:cstheme="minorHAnsi"/>
          <w:color w:val="000000"/>
          <w:lang w:val="ru-RU"/>
        </w:rPr>
        <w:t>другие придерживаются противоположной точки зрения</w:t>
      </w:r>
      <w:r w:rsidR="000F091E" w:rsidRPr="00CA26FB">
        <w:rPr>
          <w:rFonts w:asciiTheme="minorHAnsi" w:hAnsiTheme="minorHAnsi" w:cstheme="minorHAnsi"/>
          <w:color w:val="000000"/>
          <w:lang w:val="ru-RU"/>
        </w:rPr>
        <w:t>.</w:t>
      </w:r>
      <w:r w:rsidR="00F4657F" w:rsidRPr="00CA26FB">
        <w:rPr>
          <w:rFonts w:asciiTheme="minorHAnsi" w:hAnsiTheme="minorHAnsi" w:cstheme="minorHAnsi"/>
          <w:color w:val="000000"/>
          <w:lang w:val="ru-RU"/>
        </w:rPr>
        <w:t xml:space="preserve"> </w:t>
      </w:r>
    </w:p>
    <w:p w14:paraId="1252A323" w14:textId="7B2EF1CE" w:rsidR="00F4657F" w:rsidRPr="00CA26FB" w:rsidRDefault="000F091E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>Несмотря на то, что поиск консенсуса в отношении дальнейших действий не входит в мандат группы, результаты работы собраний поставили нас в сложную ситуацию, когда мы не уверены, как именно действовать дальше.</w:t>
      </w:r>
    </w:p>
    <w:p w14:paraId="07493CD3" w14:textId="29922579" w:rsidR="00F4657F" w:rsidRPr="00CA26FB" w:rsidRDefault="000F091E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 xml:space="preserve">Мы считаем, что сфера применения РМЭ должна быть ограничена Государствами-Членами и не касаться эксплуатационных организаций. Далее Государства-Члены могут использовать инструментарий своих национальных регламентов и политики для обеспечения применения операторами положений и указаний РМЭ. Это также было продемонстрировано Мексикой </w:t>
      </w:r>
      <w:r w:rsidRPr="00CA26FB">
        <w:rPr>
          <w:rStyle w:val="Hyperlink"/>
          <w:lang w:val="ru-RU"/>
        </w:rPr>
        <w:t>во</w:t>
      </w:r>
      <w:r w:rsidR="00AD7324" w:rsidRPr="00CA26FB">
        <w:rPr>
          <w:rStyle w:val="Hyperlink"/>
          <w:lang w:val="ru-RU"/>
        </w:rPr>
        <w:t> </w:t>
      </w:r>
      <w:r w:rsidRPr="00CA26FB">
        <w:rPr>
          <w:rStyle w:val="Hyperlink"/>
          <w:lang w:val="ru-RU"/>
        </w:rPr>
        <w:t>вкладе</w:t>
      </w:r>
      <w:r w:rsidR="00AD7324" w:rsidRPr="00CA26FB">
        <w:rPr>
          <w:rStyle w:val="Hyperlink"/>
          <w:lang w:val="ru-RU"/>
        </w:rPr>
        <w:t> </w:t>
      </w:r>
      <w:r w:rsidRPr="00CA26FB">
        <w:rPr>
          <w:rStyle w:val="Hyperlink"/>
          <w:lang w:val="ru-RU"/>
        </w:rPr>
        <w:t>12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 для второго собрания ГЭ-РМЭ.</w:t>
      </w:r>
    </w:p>
    <w:p w14:paraId="1FAF2C97" w14:textId="66E1A30D" w:rsidR="00F4657F" w:rsidRPr="00CA26FB" w:rsidRDefault="000F091E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>Мы видим, что некоторые Государства-Члены прилагают усилия для формирования действующего и применимого договора, пытаясь найти способ согласования единого договора. Другие Государства</w:t>
      </w:r>
      <w:r w:rsidR="00AD7324" w:rsidRPr="00CA26FB">
        <w:rPr>
          <w:rFonts w:asciiTheme="minorHAnsi" w:hAnsiTheme="minorHAnsi" w:cstheme="minorHAnsi"/>
          <w:color w:val="000000"/>
          <w:lang w:val="ru-RU"/>
        </w:rPr>
        <w:noBreakHyphen/>
      </w:r>
      <w:r w:rsidRPr="00CA26FB">
        <w:rPr>
          <w:rFonts w:asciiTheme="minorHAnsi" w:hAnsiTheme="minorHAnsi" w:cstheme="minorHAnsi"/>
          <w:color w:val="000000"/>
          <w:lang w:val="ru-RU"/>
        </w:rPr>
        <w:t>Члены возражают против этой позиции, не предлагая других вариантов дальнейших действий.</w:t>
      </w:r>
    </w:p>
    <w:p w14:paraId="1E4E70B4" w14:textId="4EFF20F7" w:rsidR="00F4657F" w:rsidRPr="00CA26FB" w:rsidRDefault="00A12608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lastRenderedPageBreak/>
        <w:t>Текущая ситуация существования двух версий договора (РМЭ 1988 и 2012 г</w:t>
      </w:r>
      <w:r w:rsidR="00AD7324" w:rsidRPr="00CA26FB">
        <w:rPr>
          <w:rFonts w:asciiTheme="minorHAnsi" w:hAnsiTheme="minorHAnsi" w:cstheme="minorHAnsi"/>
          <w:color w:val="000000"/>
          <w:lang w:val="ru-RU"/>
        </w:rPr>
        <w:t>г.</w:t>
      </w:r>
      <w:r w:rsidRPr="00CA26FB">
        <w:rPr>
          <w:rFonts w:asciiTheme="minorHAnsi" w:hAnsiTheme="minorHAnsi" w:cstheme="minorHAnsi"/>
          <w:color w:val="000000"/>
          <w:lang w:val="ru-RU"/>
        </w:rPr>
        <w:t>) вредит имиджу МСЭ как специализированного учреждения ООН по вопросам электросвязи/ИКТ</w:t>
      </w:r>
      <w:r w:rsidR="00F4657F" w:rsidRPr="00CA26FB">
        <w:rPr>
          <w:rFonts w:asciiTheme="minorHAnsi" w:hAnsiTheme="minorHAnsi" w:cstheme="minorHAnsi"/>
          <w:color w:val="000000"/>
          <w:lang w:val="ru-RU"/>
        </w:rPr>
        <w:t xml:space="preserve">, </w:t>
      </w:r>
      <w:r w:rsidR="00A27BD4" w:rsidRPr="00CA26FB">
        <w:rPr>
          <w:rFonts w:asciiTheme="minorHAnsi" w:hAnsiTheme="minorHAnsi" w:cstheme="minorHAnsi"/>
          <w:color w:val="000000"/>
          <w:lang w:val="ru-RU"/>
        </w:rPr>
        <w:t>и мы подчерк</w:t>
      </w:r>
      <w:r w:rsidR="00853B78" w:rsidRPr="00CA26FB">
        <w:rPr>
          <w:rFonts w:asciiTheme="minorHAnsi" w:hAnsiTheme="minorHAnsi" w:cstheme="minorHAnsi"/>
          <w:color w:val="000000"/>
          <w:lang w:val="ru-RU"/>
        </w:rPr>
        <w:t>иваем</w:t>
      </w:r>
      <w:r w:rsidR="00A27BD4" w:rsidRPr="00CA26FB">
        <w:rPr>
          <w:rFonts w:asciiTheme="minorHAnsi" w:hAnsiTheme="minorHAnsi" w:cstheme="minorHAnsi"/>
          <w:color w:val="000000"/>
          <w:lang w:val="ru-RU"/>
        </w:rPr>
        <w:t xml:space="preserve">, что крайне важно согласовать </w:t>
      </w:r>
      <w:r w:rsidR="003E0C63" w:rsidRPr="00CA26FB">
        <w:rPr>
          <w:rFonts w:asciiTheme="minorHAnsi" w:hAnsiTheme="minorHAnsi" w:cstheme="minorHAnsi"/>
          <w:color w:val="000000"/>
          <w:lang w:val="ru-RU"/>
        </w:rPr>
        <w:t>единый договор</w:t>
      </w:r>
      <w:r w:rsidR="00A27BD4" w:rsidRPr="00CA26FB">
        <w:rPr>
          <w:rFonts w:asciiTheme="minorHAnsi" w:hAnsiTheme="minorHAnsi" w:cstheme="minorHAnsi"/>
          <w:color w:val="000000"/>
          <w:lang w:val="ru-RU"/>
        </w:rPr>
        <w:t xml:space="preserve"> вместо того, чтобы сохранять две версии</w:t>
      </w:r>
      <w:r w:rsidR="009513BF" w:rsidRPr="00CA26FB">
        <w:rPr>
          <w:rFonts w:asciiTheme="minorHAnsi" w:hAnsiTheme="minorHAnsi" w:cstheme="minorHAnsi"/>
          <w:color w:val="000000"/>
          <w:lang w:val="ru-RU"/>
        </w:rPr>
        <w:t xml:space="preserve"> РМЭ (1988</w:t>
      </w:r>
      <w:r w:rsidR="00AD7324" w:rsidRPr="00CA26FB">
        <w:rPr>
          <w:rFonts w:asciiTheme="minorHAnsi" w:hAnsiTheme="minorHAnsi" w:cstheme="minorHAnsi"/>
          <w:color w:val="000000"/>
          <w:lang w:val="ru-RU"/>
        </w:rPr>
        <w:t> </w:t>
      </w:r>
      <w:r w:rsidR="009513BF" w:rsidRPr="00CA26FB">
        <w:rPr>
          <w:rFonts w:asciiTheme="minorHAnsi" w:hAnsiTheme="minorHAnsi" w:cstheme="minorHAnsi"/>
          <w:color w:val="000000"/>
          <w:lang w:val="ru-RU"/>
        </w:rPr>
        <w:t>и</w:t>
      </w:r>
      <w:r w:rsidR="00AD7324" w:rsidRPr="00CA26FB">
        <w:rPr>
          <w:rFonts w:asciiTheme="minorHAnsi" w:hAnsiTheme="minorHAnsi" w:cstheme="minorHAnsi"/>
          <w:color w:val="000000"/>
          <w:lang w:val="ru-RU"/>
        </w:rPr>
        <w:t> </w:t>
      </w:r>
      <w:r w:rsidR="009513BF" w:rsidRPr="00CA26FB">
        <w:rPr>
          <w:rFonts w:asciiTheme="minorHAnsi" w:hAnsiTheme="minorHAnsi" w:cstheme="minorHAnsi"/>
          <w:color w:val="000000"/>
          <w:lang w:val="ru-RU"/>
        </w:rPr>
        <w:t>2012 г</w:t>
      </w:r>
      <w:r w:rsidR="00AD7324" w:rsidRPr="00CA26FB">
        <w:rPr>
          <w:rFonts w:asciiTheme="minorHAnsi" w:hAnsiTheme="minorHAnsi" w:cstheme="minorHAnsi"/>
          <w:color w:val="000000"/>
          <w:lang w:val="ru-RU"/>
        </w:rPr>
        <w:t>г.</w:t>
      </w:r>
      <w:r w:rsidR="009513BF" w:rsidRPr="00CA26FB">
        <w:rPr>
          <w:rFonts w:asciiTheme="minorHAnsi" w:hAnsiTheme="minorHAnsi" w:cstheme="minorHAnsi"/>
          <w:color w:val="000000"/>
          <w:lang w:val="ru-RU"/>
        </w:rPr>
        <w:t>).</w:t>
      </w:r>
    </w:p>
    <w:p w14:paraId="424666AF" w14:textId="0F90E971" w:rsidR="00F4657F" w:rsidRPr="00CA26FB" w:rsidRDefault="009513BF" w:rsidP="00F4657F">
      <w:pPr>
        <w:rPr>
          <w:rFonts w:asciiTheme="minorHAnsi" w:hAnsiTheme="minorHAnsi" w:cstheme="minorHAnsi"/>
          <w:color w:val="000000"/>
          <w:highlight w:val="yellow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 xml:space="preserve">Мы считаем, что наличие двух версий договора является проблемой.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 xml:space="preserve">Всем Членам необходимо </w:t>
      </w:r>
      <w:r w:rsidR="001A3DF2" w:rsidRPr="00CA26FB">
        <w:rPr>
          <w:rFonts w:asciiTheme="minorHAnsi" w:hAnsiTheme="minorHAnsi" w:cstheme="minorHAnsi"/>
          <w:color w:val="000000"/>
          <w:lang w:val="ru-RU"/>
        </w:rPr>
        <w:t>вести совместную работу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>, чтобы решить эту проблему, а это может произойти только при наличии предложений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 о дальнейш</w:t>
      </w:r>
      <w:r w:rsidR="001A3DF2" w:rsidRPr="00CA26FB">
        <w:rPr>
          <w:rFonts w:asciiTheme="minorHAnsi" w:hAnsiTheme="minorHAnsi" w:cstheme="minorHAnsi"/>
          <w:color w:val="000000"/>
          <w:lang w:val="ru-RU"/>
        </w:rPr>
        <w:t>их действиях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. Мы будем рады услышать другие предложения о </w:t>
      </w:r>
      <w:r w:rsidR="001A3DF2" w:rsidRPr="00CA26FB">
        <w:rPr>
          <w:rFonts w:asciiTheme="minorHAnsi" w:hAnsiTheme="minorHAnsi" w:cstheme="minorHAnsi"/>
          <w:color w:val="000000"/>
          <w:lang w:val="ru-RU"/>
        </w:rPr>
        <w:t>дальнейшей работе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 по этому вопросу, в том числе от Членов, которые считают РМЭ более не актуальным,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 xml:space="preserve">включая предложения по прекращению действия договора, 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>если они придерживаются такого мнения. Но</w:t>
      </w:r>
      <w:r w:rsidR="00F14A33" w:rsidRPr="00CA26FB">
        <w:rPr>
          <w:rFonts w:asciiTheme="minorHAnsi" w:hAnsiTheme="minorHAnsi" w:cstheme="minorHAnsi"/>
          <w:color w:val="000000"/>
          <w:lang w:val="ru-RU"/>
        </w:rPr>
        <w:t>,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 если совсем ничего не делать, проблема не решится.</w:t>
      </w:r>
    </w:p>
    <w:p w14:paraId="21DE1161" w14:textId="32D34A8B" w:rsidR="00F4657F" w:rsidRPr="00CA26FB" w:rsidRDefault="00200B06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 xml:space="preserve">Мы также опасаемся, что проведение Всемирной конференции по международной электросвязи (ВКМЭ)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>в условиях существующего значительного расхождения</w:t>
      </w:r>
      <w:r w:rsidRPr="00CA26FB">
        <w:rPr>
          <w:rFonts w:asciiTheme="minorHAnsi" w:hAnsiTheme="minorHAnsi" w:cstheme="minorHAnsi"/>
          <w:color w:val="000000"/>
          <w:lang w:val="ru-RU"/>
        </w:rPr>
        <w:t xml:space="preserve"> во мнениях может привести к появлению третьей версии договора, что также ударит по имиджу МСЭ.</w:t>
      </w:r>
    </w:p>
    <w:p w14:paraId="5F4D8CDB" w14:textId="2901F05C" w:rsidR="00F4657F" w:rsidRPr="00CA26FB" w:rsidRDefault="00A12608" w:rsidP="00F4657F">
      <w:pPr>
        <w:rPr>
          <w:rFonts w:asciiTheme="minorHAnsi" w:hAnsiTheme="minorHAnsi" w:cstheme="minorHAnsi"/>
          <w:color w:val="000000"/>
          <w:rtl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 xml:space="preserve">РМЭ представляет важность для нас как для развивающихся стран, и поэтому мы предлагаем продолжить работу данной Группы экспертов до достижения консенсуса. 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Египет и Кувейт считают, что решение этой проблемы в рамках Группы экспертов является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>наилучшей стратегией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 и, как только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>будет достигнуто общее согласие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 xml:space="preserve">, мы </w:t>
      </w:r>
      <w:r w:rsidR="00A8671A" w:rsidRPr="00CA26FB">
        <w:rPr>
          <w:rFonts w:asciiTheme="minorHAnsi" w:hAnsiTheme="minorHAnsi" w:cstheme="minorHAnsi"/>
          <w:color w:val="000000"/>
          <w:lang w:val="ru-RU"/>
        </w:rPr>
        <w:t>с</w:t>
      </w:r>
      <w:r w:rsidR="00200B06" w:rsidRPr="00CA26FB">
        <w:rPr>
          <w:rFonts w:asciiTheme="minorHAnsi" w:hAnsiTheme="minorHAnsi" w:cstheme="minorHAnsi"/>
          <w:color w:val="000000"/>
          <w:lang w:val="ru-RU"/>
        </w:rPr>
        <w:t>может принять решение о проведении ВКМЭ.</w:t>
      </w:r>
    </w:p>
    <w:p w14:paraId="1596FA81" w14:textId="290A1028" w:rsidR="00453869" w:rsidRPr="00CA26FB" w:rsidRDefault="00A12608" w:rsidP="00F4657F">
      <w:pPr>
        <w:rPr>
          <w:rFonts w:asciiTheme="minorHAnsi" w:hAnsiTheme="minorHAnsi" w:cstheme="minorHAnsi"/>
          <w:color w:val="000000"/>
          <w:lang w:val="ru-RU"/>
        </w:rPr>
      </w:pPr>
      <w:r w:rsidRPr="00CA26FB">
        <w:rPr>
          <w:rFonts w:asciiTheme="minorHAnsi" w:hAnsiTheme="minorHAnsi" w:cstheme="minorHAnsi"/>
          <w:color w:val="000000"/>
          <w:lang w:val="ru-RU"/>
        </w:rPr>
        <w:t>Для нас было честью и удовольствием принимать участие в деятельности этой группы, и мы хотели бы поблагодарить всех коллег за их активную работу, секретариат – за проделанную большую работу по содействию деятельности группы, заместителей Председателя – за руководство работой региональных групп и, разумеется, Председателя Группы г-на Лвандо Ббуку за его неустанное последовательное руководство работой собраний.</w:t>
      </w:r>
    </w:p>
    <w:bookmarkEnd w:id="6"/>
    <w:p w14:paraId="35587FA2" w14:textId="77777777" w:rsidR="00FF0D95" w:rsidRPr="00CA26FB" w:rsidRDefault="00FF0D95" w:rsidP="00FF0D95">
      <w:pPr>
        <w:spacing w:before="720"/>
        <w:jc w:val="center"/>
        <w:rPr>
          <w:lang w:val="ru-RU"/>
        </w:rPr>
      </w:pPr>
      <w:r w:rsidRPr="00CA26FB">
        <w:rPr>
          <w:lang w:val="ru-RU"/>
        </w:rPr>
        <w:t>______________</w:t>
      </w:r>
    </w:p>
    <w:sectPr w:rsidR="00FF0D95" w:rsidRPr="00CA26FB" w:rsidSect="00CF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8C6031" w:rsidRDefault="008C6031">
      <w:r>
        <w:separator/>
      </w:r>
    </w:p>
  </w:endnote>
  <w:endnote w:type="continuationSeparator" w:id="0">
    <w:p w14:paraId="0F27A163" w14:textId="77777777" w:rsidR="008C6031" w:rsidRDefault="008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C42E" w14:textId="77777777" w:rsidR="00370729" w:rsidRDefault="00370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2E8BA672" w:rsidR="000E568E" w:rsidRPr="00154F5B" w:rsidRDefault="00370729" w:rsidP="00B76459">
    <w:pPr>
      <w:pStyle w:val="Footer"/>
      <w:rPr>
        <w:color w:val="F2F2F2" w:themeColor="background1" w:themeShade="F2"/>
        <w:sz w:val="18"/>
        <w:szCs w:val="18"/>
      </w:rPr>
    </w:pPr>
    <w:r w:rsidRPr="00370729">
      <w:rPr>
        <w:color w:val="F2F2F2" w:themeColor="background1" w:themeShade="F2"/>
      </w:rPr>
      <w:fldChar w:fldCharType="begin"/>
    </w:r>
    <w:r w:rsidRPr="00370729">
      <w:rPr>
        <w:color w:val="F2F2F2" w:themeColor="background1" w:themeShade="F2"/>
      </w:rPr>
      <w:instrText xml:space="preserve"> FILENAME \p  \* MERGEFORMAT </w:instrText>
    </w:r>
    <w:r w:rsidRPr="00370729">
      <w:rPr>
        <w:color w:val="F2F2F2" w:themeColor="background1" w:themeShade="F2"/>
      </w:rPr>
      <w:fldChar w:fldCharType="separate"/>
    </w:r>
    <w:r w:rsidR="00705153" w:rsidRPr="00370729">
      <w:rPr>
        <w:color w:val="F2F2F2" w:themeColor="background1" w:themeShade="F2"/>
      </w:rPr>
      <w:t>P:\RUS\SG\CONSEIL\C22\000\067R.docx</w:t>
    </w:r>
    <w:r w:rsidRPr="00370729">
      <w:rPr>
        <w:color w:val="F2F2F2" w:themeColor="background1" w:themeShade="F2"/>
      </w:rPr>
      <w:fldChar w:fldCharType="end"/>
    </w:r>
    <w:r w:rsidR="00705153" w:rsidRPr="00370729">
      <w:rPr>
        <w:color w:val="F2F2F2" w:themeColor="background1" w:themeShade="F2"/>
      </w:rPr>
      <w:t xml:space="preserve"> (502286</w:t>
    </w:r>
    <w:r w:rsidR="00B76459" w:rsidRPr="00370729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8C6031" w:rsidRDefault="008C6031">
      <w:r>
        <w:t>____________________</w:t>
      </w:r>
    </w:p>
  </w:footnote>
  <w:footnote w:type="continuationSeparator" w:id="0">
    <w:p w14:paraId="231FDA39" w14:textId="77777777" w:rsidR="008C6031" w:rsidRDefault="008C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3FEA" w14:textId="77777777" w:rsidR="00370729" w:rsidRDefault="0037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0CBC11C4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14A33">
      <w:rPr>
        <w:noProof/>
      </w:rPr>
      <w:t>2</w:t>
    </w:r>
    <w:r>
      <w:rPr>
        <w:noProof/>
      </w:rPr>
      <w:fldChar w:fldCharType="end"/>
    </w:r>
  </w:p>
  <w:p w14:paraId="3ED9F394" w14:textId="44BFD06C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705153">
      <w:rPr>
        <w:lang w:val="ru-RU"/>
      </w:rPr>
      <w:t>67</w:t>
    </w:r>
    <w:r w:rsidR="00AD7324">
      <w:rPr>
        <w:lang w:val="ru-RU"/>
      </w:rPr>
      <w:t>-</w:t>
    </w:r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BCC4" w14:textId="77777777" w:rsidR="00370729" w:rsidRDefault="00370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324A4"/>
    <w:rsid w:val="000569B4"/>
    <w:rsid w:val="00080E82"/>
    <w:rsid w:val="000E568E"/>
    <w:rsid w:val="000F091E"/>
    <w:rsid w:val="001250E5"/>
    <w:rsid w:val="0014734F"/>
    <w:rsid w:val="00154F5B"/>
    <w:rsid w:val="0015710D"/>
    <w:rsid w:val="00163A32"/>
    <w:rsid w:val="00192B41"/>
    <w:rsid w:val="0019744E"/>
    <w:rsid w:val="001A3DF2"/>
    <w:rsid w:val="001B3ACB"/>
    <w:rsid w:val="001B7B09"/>
    <w:rsid w:val="001E6719"/>
    <w:rsid w:val="001E7F50"/>
    <w:rsid w:val="001F36F3"/>
    <w:rsid w:val="00200B06"/>
    <w:rsid w:val="00210258"/>
    <w:rsid w:val="00225368"/>
    <w:rsid w:val="00227FF0"/>
    <w:rsid w:val="00291EB6"/>
    <w:rsid w:val="002D2F57"/>
    <w:rsid w:val="002D48C5"/>
    <w:rsid w:val="002F085C"/>
    <w:rsid w:val="00333A4C"/>
    <w:rsid w:val="00340861"/>
    <w:rsid w:val="00370729"/>
    <w:rsid w:val="003A3D5C"/>
    <w:rsid w:val="003E0C63"/>
    <w:rsid w:val="003F099E"/>
    <w:rsid w:val="003F235E"/>
    <w:rsid w:val="004023E0"/>
    <w:rsid w:val="00403DD8"/>
    <w:rsid w:val="00416CB0"/>
    <w:rsid w:val="00442515"/>
    <w:rsid w:val="00453869"/>
    <w:rsid w:val="0045686C"/>
    <w:rsid w:val="004918C4"/>
    <w:rsid w:val="00497703"/>
    <w:rsid w:val="004A0374"/>
    <w:rsid w:val="004A45B5"/>
    <w:rsid w:val="004D0129"/>
    <w:rsid w:val="004F19F5"/>
    <w:rsid w:val="005A64D5"/>
    <w:rsid w:val="005B3A14"/>
    <w:rsid w:val="005B3DEC"/>
    <w:rsid w:val="005C1166"/>
    <w:rsid w:val="00601994"/>
    <w:rsid w:val="006223FC"/>
    <w:rsid w:val="00671B83"/>
    <w:rsid w:val="006C3175"/>
    <w:rsid w:val="006D7A7E"/>
    <w:rsid w:val="006E2D42"/>
    <w:rsid w:val="00703676"/>
    <w:rsid w:val="00705153"/>
    <w:rsid w:val="00707304"/>
    <w:rsid w:val="00732269"/>
    <w:rsid w:val="00745AB5"/>
    <w:rsid w:val="00785ABD"/>
    <w:rsid w:val="007A2DD4"/>
    <w:rsid w:val="007D20DE"/>
    <w:rsid w:val="007D38B5"/>
    <w:rsid w:val="007D68E7"/>
    <w:rsid w:val="007E7EA0"/>
    <w:rsid w:val="00807255"/>
    <w:rsid w:val="0081023E"/>
    <w:rsid w:val="008173AA"/>
    <w:rsid w:val="00840A14"/>
    <w:rsid w:val="00853B78"/>
    <w:rsid w:val="008A3F86"/>
    <w:rsid w:val="008B62B4"/>
    <w:rsid w:val="008C1277"/>
    <w:rsid w:val="008C6031"/>
    <w:rsid w:val="008D2D7B"/>
    <w:rsid w:val="008E0737"/>
    <w:rsid w:val="008F7C2C"/>
    <w:rsid w:val="00913814"/>
    <w:rsid w:val="0092406F"/>
    <w:rsid w:val="00940377"/>
    <w:rsid w:val="00940E96"/>
    <w:rsid w:val="009513BF"/>
    <w:rsid w:val="009B0BAE"/>
    <w:rsid w:val="009C1C89"/>
    <w:rsid w:val="009F3448"/>
    <w:rsid w:val="00A01CF9"/>
    <w:rsid w:val="00A12608"/>
    <w:rsid w:val="00A16B34"/>
    <w:rsid w:val="00A2172B"/>
    <w:rsid w:val="00A27BD4"/>
    <w:rsid w:val="00A34461"/>
    <w:rsid w:val="00A71773"/>
    <w:rsid w:val="00A8671A"/>
    <w:rsid w:val="00AD7324"/>
    <w:rsid w:val="00AE2C85"/>
    <w:rsid w:val="00AE3951"/>
    <w:rsid w:val="00B12A37"/>
    <w:rsid w:val="00B63EF2"/>
    <w:rsid w:val="00B76459"/>
    <w:rsid w:val="00BA7D89"/>
    <w:rsid w:val="00BC0D39"/>
    <w:rsid w:val="00BC7BC0"/>
    <w:rsid w:val="00BD0D7A"/>
    <w:rsid w:val="00BD57B7"/>
    <w:rsid w:val="00BE63E2"/>
    <w:rsid w:val="00C93B57"/>
    <w:rsid w:val="00CA26FB"/>
    <w:rsid w:val="00CB3238"/>
    <w:rsid w:val="00CD2009"/>
    <w:rsid w:val="00CD4689"/>
    <w:rsid w:val="00CF629C"/>
    <w:rsid w:val="00D92EEA"/>
    <w:rsid w:val="00DA5D4E"/>
    <w:rsid w:val="00E176BA"/>
    <w:rsid w:val="00E423EC"/>
    <w:rsid w:val="00E55121"/>
    <w:rsid w:val="00EB4FCB"/>
    <w:rsid w:val="00EC6BC5"/>
    <w:rsid w:val="00F02274"/>
    <w:rsid w:val="00F14A33"/>
    <w:rsid w:val="00F35898"/>
    <w:rsid w:val="00F37D63"/>
    <w:rsid w:val="00F4657F"/>
    <w:rsid w:val="00F5225B"/>
    <w:rsid w:val="00FB21FA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14CBB4C"/>
  <w15:docId w15:val="{426A238E-0A2E-4454-A8AC-97714CE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eg-itrs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533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sixth World Telecommunication/ICT Policy Forum (WTPF-21)</vt:lpstr>
    </vt:vector>
  </TitlesOfParts>
  <Manager>General Secretariat - Pool</Manager>
  <Company>International Telecommunication Union (ITU)</Company>
  <LinksUpToDate>false</LinksUpToDate>
  <CharactersWithSpaces>4082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Arab Republic of Egypt and the State of Kuwait - Views regarding the way on the ITRs</dc:title>
  <dc:subject>Council 2022</dc:subject>
  <dc:creator>Miliaeva, Olga</dc:creator>
  <cp:keywords>C22, C2022, Council 2022</cp:keywords>
  <dc:description/>
  <cp:lastModifiedBy>Xue, Kun</cp:lastModifiedBy>
  <cp:revision>2</cp:revision>
  <cp:lastPrinted>2006-03-28T16:12:00Z</cp:lastPrinted>
  <dcterms:created xsi:type="dcterms:W3CDTF">2022-03-12T15:34:00Z</dcterms:created>
  <dcterms:modified xsi:type="dcterms:W3CDTF">2022-03-12T15:34:00Z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