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fr-FR" w:eastAsia="fr-FR"/>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5D4EB96E" w:rsidR="002A2188" w:rsidRPr="00813E5E" w:rsidRDefault="002A2188" w:rsidP="0014634F">
            <w:pPr>
              <w:spacing w:before="0" w:line="240" w:lineRule="atLeast"/>
              <w:rPr>
                <w:szCs w:val="24"/>
              </w:rPr>
            </w:pPr>
          </w:p>
        </w:tc>
      </w:tr>
      <w:tr w:rsidR="002A2188" w:rsidRPr="0097770B" w14:paraId="15B0AE9E" w14:textId="77777777" w:rsidTr="00464B6C">
        <w:trPr>
          <w:cantSplit/>
          <w:trHeight w:val="23"/>
        </w:trPr>
        <w:tc>
          <w:tcPr>
            <w:tcW w:w="6911" w:type="dxa"/>
            <w:vMerge w:val="restart"/>
          </w:tcPr>
          <w:p w14:paraId="6F107B8A" w14:textId="0EC755AB"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FA549F">
              <w:rPr>
                <w:b/>
              </w:rPr>
              <w:t xml:space="preserve"> PL 1.10</w:t>
            </w:r>
          </w:p>
        </w:tc>
        <w:tc>
          <w:tcPr>
            <w:tcW w:w="3120" w:type="dxa"/>
          </w:tcPr>
          <w:p w14:paraId="3026064C" w14:textId="50E1DB74" w:rsidR="0097770B" w:rsidRPr="00AC184D" w:rsidRDefault="0097770B" w:rsidP="0014634F">
            <w:pPr>
              <w:tabs>
                <w:tab w:val="left" w:pos="851"/>
              </w:tabs>
              <w:spacing w:before="0" w:line="240" w:lineRule="atLeast"/>
              <w:rPr>
                <w:b/>
              </w:rPr>
            </w:pPr>
            <w:r w:rsidRPr="00AC184D">
              <w:rPr>
                <w:b/>
              </w:rPr>
              <w:t xml:space="preserve">Revision </w:t>
            </w:r>
            <w:r w:rsidR="00C71183">
              <w:rPr>
                <w:b/>
              </w:rPr>
              <w:t>2</w:t>
            </w:r>
            <w:r w:rsidR="009639B5">
              <w:rPr>
                <w:b/>
              </w:rPr>
              <w:t xml:space="preserve"> </w:t>
            </w:r>
            <w:r w:rsidRPr="00AC184D">
              <w:rPr>
                <w:b/>
              </w:rPr>
              <w:t>to</w:t>
            </w:r>
          </w:p>
          <w:p w14:paraId="66604129" w14:textId="61BD244A" w:rsidR="002A2188" w:rsidRPr="00AC184D" w:rsidRDefault="002A2188" w:rsidP="0014634F">
            <w:pPr>
              <w:tabs>
                <w:tab w:val="left" w:pos="851"/>
              </w:tabs>
              <w:spacing w:before="0" w:line="240" w:lineRule="atLeast"/>
              <w:rPr>
                <w:b/>
              </w:rPr>
            </w:pPr>
            <w:r w:rsidRPr="00AC184D">
              <w:rPr>
                <w:b/>
              </w:rPr>
              <w:t>Document C</w:t>
            </w:r>
            <w:r w:rsidR="004A1B8B" w:rsidRPr="00AC184D">
              <w:rPr>
                <w:b/>
              </w:rPr>
              <w:t>2</w:t>
            </w:r>
            <w:r w:rsidR="0014634F" w:rsidRPr="00AC184D">
              <w:rPr>
                <w:b/>
              </w:rPr>
              <w:t>2</w:t>
            </w:r>
            <w:r w:rsidRPr="00AC184D">
              <w:rPr>
                <w:b/>
              </w:rPr>
              <w:t>/</w:t>
            </w:r>
            <w:r w:rsidR="00FA549F" w:rsidRPr="00AC184D">
              <w:rPr>
                <w:b/>
              </w:rPr>
              <w:t>81</w:t>
            </w:r>
            <w:r w:rsidRPr="00AC184D">
              <w:rPr>
                <w:b/>
              </w:rPr>
              <w:t>-E</w:t>
            </w:r>
          </w:p>
        </w:tc>
      </w:tr>
      <w:tr w:rsidR="002A2188" w:rsidRPr="00813E5E" w14:paraId="275E195F" w14:textId="77777777" w:rsidTr="00464B6C">
        <w:trPr>
          <w:cantSplit/>
          <w:trHeight w:val="23"/>
        </w:trPr>
        <w:tc>
          <w:tcPr>
            <w:tcW w:w="6911" w:type="dxa"/>
            <w:vMerge/>
          </w:tcPr>
          <w:p w14:paraId="3627AC61" w14:textId="77777777" w:rsidR="002A2188" w:rsidRPr="00AC184D"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17511A8E" w:rsidR="002A2188" w:rsidRPr="00E85629" w:rsidRDefault="00C71183" w:rsidP="0014634F">
            <w:pPr>
              <w:tabs>
                <w:tab w:val="left" w:pos="993"/>
              </w:tabs>
              <w:spacing w:before="0"/>
              <w:rPr>
                <w:b/>
              </w:rPr>
            </w:pPr>
            <w:r>
              <w:rPr>
                <w:b/>
              </w:rPr>
              <w:t xml:space="preserve">23 </w:t>
            </w:r>
            <w:r w:rsidR="00FA549F">
              <w:rPr>
                <w:b/>
              </w:rPr>
              <w:t>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3818DAD1" w:rsidR="002A2188" w:rsidRPr="00813E5E" w:rsidRDefault="00FA549F" w:rsidP="00AC184D">
            <w:pPr>
              <w:pStyle w:val="Source"/>
              <w:framePr w:hSpace="0" w:wrap="auto" w:hAnchor="text" w:yAlign="inline"/>
            </w:pPr>
            <w:bookmarkStart w:id="7" w:name="dsource" w:colFirst="0" w:colLast="0"/>
            <w:bookmarkEnd w:id="6"/>
            <w:r w:rsidRPr="00FA549F">
              <w:t xml:space="preserve">Austria, </w:t>
            </w:r>
            <w:r w:rsidR="001B1210" w:rsidRPr="00FA549F">
              <w:t xml:space="preserve">Australia, </w:t>
            </w:r>
            <w:r w:rsidR="001C03F1">
              <w:t xml:space="preserve">Bahamas, </w:t>
            </w:r>
            <w:r w:rsidRPr="00FA549F">
              <w:t xml:space="preserve">Belgium, Bulgaria, </w:t>
            </w:r>
            <w:r w:rsidR="001B1210" w:rsidRPr="00FA549F">
              <w:t xml:space="preserve">Canada, </w:t>
            </w:r>
            <w:r w:rsidRPr="00FA549F">
              <w:t xml:space="preserve">Croatia, Cyprus, Czech Republic, Denmark, Estonia, Finland, France, </w:t>
            </w:r>
            <w:r w:rsidR="001B1210" w:rsidRPr="00FA549F">
              <w:t xml:space="preserve">Georgia, </w:t>
            </w:r>
            <w:r w:rsidRPr="00FA549F">
              <w:t xml:space="preserve">Germany, </w:t>
            </w:r>
            <w:r w:rsidR="00980129">
              <w:t xml:space="preserve">Ghana, </w:t>
            </w:r>
            <w:r w:rsidRPr="00FA549F">
              <w:t xml:space="preserve">Greece, Hungary, </w:t>
            </w:r>
            <w:r w:rsidR="0097770B">
              <w:t xml:space="preserve">Iceland, </w:t>
            </w:r>
            <w:r w:rsidRPr="00FA549F">
              <w:t xml:space="preserve">Ireland, </w:t>
            </w:r>
            <w:r w:rsidR="001B1210" w:rsidRPr="00FA549F">
              <w:t xml:space="preserve">Israel, </w:t>
            </w:r>
            <w:r w:rsidRPr="00FA549F">
              <w:t xml:space="preserve">Italy, </w:t>
            </w:r>
            <w:r w:rsidR="001B1210" w:rsidRPr="00FA549F">
              <w:t xml:space="preserve">Japan, </w:t>
            </w:r>
            <w:r w:rsidR="001B1210">
              <w:t xml:space="preserve">Korea (Republic of), </w:t>
            </w:r>
            <w:r w:rsidRPr="00FA549F">
              <w:t xml:space="preserve">Latvia, </w:t>
            </w:r>
            <w:r w:rsidR="00A116B1" w:rsidRPr="00A116B1">
              <w:t>Liechtenstein</w:t>
            </w:r>
            <w:r w:rsidR="00A116B1">
              <w:t xml:space="preserve">, </w:t>
            </w:r>
            <w:r w:rsidRPr="00FA549F">
              <w:t xml:space="preserve">Lithuania, Luxembourg, Malta, </w:t>
            </w:r>
            <w:r w:rsidR="00976D22">
              <w:t xml:space="preserve">Monaco, </w:t>
            </w:r>
            <w:r w:rsidR="001B1210" w:rsidRPr="00FA549F">
              <w:t xml:space="preserve">Montenegro, </w:t>
            </w:r>
            <w:r w:rsidRPr="00FA549F">
              <w:t xml:space="preserve">Netherlands, </w:t>
            </w:r>
            <w:r w:rsidR="00D449EE">
              <w:t xml:space="preserve">Niger, </w:t>
            </w:r>
            <w:r w:rsidR="00A116B1">
              <w:rPr>
                <w:rFonts w:eastAsia="Times New Roman"/>
              </w:rPr>
              <w:t xml:space="preserve">Norway, </w:t>
            </w:r>
            <w:r w:rsidRPr="00FA549F">
              <w:t>Poland, Portugal, Romania, Slovakia, Slovenia, Spain</w:t>
            </w:r>
            <w:r w:rsidR="001B1210">
              <w:t xml:space="preserve">; </w:t>
            </w:r>
            <w:r w:rsidRPr="00FA549F">
              <w:t>Sweden</w:t>
            </w:r>
            <w:r w:rsidR="0097770B">
              <w:t>,</w:t>
            </w:r>
            <w:r w:rsidR="001B1210">
              <w:t xml:space="preserve"> </w:t>
            </w:r>
            <w:r w:rsidR="0097770B">
              <w:t xml:space="preserve">Switzerland, </w:t>
            </w:r>
            <w:r w:rsidR="00035F03">
              <w:t xml:space="preserve">Turkey, </w:t>
            </w:r>
            <w:r w:rsidRPr="00FA549F">
              <w:t>Ukraine, the United Kingdom of Great Britain and Northern Ireland, and the United States of America.</w:t>
            </w:r>
          </w:p>
        </w:tc>
      </w:tr>
      <w:tr w:rsidR="002A2188" w:rsidRPr="00813E5E" w14:paraId="5B5E8CC5" w14:textId="77777777" w:rsidTr="00464B6C">
        <w:trPr>
          <w:cantSplit/>
        </w:trPr>
        <w:tc>
          <w:tcPr>
            <w:tcW w:w="10031" w:type="dxa"/>
            <w:gridSpan w:val="2"/>
          </w:tcPr>
          <w:p w14:paraId="3689B12B" w14:textId="439F6E01" w:rsidR="0025620F" w:rsidRPr="0025620F" w:rsidRDefault="00FA549F" w:rsidP="00DA50C9">
            <w:pPr>
              <w:pStyle w:val="Title1"/>
              <w:framePr w:hSpace="0" w:wrap="auto" w:hAnchor="text" w:yAlign="inline"/>
              <w:spacing w:after="120"/>
            </w:pPr>
            <w:bookmarkStart w:id="8" w:name="dtitle1" w:colFirst="0" w:colLast="0"/>
            <w:bookmarkEnd w:id="7"/>
            <w:r w:rsidRPr="00FA549F">
              <w:t xml:space="preserve">Implementation of UNGA resolution from </w:t>
            </w:r>
            <w:r w:rsidR="00A4268D">
              <w:t>2</w:t>
            </w:r>
            <w:r w:rsidRPr="00FA549F">
              <w:t xml:space="preserve"> March 2022 on “Aggression Against Ukraine”</w:t>
            </w:r>
            <w:bookmarkStart w:id="9" w:name="_Hlk98950807"/>
            <w:r w:rsidR="00DF4D81">
              <w:t xml:space="preserve"> </w:t>
            </w:r>
            <w:bookmarkEnd w:id="9"/>
          </w:p>
        </w:tc>
      </w:tr>
    </w:tbl>
    <w:bookmarkEnd w:id="8"/>
    <w:p w14:paraId="4E4A1564" w14:textId="094B7098" w:rsidR="00B3096A" w:rsidRPr="00B3096A" w:rsidRDefault="00B3096A" w:rsidP="00B3096A">
      <w:pPr>
        <w:pStyle w:val="PartNo"/>
      </w:pPr>
      <w:r w:rsidRPr="00B3096A">
        <w:t>DRAFT RESOLUTION […]</w:t>
      </w:r>
    </w:p>
    <w:p w14:paraId="5EFB89C9" w14:textId="14411211" w:rsidR="00B3096A" w:rsidRDefault="00B3096A" w:rsidP="00B3096A">
      <w:pPr>
        <w:pStyle w:val="Parttitle"/>
      </w:pPr>
      <w:r w:rsidRPr="00B3096A">
        <w:t xml:space="preserve">Assistance and support to Ukraine for rebuilding their </w:t>
      </w:r>
      <w:r>
        <w:br/>
      </w:r>
      <w:r w:rsidRPr="00B3096A">
        <w:t>telecommunication sector</w:t>
      </w:r>
    </w:p>
    <w:p w14:paraId="7839DE83" w14:textId="6CBB0D56" w:rsidR="00FA549F" w:rsidRPr="00FA549F" w:rsidRDefault="00FA549F" w:rsidP="0025620F">
      <w:pPr>
        <w:spacing w:before="240"/>
        <w:textAlignment w:val="auto"/>
      </w:pPr>
      <w:r w:rsidRPr="00FA549F">
        <w:t xml:space="preserve">The </w:t>
      </w:r>
      <w:r w:rsidR="0025620F">
        <w:t xml:space="preserve">ITU </w:t>
      </w:r>
      <w:r w:rsidRPr="00FA549F">
        <w:t>Council,</w:t>
      </w:r>
    </w:p>
    <w:p w14:paraId="5F1A2D0B" w14:textId="6460A4D7" w:rsidR="00FA549F" w:rsidRPr="00FA549F" w:rsidRDefault="00FA549F" w:rsidP="0025620F">
      <w:pPr>
        <w:keepNext/>
        <w:keepLines/>
        <w:tabs>
          <w:tab w:val="clear" w:pos="1134"/>
          <w:tab w:val="clear" w:pos="1701"/>
          <w:tab w:val="clear" w:pos="2268"/>
          <w:tab w:val="clear" w:pos="2835"/>
        </w:tabs>
        <w:spacing w:before="160"/>
        <w:textAlignment w:val="auto"/>
        <w:rPr>
          <w:i/>
        </w:rPr>
      </w:pPr>
      <w:r w:rsidRPr="00FA549F">
        <w:rPr>
          <w:i/>
        </w:rPr>
        <w:tab/>
      </w:r>
      <w:r w:rsidR="003D405A">
        <w:rPr>
          <w:i/>
        </w:rPr>
        <w:t>r</w:t>
      </w:r>
      <w:r w:rsidRPr="00FA549F">
        <w:rPr>
          <w:i/>
        </w:rPr>
        <w:t>ecalling</w:t>
      </w:r>
    </w:p>
    <w:p w14:paraId="27C0DF09" w14:textId="2F0D981A"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noble principles, purpose and objectives enshrined in the Charter of the United Nations and in the Universal Declaration of Human Rights, as well as in the Declaration of Principles adopted by the World Summit on the Information Society;</w:t>
      </w:r>
    </w:p>
    <w:p w14:paraId="2D3935F6" w14:textId="520FEACC"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efforts of the United Nations to promote sustainable development;</w:t>
      </w:r>
    </w:p>
    <w:p w14:paraId="7C24ACBD" w14:textId="0C83E81A" w:rsidR="00FA549F" w:rsidRPr="0025620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rPr>
          <w:i/>
        </w:rPr>
      </w:pPr>
      <w:r w:rsidRPr="00FA549F">
        <w:t>the purposes of the Union as enshrined in Article 1 of the ITU Constitution,</w:t>
      </w:r>
    </w:p>
    <w:p w14:paraId="2309E114" w14:textId="32106F4F" w:rsidR="00FA549F" w:rsidRPr="0025620F" w:rsidRDefault="003D405A" w:rsidP="0025620F">
      <w:pPr>
        <w:tabs>
          <w:tab w:val="clear" w:pos="567"/>
          <w:tab w:val="clear" w:pos="1134"/>
          <w:tab w:val="clear" w:pos="1701"/>
          <w:tab w:val="clear" w:pos="2268"/>
          <w:tab w:val="clear" w:pos="2835"/>
        </w:tabs>
        <w:overflowPunct/>
        <w:autoSpaceDE/>
        <w:autoSpaceDN/>
        <w:adjustRightInd/>
        <w:spacing w:before="160"/>
        <w:ind w:left="360"/>
        <w:jc w:val="both"/>
        <w:textAlignment w:val="auto"/>
        <w:rPr>
          <w:i/>
        </w:rPr>
      </w:pPr>
      <w:r>
        <w:rPr>
          <w:i/>
        </w:rPr>
        <w:t>r</w:t>
      </w:r>
      <w:r w:rsidR="00FA549F" w:rsidRPr="0025620F">
        <w:rPr>
          <w:i/>
        </w:rPr>
        <w:t>ecalling further</w:t>
      </w:r>
    </w:p>
    <w:p w14:paraId="750D10D1" w14:textId="2E755F20"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 xml:space="preserve">United Nations </w:t>
      </w:r>
      <w:r w:rsidR="00336A78">
        <w:t xml:space="preserve">General Assembly Resolution </w:t>
      </w:r>
      <w:hyperlink r:id="rId9" w:history="1">
        <w:r w:rsidR="00601CBD">
          <w:rPr>
            <w:rStyle w:val="Hyperlink"/>
          </w:rPr>
          <w:t>A/RES/ES-11/1</w:t>
        </w:r>
      </w:hyperlink>
      <w:r w:rsidR="00601CBD">
        <w:t xml:space="preserve"> </w:t>
      </w:r>
      <w:r w:rsidR="00336A78">
        <w:t>of 2</w:t>
      </w:r>
      <w:r w:rsidRPr="00FA549F">
        <w:t xml:space="preserve">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114B171E" w14:textId="27EAA310"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2018 ITU Plenipotentiary Conference Resolution 34, on Assistance and support to countries in special need for rebuilding their telecommunication sector</w:t>
      </w:r>
      <w:r w:rsidR="0025620F">
        <w:t>,</w:t>
      </w:r>
    </w:p>
    <w:p w14:paraId="08C290AD" w14:textId="5D13EDD3" w:rsidR="00FA549F" w:rsidRPr="00FA549F" w:rsidRDefault="00FA549F" w:rsidP="002161A3">
      <w:pPr>
        <w:keepNext/>
        <w:keepLines/>
        <w:spacing w:before="160"/>
        <w:textAlignment w:val="auto"/>
        <w:rPr>
          <w:i/>
          <w:lang w:val="en-US"/>
        </w:rPr>
      </w:pPr>
      <w:r w:rsidRPr="00FA549F">
        <w:rPr>
          <w:i/>
          <w:lang w:val="en-US"/>
        </w:rPr>
        <w:lastRenderedPageBreak/>
        <w:tab/>
      </w:r>
      <w:r w:rsidR="003D405A">
        <w:rPr>
          <w:i/>
          <w:lang w:val="en-US"/>
        </w:rPr>
        <w:t>r</w:t>
      </w:r>
      <w:r w:rsidRPr="00FA549F">
        <w:rPr>
          <w:i/>
          <w:lang w:val="en-US"/>
        </w:rPr>
        <w:t xml:space="preserve">eaffirming </w:t>
      </w:r>
    </w:p>
    <w:p w14:paraId="27AFA071" w14:textId="051FE30E" w:rsidR="00FA549F" w:rsidRPr="00FA549F" w:rsidRDefault="00FA549F" w:rsidP="002161A3">
      <w:pPr>
        <w:keepNext/>
        <w:keepLines/>
        <w:tabs>
          <w:tab w:val="clear" w:pos="567"/>
          <w:tab w:val="clear" w:pos="1134"/>
          <w:tab w:val="clear" w:pos="1701"/>
          <w:tab w:val="clear" w:pos="2268"/>
          <w:tab w:val="clear" w:pos="2835"/>
        </w:tabs>
        <w:overflowPunct/>
        <w:autoSpaceDE/>
        <w:autoSpaceDN/>
        <w:adjustRightInd/>
        <w:jc w:val="both"/>
        <w:textAlignment w:val="auto"/>
      </w:pPr>
      <w:r w:rsidRPr="00FA549F">
        <w:t>The sovereignty, independence, unity, and territorial integrity of Ukraine within its internationally recognized borders, extending to its territorial waters</w:t>
      </w:r>
      <w:r w:rsidR="00A05743">
        <w:t>,</w:t>
      </w:r>
      <w:r w:rsidRPr="00FA549F">
        <w:t xml:space="preserve"> </w:t>
      </w:r>
    </w:p>
    <w:p w14:paraId="0DB05E50" w14:textId="2E590E6B" w:rsidR="00FA549F" w:rsidRPr="00FA549F" w:rsidRDefault="00FA549F" w:rsidP="0025620F">
      <w:pPr>
        <w:spacing w:before="160"/>
        <w:textAlignment w:val="auto"/>
        <w:rPr>
          <w:i/>
          <w:lang w:val="en-US"/>
        </w:rPr>
      </w:pPr>
      <w:r w:rsidRPr="00FA549F">
        <w:rPr>
          <w:i/>
          <w:lang w:val="en-US"/>
        </w:rPr>
        <w:tab/>
      </w:r>
      <w:r w:rsidR="003D405A">
        <w:rPr>
          <w:i/>
          <w:lang w:val="en-US"/>
        </w:rPr>
        <w:t>r</w:t>
      </w:r>
      <w:r w:rsidRPr="00FA549F">
        <w:rPr>
          <w:i/>
          <w:lang w:val="en-US"/>
        </w:rPr>
        <w:t xml:space="preserve">eiterating the ITU commitment </w:t>
      </w:r>
    </w:p>
    <w:p w14:paraId="3421DD6B" w14:textId="2A7669C4"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“promote the adoption of measures for ensuring the safety of life through the cooperation of telecommunication services”</w:t>
      </w:r>
      <w:r w:rsidR="0025620F">
        <w:t>,</w:t>
      </w:r>
    </w:p>
    <w:p w14:paraId="0E062CE8" w14:textId="5088D16A" w:rsidR="00FA549F" w:rsidRPr="00FA549F" w:rsidRDefault="00FA549F" w:rsidP="0025620F">
      <w:pPr>
        <w:spacing w:before="160"/>
        <w:jc w:val="both"/>
        <w:textAlignment w:val="auto"/>
        <w:rPr>
          <w:i/>
        </w:rPr>
      </w:pPr>
      <w:r w:rsidRPr="00FA549F">
        <w:rPr>
          <w:i/>
        </w:rPr>
        <w:tab/>
      </w:r>
      <w:r w:rsidR="003D405A">
        <w:rPr>
          <w:i/>
        </w:rPr>
        <w:t>d</w:t>
      </w:r>
      <w:r w:rsidRPr="00FA549F">
        <w:rPr>
          <w:i/>
        </w:rPr>
        <w:t>eploring in this regard</w:t>
      </w:r>
    </w:p>
    <w:p w14:paraId="6E74B37B" w14:textId="54B7FBEE"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rPr>
          <w:szCs w:val="24"/>
        </w:rPr>
      </w:pPr>
      <w:r w:rsidRPr="00FA549F">
        <w:rPr>
          <w:szCs w:val="24"/>
        </w:rPr>
        <w:t>Widespread destruction of critical infrastructure, failure of telecom services and mobile phone outages that have occurred across Ukraine since the beginning of the war</w:t>
      </w:r>
      <w:r w:rsidR="0025620F">
        <w:rPr>
          <w:szCs w:val="24"/>
        </w:rPr>
        <w:t>,</w:t>
      </w:r>
    </w:p>
    <w:p w14:paraId="0E165C30" w14:textId="33E3A312"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lang w:val="pl-PL"/>
        </w:rPr>
        <w:t xml:space="preserve">resolves to </w:t>
      </w:r>
      <w:r w:rsidRPr="00FA549F">
        <w:rPr>
          <w:i/>
        </w:rPr>
        <w:t>instruct</w:t>
      </w:r>
      <w:r w:rsidR="00FA549F" w:rsidRPr="00FA549F">
        <w:rPr>
          <w:i/>
        </w:rPr>
        <w:t xml:space="preserve"> the </w:t>
      </w:r>
      <w:r w:rsidR="00A05743">
        <w:rPr>
          <w:i/>
        </w:rPr>
        <w:t xml:space="preserve">Directors of the three Bureaux </w:t>
      </w:r>
    </w:p>
    <w:p w14:paraId="1D84D29C" w14:textId="0D56A656"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monitor and provide regular reports on the particular needs of Ukraine in the field of telecommunications, and to prepare proposals for effective technical assistance</w:t>
      </w:r>
      <w:r w:rsidR="0025620F">
        <w:t>;</w:t>
      </w:r>
    </w:p>
    <w:p w14:paraId="0B906B7D" w14:textId="0D28832E"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carry out an assessment on the impact of the war in Ukraine to ITU programmes and activities in the region, and provide a report thereon</w:t>
      </w:r>
      <w:r w:rsidR="0025620F">
        <w:t>;</w:t>
      </w:r>
    </w:p>
    <w:p w14:paraId="3E785275" w14:textId="3EF3B5F7"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ensure adequate financial and human resources mobilization, including under the internal budget and the Information and Communication Technology Development Fund, for the implementation of the proposed actions</w:t>
      </w:r>
      <w:r w:rsidR="00A05743">
        <w:t>,</w:t>
      </w:r>
    </w:p>
    <w:p w14:paraId="05EE8670" w14:textId="1B81E9D3"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rPr>
        <w:t>i</w:t>
      </w:r>
      <w:r w:rsidR="00FA549F" w:rsidRPr="00FA549F">
        <w:rPr>
          <w:i/>
        </w:rPr>
        <w:t>nstructs the Secretary-General</w:t>
      </w:r>
    </w:p>
    <w:p w14:paraId="12158B89" w14:textId="2D06DB7E"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 xml:space="preserve">to coordinate the activities carried out by the three Sectors of the Union in accordance with </w:t>
      </w:r>
      <w:r w:rsidRPr="003D405A">
        <w:rPr>
          <w:i/>
          <w:iCs/>
        </w:rPr>
        <w:t>resolves</w:t>
      </w:r>
      <w:r w:rsidR="009D520B">
        <w:rPr>
          <w:i/>
          <w:iCs/>
        </w:rPr>
        <w:t xml:space="preserve"> </w:t>
      </w:r>
      <w:r w:rsidRPr="00FA549F">
        <w:t>above, to ensure that the Union's action in favour of Ukraine is as effective as possible, and to provide a report on the matter to the 2022 Plenipotentiary conference and to the Council meeting in 2023</w:t>
      </w:r>
      <w:r w:rsidR="0025620F">
        <w:t>,</w:t>
      </w:r>
      <w:r w:rsidR="00573ECD">
        <w:t xml:space="preserve"> and future meetings and conferences as appropriate. </w:t>
      </w:r>
    </w:p>
    <w:p w14:paraId="33BBDCD6" w14:textId="499A869B" w:rsidR="00FA549F" w:rsidRPr="00FA549F" w:rsidRDefault="00FA549F" w:rsidP="0025620F">
      <w:pPr>
        <w:spacing w:before="160"/>
        <w:jc w:val="both"/>
        <w:textAlignment w:val="auto"/>
        <w:rPr>
          <w:i/>
          <w:iCs/>
          <w:color w:val="000000"/>
        </w:rPr>
      </w:pPr>
      <w:r w:rsidRPr="00FA549F">
        <w:rPr>
          <w:i/>
          <w:iCs/>
          <w:color w:val="000000"/>
        </w:rPr>
        <w:tab/>
      </w:r>
      <w:r w:rsidR="003D405A">
        <w:rPr>
          <w:i/>
          <w:iCs/>
          <w:color w:val="000000"/>
        </w:rPr>
        <w:t>i</w:t>
      </w:r>
      <w:r w:rsidRPr="00FA549F">
        <w:rPr>
          <w:i/>
          <w:iCs/>
          <w:color w:val="000000"/>
        </w:rPr>
        <w:t xml:space="preserve">nvites </w:t>
      </w:r>
      <w:r w:rsidR="00A05743">
        <w:rPr>
          <w:i/>
          <w:iCs/>
          <w:color w:val="000000"/>
        </w:rPr>
        <w:t>M</w:t>
      </w:r>
      <w:r w:rsidRPr="00FA549F">
        <w:rPr>
          <w:i/>
          <w:iCs/>
          <w:color w:val="000000"/>
        </w:rPr>
        <w:t xml:space="preserve">ember </w:t>
      </w:r>
      <w:r w:rsidR="00A05743">
        <w:rPr>
          <w:i/>
          <w:iCs/>
          <w:color w:val="000000"/>
        </w:rPr>
        <w:t>S</w:t>
      </w:r>
      <w:r w:rsidRPr="00FA549F">
        <w:rPr>
          <w:i/>
          <w:iCs/>
          <w:color w:val="000000"/>
        </w:rPr>
        <w:t>tates</w:t>
      </w:r>
    </w:p>
    <w:p w14:paraId="187909DB" w14:textId="2086877B"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make contributions to the WTDC-21 and PP-22 to support ITU efforts to rebuild Ukraine’s telecommunication infrastructure and necessary support and technical capacity building</w:t>
      </w:r>
      <w:r>
        <w:t>.</w:t>
      </w:r>
    </w:p>
    <w:p w14:paraId="05530AD2" w14:textId="77777777" w:rsidR="00FA549F" w:rsidRDefault="00FA549F" w:rsidP="0025620F">
      <w:pPr>
        <w:spacing w:before="840"/>
        <w:jc w:val="center"/>
      </w:pPr>
      <w:r>
        <w:t>______________</w:t>
      </w:r>
    </w:p>
    <w:sectPr w:rsidR="00FA549F"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16C8" w14:textId="77777777" w:rsidR="00245A1C" w:rsidRDefault="00245A1C">
      <w:r>
        <w:separator/>
      </w:r>
    </w:p>
  </w:endnote>
  <w:endnote w:type="continuationSeparator" w:id="0">
    <w:p w14:paraId="7043A0B2" w14:textId="77777777" w:rsidR="00245A1C" w:rsidRDefault="002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2A6142CA" w:rsidR="00CB18FF" w:rsidRPr="00047BC8" w:rsidRDefault="00A67194">
    <w:pPr>
      <w:pStyle w:val="Footer"/>
      <w:rPr>
        <w:color w:val="D9D9D9" w:themeColor="background1" w:themeShade="D9"/>
      </w:rPr>
    </w:pPr>
    <w:r w:rsidRPr="00047BC8">
      <w:rPr>
        <w:color w:val="D9D9D9" w:themeColor="background1" w:themeShade="D9"/>
      </w:rPr>
      <w:fldChar w:fldCharType="begin"/>
    </w:r>
    <w:r w:rsidRPr="00047BC8">
      <w:rPr>
        <w:color w:val="D9D9D9" w:themeColor="background1" w:themeShade="D9"/>
      </w:rPr>
      <w:instrText xml:space="preserve"> FILENAME \p  \* MERGEFORMAT </w:instrText>
    </w:r>
    <w:r w:rsidRPr="00047BC8">
      <w:rPr>
        <w:color w:val="D9D9D9" w:themeColor="background1" w:themeShade="D9"/>
      </w:rPr>
      <w:fldChar w:fldCharType="separate"/>
    </w:r>
    <w:r w:rsidR="0014634F" w:rsidRPr="00047BC8">
      <w:rPr>
        <w:color w:val="D9D9D9" w:themeColor="background1" w:themeShade="D9"/>
      </w:rPr>
      <w:t>Document1</w:t>
    </w:r>
    <w:r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SAVEDATE \@ DD.MM.YY </w:instrText>
    </w:r>
    <w:r w:rsidR="00864AFF" w:rsidRPr="00047BC8">
      <w:rPr>
        <w:color w:val="D9D9D9" w:themeColor="background1" w:themeShade="D9"/>
      </w:rPr>
      <w:fldChar w:fldCharType="separate"/>
    </w:r>
    <w:r w:rsidR="002B67B2">
      <w:rPr>
        <w:color w:val="D9D9D9" w:themeColor="background1" w:themeShade="D9"/>
      </w:rPr>
      <w:t>23.03.22</w:t>
    </w:r>
    <w:r w:rsidR="00864AFF"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PRINTDATE \@ DD.MM.YY </w:instrText>
    </w:r>
    <w:r w:rsidR="00864AFF" w:rsidRPr="00047BC8">
      <w:rPr>
        <w:color w:val="D9D9D9" w:themeColor="background1" w:themeShade="D9"/>
      </w:rPr>
      <w:fldChar w:fldCharType="separate"/>
    </w:r>
    <w:r w:rsidR="0014634F" w:rsidRPr="00047BC8">
      <w:rPr>
        <w:color w:val="D9D9D9" w:themeColor="background1" w:themeShade="D9"/>
      </w:rPr>
      <w:t>18.07.00</w:t>
    </w:r>
    <w:r w:rsidR="00864AFF" w:rsidRPr="00047BC8">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FE4A" w14:textId="77777777" w:rsidR="00245A1C" w:rsidRDefault="00245A1C">
      <w:r>
        <w:t>____________________</w:t>
      </w:r>
    </w:p>
  </w:footnote>
  <w:footnote w:type="continuationSeparator" w:id="0">
    <w:p w14:paraId="511EE67E" w14:textId="77777777" w:rsidR="00245A1C" w:rsidRDefault="0024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D449EE">
      <w:rPr>
        <w:noProof/>
      </w:rPr>
      <w:t>2</w:t>
    </w:r>
    <w:r>
      <w:rPr>
        <w:noProof/>
      </w:rPr>
      <w:fldChar w:fldCharType="end"/>
    </w:r>
  </w:p>
  <w:p w14:paraId="4948958C" w14:textId="7AC43A46"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FA549F">
      <w:rPr>
        <w:bCs/>
      </w:rPr>
      <w:t>81</w:t>
    </w:r>
    <w:r w:rsidR="0044099F">
      <w:rPr>
        <w:bCs/>
      </w:rPr>
      <w:t>(Rev.</w:t>
    </w:r>
    <w:r w:rsidR="00C71183">
      <w:rPr>
        <w:bCs/>
      </w:rPr>
      <w:t>2</w:t>
    </w:r>
    <w:r w:rsidR="0044099F">
      <w:rPr>
        <w:bCs/>
      </w:rPr>
      <w:t>)</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67E2B"/>
    <w:multiLevelType w:val="hybridMultilevel"/>
    <w:tmpl w:val="3162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9094C"/>
    <w:multiLevelType w:val="hybridMultilevel"/>
    <w:tmpl w:val="5930E96C"/>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4F42F7"/>
    <w:multiLevelType w:val="hybridMultilevel"/>
    <w:tmpl w:val="751AF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970CE"/>
    <w:multiLevelType w:val="hybridMultilevel"/>
    <w:tmpl w:val="CFAC7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31C64"/>
    <w:rsid w:val="00035F03"/>
    <w:rsid w:val="00047BC8"/>
    <w:rsid w:val="00063016"/>
    <w:rsid w:val="00066795"/>
    <w:rsid w:val="000707A8"/>
    <w:rsid w:val="00076AF6"/>
    <w:rsid w:val="00085CF2"/>
    <w:rsid w:val="000B1705"/>
    <w:rsid w:val="000D75B2"/>
    <w:rsid w:val="001121F5"/>
    <w:rsid w:val="001400DC"/>
    <w:rsid w:val="00140CE1"/>
    <w:rsid w:val="0014634F"/>
    <w:rsid w:val="0017539C"/>
    <w:rsid w:val="00175AC2"/>
    <w:rsid w:val="0017609F"/>
    <w:rsid w:val="001B1210"/>
    <w:rsid w:val="001C03F1"/>
    <w:rsid w:val="001C628E"/>
    <w:rsid w:val="001E0F7B"/>
    <w:rsid w:val="002119FD"/>
    <w:rsid w:val="002130E0"/>
    <w:rsid w:val="002161A3"/>
    <w:rsid w:val="00245A1C"/>
    <w:rsid w:val="0025620F"/>
    <w:rsid w:val="00264425"/>
    <w:rsid w:val="00265875"/>
    <w:rsid w:val="0027303B"/>
    <w:rsid w:val="0028109B"/>
    <w:rsid w:val="002A2188"/>
    <w:rsid w:val="002B1F58"/>
    <w:rsid w:val="002B67B2"/>
    <w:rsid w:val="002C1C7A"/>
    <w:rsid w:val="0030160F"/>
    <w:rsid w:val="00320223"/>
    <w:rsid w:val="00322D0D"/>
    <w:rsid w:val="00336A78"/>
    <w:rsid w:val="00343E55"/>
    <w:rsid w:val="00363286"/>
    <w:rsid w:val="003942D4"/>
    <w:rsid w:val="003958A8"/>
    <w:rsid w:val="003C2533"/>
    <w:rsid w:val="003D405A"/>
    <w:rsid w:val="0040435A"/>
    <w:rsid w:val="00416A24"/>
    <w:rsid w:val="00431D9E"/>
    <w:rsid w:val="00433CE8"/>
    <w:rsid w:val="00434A5C"/>
    <w:rsid w:val="0044099F"/>
    <w:rsid w:val="004544D9"/>
    <w:rsid w:val="00490E72"/>
    <w:rsid w:val="00491157"/>
    <w:rsid w:val="004921C8"/>
    <w:rsid w:val="004A1B8B"/>
    <w:rsid w:val="004B55D5"/>
    <w:rsid w:val="004D1851"/>
    <w:rsid w:val="004D599D"/>
    <w:rsid w:val="004E2EA5"/>
    <w:rsid w:val="004E3AEB"/>
    <w:rsid w:val="004F2593"/>
    <w:rsid w:val="0050223C"/>
    <w:rsid w:val="00507F88"/>
    <w:rsid w:val="005243FF"/>
    <w:rsid w:val="00564FBC"/>
    <w:rsid w:val="00573ECD"/>
    <w:rsid w:val="00582442"/>
    <w:rsid w:val="005A22F1"/>
    <w:rsid w:val="005F3269"/>
    <w:rsid w:val="005F32AE"/>
    <w:rsid w:val="00601CBD"/>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639B5"/>
    <w:rsid w:val="00976D22"/>
    <w:rsid w:val="0097770B"/>
    <w:rsid w:val="00980129"/>
    <w:rsid w:val="009B38C3"/>
    <w:rsid w:val="009D520B"/>
    <w:rsid w:val="009E17BD"/>
    <w:rsid w:val="009E485A"/>
    <w:rsid w:val="009E6FA7"/>
    <w:rsid w:val="00A04CEC"/>
    <w:rsid w:val="00A05743"/>
    <w:rsid w:val="00A116B1"/>
    <w:rsid w:val="00A27F92"/>
    <w:rsid w:val="00A32257"/>
    <w:rsid w:val="00A36D20"/>
    <w:rsid w:val="00A4268D"/>
    <w:rsid w:val="00A55622"/>
    <w:rsid w:val="00A67194"/>
    <w:rsid w:val="00A83502"/>
    <w:rsid w:val="00AC184D"/>
    <w:rsid w:val="00AD15B3"/>
    <w:rsid w:val="00AF6E49"/>
    <w:rsid w:val="00B04A67"/>
    <w:rsid w:val="00B0583C"/>
    <w:rsid w:val="00B15D1F"/>
    <w:rsid w:val="00B3096A"/>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71183"/>
    <w:rsid w:val="00CA6393"/>
    <w:rsid w:val="00CB18FF"/>
    <w:rsid w:val="00CD0C08"/>
    <w:rsid w:val="00CE03FB"/>
    <w:rsid w:val="00CE433C"/>
    <w:rsid w:val="00CF33F3"/>
    <w:rsid w:val="00D06183"/>
    <w:rsid w:val="00D22C42"/>
    <w:rsid w:val="00D24014"/>
    <w:rsid w:val="00D449EE"/>
    <w:rsid w:val="00D65041"/>
    <w:rsid w:val="00DA50C9"/>
    <w:rsid w:val="00DB384B"/>
    <w:rsid w:val="00DF4D81"/>
    <w:rsid w:val="00E10E80"/>
    <w:rsid w:val="00E124F0"/>
    <w:rsid w:val="00E3513C"/>
    <w:rsid w:val="00E60F04"/>
    <w:rsid w:val="00E854E4"/>
    <w:rsid w:val="00EB0D6F"/>
    <w:rsid w:val="00EB2232"/>
    <w:rsid w:val="00EC5337"/>
    <w:rsid w:val="00F2150A"/>
    <w:rsid w:val="00F231D8"/>
    <w:rsid w:val="00F46C5F"/>
    <w:rsid w:val="00F62C2F"/>
    <w:rsid w:val="00F94A63"/>
    <w:rsid w:val="00FA1C28"/>
    <w:rsid w:val="00FA549F"/>
    <w:rsid w:val="00FB1279"/>
    <w:rsid w:val="00FB7596"/>
    <w:rsid w:val="00FE2D8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C184D"/>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5620F"/>
    <w:pPr>
      <w:ind w:left="720"/>
      <w:contextualSpacing/>
    </w:pPr>
  </w:style>
  <w:style w:type="paragraph" w:styleId="Revision">
    <w:name w:val="Revision"/>
    <w:hidden/>
    <w:uiPriority w:val="99"/>
    <w:semiHidden/>
    <w:rsid w:val="0097770B"/>
    <w:rPr>
      <w:rFonts w:ascii="Calibri" w:hAnsi="Calibri"/>
      <w:sz w:val="24"/>
      <w:lang w:val="en-GB" w:eastAsia="en-US"/>
    </w:rPr>
  </w:style>
  <w:style w:type="paragraph" w:styleId="BalloonText">
    <w:name w:val="Balloon Text"/>
    <w:basedOn w:val="Normal"/>
    <w:link w:val="BalloonTextChar"/>
    <w:semiHidden/>
    <w:unhideWhenUsed/>
    <w:rsid w:val="00DF4D8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4D8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1319">
      <w:bodyDiv w:val="1"/>
      <w:marLeft w:val="0"/>
      <w:marRight w:val="0"/>
      <w:marTop w:val="0"/>
      <w:marBottom w:val="0"/>
      <w:divBdr>
        <w:top w:val="none" w:sz="0" w:space="0" w:color="auto"/>
        <w:left w:val="none" w:sz="0" w:space="0" w:color="auto"/>
        <w:bottom w:val="none" w:sz="0" w:space="0" w:color="auto"/>
        <w:right w:val="none" w:sz="0" w:space="0" w:color="auto"/>
      </w:divBdr>
    </w:div>
    <w:div w:id="10769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library.un.org/record/3965290?ln=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C3C4-97F9-479D-AA2C-84483D69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Implementation of UNGA resolution from 3 March 2022 on “Aggression Against Ukraine”</vt:lpstr>
      <vt:lpstr>Implementation of UNGA resolution from 3 March 2022 on “Aggression Against Ukraine”</vt:lpstr>
    </vt:vector>
  </TitlesOfParts>
  <Manager>General Secretariat - Pool</Manager>
  <Company>International Telecommunication Union (ITU)</Company>
  <LinksUpToDate>false</LinksUpToDate>
  <CharactersWithSpaces>3542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UNGA resolution from 3 March 2022 on “Aggression Against Ukraine”</dc:title>
  <dc:subject>Council 2022</dc:subject>
  <dc:creator>Brouard, Ricarda</dc:creator>
  <cp:keywords>C2022, C22, Council-22</cp:keywords>
  <dc:description/>
  <cp:lastModifiedBy>Xue, Kun</cp:lastModifiedBy>
  <cp:revision>3</cp:revision>
  <cp:lastPrinted>2000-07-18T13:30:00Z</cp:lastPrinted>
  <dcterms:created xsi:type="dcterms:W3CDTF">2022-03-24T13:42:00Z</dcterms:created>
  <dcterms:modified xsi:type="dcterms:W3CDTF">2022-03-24T13:43:00Z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