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9F1A61" w14:paraId="48555F6C" w14:textId="77777777" w:rsidTr="00464B6C">
        <w:trPr>
          <w:cantSplit/>
        </w:trPr>
        <w:tc>
          <w:tcPr>
            <w:tcW w:w="6911" w:type="dxa"/>
          </w:tcPr>
          <w:p w14:paraId="17DEFEF8" w14:textId="67574F26" w:rsidR="002A2188" w:rsidRPr="009F1A61" w:rsidRDefault="002A2188" w:rsidP="00B84B9D">
            <w:pPr>
              <w:spacing w:before="360" w:after="48" w:line="240" w:lineRule="atLeast"/>
              <w:rPr>
                <w:position w:val="6"/>
              </w:rPr>
            </w:pPr>
            <w:bookmarkStart w:id="0" w:name="dc06"/>
            <w:bookmarkStart w:id="1" w:name="_Hlk66378539"/>
            <w:bookmarkEnd w:id="0"/>
            <w:r w:rsidRPr="009F1A61">
              <w:rPr>
                <w:b/>
                <w:bCs/>
                <w:position w:val="6"/>
                <w:sz w:val="30"/>
                <w:szCs w:val="30"/>
              </w:rPr>
              <w:t>Council 20</w:t>
            </w:r>
            <w:r w:rsidR="004A1B8B" w:rsidRPr="009F1A61">
              <w:rPr>
                <w:b/>
                <w:bCs/>
                <w:position w:val="6"/>
                <w:sz w:val="30"/>
                <w:szCs w:val="30"/>
              </w:rPr>
              <w:t>2</w:t>
            </w:r>
            <w:r w:rsidR="0014634F" w:rsidRPr="009F1A61">
              <w:rPr>
                <w:b/>
                <w:bCs/>
                <w:position w:val="6"/>
                <w:sz w:val="30"/>
                <w:szCs w:val="30"/>
              </w:rPr>
              <w:t>2</w:t>
            </w:r>
            <w:r w:rsidRPr="009F1A61">
              <w:rPr>
                <w:rFonts w:cs="Times"/>
                <w:b/>
                <w:position w:val="6"/>
                <w:sz w:val="26"/>
                <w:szCs w:val="26"/>
              </w:rPr>
              <w:br/>
            </w:r>
            <w:bookmarkEnd w:id="1"/>
            <w:r w:rsidR="0014634F" w:rsidRPr="009F1A61">
              <w:rPr>
                <w:b/>
                <w:bCs/>
                <w:position w:val="6"/>
                <w:sz w:val="26"/>
                <w:szCs w:val="26"/>
              </w:rPr>
              <w:t>Geneva, 21-31 March 2022</w:t>
            </w:r>
          </w:p>
        </w:tc>
        <w:tc>
          <w:tcPr>
            <w:tcW w:w="3120" w:type="dxa"/>
          </w:tcPr>
          <w:p w14:paraId="60E83C12" w14:textId="77777777" w:rsidR="002A2188" w:rsidRPr="009F1A61" w:rsidRDefault="004A1B8B" w:rsidP="004A1B8B">
            <w:pPr>
              <w:spacing w:before="0" w:line="240" w:lineRule="atLeast"/>
            </w:pPr>
            <w:bookmarkStart w:id="2" w:name="ditulogo"/>
            <w:bookmarkEnd w:id="2"/>
            <w:r w:rsidRPr="009F1A61">
              <w:rPr>
                <w:noProof/>
                <w:lang w:val="en-US"/>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9F1A61" w14:paraId="06DC308F" w14:textId="77777777" w:rsidTr="00464B6C">
        <w:trPr>
          <w:cantSplit/>
        </w:trPr>
        <w:tc>
          <w:tcPr>
            <w:tcW w:w="6911" w:type="dxa"/>
            <w:tcBorders>
              <w:bottom w:val="single" w:sz="12" w:space="0" w:color="auto"/>
            </w:tcBorders>
          </w:tcPr>
          <w:p w14:paraId="0E3A86C2" w14:textId="77777777" w:rsidR="002A2188" w:rsidRPr="009F1A61"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9F1A61" w:rsidRDefault="002A2188" w:rsidP="0014634F">
            <w:pPr>
              <w:spacing w:before="0" w:line="240" w:lineRule="atLeast"/>
              <w:rPr>
                <w:szCs w:val="24"/>
              </w:rPr>
            </w:pPr>
          </w:p>
        </w:tc>
      </w:tr>
      <w:tr w:rsidR="002A2188" w:rsidRPr="009F1A61" w14:paraId="5887DC04" w14:textId="77777777" w:rsidTr="00464B6C">
        <w:trPr>
          <w:cantSplit/>
        </w:trPr>
        <w:tc>
          <w:tcPr>
            <w:tcW w:w="6911" w:type="dxa"/>
            <w:tcBorders>
              <w:top w:val="single" w:sz="12" w:space="0" w:color="auto"/>
            </w:tcBorders>
          </w:tcPr>
          <w:p w14:paraId="483F91B9" w14:textId="77777777" w:rsidR="002A2188" w:rsidRPr="009F1A61"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9F1A61" w:rsidRDefault="002A2188" w:rsidP="0014634F">
            <w:pPr>
              <w:spacing w:before="0" w:line="240" w:lineRule="atLeast"/>
              <w:rPr>
                <w:szCs w:val="24"/>
              </w:rPr>
            </w:pPr>
          </w:p>
        </w:tc>
      </w:tr>
      <w:tr w:rsidR="002A2188" w:rsidRPr="009F1A61" w14:paraId="15B0AE9E" w14:textId="77777777" w:rsidTr="00464B6C">
        <w:trPr>
          <w:cantSplit/>
          <w:trHeight w:val="23"/>
        </w:trPr>
        <w:tc>
          <w:tcPr>
            <w:tcW w:w="6911" w:type="dxa"/>
            <w:vMerge w:val="restart"/>
          </w:tcPr>
          <w:p w14:paraId="6F107B8A" w14:textId="761E64A8" w:rsidR="002A2188" w:rsidRPr="009F1A61" w:rsidRDefault="002A2188" w:rsidP="0014634F">
            <w:pPr>
              <w:tabs>
                <w:tab w:val="left" w:pos="851"/>
              </w:tabs>
              <w:spacing w:before="0" w:line="240" w:lineRule="atLeast"/>
              <w:rPr>
                <w:b/>
              </w:rPr>
            </w:pPr>
            <w:bookmarkStart w:id="3" w:name="dmeeting" w:colFirst="0" w:colLast="0"/>
            <w:bookmarkStart w:id="4" w:name="dnum" w:colFirst="1" w:colLast="1"/>
          </w:p>
        </w:tc>
        <w:tc>
          <w:tcPr>
            <w:tcW w:w="3120" w:type="dxa"/>
          </w:tcPr>
          <w:p w14:paraId="66604129" w14:textId="010E21AE" w:rsidR="002A2188" w:rsidRPr="009F1A61" w:rsidRDefault="002A2188" w:rsidP="0014634F">
            <w:pPr>
              <w:tabs>
                <w:tab w:val="left" w:pos="851"/>
              </w:tabs>
              <w:spacing w:before="0" w:line="240" w:lineRule="atLeast"/>
              <w:rPr>
                <w:b/>
              </w:rPr>
            </w:pPr>
            <w:r w:rsidRPr="009F1A61">
              <w:rPr>
                <w:b/>
              </w:rPr>
              <w:t>Document C</w:t>
            </w:r>
            <w:r w:rsidR="004A1B8B" w:rsidRPr="009F1A61">
              <w:rPr>
                <w:b/>
              </w:rPr>
              <w:t>2</w:t>
            </w:r>
            <w:r w:rsidR="0014634F" w:rsidRPr="009F1A61">
              <w:rPr>
                <w:b/>
              </w:rPr>
              <w:t>2</w:t>
            </w:r>
            <w:r w:rsidRPr="009F1A61">
              <w:rPr>
                <w:b/>
              </w:rPr>
              <w:t>/</w:t>
            </w:r>
            <w:r w:rsidR="00CB285A">
              <w:rPr>
                <w:b/>
              </w:rPr>
              <w:t>90</w:t>
            </w:r>
            <w:r w:rsidRPr="009F1A61">
              <w:rPr>
                <w:b/>
              </w:rPr>
              <w:t>-E</w:t>
            </w:r>
          </w:p>
        </w:tc>
      </w:tr>
      <w:tr w:rsidR="002A2188" w:rsidRPr="009F1A61" w14:paraId="275E195F" w14:textId="77777777" w:rsidTr="00464B6C">
        <w:trPr>
          <w:cantSplit/>
          <w:trHeight w:val="23"/>
        </w:trPr>
        <w:tc>
          <w:tcPr>
            <w:tcW w:w="6911" w:type="dxa"/>
            <w:vMerge/>
          </w:tcPr>
          <w:p w14:paraId="3627AC61" w14:textId="77777777" w:rsidR="002A2188" w:rsidRPr="009F1A61"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046C3989" w:rsidR="002A2188" w:rsidRPr="009F1A61" w:rsidRDefault="00CB285A" w:rsidP="0014634F">
            <w:pPr>
              <w:tabs>
                <w:tab w:val="left" w:pos="993"/>
              </w:tabs>
              <w:spacing w:before="0"/>
              <w:rPr>
                <w:b/>
              </w:rPr>
            </w:pPr>
            <w:r>
              <w:rPr>
                <w:b/>
              </w:rPr>
              <w:t>4 April</w:t>
            </w:r>
            <w:r w:rsidR="002A2188" w:rsidRPr="009F1A61">
              <w:rPr>
                <w:b/>
              </w:rPr>
              <w:t xml:space="preserve"> 20</w:t>
            </w:r>
            <w:r w:rsidR="004A1B8B" w:rsidRPr="009F1A61">
              <w:rPr>
                <w:b/>
              </w:rPr>
              <w:t>2</w:t>
            </w:r>
            <w:r w:rsidR="00E3513C" w:rsidRPr="009F1A61">
              <w:rPr>
                <w:b/>
              </w:rPr>
              <w:t>2</w:t>
            </w:r>
          </w:p>
        </w:tc>
      </w:tr>
      <w:tr w:rsidR="002A2188" w:rsidRPr="009F1A61" w14:paraId="29B42488" w14:textId="77777777" w:rsidTr="00464B6C">
        <w:trPr>
          <w:cantSplit/>
          <w:trHeight w:val="23"/>
        </w:trPr>
        <w:tc>
          <w:tcPr>
            <w:tcW w:w="6911" w:type="dxa"/>
            <w:vMerge/>
          </w:tcPr>
          <w:p w14:paraId="6000182B" w14:textId="77777777" w:rsidR="002A2188" w:rsidRPr="009F1A61"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9F1A61" w:rsidRDefault="002A2188" w:rsidP="0014634F">
            <w:pPr>
              <w:tabs>
                <w:tab w:val="left" w:pos="993"/>
              </w:tabs>
              <w:spacing w:before="0"/>
              <w:rPr>
                <w:b/>
              </w:rPr>
            </w:pPr>
            <w:r w:rsidRPr="009F1A61">
              <w:rPr>
                <w:b/>
              </w:rPr>
              <w:t>Original: English</w:t>
            </w:r>
          </w:p>
        </w:tc>
      </w:tr>
      <w:tr w:rsidR="00836B35" w:rsidRPr="009F1A61" w14:paraId="79546A94" w14:textId="77777777" w:rsidTr="00464B6C">
        <w:trPr>
          <w:cantSplit/>
        </w:trPr>
        <w:tc>
          <w:tcPr>
            <w:tcW w:w="10031" w:type="dxa"/>
            <w:gridSpan w:val="2"/>
          </w:tcPr>
          <w:p w14:paraId="78FC167C" w14:textId="77777777" w:rsidR="00836B35" w:rsidRPr="009F1A61" w:rsidRDefault="00836B35" w:rsidP="000076D7">
            <w:pPr>
              <w:jc w:val="center"/>
              <w:rPr>
                <w:szCs w:val="24"/>
              </w:rPr>
            </w:pPr>
            <w:bookmarkStart w:id="7" w:name="dsource" w:colFirst="0" w:colLast="0"/>
            <w:bookmarkEnd w:id="6"/>
            <w:r w:rsidRPr="009F1A61">
              <w:rPr>
                <w:szCs w:val="24"/>
              </w:rPr>
              <w:t>SUMMARY RECORD</w:t>
            </w:r>
          </w:p>
          <w:p w14:paraId="79F7810A" w14:textId="77777777" w:rsidR="00836B35" w:rsidRPr="009F1A61" w:rsidRDefault="00836B35" w:rsidP="000076D7">
            <w:pPr>
              <w:jc w:val="center"/>
              <w:rPr>
                <w:szCs w:val="24"/>
              </w:rPr>
            </w:pPr>
            <w:r w:rsidRPr="009F1A61">
              <w:rPr>
                <w:szCs w:val="24"/>
              </w:rPr>
              <w:t>OF THE</w:t>
            </w:r>
          </w:p>
          <w:p w14:paraId="7EEA3085" w14:textId="13B6A9D2" w:rsidR="00836B35" w:rsidRPr="009F1A61" w:rsidRDefault="0001160A" w:rsidP="000076D7">
            <w:pPr>
              <w:jc w:val="center"/>
              <w:rPr>
                <w:szCs w:val="24"/>
              </w:rPr>
            </w:pPr>
            <w:r>
              <w:rPr>
                <w:szCs w:val="24"/>
              </w:rPr>
              <w:t>FIFTH</w:t>
            </w:r>
            <w:r w:rsidR="000076D7" w:rsidRPr="009F1A61">
              <w:rPr>
                <w:szCs w:val="24"/>
              </w:rPr>
              <w:t xml:space="preserve"> </w:t>
            </w:r>
            <w:r w:rsidR="00836B35" w:rsidRPr="009F1A61">
              <w:rPr>
                <w:szCs w:val="24"/>
              </w:rPr>
              <w:t>PLENARY MEETING</w:t>
            </w:r>
          </w:p>
        </w:tc>
      </w:tr>
      <w:tr w:rsidR="00836B35" w:rsidRPr="009F1A61" w14:paraId="5B5E8CC5" w14:textId="77777777" w:rsidTr="00464B6C">
        <w:trPr>
          <w:cantSplit/>
        </w:trPr>
        <w:tc>
          <w:tcPr>
            <w:tcW w:w="10031" w:type="dxa"/>
            <w:gridSpan w:val="2"/>
          </w:tcPr>
          <w:p w14:paraId="3689B12B" w14:textId="5B657C3A" w:rsidR="00836B35" w:rsidRPr="009F1A61" w:rsidRDefault="001535DE" w:rsidP="00E82844">
            <w:pPr>
              <w:pStyle w:val="Title1"/>
              <w:rPr>
                <w:sz w:val="24"/>
                <w:szCs w:val="24"/>
              </w:rPr>
            </w:pPr>
            <w:bookmarkStart w:id="8" w:name="dtitle1" w:colFirst="0" w:colLast="0"/>
            <w:bookmarkEnd w:id="7"/>
            <w:r>
              <w:rPr>
                <w:caps w:val="0"/>
                <w:sz w:val="24"/>
                <w:szCs w:val="24"/>
              </w:rPr>
              <w:t>Monday</w:t>
            </w:r>
            <w:r w:rsidR="00836B35" w:rsidRPr="009F1A61">
              <w:rPr>
                <w:caps w:val="0"/>
                <w:sz w:val="24"/>
                <w:szCs w:val="24"/>
              </w:rPr>
              <w:t xml:space="preserve">, </w:t>
            </w:r>
            <w:r w:rsidR="003162F3" w:rsidRPr="009F1A61">
              <w:rPr>
                <w:caps w:val="0"/>
                <w:sz w:val="24"/>
                <w:szCs w:val="24"/>
              </w:rPr>
              <w:t>2</w:t>
            </w:r>
            <w:r>
              <w:rPr>
                <w:caps w:val="0"/>
                <w:sz w:val="24"/>
                <w:szCs w:val="24"/>
              </w:rPr>
              <w:t>8</w:t>
            </w:r>
            <w:r w:rsidR="00836B35" w:rsidRPr="009F1A61">
              <w:rPr>
                <w:caps w:val="0"/>
                <w:sz w:val="24"/>
                <w:szCs w:val="24"/>
              </w:rPr>
              <w:t xml:space="preserve"> </w:t>
            </w:r>
            <w:r w:rsidR="000076D7" w:rsidRPr="009F1A61">
              <w:rPr>
                <w:caps w:val="0"/>
                <w:sz w:val="24"/>
                <w:szCs w:val="24"/>
              </w:rPr>
              <w:t>March 2022</w:t>
            </w:r>
            <w:r w:rsidR="00836B35" w:rsidRPr="009F1A61">
              <w:rPr>
                <w:caps w:val="0"/>
                <w:sz w:val="24"/>
                <w:szCs w:val="24"/>
              </w:rPr>
              <w:t xml:space="preserve">, from </w:t>
            </w:r>
            <w:r w:rsidR="00440D7E">
              <w:rPr>
                <w:caps w:val="0"/>
                <w:sz w:val="24"/>
                <w:szCs w:val="24"/>
              </w:rPr>
              <w:t>093</w:t>
            </w:r>
            <w:r w:rsidR="008940D9">
              <w:rPr>
                <w:caps w:val="0"/>
                <w:sz w:val="24"/>
                <w:szCs w:val="24"/>
              </w:rPr>
              <w:t>5</w:t>
            </w:r>
            <w:r w:rsidR="00836B35" w:rsidRPr="009F1A61">
              <w:rPr>
                <w:caps w:val="0"/>
                <w:sz w:val="24"/>
                <w:szCs w:val="24"/>
              </w:rPr>
              <w:t xml:space="preserve"> to </w:t>
            </w:r>
            <w:r w:rsidR="00440D7E" w:rsidRPr="00444B66">
              <w:rPr>
                <w:caps w:val="0"/>
                <w:sz w:val="24"/>
                <w:szCs w:val="24"/>
              </w:rPr>
              <w:t>12</w:t>
            </w:r>
            <w:r w:rsidR="00E82844" w:rsidRPr="00444B66">
              <w:rPr>
                <w:caps w:val="0"/>
                <w:sz w:val="24"/>
                <w:szCs w:val="24"/>
              </w:rPr>
              <w:t>5</w:t>
            </w:r>
            <w:r w:rsidR="00440D7E" w:rsidRPr="00444B66">
              <w:rPr>
                <w:caps w:val="0"/>
                <w:sz w:val="24"/>
                <w:szCs w:val="24"/>
              </w:rPr>
              <w:t>0</w:t>
            </w:r>
            <w:r w:rsidR="00836B35" w:rsidRPr="009F1A61">
              <w:rPr>
                <w:caps w:val="0"/>
                <w:sz w:val="24"/>
                <w:szCs w:val="24"/>
              </w:rPr>
              <w:t xml:space="preserve"> hours</w:t>
            </w:r>
          </w:p>
        </w:tc>
      </w:tr>
      <w:tr w:rsidR="00836B35" w:rsidRPr="009F1A61" w14:paraId="6746C63C" w14:textId="77777777" w:rsidTr="00464B6C">
        <w:trPr>
          <w:cantSplit/>
        </w:trPr>
        <w:tc>
          <w:tcPr>
            <w:tcW w:w="10031" w:type="dxa"/>
            <w:gridSpan w:val="2"/>
          </w:tcPr>
          <w:p w14:paraId="58B9B44D" w14:textId="46E7E4C8" w:rsidR="00836B35" w:rsidRPr="009F1A61" w:rsidRDefault="002751DC" w:rsidP="002751DC">
            <w:pPr>
              <w:jc w:val="center"/>
              <w:rPr>
                <w:rFonts w:asciiTheme="minorHAnsi" w:hAnsiTheme="minorHAnsi" w:cstheme="minorHAnsi"/>
                <w:szCs w:val="24"/>
              </w:rPr>
            </w:pPr>
            <w:r w:rsidRPr="00CB285A">
              <w:rPr>
                <w:rFonts w:asciiTheme="minorHAnsi" w:hAnsiTheme="minorHAnsi" w:cstheme="minorHAnsi"/>
                <w:b/>
                <w:bCs/>
                <w:szCs w:val="24"/>
              </w:rPr>
              <w:t>Chairman</w:t>
            </w:r>
            <w:r w:rsidR="00836B35" w:rsidRPr="009F1A61">
              <w:rPr>
                <w:rFonts w:asciiTheme="minorHAnsi" w:hAnsiTheme="minorHAnsi" w:cstheme="minorHAnsi"/>
                <w:szCs w:val="24"/>
              </w:rPr>
              <w:t xml:space="preserve">: </w:t>
            </w:r>
            <w:r w:rsidR="002A7BB3" w:rsidRPr="009F1A61">
              <w:rPr>
                <w:rFonts w:asciiTheme="minorHAnsi" w:hAnsiTheme="minorHAnsi" w:cstheme="minorHAnsi"/>
                <w:color w:val="000000"/>
                <w:u w:color="000000"/>
              </w:rPr>
              <w:t xml:space="preserve">Mr </w:t>
            </w:r>
            <w:r w:rsidR="00795437" w:rsidRPr="009F1A61">
              <w:rPr>
                <w:rFonts w:asciiTheme="minorHAnsi" w:hAnsiTheme="minorHAnsi" w:cstheme="minorHAnsi"/>
                <w:color w:val="000000"/>
                <w:u w:color="000000"/>
              </w:rPr>
              <w:t>S. BIN GHELAITA</w:t>
            </w:r>
            <w:r w:rsidR="002A7BB3" w:rsidRPr="009F1A61">
              <w:rPr>
                <w:rFonts w:asciiTheme="minorHAnsi" w:hAnsiTheme="minorHAnsi" w:cstheme="minorHAnsi"/>
                <w:szCs w:val="24"/>
              </w:rPr>
              <w:t xml:space="preserve"> </w:t>
            </w:r>
            <w:r w:rsidR="0089577C" w:rsidRPr="009F1A61">
              <w:rPr>
                <w:rFonts w:asciiTheme="minorHAnsi" w:hAnsiTheme="minorHAnsi" w:cstheme="minorHAnsi"/>
                <w:szCs w:val="24"/>
              </w:rPr>
              <w:t>(</w:t>
            </w:r>
            <w:r w:rsidR="00795437" w:rsidRPr="009F1A61">
              <w:rPr>
                <w:rFonts w:asciiTheme="minorHAnsi" w:hAnsiTheme="minorHAnsi" w:cstheme="minorHAnsi"/>
                <w:szCs w:val="24"/>
              </w:rPr>
              <w:t>United Arab Emirates</w:t>
            </w:r>
            <w:r w:rsidR="00836B35" w:rsidRPr="009F1A61">
              <w:rPr>
                <w:rFonts w:asciiTheme="minorHAnsi" w:hAnsiTheme="minorHAnsi" w:cstheme="minorHAnsi"/>
                <w:szCs w:val="24"/>
              </w:rPr>
              <w:t>)</w:t>
            </w:r>
          </w:p>
        </w:tc>
      </w:tr>
      <w:bookmarkEnd w:id="8"/>
    </w:tbl>
    <w:p w14:paraId="50E9E4D0" w14:textId="7C6831E4" w:rsidR="008713A8" w:rsidRPr="009F1A61" w:rsidRDefault="008713A8" w:rsidP="000076D7">
      <w:pPr>
        <w:pStyle w:val="NormalWeb"/>
        <w:spacing w:before="840" w:beforeAutospacing="0" w:after="0" w:afterAutospacing="0"/>
        <w:rPr>
          <w:rFonts w:asciiTheme="minorHAnsi" w:hAnsiTheme="minorHAnsi" w:cstheme="minorHAnsi"/>
        </w:rPr>
      </w:pPr>
    </w:p>
    <w:tbl>
      <w:tblPr>
        <w:tblW w:w="5221" w:type="pct"/>
        <w:tblLook w:val="0000" w:firstRow="0" w:lastRow="0" w:firstColumn="0" w:lastColumn="0" w:noHBand="0" w:noVBand="0"/>
      </w:tblPr>
      <w:tblGrid>
        <w:gridCol w:w="505"/>
        <w:gridCol w:w="7575"/>
        <w:gridCol w:w="1985"/>
      </w:tblGrid>
      <w:tr w:rsidR="000076D7" w:rsidRPr="009F1A61" w14:paraId="3E66672D" w14:textId="77777777" w:rsidTr="00A66E97">
        <w:tc>
          <w:tcPr>
            <w:tcW w:w="251" w:type="pct"/>
          </w:tcPr>
          <w:p w14:paraId="6486EDF8" w14:textId="77777777" w:rsidR="000076D7" w:rsidRPr="009F1A61" w:rsidRDefault="000076D7" w:rsidP="00A66E97">
            <w:pPr>
              <w:pStyle w:val="toc0"/>
              <w:spacing w:after="120"/>
              <w:jc w:val="both"/>
            </w:pPr>
            <w:r w:rsidRPr="009F1A61">
              <w:rPr>
                <w:b w:val="0"/>
              </w:rPr>
              <w:br w:type="page"/>
            </w:r>
            <w:r w:rsidRPr="009F1A61">
              <w:rPr>
                <w:b w:val="0"/>
              </w:rPr>
              <w:br w:type="page"/>
            </w:r>
          </w:p>
        </w:tc>
        <w:tc>
          <w:tcPr>
            <w:tcW w:w="3763" w:type="pct"/>
          </w:tcPr>
          <w:p w14:paraId="27642EFE" w14:textId="77777777" w:rsidR="000076D7" w:rsidRPr="009F1A61" w:rsidRDefault="000076D7" w:rsidP="00A66E97">
            <w:pPr>
              <w:pStyle w:val="toc0"/>
              <w:spacing w:after="120"/>
              <w:jc w:val="both"/>
            </w:pPr>
            <w:r w:rsidRPr="009F1A61">
              <w:t>Subjects discussed</w:t>
            </w:r>
          </w:p>
        </w:tc>
        <w:tc>
          <w:tcPr>
            <w:tcW w:w="986" w:type="pct"/>
          </w:tcPr>
          <w:p w14:paraId="496B8F54" w14:textId="77777777" w:rsidR="000076D7" w:rsidRPr="009F1A61" w:rsidRDefault="000076D7" w:rsidP="00A66E97">
            <w:pPr>
              <w:pStyle w:val="toc0"/>
              <w:spacing w:after="120"/>
              <w:jc w:val="both"/>
            </w:pPr>
            <w:r w:rsidRPr="009F1A61">
              <w:t>Documents</w:t>
            </w:r>
          </w:p>
        </w:tc>
      </w:tr>
      <w:tr w:rsidR="000D45A5" w:rsidRPr="009F1A61" w14:paraId="7319EDF6" w14:textId="77777777" w:rsidTr="00A66E97">
        <w:tc>
          <w:tcPr>
            <w:tcW w:w="251" w:type="pct"/>
          </w:tcPr>
          <w:p w14:paraId="2F23B115" w14:textId="2CCA5DFF" w:rsidR="000D45A5" w:rsidRPr="009F1A61" w:rsidRDefault="00CD7C42" w:rsidP="00A66E97">
            <w:pPr>
              <w:jc w:val="both"/>
            </w:pPr>
            <w:r w:rsidRPr="009F1A61">
              <w:t>1</w:t>
            </w:r>
          </w:p>
        </w:tc>
        <w:tc>
          <w:tcPr>
            <w:tcW w:w="3763" w:type="pct"/>
          </w:tcPr>
          <w:p w14:paraId="074D4248" w14:textId="2FCD4312" w:rsidR="000D45A5" w:rsidRPr="009F1A61" w:rsidRDefault="001535DE" w:rsidP="00A66E97">
            <w:pPr>
              <w:jc w:val="both"/>
            </w:pPr>
            <w:bookmarkStart w:id="9" w:name="_Hlk99359218"/>
            <w:r>
              <w:rPr>
                <w:rFonts w:asciiTheme="minorHAnsi" w:hAnsiTheme="minorHAnsi" w:cstheme="minorHAnsi"/>
                <w:szCs w:val="24"/>
              </w:rPr>
              <w:t xml:space="preserve">Report of the Council Working Group for </w:t>
            </w:r>
            <w:r w:rsidR="00CF72D5">
              <w:rPr>
                <w:rFonts w:asciiTheme="minorHAnsi" w:hAnsiTheme="minorHAnsi" w:cstheme="minorHAnsi"/>
                <w:szCs w:val="24"/>
              </w:rPr>
              <w:t>s</w:t>
            </w:r>
            <w:r>
              <w:rPr>
                <w:rFonts w:asciiTheme="minorHAnsi" w:hAnsiTheme="minorHAnsi" w:cstheme="minorHAnsi"/>
                <w:szCs w:val="24"/>
              </w:rPr>
              <w:t xml:space="preserve">trategic and </w:t>
            </w:r>
            <w:r w:rsidR="00CF72D5">
              <w:rPr>
                <w:rFonts w:asciiTheme="minorHAnsi" w:hAnsiTheme="minorHAnsi" w:cstheme="minorHAnsi"/>
                <w:szCs w:val="24"/>
              </w:rPr>
              <w:t>f</w:t>
            </w:r>
            <w:r>
              <w:rPr>
                <w:rFonts w:asciiTheme="minorHAnsi" w:hAnsiTheme="minorHAnsi" w:cstheme="minorHAnsi"/>
                <w:szCs w:val="24"/>
              </w:rPr>
              <w:t xml:space="preserve">inancial </w:t>
            </w:r>
            <w:r w:rsidR="00CF72D5">
              <w:rPr>
                <w:rFonts w:asciiTheme="minorHAnsi" w:hAnsiTheme="minorHAnsi" w:cstheme="minorHAnsi"/>
                <w:szCs w:val="24"/>
              </w:rPr>
              <w:t>p</w:t>
            </w:r>
            <w:r>
              <w:rPr>
                <w:rFonts w:asciiTheme="minorHAnsi" w:hAnsiTheme="minorHAnsi" w:cstheme="minorHAnsi"/>
                <w:szCs w:val="24"/>
              </w:rPr>
              <w:t>lans</w:t>
            </w:r>
            <w:r w:rsidR="00CF72D5">
              <w:rPr>
                <w:rFonts w:asciiTheme="minorHAnsi" w:hAnsiTheme="minorHAnsi" w:cstheme="minorHAnsi"/>
                <w:szCs w:val="24"/>
              </w:rPr>
              <w:t xml:space="preserve"> </w:t>
            </w:r>
            <w:r w:rsidR="00834D4B">
              <w:rPr>
                <w:rFonts w:asciiTheme="minorHAnsi" w:hAnsiTheme="minorHAnsi" w:cstheme="minorHAnsi"/>
                <w:szCs w:val="24"/>
              </w:rPr>
              <w:t>2024</w:t>
            </w:r>
            <w:r w:rsidR="00FC7670">
              <w:rPr>
                <w:rFonts w:asciiTheme="minorHAnsi" w:hAnsiTheme="minorHAnsi" w:cstheme="minorHAnsi"/>
                <w:szCs w:val="24"/>
              </w:rPr>
              <w:noBreakHyphen/>
            </w:r>
            <w:r w:rsidR="00834D4B">
              <w:rPr>
                <w:rFonts w:asciiTheme="minorHAnsi" w:hAnsiTheme="minorHAnsi" w:cstheme="minorHAnsi"/>
                <w:szCs w:val="24"/>
              </w:rPr>
              <w:t>2027</w:t>
            </w:r>
            <w:r w:rsidR="00834D4B" w:rsidRPr="00CF72D5">
              <w:rPr>
                <w:rFonts w:asciiTheme="minorHAnsi" w:hAnsiTheme="minorHAnsi" w:cstheme="minorHAnsi"/>
                <w:szCs w:val="24"/>
              </w:rPr>
              <w:t xml:space="preserve"> </w:t>
            </w:r>
            <w:r w:rsidR="00CF72D5" w:rsidRPr="00CF72D5">
              <w:rPr>
                <w:rFonts w:asciiTheme="minorHAnsi" w:hAnsiTheme="minorHAnsi" w:cstheme="minorHAnsi"/>
                <w:szCs w:val="24"/>
              </w:rPr>
              <w:t>(CWG</w:t>
            </w:r>
            <w:r w:rsidR="00834D4B">
              <w:rPr>
                <w:rFonts w:asciiTheme="minorHAnsi" w:hAnsiTheme="minorHAnsi" w:cstheme="minorHAnsi"/>
                <w:szCs w:val="24"/>
              </w:rPr>
              <w:noBreakHyphen/>
            </w:r>
            <w:r w:rsidR="00CF72D5" w:rsidRPr="00CF72D5">
              <w:rPr>
                <w:rFonts w:asciiTheme="minorHAnsi" w:hAnsiTheme="minorHAnsi" w:cstheme="minorHAnsi"/>
                <w:szCs w:val="24"/>
              </w:rPr>
              <w:t>SFP)</w:t>
            </w:r>
            <w:r>
              <w:rPr>
                <w:rFonts w:asciiTheme="minorHAnsi" w:hAnsiTheme="minorHAnsi" w:cstheme="minorHAnsi"/>
                <w:szCs w:val="24"/>
              </w:rPr>
              <w:t xml:space="preserve"> </w:t>
            </w:r>
            <w:bookmarkEnd w:id="9"/>
          </w:p>
        </w:tc>
        <w:tc>
          <w:tcPr>
            <w:tcW w:w="986" w:type="pct"/>
          </w:tcPr>
          <w:p w14:paraId="39F47ADB" w14:textId="12F9EB75" w:rsidR="000D45A5" w:rsidRPr="009F1A61" w:rsidRDefault="00863A12" w:rsidP="004B48DA">
            <w:pPr>
              <w:jc w:val="center"/>
            </w:pPr>
            <w:hyperlink r:id="rId9" w:history="1">
              <w:r w:rsidR="000D45A5" w:rsidRPr="001F2DEC">
                <w:rPr>
                  <w:rStyle w:val="Hyperlink"/>
                </w:rPr>
                <w:t>C22/</w:t>
              </w:r>
              <w:r w:rsidR="001535DE" w:rsidRPr="001F2DEC">
                <w:rPr>
                  <w:rStyle w:val="Hyperlink"/>
                </w:rPr>
                <w:t>27</w:t>
              </w:r>
              <w:r w:rsidR="00834D4B" w:rsidRPr="001F2DEC">
                <w:rPr>
                  <w:rStyle w:val="Hyperlink"/>
                </w:rPr>
                <w:t>(Rev.2)</w:t>
              </w:r>
            </w:hyperlink>
          </w:p>
        </w:tc>
      </w:tr>
      <w:tr w:rsidR="000D45A5" w:rsidRPr="009F1A61" w14:paraId="2EAA94CF" w14:textId="77777777" w:rsidTr="00A66E97">
        <w:tc>
          <w:tcPr>
            <w:tcW w:w="251" w:type="pct"/>
          </w:tcPr>
          <w:p w14:paraId="2FDF5F6B" w14:textId="0161FF7E" w:rsidR="000D45A5" w:rsidRPr="009F1A61" w:rsidRDefault="00CD7C42" w:rsidP="00A66E97">
            <w:pPr>
              <w:jc w:val="both"/>
            </w:pPr>
            <w:r w:rsidRPr="009F1A61">
              <w:t>2</w:t>
            </w:r>
          </w:p>
        </w:tc>
        <w:tc>
          <w:tcPr>
            <w:tcW w:w="3763" w:type="pct"/>
          </w:tcPr>
          <w:p w14:paraId="275C4FC2" w14:textId="4C18E9B5" w:rsidR="000D45A5" w:rsidRPr="009F1A61" w:rsidRDefault="00D059CF" w:rsidP="00A66E97">
            <w:pPr>
              <w:jc w:val="both"/>
              <w:rPr>
                <w:rFonts w:asciiTheme="minorHAnsi" w:hAnsiTheme="minorHAnsi" w:cstheme="minorHAnsi"/>
                <w:szCs w:val="24"/>
              </w:rPr>
            </w:pPr>
            <w:bookmarkStart w:id="10" w:name="_Hlk99360089"/>
            <w:r>
              <w:rPr>
                <w:rFonts w:asciiTheme="minorHAnsi" w:hAnsiTheme="minorHAnsi" w:cstheme="minorHAnsi"/>
                <w:bCs/>
                <w:szCs w:val="24"/>
              </w:rPr>
              <w:t>World Summit on the Information Society (WSIS)</w:t>
            </w:r>
            <w:r w:rsidR="001379AA">
              <w:rPr>
                <w:rFonts w:asciiTheme="minorHAnsi" w:hAnsiTheme="minorHAnsi" w:cstheme="minorHAnsi"/>
                <w:bCs/>
                <w:szCs w:val="24"/>
              </w:rPr>
              <w:t xml:space="preserve">+20: WSIS beyond 2025 – WSIS+20 </w:t>
            </w:r>
            <w:r w:rsidR="00FC7670">
              <w:rPr>
                <w:rFonts w:asciiTheme="minorHAnsi" w:hAnsiTheme="minorHAnsi" w:cstheme="minorHAnsi"/>
                <w:bCs/>
                <w:szCs w:val="24"/>
              </w:rPr>
              <w:t>r</w:t>
            </w:r>
            <w:r w:rsidR="001379AA">
              <w:rPr>
                <w:rFonts w:asciiTheme="minorHAnsi" w:hAnsiTheme="minorHAnsi" w:cstheme="minorHAnsi"/>
                <w:bCs/>
                <w:szCs w:val="24"/>
              </w:rPr>
              <w:t>oadmap</w:t>
            </w:r>
            <w:bookmarkEnd w:id="10"/>
          </w:p>
        </w:tc>
        <w:tc>
          <w:tcPr>
            <w:tcW w:w="986" w:type="pct"/>
          </w:tcPr>
          <w:p w14:paraId="1B6C8EAF" w14:textId="0BF681A2" w:rsidR="000D45A5" w:rsidRPr="009F1A61" w:rsidRDefault="00863A12" w:rsidP="004B48DA">
            <w:pPr>
              <w:jc w:val="center"/>
            </w:pPr>
            <w:hyperlink r:id="rId10" w:history="1">
              <w:r w:rsidR="004B48DA" w:rsidRPr="001F2DEC">
                <w:rPr>
                  <w:rStyle w:val="Hyperlink"/>
                </w:rPr>
                <w:t>C22/</w:t>
              </w:r>
              <w:r w:rsidR="001379AA" w:rsidRPr="001F2DEC">
                <w:rPr>
                  <w:rStyle w:val="Hyperlink"/>
                </w:rPr>
                <w:t>59</w:t>
              </w:r>
            </w:hyperlink>
            <w:r w:rsidR="00834D4B">
              <w:t>,</w:t>
            </w:r>
            <w:r w:rsidR="001379AA">
              <w:br/>
            </w:r>
            <w:hyperlink r:id="rId11" w:history="1">
              <w:r w:rsidR="001379AA" w:rsidRPr="001F2DEC">
                <w:rPr>
                  <w:rStyle w:val="Hyperlink"/>
                </w:rPr>
                <w:t>C22/74</w:t>
              </w:r>
            </w:hyperlink>
            <w:r w:rsidR="00834D4B">
              <w:t>,</w:t>
            </w:r>
            <w:r w:rsidR="001379AA">
              <w:br/>
            </w:r>
            <w:hyperlink r:id="rId12" w:history="1">
              <w:r w:rsidR="001379AA" w:rsidRPr="001F2DEC">
                <w:rPr>
                  <w:rStyle w:val="Hyperlink"/>
                </w:rPr>
                <w:t>C22/76</w:t>
              </w:r>
            </w:hyperlink>
          </w:p>
        </w:tc>
      </w:tr>
      <w:tr w:rsidR="004B48DA" w:rsidRPr="009F1A61" w14:paraId="75AB2F25" w14:textId="77777777" w:rsidTr="00A66E97">
        <w:tc>
          <w:tcPr>
            <w:tcW w:w="251" w:type="pct"/>
          </w:tcPr>
          <w:p w14:paraId="020D7322" w14:textId="57714EF2" w:rsidR="004B48DA" w:rsidRPr="009F1A61" w:rsidRDefault="00CD7C42" w:rsidP="00A66E97">
            <w:pPr>
              <w:jc w:val="both"/>
            </w:pPr>
            <w:r w:rsidRPr="009F1A61">
              <w:t>3</w:t>
            </w:r>
          </w:p>
        </w:tc>
        <w:tc>
          <w:tcPr>
            <w:tcW w:w="3763" w:type="pct"/>
          </w:tcPr>
          <w:p w14:paraId="5906991F" w14:textId="2CB8F03E" w:rsidR="004B48DA" w:rsidRPr="00721747" w:rsidRDefault="00C4786C" w:rsidP="00A66E97">
            <w:pPr>
              <w:jc w:val="both"/>
              <w:rPr>
                <w:rFonts w:asciiTheme="minorHAnsi" w:hAnsiTheme="minorHAnsi" w:cstheme="minorHAnsi"/>
                <w:bCs/>
                <w:szCs w:val="24"/>
              </w:rPr>
            </w:pPr>
            <w:r w:rsidRPr="00721747">
              <w:rPr>
                <w:rFonts w:asciiTheme="minorHAnsi" w:hAnsiTheme="minorHAnsi" w:cstheme="minorHAnsi"/>
                <w:bCs/>
                <w:szCs w:val="24"/>
              </w:rPr>
              <w:t>Draft Guidelines for the utilization of the Global Cybersecurity Agenda (GCA) by ITU (continued)</w:t>
            </w:r>
          </w:p>
        </w:tc>
        <w:tc>
          <w:tcPr>
            <w:tcW w:w="986" w:type="pct"/>
          </w:tcPr>
          <w:p w14:paraId="6D2D15D3" w14:textId="114133E9" w:rsidR="004B48DA" w:rsidRPr="00721747" w:rsidRDefault="00863A12" w:rsidP="004B48DA">
            <w:pPr>
              <w:jc w:val="center"/>
            </w:pPr>
            <w:hyperlink r:id="rId13" w:history="1">
              <w:r w:rsidR="004B48DA" w:rsidRPr="001F2DEC">
                <w:rPr>
                  <w:rStyle w:val="Hyperlink"/>
                </w:rPr>
                <w:t>C22/</w:t>
              </w:r>
              <w:r w:rsidR="00C4786C" w:rsidRPr="001F2DEC">
                <w:rPr>
                  <w:rStyle w:val="Hyperlink"/>
                </w:rPr>
                <w:t>32(Rev.</w:t>
              </w:r>
              <w:r w:rsidR="00721747" w:rsidRPr="001F2DEC">
                <w:rPr>
                  <w:rStyle w:val="Hyperlink"/>
                </w:rPr>
                <w:t>2</w:t>
              </w:r>
              <w:r w:rsidR="00C4786C" w:rsidRPr="001F2DEC">
                <w:rPr>
                  <w:rStyle w:val="Hyperlink"/>
                </w:rPr>
                <w:t>)</w:t>
              </w:r>
            </w:hyperlink>
          </w:p>
        </w:tc>
      </w:tr>
      <w:tr w:rsidR="004B48DA" w:rsidRPr="009F1A61" w14:paraId="418D826F" w14:textId="77777777" w:rsidTr="00A66E97">
        <w:tc>
          <w:tcPr>
            <w:tcW w:w="251" w:type="pct"/>
          </w:tcPr>
          <w:p w14:paraId="7428B2C4" w14:textId="0BB2F986" w:rsidR="004B48DA" w:rsidRPr="009F1A61" w:rsidRDefault="00CD7C42" w:rsidP="00A66E97">
            <w:pPr>
              <w:jc w:val="both"/>
            </w:pPr>
            <w:r w:rsidRPr="009F1A61">
              <w:t>4</w:t>
            </w:r>
          </w:p>
        </w:tc>
        <w:tc>
          <w:tcPr>
            <w:tcW w:w="3763" w:type="pct"/>
          </w:tcPr>
          <w:p w14:paraId="585F0F8C" w14:textId="5A163637" w:rsidR="004B48DA" w:rsidRPr="000F2E5E" w:rsidRDefault="00C4786C" w:rsidP="000F2E5E">
            <w:pPr>
              <w:jc w:val="both"/>
              <w:rPr>
                <w:rFonts w:cstheme="minorHAnsi"/>
                <w:bCs/>
                <w:szCs w:val="24"/>
              </w:rPr>
            </w:pPr>
            <w:bookmarkStart w:id="11" w:name="_Hlk99365385"/>
            <w:r>
              <w:rPr>
                <w:rFonts w:cstheme="minorHAnsi"/>
                <w:bCs/>
                <w:szCs w:val="24"/>
              </w:rPr>
              <w:t>Report on ITU accessibility policy and framework implementation</w:t>
            </w:r>
            <w:bookmarkEnd w:id="11"/>
          </w:p>
        </w:tc>
        <w:tc>
          <w:tcPr>
            <w:tcW w:w="986" w:type="pct"/>
          </w:tcPr>
          <w:p w14:paraId="51E461EC" w14:textId="4CC27C00" w:rsidR="004B48DA" w:rsidRPr="009F1A61" w:rsidRDefault="00863A12" w:rsidP="000F2E5E">
            <w:pPr>
              <w:jc w:val="center"/>
            </w:pPr>
            <w:hyperlink r:id="rId14" w:history="1">
              <w:r w:rsidR="004B48DA" w:rsidRPr="001F2DEC">
                <w:rPr>
                  <w:rStyle w:val="Hyperlink"/>
                </w:rPr>
                <w:t>C22</w:t>
              </w:r>
              <w:r w:rsidR="00C4786C" w:rsidRPr="001F2DEC">
                <w:rPr>
                  <w:rStyle w:val="Hyperlink"/>
                </w:rPr>
                <w:t>/13(Rev.1)</w:t>
              </w:r>
            </w:hyperlink>
          </w:p>
        </w:tc>
      </w:tr>
      <w:tr w:rsidR="004B48DA" w:rsidRPr="009F1A61" w14:paraId="726E08EE" w14:textId="77777777" w:rsidTr="00A66E97">
        <w:tc>
          <w:tcPr>
            <w:tcW w:w="251" w:type="pct"/>
          </w:tcPr>
          <w:p w14:paraId="1C8365BF" w14:textId="0EE32180" w:rsidR="004B48DA" w:rsidRPr="009F1A61" w:rsidRDefault="00CD7C42" w:rsidP="00A66E97">
            <w:pPr>
              <w:jc w:val="both"/>
            </w:pPr>
            <w:r w:rsidRPr="009F1A61">
              <w:t>5</w:t>
            </w:r>
          </w:p>
        </w:tc>
        <w:tc>
          <w:tcPr>
            <w:tcW w:w="3763" w:type="pct"/>
          </w:tcPr>
          <w:p w14:paraId="77E31DA2" w14:textId="1DE1FC0D" w:rsidR="004B48DA" w:rsidRPr="009F1A61" w:rsidRDefault="00C4786C" w:rsidP="004B48DA">
            <w:pPr>
              <w:jc w:val="both"/>
              <w:rPr>
                <w:rFonts w:asciiTheme="minorHAnsi" w:hAnsiTheme="minorHAnsi" w:cstheme="minorHAnsi"/>
                <w:bCs/>
                <w:szCs w:val="24"/>
              </w:rPr>
            </w:pPr>
            <w:r>
              <w:rPr>
                <w:rFonts w:asciiTheme="minorHAnsi" w:hAnsiTheme="minorHAnsi" w:cstheme="minorHAnsi"/>
                <w:bCs/>
                <w:szCs w:val="24"/>
              </w:rPr>
              <w:t>ITU’s activities related to Resolution 70 (Rev. Dubai, 2018)</w:t>
            </w:r>
          </w:p>
        </w:tc>
        <w:tc>
          <w:tcPr>
            <w:tcW w:w="986" w:type="pct"/>
          </w:tcPr>
          <w:p w14:paraId="5EF4DA78" w14:textId="3583086E" w:rsidR="004B48DA" w:rsidRPr="009F1A61" w:rsidRDefault="00863A12" w:rsidP="004B48DA">
            <w:pPr>
              <w:jc w:val="center"/>
            </w:pPr>
            <w:hyperlink r:id="rId15" w:history="1">
              <w:r w:rsidR="004B48DA" w:rsidRPr="001F2DEC">
                <w:rPr>
                  <w:rStyle w:val="Hyperlink"/>
                </w:rPr>
                <w:t>C22/</w:t>
              </w:r>
              <w:r w:rsidR="00C4786C" w:rsidRPr="001F2DEC">
                <w:rPr>
                  <w:rStyle w:val="Hyperlink"/>
                </w:rPr>
                <w:t>6</w:t>
              </w:r>
            </w:hyperlink>
          </w:p>
        </w:tc>
      </w:tr>
      <w:tr w:rsidR="00AA6B9B" w:rsidRPr="009F1A61" w14:paraId="49524046" w14:textId="77777777" w:rsidTr="00A66E97">
        <w:tc>
          <w:tcPr>
            <w:tcW w:w="251" w:type="pct"/>
          </w:tcPr>
          <w:p w14:paraId="15E9C025" w14:textId="1F075E4A" w:rsidR="00AA6B9B" w:rsidRPr="009F1A61" w:rsidRDefault="00AA6B9B" w:rsidP="00A66E97">
            <w:pPr>
              <w:jc w:val="both"/>
            </w:pPr>
            <w:r>
              <w:t>6</w:t>
            </w:r>
          </w:p>
        </w:tc>
        <w:tc>
          <w:tcPr>
            <w:tcW w:w="3763" w:type="pct"/>
          </w:tcPr>
          <w:p w14:paraId="437D164B" w14:textId="7E14ABC0" w:rsidR="00AA6B9B" w:rsidRPr="00725397" w:rsidRDefault="003C5F39" w:rsidP="004B48DA">
            <w:pPr>
              <w:jc w:val="both"/>
              <w:rPr>
                <w:rFonts w:asciiTheme="minorHAnsi" w:hAnsiTheme="minorHAnsi" w:cstheme="minorHAnsi"/>
                <w:bCs/>
                <w:szCs w:val="24"/>
              </w:rPr>
            </w:pPr>
            <w:r>
              <w:rPr>
                <w:rFonts w:asciiTheme="minorHAnsi" w:hAnsiTheme="minorHAnsi" w:cstheme="minorHAnsi"/>
                <w:bCs/>
                <w:szCs w:val="24"/>
              </w:rPr>
              <w:t>Final report of the Expert Group on the International Telecommunication Regulations (EG-ITRs) to ITU Council 2022</w:t>
            </w:r>
          </w:p>
        </w:tc>
        <w:tc>
          <w:tcPr>
            <w:tcW w:w="986" w:type="pct"/>
          </w:tcPr>
          <w:p w14:paraId="30CD26B2" w14:textId="6292CB36" w:rsidR="00AA6B9B" w:rsidRPr="009F1A61" w:rsidRDefault="00863A12" w:rsidP="004B48DA">
            <w:pPr>
              <w:jc w:val="center"/>
            </w:pPr>
            <w:hyperlink r:id="rId16" w:history="1">
              <w:r w:rsidR="003D0B12" w:rsidRPr="001F2DEC">
                <w:rPr>
                  <w:rStyle w:val="Hyperlink"/>
                </w:rPr>
                <w:t>C22/</w:t>
              </w:r>
              <w:r w:rsidR="003C5F39" w:rsidRPr="001F2DEC">
                <w:rPr>
                  <w:rStyle w:val="Hyperlink"/>
                </w:rPr>
                <w:t>26</w:t>
              </w:r>
            </w:hyperlink>
            <w:r w:rsidR="00CF72D5">
              <w:t>,</w:t>
            </w:r>
            <w:r w:rsidR="003C5F39">
              <w:br/>
            </w:r>
            <w:hyperlink r:id="rId17" w:history="1">
              <w:r w:rsidR="003C5F39" w:rsidRPr="001F2DEC">
                <w:rPr>
                  <w:rStyle w:val="Hyperlink"/>
                </w:rPr>
                <w:t>C22/67</w:t>
              </w:r>
            </w:hyperlink>
            <w:r w:rsidR="00CF72D5">
              <w:t>,</w:t>
            </w:r>
            <w:r w:rsidR="003C5F39">
              <w:br/>
            </w:r>
            <w:hyperlink r:id="rId18" w:history="1">
              <w:r w:rsidR="003C5F39" w:rsidRPr="001350FB">
                <w:rPr>
                  <w:rStyle w:val="Hyperlink"/>
                </w:rPr>
                <w:t>C22/72</w:t>
              </w:r>
            </w:hyperlink>
            <w:r w:rsidR="00CF72D5">
              <w:t>,</w:t>
            </w:r>
            <w:r w:rsidR="003C5F39">
              <w:br/>
            </w:r>
            <w:hyperlink r:id="rId19" w:history="1">
              <w:r w:rsidR="003C5F39" w:rsidRPr="001350FB">
                <w:rPr>
                  <w:rStyle w:val="Hyperlink"/>
                </w:rPr>
                <w:t>C22/75</w:t>
              </w:r>
            </w:hyperlink>
          </w:p>
        </w:tc>
      </w:tr>
      <w:tr w:rsidR="00CD7C42" w:rsidRPr="009F1A61" w14:paraId="322FF25E" w14:textId="77777777" w:rsidTr="00A66E97">
        <w:tc>
          <w:tcPr>
            <w:tcW w:w="251" w:type="pct"/>
          </w:tcPr>
          <w:p w14:paraId="38426B5A" w14:textId="1B05A98B" w:rsidR="00CD7C42" w:rsidRPr="009F1A61" w:rsidRDefault="003C5F39" w:rsidP="00A66E97">
            <w:pPr>
              <w:jc w:val="both"/>
            </w:pPr>
            <w:r>
              <w:t>7</w:t>
            </w:r>
          </w:p>
        </w:tc>
        <w:tc>
          <w:tcPr>
            <w:tcW w:w="3763" w:type="pct"/>
          </w:tcPr>
          <w:p w14:paraId="671D1FA7" w14:textId="4AE8751A" w:rsidR="00CD7C42" w:rsidRPr="009F1A61" w:rsidRDefault="00CD7C42" w:rsidP="004B48DA">
            <w:pPr>
              <w:jc w:val="both"/>
              <w:rPr>
                <w:rFonts w:asciiTheme="minorHAnsi" w:hAnsiTheme="minorHAnsi" w:cstheme="minorHAnsi"/>
                <w:bCs/>
                <w:szCs w:val="24"/>
              </w:rPr>
            </w:pPr>
            <w:r w:rsidRPr="009F1A61">
              <w:rPr>
                <w:rFonts w:asciiTheme="minorHAnsi" w:hAnsiTheme="minorHAnsi" w:cstheme="minorHAnsi"/>
                <w:bCs/>
                <w:szCs w:val="24"/>
              </w:rPr>
              <w:t>Statements by ministers and councillors</w:t>
            </w:r>
          </w:p>
        </w:tc>
        <w:tc>
          <w:tcPr>
            <w:tcW w:w="986" w:type="pct"/>
          </w:tcPr>
          <w:p w14:paraId="63544034" w14:textId="52E13C16" w:rsidR="00CD7C42" w:rsidRPr="009F1A61" w:rsidRDefault="00CD7C42" w:rsidP="004B48DA">
            <w:pPr>
              <w:jc w:val="center"/>
            </w:pPr>
            <w:r w:rsidRPr="009F1A61">
              <w:t>-</w:t>
            </w:r>
          </w:p>
        </w:tc>
      </w:tr>
    </w:tbl>
    <w:p w14:paraId="444EE8AC" w14:textId="544993F1" w:rsidR="00795437" w:rsidRPr="009F1A61" w:rsidRDefault="00795437" w:rsidP="000076D7">
      <w:pPr>
        <w:pStyle w:val="NormalWeb"/>
        <w:spacing w:before="840" w:beforeAutospacing="0" w:after="0" w:afterAutospacing="0"/>
        <w:rPr>
          <w:rFonts w:asciiTheme="minorHAnsi" w:hAnsiTheme="minorHAnsi" w:cstheme="minorHAnsi"/>
        </w:rPr>
      </w:pPr>
    </w:p>
    <w:p w14:paraId="1BB5D3B1" w14:textId="2D5139D2" w:rsidR="003162F3" w:rsidRPr="009F1A61" w:rsidRDefault="00795437" w:rsidP="00CD7C42">
      <w:pPr>
        <w:tabs>
          <w:tab w:val="clear" w:pos="567"/>
          <w:tab w:val="clear" w:pos="1134"/>
          <w:tab w:val="clear" w:pos="1701"/>
          <w:tab w:val="clear" w:pos="2268"/>
          <w:tab w:val="clear" w:pos="2835"/>
        </w:tabs>
        <w:snapToGrid w:val="0"/>
        <w:spacing w:after="120"/>
        <w:rPr>
          <w:szCs w:val="24"/>
        </w:rPr>
      </w:pPr>
      <w:r w:rsidRPr="009F1A61">
        <w:rPr>
          <w:rFonts w:asciiTheme="minorHAnsi" w:hAnsiTheme="minorHAnsi" w:cstheme="minorHAnsi"/>
        </w:rPr>
        <w:br w:type="page"/>
      </w:r>
    </w:p>
    <w:p w14:paraId="18583AA5" w14:textId="6F4DFFEC" w:rsidR="00C71E19" w:rsidRPr="001350FB" w:rsidRDefault="00DD2F1D" w:rsidP="008D511D">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asciiTheme="minorHAnsi" w:hAnsiTheme="minorHAnsi"/>
          <w:szCs w:val="28"/>
        </w:rPr>
      </w:pPr>
      <w:r w:rsidRPr="001350FB">
        <w:rPr>
          <w:rFonts w:asciiTheme="minorHAnsi" w:hAnsiTheme="minorHAnsi"/>
          <w:szCs w:val="28"/>
        </w:rPr>
        <w:lastRenderedPageBreak/>
        <w:t>1</w:t>
      </w:r>
      <w:r w:rsidR="00C71E19" w:rsidRPr="001350FB">
        <w:rPr>
          <w:rFonts w:asciiTheme="minorHAnsi" w:hAnsiTheme="minorHAnsi"/>
          <w:szCs w:val="28"/>
        </w:rPr>
        <w:tab/>
      </w:r>
      <w:r w:rsidR="001535DE" w:rsidRPr="008D511D">
        <w:rPr>
          <w:rFonts w:asciiTheme="minorHAnsi" w:hAnsiTheme="minorHAnsi"/>
          <w:spacing w:val="-4"/>
          <w:szCs w:val="28"/>
        </w:rPr>
        <w:t xml:space="preserve">Report of the Council Working Group for </w:t>
      </w:r>
      <w:r w:rsidR="00CF72D5" w:rsidRPr="008D511D">
        <w:rPr>
          <w:rFonts w:asciiTheme="minorHAnsi" w:hAnsiTheme="minorHAnsi"/>
          <w:spacing w:val="-4"/>
          <w:szCs w:val="28"/>
        </w:rPr>
        <w:t>s</w:t>
      </w:r>
      <w:r w:rsidR="001535DE" w:rsidRPr="008D511D">
        <w:rPr>
          <w:rFonts w:asciiTheme="minorHAnsi" w:hAnsiTheme="minorHAnsi"/>
          <w:spacing w:val="-4"/>
          <w:szCs w:val="28"/>
        </w:rPr>
        <w:t xml:space="preserve">trategic and </w:t>
      </w:r>
      <w:r w:rsidR="00CF72D5" w:rsidRPr="008D511D">
        <w:rPr>
          <w:rFonts w:asciiTheme="minorHAnsi" w:hAnsiTheme="minorHAnsi"/>
          <w:spacing w:val="-4"/>
          <w:szCs w:val="28"/>
        </w:rPr>
        <w:t>f</w:t>
      </w:r>
      <w:r w:rsidR="001535DE" w:rsidRPr="008D511D">
        <w:rPr>
          <w:rFonts w:asciiTheme="minorHAnsi" w:hAnsiTheme="minorHAnsi"/>
          <w:spacing w:val="-4"/>
          <w:szCs w:val="28"/>
        </w:rPr>
        <w:t xml:space="preserve">inancial </w:t>
      </w:r>
      <w:r w:rsidR="00CF72D5" w:rsidRPr="008D511D">
        <w:rPr>
          <w:rFonts w:asciiTheme="minorHAnsi" w:hAnsiTheme="minorHAnsi"/>
          <w:spacing w:val="-4"/>
          <w:szCs w:val="28"/>
        </w:rPr>
        <w:t>p</w:t>
      </w:r>
      <w:r w:rsidR="001535DE" w:rsidRPr="008D511D">
        <w:rPr>
          <w:rFonts w:asciiTheme="minorHAnsi" w:hAnsiTheme="minorHAnsi"/>
          <w:spacing w:val="-4"/>
          <w:szCs w:val="28"/>
        </w:rPr>
        <w:t>lans 2024</w:t>
      </w:r>
      <w:r w:rsidR="00FC7670" w:rsidRPr="008D511D">
        <w:rPr>
          <w:rFonts w:asciiTheme="minorHAnsi" w:hAnsiTheme="minorHAnsi"/>
          <w:spacing w:val="-4"/>
          <w:szCs w:val="28"/>
        </w:rPr>
        <w:noBreakHyphen/>
      </w:r>
      <w:r w:rsidR="001535DE" w:rsidRPr="008D511D">
        <w:rPr>
          <w:rFonts w:asciiTheme="minorHAnsi" w:hAnsiTheme="minorHAnsi"/>
          <w:spacing w:val="-4"/>
          <w:szCs w:val="28"/>
        </w:rPr>
        <w:t>2027</w:t>
      </w:r>
      <w:r w:rsidR="009B798F" w:rsidRPr="001350FB">
        <w:rPr>
          <w:rFonts w:asciiTheme="minorHAnsi" w:hAnsiTheme="minorHAnsi"/>
          <w:szCs w:val="28"/>
        </w:rPr>
        <w:t xml:space="preserve"> (CWG-SFP)</w:t>
      </w:r>
      <w:r w:rsidR="001535DE" w:rsidRPr="001350FB">
        <w:rPr>
          <w:rFonts w:asciiTheme="minorHAnsi" w:hAnsiTheme="minorHAnsi"/>
          <w:szCs w:val="28"/>
        </w:rPr>
        <w:t xml:space="preserve"> </w:t>
      </w:r>
      <w:r w:rsidR="00C71E19" w:rsidRPr="001350FB">
        <w:rPr>
          <w:rFonts w:asciiTheme="minorHAnsi" w:hAnsiTheme="minorHAnsi"/>
          <w:szCs w:val="28"/>
        </w:rPr>
        <w:t>(Document</w:t>
      </w:r>
      <w:r w:rsidR="002E0111" w:rsidRPr="001350FB">
        <w:rPr>
          <w:rFonts w:asciiTheme="minorHAnsi" w:hAnsiTheme="minorHAnsi"/>
          <w:szCs w:val="28"/>
        </w:rPr>
        <w:t xml:space="preserve"> C22/</w:t>
      </w:r>
      <w:r w:rsidR="001535DE" w:rsidRPr="001350FB">
        <w:rPr>
          <w:rFonts w:asciiTheme="minorHAnsi" w:hAnsiTheme="minorHAnsi"/>
          <w:szCs w:val="28"/>
        </w:rPr>
        <w:t>27</w:t>
      </w:r>
      <w:r w:rsidR="00430A5B" w:rsidRPr="001350FB">
        <w:rPr>
          <w:rFonts w:asciiTheme="minorHAnsi" w:hAnsiTheme="minorHAnsi"/>
          <w:szCs w:val="28"/>
        </w:rPr>
        <w:t>(Rev.2)</w:t>
      </w:r>
      <w:r w:rsidR="00C71E19" w:rsidRPr="001350FB">
        <w:rPr>
          <w:rFonts w:asciiTheme="minorHAnsi" w:hAnsiTheme="minorHAnsi"/>
          <w:szCs w:val="28"/>
        </w:rPr>
        <w:t>)</w:t>
      </w:r>
    </w:p>
    <w:p w14:paraId="0BCE7EBF" w14:textId="6BA1A41A" w:rsidR="00C71E19" w:rsidRPr="009F1A61" w:rsidRDefault="00DD2F1D"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1</w:t>
      </w:r>
      <w:r w:rsidR="00C71E19" w:rsidRPr="009F1A61">
        <w:rPr>
          <w:rFonts w:asciiTheme="minorHAnsi" w:hAnsiTheme="minorHAnsi"/>
          <w:szCs w:val="24"/>
        </w:rPr>
        <w:t>.1</w:t>
      </w:r>
      <w:r w:rsidR="00C71E19" w:rsidRPr="009F1A61">
        <w:rPr>
          <w:rFonts w:asciiTheme="minorHAnsi" w:hAnsiTheme="minorHAnsi"/>
          <w:szCs w:val="24"/>
        </w:rPr>
        <w:tab/>
      </w:r>
      <w:r w:rsidR="008B5973">
        <w:rPr>
          <w:rFonts w:asciiTheme="minorHAnsi" w:hAnsiTheme="minorHAnsi"/>
          <w:szCs w:val="24"/>
        </w:rPr>
        <w:t>The Chair</w:t>
      </w:r>
      <w:r w:rsidR="00430A5B">
        <w:rPr>
          <w:rFonts w:asciiTheme="minorHAnsi" w:hAnsiTheme="minorHAnsi"/>
          <w:szCs w:val="24"/>
        </w:rPr>
        <w:t>man</w:t>
      </w:r>
      <w:r w:rsidR="008B5973">
        <w:rPr>
          <w:rFonts w:asciiTheme="minorHAnsi" w:hAnsiTheme="minorHAnsi"/>
          <w:szCs w:val="24"/>
        </w:rPr>
        <w:t xml:space="preserve"> of CWG-SFP introduced Document </w:t>
      </w:r>
      <w:hyperlink r:id="rId20" w:history="1">
        <w:r w:rsidR="008B5973" w:rsidRPr="001350FB">
          <w:rPr>
            <w:rStyle w:val="Hyperlink"/>
            <w:rFonts w:asciiTheme="minorHAnsi" w:hAnsiTheme="minorHAnsi"/>
            <w:szCs w:val="24"/>
          </w:rPr>
          <w:t>C22/27</w:t>
        </w:r>
        <w:r w:rsidR="00CF72D5" w:rsidRPr="001350FB">
          <w:rPr>
            <w:rStyle w:val="Hyperlink"/>
            <w:rFonts w:asciiTheme="minorHAnsi" w:hAnsiTheme="minorHAnsi"/>
            <w:szCs w:val="24"/>
          </w:rPr>
          <w:t>(Rev.2)</w:t>
        </w:r>
      </w:hyperlink>
      <w:r w:rsidR="008B5973">
        <w:rPr>
          <w:rFonts w:asciiTheme="minorHAnsi" w:hAnsiTheme="minorHAnsi"/>
          <w:szCs w:val="24"/>
        </w:rPr>
        <w:t xml:space="preserve">, which summarized </w:t>
      </w:r>
      <w:r w:rsidR="009B798F" w:rsidRPr="009B798F">
        <w:rPr>
          <w:rFonts w:asciiTheme="minorHAnsi" w:hAnsiTheme="minorHAnsi"/>
          <w:szCs w:val="24"/>
        </w:rPr>
        <w:t>the</w:t>
      </w:r>
      <w:r w:rsidR="009B798F">
        <w:rPr>
          <w:rFonts w:asciiTheme="minorHAnsi" w:hAnsiTheme="minorHAnsi"/>
          <w:szCs w:val="24"/>
        </w:rPr>
        <w:t xml:space="preserve"> </w:t>
      </w:r>
      <w:r w:rsidR="00CF72D5">
        <w:rPr>
          <w:rFonts w:asciiTheme="minorHAnsi" w:hAnsiTheme="minorHAnsi"/>
          <w:szCs w:val="24"/>
        </w:rPr>
        <w:t>g</w:t>
      </w:r>
      <w:r w:rsidR="009B798F">
        <w:rPr>
          <w:rFonts w:asciiTheme="minorHAnsi" w:hAnsiTheme="minorHAnsi"/>
          <w:szCs w:val="24"/>
        </w:rPr>
        <w:t>roup’s</w:t>
      </w:r>
      <w:r w:rsidR="009B798F" w:rsidRPr="009B798F">
        <w:rPr>
          <w:rFonts w:asciiTheme="minorHAnsi" w:hAnsiTheme="minorHAnsi"/>
          <w:szCs w:val="24"/>
        </w:rPr>
        <w:t xml:space="preserve"> work, including the results of the four meetings held from September 2021 to March 2022</w:t>
      </w:r>
      <w:r w:rsidR="009B798F">
        <w:rPr>
          <w:rFonts w:asciiTheme="minorHAnsi" w:hAnsiTheme="minorHAnsi"/>
          <w:szCs w:val="24"/>
        </w:rPr>
        <w:t>.</w:t>
      </w:r>
      <w:r w:rsidR="009B798F" w:rsidRPr="009B798F">
        <w:rPr>
          <w:rFonts w:asciiTheme="minorHAnsi" w:hAnsiTheme="minorHAnsi"/>
          <w:szCs w:val="24"/>
        </w:rPr>
        <w:t xml:space="preserve"> </w:t>
      </w:r>
      <w:r w:rsidR="00C01CBA">
        <w:rPr>
          <w:rFonts w:asciiTheme="minorHAnsi" w:hAnsiTheme="minorHAnsi"/>
          <w:szCs w:val="24"/>
        </w:rPr>
        <w:t>Actual meeting</w:t>
      </w:r>
      <w:r w:rsidR="009B798F">
        <w:rPr>
          <w:rFonts w:asciiTheme="minorHAnsi" w:hAnsiTheme="minorHAnsi"/>
          <w:szCs w:val="24"/>
        </w:rPr>
        <w:t xml:space="preserve"> time had been limited, partly </w:t>
      </w:r>
      <w:proofErr w:type="gramStart"/>
      <w:r w:rsidR="009B798F">
        <w:rPr>
          <w:rFonts w:asciiTheme="minorHAnsi" w:hAnsiTheme="minorHAnsi"/>
          <w:szCs w:val="24"/>
        </w:rPr>
        <w:t>as a result of</w:t>
      </w:r>
      <w:proofErr w:type="gramEnd"/>
      <w:r w:rsidR="009B798F">
        <w:rPr>
          <w:rFonts w:asciiTheme="minorHAnsi" w:hAnsiTheme="minorHAnsi"/>
          <w:szCs w:val="24"/>
        </w:rPr>
        <w:t xml:space="preserve"> restrictions related to the COVID</w:t>
      </w:r>
      <w:r w:rsidR="00581148">
        <w:rPr>
          <w:rFonts w:asciiTheme="minorHAnsi" w:hAnsiTheme="minorHAnsi"/>
          <w:szCs w:val="24"/>
        </w:rPr>
        <w:noBreakHyphen/>
      </w:r>
      <w:r w:rsidR="009B798F">
        <w:rPr>
          <w:rFonts w:asciiTheme="minorHAnsi" w:hAnsiTheme="minorHAnsi"/>
          <w:szCs w:val="24"/>
        </w:rPr>
        <w:t xml:space="preserve">19 pandemic, and its work had largely been conducted online. </w:t>
      </w:r>
      <w:r w:rsidR="009B798F" w:rsidRPr="009B798F">
        <w:rPr>
          <w:rFonts w:asciiTheme="minorHAnsi" w:hAnsiTheme="minorHAnsi"/>
          <w:szCs w:val="24"/>
        </w:rPr>
        <w:t xml:space="preserve">The draft </w:t>
      </w:r>
      <w:r w:rsidR="00AA7325">
        <w:rPr>
          <w:rFonts w:asciiTheme="minorHAnsi" w:hAnsiTheme="minorHAnsi"/>
          <w:szCs w:val="24"/>
        </w:rPr>
        <w:t>s</w:t>
      </w:r>
      <w:r w:rsidR="009B798F" w:rsidRPr="009B798F">
        <w:rPr>
          <w:rFonts w:asciiTheme="minorHAnsi" w:hAnsiTheme="minorHAnsi"/>
          <w:szCs w:val="24"/>
        </w:rPr>
        <w:t xml:space="preserve">trategic </w:t>
      </w:r>
      <w:r w:rsidR="00AA7325">
        <w:rPr>
          <w:rFonts w:asciiTheme="minorHAnsi" w:hAnsiTheme="minorHAnsi"/>
          <w:szCs w:val="24"/>
        </w:rPr>
        <w:t>p</w:t>
      </w:r>
      <w:r w:rsidR="009B798F" w:rsidRPr="009B798F">
        <w:rPr>
          <w:rFonts w:asciiTheme="minorHAnsi" w:hAnsiTheme="minorHAnsi"/>
          <w:szCs w:val="24"/>
        </w:rPr>
        <w:t xml:space="preserve">lan </w:t>
      </w:r>
      <w:r w:rsidR="009B798F">
        <w:rPr>
          <w:rFonts w:asciiTheme="minorHAnsi" w:hAnsiTheme="minorHAnsi"/>
          <w:szCs w:val="24"/>
        </w:rPr>
        <w:t xml:space="preserve">for the Union for 2024-2027 </w:t>
      </w:r>
      <w:r w:rsidR="009B798F" w:rsidRPr="009B798F">
        <w:rPr>
          <w:rFonts w:asciiTheme="minorHAnsi" w:hAnsiTheme="minorHAnsi"/>
          <w:szCs w:val="24"/>
        </w:rPr>
        <w:t>and proposed amendments to Res</w:t>
      </w:r>
      <w:r w:rsidR="009B798F">
        <w:rPr>
          <w:rFonts w:asciiTheme="minorHAnsi" w:hAnsiTheme="minorHAnsi"/>
          <w:szCs w:val="24"/>
        </w:rPr>
        <w:t xml:space="preserve">olution </w:t>
      </w:r>
      <w:r w:rsidR="009B798F" w:rsidRPr="009B798F">
        <w:rPr>
          <w:rFonts w:asciiTheme="minorHAnsi" w:hAnsiTheme="minorHAnsi"/>
          <w:szCs w:val="24"/>
        </w:rPr>
        <w:t>71</w:t>
      </w:r>
      <w:r w:rsidR="009B798F">
        <w:rPr>
          <w:rFonts w:asciiTheme="minorHAnsi" w:hAnsiTheme="minorHAnsi"/>
          <w:szCs w:val="24"/>
        </w:rPr>
        <w:t xml:space="preserve"> (Rev. Dubai, 2018) of the Plenipotentiary Conference</w:t>
      </w:r>
      <w:r w:rsidR="009B798F" w:rsidRPr="009B798F">
        <w:rPr>
          <w:rFonts w:asciiTheme="minorHAnsi" w:hAnsiTheme="minorHAnsi"/>
          <w:szCs w:val="24"/>
        </w:rPr>
        <w:t xml:space="preserve"> </w:t>
      </w:r>
      <w:r w:rsidR="009B798F">
        <w:rPr>
          <w:rFonts w:asciiTheme="minorHAnsi" w:hAnsiTheme="minorHAnsi"/>
          <w:szCs w:val="24"/>
        </w:rPr>
        <w:t>we</w:t>
      </w:r>
      <w:r w:rsidR="009B798F" w:rsidRPr="009B798F">
        <w:rPr>
          <w:rFonts w:asciiTheme="minorHAnsi" w:hAnsiTheme="minorHAnsi"/>
          <w:szCs w:val="24"/>
        </w:rPr>
        <w:t xml:space="preserve">re included as Annexes 1 to 4 to </w:t>
      </w:r>
      <w:r w:rsidR="009B798F">
        <w:rPr>
          <w:rFonts w:asciiTheme="minorHAnsi" w:hAnsiTheme="minorHAnsi"/>
          <w:szCs w:val="24"/>
        </w:rPr>
        <w:t>the</w:t>
      </w:r>
      <w:r w:rsidR="009B798F" w:rsidRPr="009B798F">
        <w:rPr>
          <w:rFonts w:asciiTheme="minorHAnsi" w:hAnsiTheme="minorHAnsi"/>
          <w:szCs w:val="24"/>
        </w:rPr>
        <w:t xml:space="preserve"> </w:t>
      </w:r>
      <w:r w:rsidR="00AA7325">
        <w:rPr>
          <w:rFonts w:asciiTheme="minorHAnsi" w:hAnsiTheme="minorHAnsi"/>
          <w:szCs w:val="24"/>
        </w:rPr>
        <w:t>r</w:t>
      </w:r>
      <w:r w:rsidR="009B798F" w:rsidRPr="009B798F">
        <w:rPr>
          <w:rFonts w:asciiTheme="minorHAnsi" w:hAnsiTheme="minorHAnsi"/>
          <w:szCs w:val="24"/>
        </w:rPr>
        <w:t>epor</w:t>
      </w:r>
      <w:r w:rsidR="009B798F">
        <w:rPr>
          <w:rFonts w:asciiTheme="minorHAnsi" w:hAnsiTheme="minorHAnsi"/>
          <w:szCs w:val="24"/>
        </w:rPr>
        <w:t>t.</w:t>
      </w:r>
      <w:r w:rsidR="002E228C">
        <w:rPr>
          <w:rFonts w:asciiTheme="minorHAnsi" w:hAnsiTheme="minorHAnsi"/>
          <w:szCs w:val="24"/>
        </w:rPr>
        <w:t xml:space="preserve"> The draft was considerably shorter than </w:t>
      </w:r>
      <w:r w:rsidR="008A177F">
        <w:rPr>
          <w:rFonts w:asciiTheme="minorHAnsi" w:hAnsiTheme="minorHAnsi"/>
          <w:szCs w:val="24"/>
        </w:rPr>
        <w:t xml:space="preserve">the ITU </w:t>
      </w:r>
      <w:r w:rsidR="00AA7325">
        <w:rPr>
          <w:rFonts w:asciiTheme="minorHAnsi" w:hAnsiTheme="minorHAnsi"/>
          <w:szCs w:val="24"/>
        </w:rPr>
        <w:t>s</w:t>
      </w:r>
      <w:r w:rsidR="008A177F">
        <w:rPr>
          <w:rFonts w:asciiTheme="minorHAnsi" w:hAnsiTheme="minorHAnsi"/>
          <w:szCs w:val="24"/>
        </w:rPr>
        <w:t xml:space="preserve">trategic </w:t>
      </w:r>
      <w:r w:rsidR="00AA7325">
        <w:rPr>
          <w:rFonts w:asciiTheme="minorHAnsi" w:hAnsiTheme="minorHAnsi"/>
          <w:szCs w:val="24"/>
        </w:rPr>
        <w:t>p</w:t>
      </w:r>
      <w:r w:rsidR="008A177F">
        <w:rPr>
          <w:rFonts w:asciiTheme="minorHAnsi" w:hAnsiTheme="minorHAnsi"/>
          <w:szCs w:val="24"/>
        </w:rPr>
        <w:t xml:space="preserve">lan </w:t>
      </w:r>
      <w:r w:rsidR="00AA7325">
        <w:rPr>
          <w:rFonts w:asciiTheme="minorHAnsi" w:hAnsiTheme="minorHAnsi"/>
          <w:szCs w:val="24"/>
        </w:rPr>
        <w:t xml:space="preserve">for </w:t>
      </w:r>
      <w:r w:rsidR="008A177F">
        <w:rPr>
          <w:rFonts w:asciiTheme="minorHAnsi" w:hAnsiTheme="minorHAnsi"/>
          <w:szCs w:val="24"/>
        </w:rPr>
        <w:t>2020-2023</w:t>
      </w:r>
      <w:r w:rsidR="007F7101">
        <w:rPr>
          <w:rFonts w:asciiTheme="minorHAnsi" w:hAnsiTheme="minorHAnsi"/>
          <w:szCs w:val="24"/>
        </w:rPr>
        <w:t xml:space="preserve"> had </w:t>
      </w:r>
      <w:proofErr w:type="gramStart"/>
      <w:r w:rsidR="007F7101">
        <w:rPr>
          <w:rFonts w:asciiTheme="minorHAnsi" w:hAnsiTheme="minorHAnsi"/>
          <w:szCs w:val="24"/>
        </w:rPr>
        <w:t>been</w:t>
      </w:r>
      <w:r w:rsidR="00AA7325">
        <w:rPr>
          <w:rFonts w:asciiTheme="minorHAnsi" w:hAnsiTheme="minorHAnsi"/>
          <w:szCs w:val="24"/>
        </w:rPr>
        <w:t>,</w:t>
      </w:r>
      <w:r w:rsidR="008A177F">
        <w:rPr>
          <w:rFonts w:asciiTheme="minorHAnsi" w:hAnsiTheme="minorHAnsi"/>
          <w:szCs w:val="24"/>
        </w:rPr>
        <w:t xml:space="preserve"> and</w:t>
      </w:r>
      <w:proofErr w:type="gramEnd"/>
      <w:r w:rsidR="008A177F">
        <w:rPr>
          <w:rFonts w:asciiTheme="minorHAnsi" w:hAnsiTheme="minorHAnsi"/>
          <w:szCs w:val="24"/>
        </w:rPr>
        <w:t xml:space="preserve"> focused on high-level elements</w:t>
      </w:r>
      <w:r w:rsidR="00FC0E34">
        <w:rPr>
          <w:rFonts w:asciiTheme="minorHAnsi" w:hAnsiTheme="minorHAnsi"/>
          <w:szCs w:val="24"/>
        </w:rPr>
        <w:t xml:space="preserve"> and the impact of ITU’s work</w:t>
      </w:r>
      <w:r w:rsidR="008A177F">
        <w:rPr>
          <w:rFonts w:asciiTheme="minorHAnsi" w:hAnsiTheme="minorHAnsi"/>
          <w:szCs w:val="24"/>
        </w:rPr>
        <w:t>, rather than operational detail.</w:t>
      </w:r>
      <w:r w:rsidR="009E405B">
        <w:rPr>
          <w:rFonts w:asciiTheme="minorHAnsi" w:hAnsiTheme="minorHAnsi"/>
          <w:szCs w:val="24"/>
        </w:rPr>
        <w:t xml:space="preserve"> The only </w:t>
      </w:r>
      <w:r w:rsidR="007F7101">
        <w:rPr>
          <w:rFonts w:asciiTheme="minorHAnsi" w:hAnsiTheme="minorHAnsi"/>
          <w:szCs w:val="24"/>
        </w:rPr>
        <w:t>substantive aspect</w:t>
      </w:r>
      <w:r w:rsidR="009E405B">
        <w:rPr>
          <w:rFonts w:asciiTheme="minorHAnsi" w:hAnsiTheme="minorHAnsi"/>
          <w:szCs w:val="24"/>
        </w:rPr>
        <w:t xml:space="preserve"> of the </w:t>
      </w:r>
      <w:r w:rsidR="00A31332">
        <w:rPr>
          <w:rFonts w:asciiTheme="minorHAnsi" w:hAnsiTheme="minorHAnsi"/>
          <w:szCs w:val="24"/>
        </w:rPr>
        <w:t xml:space="preserve">draft </w:t>
      </w:r>
      <w:r w:rsidR="009E405B">
        <w:rPr>
          <w:rFonts w:asciiTheme="minorHAnsi" w:hAnsiTheme="minorHAnsi"/>
          <w:szCs w:val="24"/>
        </w:rPr>
        <w:t>plan still to be decided was whether to include cybersecurity as a standalone thematic priority.</w:t>
      </w:r>
    </w:p>
    <w:p w14:paraId="2A970D1D" w14:textId="0CD63D61" w:rsidR="003D1E91" w:rsidRDefault="00DD2F1D"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1</w:t>
      </w:r>
      <w:r w:rsidR="00C71E19" w:rsidRPr="009F1A61">
        <w:rPr>
          <w:rFonts w:asciiTheme="minorHAnsi" w:hAnsiTheme="minorHAnsi"/>
          <w:szCs w:val="24"/>
        </w:rPr>
        <w:t>.2</w:t>
      </w:r>
      <w:r w:rsidR="00C71E19" w:rsidRPr="009F1A61">
        <w:rPr>
          <w:rFonts w:asciiTheme="minorHAnsi" w:hAnsiTheme="minorHAnsi"/>
          <w:szCs w:val="24"/>
        </w:rPr>
        <w:tab/>
      </w:r>
      <w:r w:rsidR="00EF2CA9">
        <w:rPr>
          <w:rFonts w:asciiTheme="minorHAnsi" w:hAnsiTheme="minorHAnsi"/>
          <w:szCs w:val="24"/>
        </w:rPr>
        <w:t>Councillors</w:t>
      </w:r>
      <w:r w:rsidR="00A31332">
        <w:rPr>
          <w:rFonts w:asciiTheme="minorHAnsi" w:hAnsiTheme="minorHAnsi"/>
          <w:szCs w:val="24"/>
        </w:rPr>
        <w:t xml:space="preserve"> welcomed the work of CWG-SFP </w:t>
      </w:r>
      <w:r w:rsidR="00624E0F">
        <w:rPr>
          <w:rFonts w:asciiTheme="minorHAnsi" w:hAnsiTheme="minorHAnsi"/>
          <w:szCs w:val="24"/>
        </w:rPr>
        <w:t>in striving for a fit-for-purpose ITU</w:t>
      </w:r>
      <w:r w:rsidR="00391BF7">
        <w:rPr>
          <w:rFonts w:asciiTheme="minorHAnsi" w:hAnsiTheme="minorHAnsi"/>
          <w:szCs w:val="24"/>
        </w:rPr>
        <w:t xml:space="preserve">, which, as the United Nations specialized agency on the advancement of ICTs for sustainable development and the SDGs, was uniquely placed to take the common agenda on connectivity and digital </w:t>
      </w:r>
      <w:r w:rsidR="00391BF7" w:rsidRPr="008D511D">
        <w:rPr>
          <w:rFonts w:asciiTheme="minorHAnsi" w:hAnsiTheme="minorHAnsi"/>
          <w:spacing w:val="4"/>
          <w:szCs w:val="24"/>
        </w:rPr>
        <w:t>transformation forward</w:t>
      </w:r>
      <w:r w:rsidR="00624E0F" w:rsidRPr="008D511D">
        <w:rPr>
          <w:rFonts w:asciiTheme="minorHAnsi" w:hAnsiTheme="minorHAnsi"/>
          <w:spacing w:val="4"/>
          <w:szCs w:val="24"/>
        </w:rPr>
        <w:t>.</w:t>
      </w:r>
      <w:r w:rsidR="00EF2CA9" w:rsidRPr="008D511D">
        <w:rPr>
          <w:rFonts w:asciiTheme="minorHAnsi" w:hAnsiTheme="minorHAnsi"/>
          <w:spacing w:val="4"/>
          <w:szCs w:val="24"/>
        </w:rPr>
        <w:t xml:space="preserve"> </w:t>
      </w:r>
      <w:r w:rsidR="00E658F2" w:rsidRPr="008D511D">
        <w:rPr>
          <w:rFonts w:asciiTheme="minorHAnsi" w:hAnsiTheme="minorHAnsi"/>
          <w:spacing w:val="4"/>
          <w:szCs w:val="24"/>
        </w:rPr>
        <w:t>One councillor highlighted</w:t>
      </w:r>
      <w:r w:rsidR="00E10BA0" w:rsidRPr="008D511D">
        <w:rPr>
          <w:rFonts w:asciiTheme="minorHAnsi" w:hAnsiTheme="minorHAnsi"/>
          <w:spacing w:val="4"/>
          <w:szCs w:val="24"/>
        </w:rPr>
        <w:t xml:space="preserve"> PP</w:t>
      </w:r>
      <w:r w:rsidR="008D511D">
        <w:rPr>
          <w:rFonts w:asciiTheme="minorHAnsi" w:hAnsiTheme="minorHAnsi"/>
          <w:spacing w:val="4"/>
          <w:szCs w:val="24"/>
        </w:rPr>
        <w:t xml:space="preserve"> </w:t>
      </w:r>
      <w:r w:rsidR="00E10BA0" w:rsidRPr="008D511D">
        <w:rPr>
          <w:rFonts w:asciiTheme="minorHAnsi" w:hAnsiTheme="minorHAnsi"/>
          <w:spacing w:val="4"/>
          <w:szCs w:val="24"/>
        </w:rPr>
        <w:t>Resolution</w:t>
      </w:r>
      <w:r w:rsidR="00B1076C" w:rsidRPr="008D511D">
        <w:rPr>
          <w:rFonts w:asciiTheme="minorHAnsi" w:hAnsiTheme="minorHAnsi"/>
          <w:spacing w:val="4"/>
          <w:szCs w:val="24"/>
        </w:rPr>
        <w:t>s</w:t>
      </w:r>
      <w:r w:rsidR="00E10BA0" w:rsidRPr="008D511D">
        <w:rPr>
          <w:rFonts w:asciiTheme="minorHAnsi" w:hAnsiTheme="minorHAnsi"/>
          <w:spacing w:val="4"/>
          <w:szCs w:val="24"/>
        </w:rPr>
        <w:t xml:space="preserve"> 25 (Rev. Dubai, 2018),</w:t>
      </w:r>
      <w:r w:rsidR="00E10BA0">
        <w:rPr>
          <w:rFonts w:asciiTheme="minorHAnsi" w:hAnsiTheme="minorHAnsi"/>
          <w:szCs w:val="24"/>
        </w:rPr>
        <w:t xml:space="preserve"> 140</w:t>
      </w:r>
      <w:r w:rsidR="008D511D">
        <w:rPr>
          <w:rFonts w:asciiTheme="minorHAnsi" w:hAnsiTheme="minorHAnsi"/>
          <w:szCs w:val="24"/>
        </w:rPr>
        <w:t> </w:t>
      </w:r>
      <w:r w:rsidR="00E10BA0">
        <w:rPr>
          <w:rFonts w:asciiTheme="minorHAnsi" w:hAnsiTheme="minorHAnsi"/>
          <w:szCs w:val="24"/>
        </w:rPr>
        <w:t xml:space="preserve">(Rev. Dubai, 2018) and </w:t>
      </w:r>
      <w:r w:rsidR="00E10BA0" w:rsidRPr="0008401E">
        <w:rPr>
          <w:rFonts w:asciiTheme="minorHAnsi" w:hAnsiTheme="minorHAnsi"/>
          <w:szCs w:val="24"/>
        </w:rPr>
        <w:t>15</w:t>
      </w:r>
      <w:r w:rsidR="00B1076C" w:rsidRPr="0008401E">
        <w:rPr>
          <w:rFonts w:asciiTheme="minorHAnsi" w:hAnsiTheme="minorHAnsi"/>
          <w:szCs w:val="24"/>
        </w:rPr>
        <w:t>1</w:t>
      </w:r>
      <w:r w:rsidR="00E10BA0" w:rsidRPr="0008401E">
        <w:rPr>
          <w:rFonts w:asciiTheme="minorHAnsi" w:hAnsiTheme="minorHAnsi"/>
          <w:szCs w:val="24"/>
        </w:rPr>
        <w:t xml:space="preserve"> (</w:t>
      </w:r>
      <w:r w:rsidR="00E10BA0">
        <w:rPr>
          <w:rFonts w:asciiTheme="minorHAnsi" w:hAnsiTheme="minorHAnsi"/>
          <w:szCs w:val="24"/>
        </w:rPr>
        <w:t>Rev. Dubai, 2018)</w:t>
      </w:r>
      <w:r w:rsidR="00E658F2">
        <w:rPr>
          <w:rFonts w:asciiTheme="minorHAnsi" w:hAnsiTheme="minorHAnsi"/>
          <w:szCs w:val="24"/>
        </w:rPr>
        <w:t xml:space="preserve"> </w:t>
      </w:r>
      <w:r w:rsidR="00E10BA0">
        <w:rPr>
          <w:rFonts w:asciiTheme="minorHAnsi" w:hAnsiTheme="minorHAnsi"/>
          <w:szCs w:val="24"/>
        </w:rPr>
        <w:t>as</w:t>
      </w:r>
      <w:r w:rsidR="00E658F2">
        <w:rPr>
          <w:rFonts w:asciiTheme="minorHAnsi" w:hAnsiTheme="minorHAnsi"/>
          <w:szCs w:val="24"/>
        </w:rPr>
        <w:t xml:space="preserve"> areas that would benefit from more detailed discussion</w:t>
      </w:r>
      <w:r w:rsidR="00391BF7">
        <w:rPr>
          <w:rFonts w:asciiTheme="minorHAnsi" w:hAnsiTheme="minorHAnsi"/>
          <w:szCs w:val="24"/>
        </w:rPr>
        <w:t xml:space="preserve">. </w:t>
      </w:r>
      <w:r w:rsidR="003D1E91">
        <w:rPr>
          <w:rFonts w:asciiTheme="minorHAnsi" w:hAnsiTheme="minorHAnsi"/>
          <w:szCs w:val="24"/>
        </w:rPr>
        <w:t xml:space="preserve">Another suggested that </w:t>
      </w:r>
      <w:r w:rsidR="006F0C9D">
        <w:rPr>
          <w:rFonts w:asciiTheme="minorHAnsi" w:hAnsiTheme="minorHAnsi"/>
          <w:szCs w:val="24"/>
        </w:rPr>
        <w:t>the draft strategic and financial plans be shared with</w:t>
      </w:r>
      <w:r w:rsidR="003D1E91">
        <w:rPr>
          <w:rFonts w:asciiTheme="minorHAnsi" w:hAnsiTheme="minorHAnsi"/>
          <w:szCs w:val="24"/>
        </w:rPr>
        <w:t xml:space="preserve"> IMAC </w:t>
      </w:r>
      <w:r w:rsidR="008B58AE">
        <w:rPr>
          <w:rFonts w:asciiTheme="minorHAnsi" w:hAnsiTheme="minorHAnsi"/>
          <w:szCs w:val="24"/>
        </w:rPr>
        <w:t xml:space="preserve">and </w:t>
      </w:r>
      <w:r w:rsidR="003D1E91" w:rsidRPr="00C01CBA">
        <w:rPr>
          <w:rFonts w:asciiTheme="minorHAnsi" w:hAnsiTheme="minorHAnsi"/>
          <w:szCs w:val="24"/>
        </w:rPr>
        <w:t xml:space="preserve">the </w:t>
      </w:r>
      <w:r w:rsidR="00D86FC8" w:rsidRPr="00391BF7">
        <w:rPr>
          <w:rFonts w:asciiTheme="minorHAnsi" w:hAnsiTheme="minorHAnsi"/>
          <w:szCs w:val="24"/>
        </w:rPr>
        <w:t>ex</w:t>
      </w:r>
      <w:r w:rsidR="003D1E91" w:rsidRPr="00391BF7">
        <w:rPr>
          <w:rFonts w:asciiTheme="minorHAnsi" w:hAnsiTheme="minorHAnsi"/>
          <w:szCs w:val="24"/>
        </w:rPr>
        <w:t>ternal</w:t>
      </w:r>
      <w:r w:rsidR="003D1E91">
        <w:rPr>
          <w:rFonts w:asciiTheme="minorHAnsi" w:hAnsiTheme="minorHAnsi"/>
          <w:szCs w:val="24"/>
        </w:rPr>
        <w:t xml:space="preserve"> auditor </w:t>
      </w:r>
      <w:r w:rsidR="006F0C9D">
        <w:rPr>
          <w:rFonts w:asciiTheme="minorHAnsi" w:hAnsiTheme="minorHAnsi"/>
          <w:szCs w:val="24"/>
        </w:rPr>
        <w:t>to seek their views</w:t>
      </w:r>
      <w:r w:rsidR="006F0C9D">
        <w:rPr>
          <w:rStyle w:val="CommentReference"/>
        </w:rPr>
        <w:t xml:space="preserve"> </w:t>
      </w:r>
      <w:r w:rsidR="003D1E91">
        <w:rPr>
          <w:rFonts w:asciiTheme="minorHAnsi" w:hAnsiTheme="minorHAnsi"/>
          <w:szCs w:val="24"/>
        </w:rPr>
        <w:t xml:space="preserve">on the </w:t>
      </w:r>
      <w:r w:rsidR="006F0C9D">
        <w:rPr>
          <w:rFonts w:asciiTheme="minorHAnsi" w:hAnsiTheme="minorHAnsi"/>
          <w:szCs w:val="24"/>
        </w:rPr>
        <w:t>texts, as</w:t>
      </w:r>
      <w:r w:rsidR="006F0C9D" w:rsidRPr="006F0C9D">
        <w:rPr>
          <w:rFonts w:asciiTheme="minorHAnsi" w:hAnsiTheme="minorHAnsi"/>
          <w:szCs w:val="24"/>
        </w:rPr>
        <w:t xml:space="preserve"> </w:t>
      </w:r>
      <w:r w:rsidR="00665EBA">
        <w:rPr>
          <w:rFonts w:asciiTheme="minorHAnsi" w:hAnsiTheme="minorHAnsi"/>
          <w:szCs w:val="24"/>
        </w:rPr>
        <w:t>both</w:t>
      </w:r>
      <w:r w:rsidR="006F0C9D" w:rsidRPr="006F0C9D">
        <w:rPr>
          <w:rFonts w:asciiTheme="minorHAnsi" w:hAnsiTheme="minorHAnsi"/>
          <w:szCs w:val="24"/>
        </w:rPr>
        <w:t xml:space="preserve"> had made </w:t>
      </w:r>
      <w:r w:rsidR="006F0C9D">
        <w:rPr>
          <w:rFonts w:asciiTheme="minorHAnsi" w:hAnsiTheme="minorHAnsi"/>
          <w:szCs w:val="24"/>
        </w:rPr>
        <w:t>several</w:t>
      </w:r>
      <w:r w:rsidR="006F0C9D" w:rsidRPr="006F0C9D">
        <w:rPr>
          <w:rFonts w:asciiTheme="minorHAnsi" w:hAnsiTheme="minorHAnsi"/>
          <w:szCs w:val="24"/>
        </w:rPr>
        <w:t xml:space="preserve"> assessments </w:t>
      </w:r>
      <w:proofErr w:type="gramStart"/>
      <w:r w:rsidR="006F0C9D" w:rsidRPr="006F0C9D">
        <w:rPr>
          <w:rFonts w:asciiTheme="minorHAnsi" w:hAnsiTheme="minorHAnsi"/>
          <w:szCs w:val="24"/>
        </w:rPr>
        <w:t>in regard to</w:t>
      </w:r>
      <w:proofErr w:type="gramEnd"/>
      <w:r w:rsidR="006F0C9D" w:rsidRPr="006F0C9D">
        <w:rPr>
          <w:rFonts w:asciiTheme="minorHAnsi" w:hAnsiTheme="minorHAnsi"/>
          <w:szCs w:val="24"/>
        </w:rPr>
        <w:t xml:space="preserve"> governance and </w:t>
      </w:r>
      <w:r w:rsidR="006F0C9D">
        <w:rPr>
          <w:rFonts w:asciiTheme="minorHAnsi" w:hAnsiTheme="minorHAnsi"/>
          <w:szCs w:val="24"/>
        </w:rPr>
        <w:t>c</w:t>
      </w:r>
      <w:r w:rsidR="006F0C9D" w:rsidRPr="006F0C9D">
        <w:rPr>
          <w:rFonts w:asciiTheme="minorHAnsi" w:hAnsiTheme="minorHAnsi"/>
          <w:szCs w:val="24"/>
        </w:rPr>
        <w:t>urrent strategic approaches</w:t>
      </w:r>
      <w:r w:rsidR="003D1E91">
        <w:rPr>
          <w:rFonts w:asciiTheme="minorHAnsi" w:hAnsiTheme="minorHAnsi"/>
          <w:szCs w:val="24"/>
        </w:rPr>
        <w:t>.</w:t>
      </w:r>
      <w:r w:rsidR="00F80217">
        <w:rPr>
          <w:rFonts w:asciiTheme="minorHAnsi" w:hAnsiTheme="minorHAnsi"/>
          <w:szCs w:val="24"/>
        </w:rPr>
        <w:t xml:space="preserve"> </w:t>
      </w:r>
      <w:r w:rsidR="00665EBA">
        <w:rPr>
          <w:rFonts w:asciiTheme="minorHAnsi" w:hAnsiTheme="minorHAnsi"/>
          <w:szCs w:val="24"/>
        </w:rPr>
        <w:t>One councillor</w:t>
      </w:r>
      <w:r w:rsidR="00E10BA0">
        <w:rPr>
          <w:rFonts w:asciiTheme="minorHAnsi" w:hAnsiTheme="minorHAnsi"/>
          <w:szCs w:val="24"/>
        </w:rPr>
        <w:t xml:space="preserve"> emphasized the importance of ITU’s regional presence and </w:t>
      </w:r>
      <w:r w:rsidR="00813987">
        <w:rPr>
          <w:rFonts w:asciiTheme="minorHAnsi" w:hAnsiTheme="minorHAnsi"/>
          <w:szCs w:val="24"/>
        </w:rPr>
        <w:t xml:space="preserve">the “One ITU” approach for his </w:t>
      </w:r>
      <w:r w:rsidR="00EB730A">
        <w:rPr>
          <w:rFonts w:asciiTheme="minorHAnsi" w:hAnsiTheme="minorHAnsi"/>
          <w:szCs w:val="24"/>
        </w:rPr>
        <w:t>a</w:t>
      </w:r>
      <w:r w:rsidR="00813987">
        <w:rPr>
          <w:rFonts w:asciiTheme="minorHAnsi" w:hAnsiTheme="minorHAnsi"/>
          <w:szCs w:val="24"/>
        </w:rPr>
        <w:t>dministration</w:t>
      </w:r>
      <w:r w:rsidR="00F80217">
        <w:rPr>
          <w:rFonts w:asciiTheme="minorHAnsi" w:hAnsiTheme="minorHAnsi"/>
          <w:szCs w:val="24"/>
        </w:rPr>
        <w:t>.</w:t>
      </w:r>
      <w:r w:rsidR="006963EA">
        <w:rPr>
          <w:rFonts w:asciiTheme="minorHAnsi" w:hAnsiTheme="minorHAnsi"/>
          <w:szCs w:val="24"/>
        </w:rPr>
        <w:t xml:space="preserve"> </w:t>
      </w:r>
      <w:r w:rsidR="00587B12">
        <w:rPr>
          <w:rFonts w:asciiTheme="minorHAnsi" w:hAnsiTheme="minorHAnsi"/>
          <w:szCs w:val="24"/>
        </w:rPr>
        <w:t>Two</w:t>
      </w:r>
      <w:r w:rsidR="006963EA">
        <w:rPr>
          <w:rFonts w:asciiTheme="minorHAnsi" w:hAnsiTheme="minorHAnsi"/>
          <w:szCs w:val="24"/>
        </w:rPr>
        <w:t xml:space="preserve"> councillors expressed support for the inclusion of cybersecurity as a standalone thematic </w:t>
      </w:r>
      <w:r w:rsidR="00752BAE">
        <w:rPr>
          <w:rFonts w:asciiTheme="minorHAnsi" w:hAnsiTheme="minorHAnsi"/>
          <w:szCs w:val="24"/>
        </w:rPr>
        <w:t>priority</w:t>
      </w:r>
      <w:r w:rsidR="006963EA">
        <w:rPr>
          <w:rFonts w:asciiTheme="minorHAnsi" w:hAnsiTheme="minorHAnsi"/>
          <w:szCs w:val="24"/>
        </w:rPr>
        <w:t xml:space="preserve"> </w:t>
      </w:r>
      <w:r w:rsidR="007F7101">
        <w:rPr>
          <w:rFonts w:asciiTheme="minorHAnsi" w:hAnsiTheme="minorHAnsi"/>
          <w:szCs w:val="24"/>
        </w:rPr>
        <w:t>in</w:t>
      </w:r>
      <w:r w:rsidR="006963EA">
        <w:rPr>
          <w:rFonts w:asciiTheme="minorHAnsi" w:hAnsiTheme="minorHAnsi"/>
          <w:szCs w:val="24"/>
        </w:rPr>
        <w:t xml:space="preserve"> the draft plan</w:t>
      </w:r>
      <w:r w:rsidR="00863937">
        <w:rPr>
          <w:rFonts w:asciiTheme="minorHAnsi" w:hAnsiTheme="minorHAnsi"/>
          <w:szCs w:val="24"/>
        </w:rPr>
        <w:t>, in view of increasing vulnerabilities associated with the constant expansion and adoption of new ICTs</w:t>
      </w:r>
      <w:r w:rsidR="00665EBA">
        <w:rPr>
          <w:rFonts w:asciiTheme="minorHAnsi" w:hAnsiTheme="minorHAnsi"/>
          <w:szCs w:val="24"/>
        </w:rPr>
        <w:t xml:space="preserve">. </w:t>
      </w:r>
      <w:r w:rsidR="00A93751">
        <w:rPr>
          <w:rFonts w:asciiTheme="minorHAnsi" w:hAnsiTheme="minorHAnsi"/>
          <w:szCs w:val="24"/>
        </w:rPr>
        <w:t>Another</w:t>
      </w:r>
      <w:r w:rsidR="00665395">
        <w:rPr>
          <w:rFonts w:asciiTheme="minorHAnsi" w:hAnsiTheme="minorHAnsi"/>
          <w:szCs w:val="24"/>
        </w:rPr>
        <w:t xml:space="preserve"> </w:t>
      </w:r>
      <w:r w:rsidR="0097371A">
        <w:rPr>
          <w:rFonts w:asciiTheme="minorHAnsi" w:hAnsiTheme="minorHAnsi"/>
          <w:szCs w:val="24"/>
        </w:rPr>
        <w:t xml:space="preserve">highlighted </w:t>
      </w:r>
      <w:r w:rsidR="00A93751">
        <w:rPr>
          <w:rFonts w:asciiTheme="minorHAnsi" w:hAnsiTheme="minorHAnsi"/>
          <w:szCs w:val="24"/>
        </w:rPr>
        <w:t xml:space="preserve">the </w:t>
      </w:r>
      <w:r w:rsidR="0097371A">
        <w:rPr>
          <w:rFonts w:asciiTheme="minorHAnsi" w:hAnsiTheme="minorHAnsi"/>
          <w:szCs w:val="24"/>
        </w:rPr>
        <w:t xml:space="preserve">importance of cross-cutting </w:t>
      </w:r>
      <w:r w:rsidR="00A93751">
        <w:rPr>
          <w:rFonts w:asciiTheme="minorHAnsi" w:hAnsiTheme="minorHAnsi"/>
          <w:szCs w:val="24"/>
        </w:rPr>
        <w:t xml:space="preserve">thematic priorities </w:t>
      </w:r>
      <w:r w:rsidR="0097371A">
        <w:rPr>
          <w:rFonts w:asciiTheme="minorHAnsi" w:hAnsiTheme="minorHAnsi"/>
          <w:szCs w:val="24"/>
        </w:rPr>
        <w:t>that would send a very strong message in terms of</w:t>
      </w:r>
      <w:r w:rsidR="00752BAE">
        <w:rPr>
          <w:rFonts w:asciiTheme="minorHAnsi" w:hAnsiTheme="minorHAnsi"/>
          <w:szCs w:val="24"/>
        </w:rPr>
        <w:t xml:space="preserve"> the Union’s mission</w:t>
      </w:r>
      <w:r w:rsidR="00665EBA">
        <w:rPr>
          <w:rFonts w:asciiTheme="minorHAnsi" w:hAnsiTheme="minorHAnsi"/>
          <w:szCs w:val="24"/>
        </w:rPr>
        <w:t>.</w:t>
      </w:r>
      <w:r w:rsidR="00665EBA" w:rsidRPr="00665EBA">
        <w:rPr>
          <w:rFonts w:asciiTheme="minorHAnsi" w:hAnsiTheme="minorHAnsi"/>
          <w:szCs w:val="24"/>
        </w:rPr>
        <w:t xml:space="preserve"> </w:t>
      </w:r>
      <w:r w:rsidR="00665EBA">
        <w:rPr>
          <w:rFonts w:asciiTheme="minorHAnsi" w:hAnsiTheme="minorHAnsi"/>
          <w:szCs w:val="24"/>
        </w:rPr>
        <w:t xml:space="preserve">One councillor said that more clarity was needed on the objective criteria for establishing new area offices. </w:t>
      </w:r>
    </w:p>
    <w:p w14:paraId="795EF424" w14:textId="35F49076" w:rsidR="00D37AF7" w:rsidRDefault="00D37AF7"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1.</w:t>
      </w:r>
      <w:r w:rsidR="00BD7477">
        <w:rPr>
          <w:rFonts w:asciiTheme="minorHAnsi" w:hAnsiTheme="minorHAnsi"/>
          <w:szCs w:val="24"/>
        </w:rPr>
        <w:t>3</w:t>
      </w:r>
      <w:r>
        <w:rPr>
          <w:rFonts w:asciiTheme="minorHAnsi" w:hAnsiTheme="minorHAnsi"/>
          <w:szCs w:val="24"/>
        </w:rPr>
        <w:tab/>
        <w:t>In response to questions from a councillor</w:t>
      </w:r>
      <w:r w:rsidRPr="00E670E1">
        <w:rPr>
          <w:rFonts w:asciiTheme="minorHAnsi" w:hAnsiTheme="minorHAnsi"/>
          <w:szCs w:val="24"/>
        </w:rPr>
        <w:t xml:space="preserve"> </w:t>
      </w:r>
      <w:r>
        <w:rPr>
          <w:rFonts w:asciiTheme="minorHAnsi" w:hAnsiTheme="minorHAnsi"/>
          <w:szCs w:val="24"/>
        </w:rPr>
        <w:t xml:space="preserve">concerning the </w:t>
      </w:r>
      <w:r w:rsidRPr="00E670E1">
        <w:rPr>
          <w:rFonts w:asciiTheme="minorHAnsi" w:hAnsiTheme="minorHAnsi"/>
          <w:szCs w:val="24"/>
        </w:rPr>
        <w:t>SWOT</w:t>
      </w:r>
      <w:r>
        <w:rPr>
          <w:rFonts w:asciiTheme="minorHAnsi" w:hAnsiTheme="minorHAnsi"/>
          <w:szCs w:val="24"/>
        </w:rPr>
        <w:t xml:space="preserve"> analysis</w:t>
      </w:r>
      <w:r w:rsidRPr="00E670E1">
        <w:rPr>
          <w:rFonts w:asciiTheme="minorHAnsi" w:hAnsiTheme="minorHAnsi"/>
          <w:szCs w:val="24"/>
        </w:rPr>
        <w:t xml:space="preserve"> contained in Appendix A to Document C22/27(Rev.2), </w:t>
      </w:r>
      <w:r>
        <w:rPr>
          <w:rFonts w:asciiTheme="minorHAnsi" w:hAnsiTheme="minorHAnsi"/>
          <w:szCs w:val="24"/>
        </w:rPr>
        <w:t xml:space="preserve">the Chairman of CWG-SFP said that the SWOT analysis, originally intended for inclusion as part of the situational analysis in Annex 2 to the plan itself, had eventually been discussed too late in the process to achieve consensus, whence the square brackets. Nevertheless, since it provided very useful background for understanding the plan, it had been retained in the report for future reference. </w:t>
      </w:r>
    </w:p>
    <w:p w14:paraId="29DF9CB9" w14:textId="651393B7" w:rsidR="00B1768D" w:rsidRDefault="00BD7477"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1.4</w:t>
      </w:r>
      <w:r w:rsidR="00D37AF7">
        <w:rPr>
          <w:rFonts w:asciiTheme="minorHAnsi" w:hAnsiTheme="minorHAnsi"/>
          <w:szCs w:val="24"/>
        </w:rPr>
        <w:tab/>
        <w:t xml:space="preserve">The Director of BR said that the two clear strategic goals set out in the draft </w:t>
      </w:r>
      <w:r w:rsidR="00B1768D">
        <w:rPr>
          <w:rFonts w:asciiTheme="minorHAnsi" w:hAnsiTheme="minorHAnsi"/>
          <w:szCs w:val="24"/>
        </w:rPr>
        <w:t>s</w:t>
      </w:r>
      <w:r w:rsidR="00D37AF7">
        <w:rPr>
          <w:rFonts w:asciiTheme="minorHAnsi" w:hAnsiTheme="minorHAnsi"/>
          <w:szCs w:val="24"/>
        </w:rPr>
        <w:t xml:space="preserve">trategic </w:t>
      </w:r>
      <w:r w:rsidR="00B1768D">
        <w:rPr>
          <w:rFonts w:asciiTheme="minorHAnsi" w:hAnsiTheme="minorHAnsi"/>
          <w:szCs w:val="24"/>
        </w:rPr>
        <w:t>p</w:t>
      </w:r>
      <w:r w:rsidR="00D37AF7">
        <w:rPr>
          <w:rFonts w:asciiTheme="minorHAnsi" w:hAnsiTheme="minorHAnsi"/>
          <w:szCs w:val="24"/>
        </w:rPr>
        <w:t xml:space="preserve">lan would help to overcome the challenge experienced in recent years of informing the </w:t>
      </w:r>
      <w:proofErr w:type="gramStart"/>
      <w:r w:rsidR="00D37AF7">
        <w:rPr>
          <w:rFonts w:asciiTheme="minorHAnsi" w:hAnsiTheme="minorHAnsi"/>
          <w:szCs w:val="24"/>
        </w:rPr>
        <w:t>general public</w:t>
      </w:r>
      <w:proofErr w:type="gramEnd"/>
      <w:r w:rsidR="00D37AF7">
        <w:rPr>
          <w:rFonts w:asciiTheme="minorHAnsi" w:hAnsiTheme="minorHAnsi"/>
          <w:szCs w:val="24"/>
        </w:rPr>
        <w:t xml:space="preserve"> about the role of ITU. The square brackets in Document C22/27, and in particular Annex 1 thereto, indicated lack of consensus on whether specific items should be included in the draft </w:t>
      </w:r>
      <w:r w:rsidR="00B1768D">
        <w:rPr>
          <w:rFonts w:asciiTheme="minorHAnsi" w:hAnsiTheme="minorHAnsi"/>
          <w:szCs w:val="24"/>
        </w:rPr>
        <w:t>s</w:t>
      </w:r>
      <w:r w:rsidR="00D37AF7">
        <w:rPr>
          <w:rFonts w:asciiTheme="minorHAnsi" w:hAnsiTheme="minorHAnsi"/>
          <w:szCs w:val="24"/>
        </w:rPr>
        <w:t xml:space="preserve">trategic </w:t>
      </w:r>
      <w:r w:rsidR="00B1768D">
        <w:rPr>
          <w:rFonts w:asciiTheme="minorHAnsi" w:hAnsiTheme="minorHAnsi"/>
          <w:szCs w:val="24"/>
        </w:rPr>
        <w:t>p</w:t>
      </w:r>
      <w:r w:rsidR="00D37AF7">
        <w:rPr>
          <w:rFonts w:asciiTheme="minorHAnsi" w:hAnsiTheme="minorHAnsi"/>
          <w:szCs w:val="24"/>
        </w:rPr>
        <w:t xml:space="preserve">lan. The general </w:t>
      </w:r>
      <w:r w:rsidR="00B1768D">
        <w:rPr>
          <w:rFonts w:asciiTheme="minorHAnsi" w:hAnsiTheme="minorHAnsi"/>
          <w:szCs w:val="24"/>
        </w:rPr>
        <w:t>agreement</w:t>
      </w:r>
      <w:r w:rsidR="00D37AF7">
        <w:rPr>
          <w:rFonts w:asciiTheme="minorHAnsi" w:hAnsiTheme="minorHAnsi"/>
          <w:szCs w:val="24"/>
        </w:rPr>
        <w:t xml:space="preserve"> within CWG-SFP had been that those issues would need to be resolved by the Plenipotentiary Conference. </w:t>
      </w:r>
    </w:p>
    <w:p w14:paraId="2F3AEAAF" w14:textId="32CAF2E4" w:rsidR="00665EBA" w:rsidRDefault="00665EBA"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1.</w:t>
      </w:r>
      <w:r w:rsidR="00BD7477">
        <w:rPr>
          <w:rFonts w:asciiTheme="minorHAnsi" w:hAnsiTheme="minorHAnsi"/>
          <w:szCs w:val="24"/>
        </w:rPr>
        <w:t>5</w:t>
      </w:r>
      <w:r>
        <w:rPr>
          <w:rFonts w:asciiTheme="minorHAnsi" w:hAnsiTheme="minorHAnsi"/>
          <w:szCs w:val="24"/>
        </w:rPr>
        <w:tab/>
        <w:t>Some councillors</w:t>
      </w:r>
      <w:r w:rsidRPr="0008401E">
        <w:rPr>
          <w:rFonts w:asciiTheme="minorHAnsi" w:hAnsiTheme="minorHAnsi"/>
          <w:szCs w:val="24"/>
        </w:rPr>
        <w:t xml:space="preserve"> were concerned </w:t>
      </w:r>
      <w:r>
        <w:rPr>
          <w:rFonts w:asciiTheme="minorHAnsi" w:hAnsiTheme="minorHAnsi"/>
          <w:szCs w:val="24"/>
        </w:rPr>
        <w:t xml:space="preserve">that, in view of the deadline of 26 May 2022 for submitting the draft strategic plan to PP-22 and the fact that WTDC was scheduled for June, it was unclear how ITU-D’s input could be incorporated. A mechanism of some form was needed </w:t>
      </w:r>
      <w:r w:rsidR="00D37AF7">
        <w:rPr>
          <w:rFonts w:asciiTheme="minorHAnsi" w:hAnsiTheme="minorHAnsi"/>
          <w:szCs w:val="24"/>
        </w:rPr>
        <w:t>to that end</w:t>
      </w:r>
      <w:r w:rsidR="00391BF7">
        <w:rPr>
          <w:rFonts w:asciiTheme="minorHAnsi" w:hAnsiTheme="minorHAnsi"/>
          <w:szCs w:val="24"/>
        </w:rPr>
        <w:t>,</w:t>
      </w:r>
      <w:r w:rsidR="00D37AF7">
        <w:rPr>
          <w:rFonts w:asciiTheme="minorHAnsi" w:hAnsiTheme="minorHAnsi"/>
          <w:szCs w:val="24"/>
        </w:rPr>
        <w:t xml:space="preserve"> and </w:t>
      </w:r>
      <w:r>
        <w:rPr>
          <w:rFonts w:asciiTheme="minorHAnsi" w:hAnsiTheme="minorHAnsi"/>
          <w:szCs w:val="24"/>
        </w:rPr>
        <w:t xml:space="preserve">to avoid overloading </w:t>
      </w:r>
      <w:r w:rsidR="00D37AF7">
        <w:rPr>
          <w:rFonts w:asciiTheme="minorHAnsi" w:hAnsiTheme="minorHAnsi"/>
          <w:szCs w:val="24"/>
        </w:rPr>
        <w:t>PP</w:t>
      </w:r>
      <w:r>
        <w:rPr>
          <w:rFonts w:asciiTheme="minorHAnsi" w:hAnsiTheme="minorHAnsi"/>
          <w:szCs w:val="24"/>
        </w:rPr>
        <w:t xml:space="preserve"> with finalizing the draft.</w:t>
      </w:r>
    </w:p>
    <w:p w14:paraId="0BE11EB6" w14:textId="23215E38" w:rsidR="00C71E19" w:rsidRPr="00BE577E" w:rsidRDefault="00665EBA"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1.</w:t>
      </w:r>
      <w:r w:rsidR="00BD7477">
        <w:rPr>
          <w:rFonts w:asciiTheme="minorHAnsi" w:hAnsiTheme="minorHAnsi"/>
          <w:szCs w:val="24"/>
        </w:rPr>
        <w:t>6</w:t>
      </w:r>
      <w:r>
        <w:rPr>
          <w:rFonts w:asciiTheme="minorHAnsi" w:hAnsiTheme="minorHAnsi"/>
          <w:szCs w:val="24"/>
        </w:rPr>
        <w:tab/>
      </w:r>
      <w:r w:rsidR="00BE577E">
        <w:rPr>
          <w:rFonts w:asciiTheme="minorHAnsi" w:hAnsiTheme="minorHAnsi"/>
          <w:szCs w:val="24"/>
        </w:rPr>
        <w:t>The Chair</w:t>
      </w:r>
      <w:r w:rsidR="00E36421">
        <w:rPr>
          <w:rFonts w:asciiTheme="minorHAnsi" w:hAnsiTheme="minorHAnsi"/>
          <w:szCs w:val="24"/>
        </w:rPr>
        <w:t>man</w:t>
      </w:r>
      <w:r w:rsidR="00BE577E">
        <w:rPr>
          <w:rFonts w:asciiTheme="minorHAnsi" w:hAnsiTheme="minorHAnsi"/>
          <w:szCs w:val="24"/>
        </w:rPr>
        <w:t xml:space="preserve"> of CWG-SFP said</w:t>
      </w:r>
      <w:r w:rsidR="00495D8A">
        <w:rPr>
          <w:rFonts w:asciiTheme="minorHAnsi" w:hAnsiTheme="minorHAnsi"/>
          <w:szCs w:val="24"/>
        </w:rPr>
        <w:t xml:space="preserve"> that the </w:t>
      </w:r>
      <w:r w:rsidR="00B21F6F">
        <w:rPr>
          <w:rFonts w:asciiTheme="minorHAnsi" w:hAnsiTheme="minorHAnsi"/>
          <w:szCs w:val="24"/>
        </w:rPr>
        <w:t>g</w:t>
      </w:r>
      <w:r w:rsidR="00495D8A">
        <w:rPr>
          <w:rFonts w:asciiTheme="minorHAnsi" w:hAnsiTheme="minorHAnsi"/>
          <w:szCs w:val="24"/>
        </w:rPr>
        <w:t xml:space="preserve">roup’s main task – finalizing the draft </w:t>
      </w:r>
      <w:r w:rsidR="00D37AF7">
        <w:rPr>
          <w:rFonts w:asciiTheme="minorHAnsi" w:hAnsiTheme="minorHAnsi"/>
          <w:szCs w:val="24"/>
        </w:rPr>
        <w:t>s</w:t>
      </w:r>
      <w:r w:rsidR="00495D8A">
        <w:rPr>
          <w:rFonts w:asciiTheme="minorHAnsi" w:hAnsiTheme="minorHAnsi"/>
          <w:szCs w:val="24"/>
        </w:rPr>
        <w:t xml:space="preserve">trategic </w:t>
      </w:r>
      <w:r w:rsidR="00D37AF7">
        <w:rPr>
          <w:rFonts w:asciiTheme="minorHAnsi" w:hAnsiTheme="minorHAnsi"/>
          <w:szCs w:val="24"/>
        </w:rPr>
        <w:t>p</w:t>
      </w:r>
      <w:r w:rsidR="00495D8A">
        <w:rPr>
          <w:rFonts w:asciiTheme="minorHAnsi" w:hAnsiTheme="minorHAnsi"/>
          <w:szCs w:val="24"/>
        </w:rPr>
        <w:t xml:space="preserve">lan before the present session of the Council – was complete and no further work was planned. While </w:t>
      </w:r>
      <w:r w:rsidR="00495D8A">
        <w:rPr>
          <w:rFonts w:asciiTheme="minorHAnsi" w:hAnsiTheme="minorHAnsi"/>
          <w:szCs w:val="24"/>
        </w:rPr>
        <w:lastRenderedPageBreak/>
        <w:t xml:space="preserve">it was unfortunate that the postponed WTDC would take place after the Council’s session, input from ITU-D had been fully </w:t>
      </w:r>
      <w:proofErr w:type="gramStart"/>
      <w:r w:rsidR="00495D8A">
        <w:rPr>
          <w:rFonts w:asciiTheme="minorHAnsi" w:hAnsiTheme="minorHAnsi"/>
          <w:szCs w:val="24"/>
        </w:rPr>
        <w:t>taken into account</w:t>
      </w:r>
      <w:proofErr w:type="gramEnd"/>
      <w:r w:rsidR="00495D8A">
        <w:rPr>
          <w:rFonts w:asciiTheme="minorHAnsi" w:hAnsiTheme="minorHAnsi"/>
          <w:szCs w:val="24"/>
        </w:rPr>
        <w:t xml:space="preserve"> in preparing the draft.</w:t>
      </w:r>
    </w:p>
    <w:p w14:paraId="14125616" w14:textId="5A5E40F0" w:rsidR="00514607" w:rsidRDefault="00DD2F1D"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1</w:t>
      </w:r>
      <w:r w:rsidR="00C71E19" w:rsidRPr="009F1A61">
        <w:rPr>
          <w:rFonts w:asciiTheme="minorHAnsi" w:hAnsiTheme="minorHAnsi"/>
          <w:szCs w:val="24"/>
        </w:rPr>
        <w:t>.</w:t>
      </w:r>
      <w:r w:rsidR="00BD7477">
        <w:rPr>
          <w:rFonts w:asciiTheme="minorHAnsi" w:hAnsiTheme="minorHAnsi"/>
          <w:szCs w:val="24"/>
        </w:rPr>
        <w:t>7</w:t>
      </w:r>
      <w:r w:rsidR="00C71E19" w:rsidRPr="009F1A61">
        <w:rPr>
          <w:rFonts w:asciiTheme="minorHAnsi" w:hAnsiTheme="minorHAnsi"/>
          <w:szCs w:val="24"/>
        </w:rPr>
        <w:tab/>
      </w:r>
      <w:r w:rsidR="00495D8A">
        <w:rPr>
          <w:rFonts w:asciiTheme="minorHAnsi" w:hAnsiTheme="minorHAnsi"/>
          <w:szCs w:val="24"/>
        </w:rPr>
        <w:t>The</w:t>
      </w:r>
      <w:r w:rsidR="006F37F4">
        <w:rPr>
          <w:rFonts w:asciiTheme="minorHAnsi" w:hAnsiTheme="minorHAnsi"/>
          <w:szCs w:val="24"/>
        </w:rPr>
        <w:t xml:space="preserve"> representative of the General </w:t>
      </w:r>
      <w:r w:rsidR="006F37F4" w:rsidRPr="001A60E3">
        <w:rPr>
          <w:rFonts w:asciiTheme="minorHAnsi" w:hAnsiTheme="minorHAnsi"/>
          <w:szCs w:val="24"/>
        </w:rPr>
        <w:t>Secretariat said</w:t>
      </w:r>
      <w:r w:rsidR="003750DF" w:rsidRPr="001A60E3">
        <w:rPr>
          <w:rFonts w:asciiTheme="minorHAnsi" w:hAnsiTheme="minorHAnsi"/>
          <w:szCs w:val="24"/>
        </w:rPr>
        <w:t xml:space="preserve"> that </w:t>
      </w:r>
      <w:r w:rsidR="001656B5" w:rsidRPr="001A60E3">
        <w:rPr>
          <w:rFonts w:asciiTheme="minorHAnsi" w:hAnsiTheme="minorHAnsi"/>
          <w:szCs w:val="24"/>
        </w:rPr>
        <w:t xml:space="preserve">statutorily </w:t>
      </w:r>
      <w:r w:rsidR="003750DF" w:rsidRPr="001A60E3">
        <w:rPr>
          <w:rFonts w:asciiTheme="minorHAnsi" w:hAnsiTheme="minorHAnsi"/>
          <w:szCs w:val="24"/>
        </w:rPr>
        <w:t xml:space="preserve">the draft </w:t>
      </w:r>
      <w:r w:rsidR="00B21F6F" w:rsidRPr="001A60E3">
        <w:rPr>
          <w:rFonts w:asciiTheme="minorHAnsi" w:hAnsiTheme="minorHAnsi"/>
          <w:szCs w:val="24"/>
        </w:rPr>
        <w:t>s</w:t>
      </w:r>
      <w:r w:rsidR="003750DF" w:rsidRPr="001A60E3">
        <w:rPr>
          <w:rFonts w:asciiTheme="minorHAnsi" w:hAnsiTheme="minorHAnsi"/>
          <w:szCs w:val="24"/>
        </w:rPr>
        <w:t xml:space="preserve">trategic </w:t>
      </w:r>
      <w:r w:rsidR="00B21F6F" w:rsidRPr="001A60E3">
        <w:rPr>
          <w:rFonts w:asciiTheme="minorHAnsi" w:hAnsiTheme="minorHAnsi"/>
          <w:szCs w:val="24"/>
        </w:rPr>
        <w:t>p</w:t>
      </w:r>
      <w:r w:rsidR="003750DF" w:rsidRPr="001A60E3">
        <w:rPr>
          <w:rFonts w:asciiTheme="minorHAnsi" w:hAnsiTheme="minorHAnsi"/>
          <w:szCs w:val="24"/>
        </w:rPr>
        <w:t xml:space="preserve">lan </w:t>
      </w:r>
      <w:r w:rsidR="001656B5" w:rsidRPr="001A60E3">
        <w:rPr>
          <w:rFonts w:asciiTheme="minorHAnsi" w:hAnsiTheme="minorHAnsi"/>
          <w:szCs w:val="24"/>
        </w:rPr>
        <w:t xml:space="preserve">must </w:t>
      </w:r>
      <w:r w:rsidR="003750DF" w:rsidRPr="001A60E3">
        <w:rPr>
          <w:rFonts w:asciiTheme="minorHAnsi" w:hAnsiTheme="minorHAnsi"/>
          <w:szCs w:val="24"/>
        </w:rPr>
        <w:t xml:space="preserve">be submitted to </w:t>
      </w:r>
      <w:r w:rsidR="00B21F6F" w:rsidRPr="001A60E3">
        <w:rPr>
          <w:rFonts w:asciiTheme="minorHAnsi" w:hAnsiTheme="minorHAnsi"/>
          <w:szCs w:val="24"/>
        </w:rPr>
        <w:t>PP</w:t>
      </w:r>
      <w:r w:rsidR="003750DF" w:rsidRPr="001A60E3">
        <w:rPr>
          <w:rFonts w:asciiTheme="minorHAnsi" w:hAnsiTheme="minorHAnsi"/>
          <w:szCs w:val="24"/>
        </w:rPr>
        <w:t xml:space="preserve"> four months in advance. </w:t>
      </w:r>
      <w:r w:rsidR="00F73E4B">
        <w:rPr>
          <w:rFonts w:asciiTheme="minorHAnsi" w:hAnsiTheme="minorHAnsi"/>
          <w:szCs w:val="24"/>
        </w:rPr>
        <w:t xml:space="preserve">It was up to </w:t>
      </w:r>
      <w:r w:rsidR="003750DF" w:rsidRPr="001A60E3">
        <w:rPr>
          <w:rFonts w:asciiTheme="minorHAnsi" w:hAnsiTheme="minorHAnsi"/>
          <w:szCs w:val="24"/>
        </w:rPr>
        <w:t xml:space="preserve">Member States </w:t>
      </w:r>
      <w:r w:rsidR="00F73E4B">
        <w:rPr>
          <w:rFonts w:asciiTheme="minorHAnsi" w:hAnsiTheme="minorHAnsi"/>
          <w:szCs w:val="24"/>
        </w:rPr>
        <w:t>to</w:t>
      </w:r>
      <w:r w:rsidR="00F73E4B" w:rsidRPr="001A60E3">
        <w:rPr>
          <w:rFonts w:asciiTheme="minorHAnsi" w:hAnsiTheme="minorHAnsi"/>
          <w:szCs w:val="24"/>
        </w:rPr>
        <w:t xml:space="preserve"> </w:t>
      </w:r>
      <w:r w:rsidR="003750DF" w:rsidRPr="001A60E3">
        <w:rPr>
          <w:rFonts w:asciiTheme="minorHAnsi" w:hAnsiTheme="minorHAnsi"/>
          <w:szCs w:val="24"/>
        </w:rPr>
        <w:t xml:space="preserve">decide how contributions from conferences taking place </w:t>
      </w:r>
      <w:r w:rsidR="00F73E4B">
        <w:rPr>
          <w:rFonts w:asciiTheme="minorHAnsi" w:hAnsiTheme="minorHAnsi"/>
          <w:szCs w:val="24"/>
        </w:rPr>
        <w:t>in the interim</w:t>
      </w:r>
      <w:r w:rsidR="00F73E4B" w:rsidRPr="001A60E3">
        <w:rPr>
          <w:rFonts w:asciiTheme="minorHAnsi" w:hAnsiTheme="minorHAnsi"/>
          <w:szCs w:val="24"/>
        </w:rPr>
        <w:t xml:space="preserve"> </w:t>
      </w:r>
      <w:r w:rsidR="003750DF" w:rsidRPr="001A60E3">
        <w:rPr>
          <w:rFonts w:asciiTheme="minorHAnsi" w:hAnsiTheme="minorHAnsi"/>
          <w:szCs w:val="24"/>
        </w:rPr>
        <w:t xml:space="preserve">could be submitted to </w:t>
      </w:r>
      <w:r w:rsidR="00F73E4B">
        <w:rPr>
          <w:rFonts w:asciiTheme="minorHAnsi" w:hAnsiTheme="minorHAnsi"/>
          <w:szCs w:val="24"/>
        </w:rPr>
        <w:t>PP. T</w:t>
      </w:r>
      <w:r w:rsidR="003750DF" w:rsidRPr="001A60E3">
        <w:rPr>
          <w:rFonts w:asciiTheme="minorHAnsi" w:hAnsiTheme="minorHAnsi"/>
          <w:szCs w:val="24"/>
        </w:rPr>
        <w:t xml:space="preserve">he </w:t>
      </w:r>
      <w:r w:rsidR="00C42E3F">
        <w:rPr>
          <w:rFonts w:asciiTheme="minorHAnsi" w:hAnsiTheme="minorHAnsi"/>
          <w:szCs w:val="24"/>
        </w:rPr>
        <w:t>s</w:t>
      </w:r>
      <w:r w:rsidR="003750DF" w:rsidRPr="001A60E3">
        <w:rPr>
          <w:rFonts w:asciiTheme="minorHAnsi" w:hAnsiTheme="minorHAnsi"/>
          <w:szCs w:val="24"/>
        </w:rPr>
        <w:t>ecretariat would provide all the necessary support.</w:t>
      </w:r>
    </w:p>
    <w:p w14:paraId="5C29ACAD" w14:textId="1E5FFB2B" w:rsidR="00D059CF" w:rsidRDefault="00D059CF"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1.</w:t>
      </w:r>
      <w:r w:rsidR="00BD7477">
        <w:rPr>
          <w:rFonts w:asciiTheme="minorHAnsi" w:hAnsiTheme="minorHAnsi"/>
          <w:szCs w:val="24"/>
        </w:rPr>
        <w:t>8</w:t>
      </w:r>
      <w:r>
        <w:rPr>
          <w:rFonts w:asciiTheme="minorHAnsi" w:hAnsiTheme="minorHAnsi"/>
          <w:szCs w:val="24"/>
        </w:rPr>
        <w:tab/>
      </w:r>
      <w:r w:rsidR="002A7825">
        <w:rPr>
          <w:rFonts w:asciiTheme="minorHAnsi" w:hAnsiTheme="minorHAnsi"/>
          <w:szCs w:val="24"/>
        </w:rPr>
        <w:t xml:space="preserve"> </w:t>
      </w:r>
      <w:r w:rsidR="00B1768D">
        <w:rPr>
          <w:rFonts w:asciiTheme="minorHAnsi" w:hAnsiTheme="minorHAnsi"/>
          <w:szCs w:val="24"/>
        </w:rPr>
        <w:t xml:space="preserve">The Director of BR said </w:t>
      </w:r>
      <w:r w:rsidR="00F73E4B">
        <w:rPr>
          <w:rFonts w:asciiTheme="minorHAnsi" w:hAnsiTheme="minorHAnsi"/>
          <w:szCs w:val="24"/>
        </w:rPr>
        <w:t xml:space="preserve">that </w:t>
      </w:r>
      <w:r w:rsidR="00B1768D">
        <w:rPr>
          <w:rFonts w:asciiTheme="minorHAnsi" w:hAnsiTheme="minorHAnsi"/>
          <w:szCs w:val="24"/>
        </w:rPr>
        <w:t>on previous occasions when WTDC had been held after the Council’s session in a plenipotentiary year, ITU-D</w:t>
      </w:r>
      <w:r w:rsidR="00214C59">
        <w:rPr>
          <w:rFonts w:asciiTheme="minorHAnsi" w:hAnsiTheme="minorHAnsi"/>
          <w:szCs w:val="24"/>
        </w:rPr>
        <w:t>’s</w:t>
      </w:r>
      <w:r w:rsidR="00B1768D">
        <w:rPr>
          <w:rFonts w:asciiTheme="minorHAnsi" w:hAnsiTheme="minorHAnsi"/>
          <w:szCs w:val="24"/>
        </w:rPr>
        <w:t xml:space="preserve"> input </w:t>
      </w:r>
      <w:r w:rsidR="00214C59">
        <w:rPr>
          <w:rFonts w:asciiTheme="minorHAnsi" w:hAnsiTheme="minorHAnsi"/>
          <w:szCs w:val="24"/>
        </w:rPr>
        <w:t xml:space="preserve">to the strategic plan </w:t>
      </w:r>
      <w:r w:rsidR="00B1768D">
        <w:rPr>
          <w:rFonts w:asciiTheme="minorHAnsi" w:hAnsiTheme="minorHAnsi"/>
          <w:szCs w:val="24"/>
        </w:rPr>
        <w:t>had been reviewed and adopted at PP itself.</w:t>
      </w:r>
      <w:r w:rsidR="00234499">
        <w:rPr>
          <w:rFonts w:asciiTheme="minorHAnsi" w:hAnsiTheme="minorHAnsi"/>
          <w:szCs w:val="24"/>
        </w:rPr>
        <w:t xml:space="preserve"> </w:t>
      </w:r>
      <w:r w:rsidR="00B1768D">
        <w:rPr>
          <w:rFonts w:asciiTheme="minorHAnsi" w:hAnsiTheme="minorHAnsi"/>
          <w:szCs w:val="24"/>
        </w:rPr>
        <w:t>It should also be stressed that</w:t>
      </w:r>
      <w:r w:rsidR="001A60E3">
        <w:rPr>
          <w:rFonts w:asciiTheme="minorHAnsi" w:hAnsiTheme="minorHAnsi"/>
          <w:szCs w:val="24"/>
        </w:rPr>
        <w:t xml:space="preserve">, while WTDC might of course add or modify items, </w:t>
      </w:r>
      <w:r w:rsidR="00214C59">
        <w:rPr>
          <w:rFonts w:asciiTheme="minorHAnsi" w:hAnsiTheme="minorHAnsi"/>
          <w:szCs w:val="24"/>
        </w:rPr>
        <w:t xml:space="preserve">ITU-D </w:t>
      </w:r>
      <w:r w:rsidR="001A60E3">
        <w:rPr>
          <w:rFonts w:asciiTheme="minorHAnsi" w:hAnsiTheme="minorHAnsi"/>
          <w:szCs w:val="24"/>
        </w:rPr>
        <w:t>i</w:t>
      </w:r>
      <w:r w:rsidR="00234499">
        <w:rPr>
          <w:rFonts w:asciiTheme="minorHAnsi" w:hAnsiTheme="minorHAnsi"/>
          <w:szCs w:val="24"/>
        </w:rPr>
        <w:t>nputs resulting from TDAG meetings had already</w:t>
      </w:r>
      <w:r w:rsidR="00C662CF">
        <w:rPr>
          <w:rFonts w:asciiTheme="minorHAnsi" w:hAnsiTheme="minorHAnsi"/>
          <w:szCs w:val="24"/>
        </w:rPr>
        <w:t xml:space="preserve"> been</w:t>
      </w:r>
      <w:r w:rsidR="00234499">
        <w:rPr>
          <w:rFonts w:asciiTheme="minorHAnsi" w:hAnsiTheme="minorHAnsi"/>
          <w:szCs w:val="24"/>
        </w:rPr>
        <w:t xml:space="preserve"> </w:t>
      </w:r>
      <w:proofErr w:type="gramStart"/>
      <w:r w:rsidR="001A60E3">
        <w:rPr>
          <w:rFonts w:asciiTheme="minorHAnsi" w:hAnsiTheme="minorHAnsi"/>
          <w:szCs w:val="24"/>
        </w:rPr>
        <w:t>taken into account</w:t>
      </w:r>
      <w:proofErr w:type="gramEnd"/>
      <w:r w:rsidR="00FC7670">
        <w:rPr>
          <w:rFonts w:asciiTheme="minorHAnsi" w:hAnsiTheme="minorHAnsi"/>
          <w:szCs w:val="24"/>
        </w:rPr>
        <w:t>,</w:t>
      </w:r>
      <w:r w:rsidR="001A60E3">
        <w:rPr>
          <w:rFonts w:asciiTheme="minorHAnsi" w:hAnsiTheme="minorHAnsi"/>
          <w:szCs w:val="24"/>
        </w:rPr>
        <w:t xml:space="preserve"> so there should already be good alignment</w:t>
      </w:r>
      <w:r w:rsidR="00234499">
        <w:rPr>
          <w:rFonts w:asciiTheme="minorHAnsi" w:hAnsiTheme="minorHAnsi"/>
          <w:szCs w:val="24"/>
        </w:rPr>
        <w:t>.</w:t>
      </w:r>
    </w:p>
    <w:p w14:paraId="239985EC" w14:textId="2D4C12D3" w:rsidR="00C42E3F" w:rsidRDefault="00C42E3F"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1.9</w:t>
      </w:r>
      <w:r>
        <w:rPr>
          <w:rFonts w:asciiTheme="minorHAnsi" w:hAnsiTheme="minorHAnsi"/>
          <w:szCs w:val="24"/>
        </w:rPr>
        <w:tab/>
        <w:t xml:space="preserve">One councillor </w:t>
      </w:r>
      <w:r w:rsidR="009348C7">
        <w:rPr>
          <w:rFonts w:asciiTheme="minorHAnsi" w:hAnsiTheme="minorHAnsi"/>
          <w:szCs w:val="24"/>
        </w:rPr>
        <w:t>stressed</w:t>
      </w:r>
      <w:r>
        <w:rPr>
          <w:rFonts w:asciiTheme="minorHAnsi" w:hAnsiTheme="minorHAnsi"/>
          <w:szCs w:val="24"/>
        </w:rPr>
        <w:t xml:space="preserve"> that WTDC was the highest body in ITU-D </w:t>
      </w:r>
      <w:r w:rsidR="00DC56D8">
        <w:rPr>
          <w:rFonts w:asciiTheme="minorHAnsi" w:hAnsiTheme="minorHAnsi"/>
          <w:szCs w:val="24"/>
        </w:rPr>
        <w:t xml:space="preserve">and its comments on the draft strategic plan could be transmitted </w:t>
      </w:r>
      <w:r w:rsidR="00214C59">
        <w:rPr>
          <w:rFonts w:asciiTheme="minorHAnsi" w:hAnsiTheme="minorHAnsi"/>
          <w:szCs w:val="24"/>
        </w:rPr>
        <w:t xml:space="preserve">straight </w:t>
      </w:r>
      <w:r w:rsidR="00DC56D8">
        <w:rPr>
          <w:rFonts w:asciiTheme="minorHAnsi" w:hAnsiTheme="minorHAnsi"/>
          <w:szCs w:val="24"/>
        </w:rPr>
        <w:t xml:space="preserve">to PP and discussed there, as had been done in the past. Another </w:t>
      </w:r>
      <w:r w:rsidR="009348C7">
        <w:rPr>
          <w:rFonts w:asciiTheme="minorHAnsi" w:hAnsiTheme="minorHAnsi"/>
          <w:szCs w:val="24"/>
        </w:rPr>
        <w:t xml:space="preserve">said she </w:t>
      </w:r>
      <w:r w:rsidR="00DC56D8">
        <w:rPr>
          <w:rFonts w:asciiTheme="minorHAnsi" w:hAnsiTheme="minorHAnsi"/>
          <w:szCs w:val="24"/>
        </w:rPr>
        <w:t>could go along with that course</w:t>
      </w:r>
      <w:r w:rsidR="00FC7670">
        <w:rPr>
          <w:rFonts w:asciiTheme="minorHAnsi" w:hAnsiTheme="minorHAnsi"/>
          <w:szCs w:val="24"/>
        </w:rPr>
        <w:t xml:space="preserve"> of action</w:t>
      </w:r>
      <w:r w:rsidR="00DC56D8">
        <w:rPr>
          <w:rFonts w:asciiTheme="minorHAnsi" w:hAnsiTheme="minorHAnsi"/>
          <w:szCs w:val="24"/>
        </w:rPr>
        <w:t xml:space="preserve">, on the understanding that input to the draft strategic plan </w:t>
      </w:r>
      <w:r w:rsidR="009348C7">
        <w:rPr>
          <w:rFonts w:asciiTheme="minorHAnsi" w:hAnsiTheme="minorHAnsi"/>
          <w:szCs w:val="24"/>
        </w:rPr>
        <w:t xml:space="preserve">coming out of WTDC </w:t>
      </w:r>
      <w:r w:rsidR="00214C59">
        <w:rPr>
          <w:rFonts w:asciiTheme="minorHAnsi" w:hAnsiTheme="minorHAnsi"/>
          <w:szCs w:val="24"/>
        </w:rPr>
        <w:t>might</w:t>
      </w:r>
      <w:r w:rsidR="00DC56D8">
        <w:rPr>
          <w:rFonts w:asciiTheme="minorHAnsi" w:hAnsiTheme="minorHAnsi"/>
          <w:szCs w:val="24"/>
        </w:rPr>
        <w:t xml:space="preserve"> be circulated </w:t>
      </w:r>
      <w:r w:rsidR="009348C7">
        <w:rPr>
          <w:rFonts w:asciiTheme="minorHAnsi" w:hAnsiTheme="minorHAnsi"/>
          <w:szCs w:val="24"/>
        </w:rPr>
        <w:t>by the secretariat to allow discussion</w:t>
      </w:r>
      <w:r w:rsidR="00DC56D8">
        <w:rPr>
          <w:rFonts w:asciiTheme="minorHAnsi" w:hAnsiTheme="minorHAnsi"/>
          <w:szCs w:val="24"/>
        </w:rPr>
        <w:t xml:space="preserve"> by correspondence </w:t>
      </w:r>
      <w:r w:rsidR="009348C7">
        <w:rPr>
          <w:rFonts w:asciiTheme="minorHAnsi" w:hAnsiTheme="minorHAnsi"/>
          <w:szCs w:val="24"/>
        </w:rPr>
        <w:t>in preparation for</w:t>
      </w:r>
      <w:r w:rsidR="00DC56D8">
        <w:rPr>
          <w:rFonts w:asciiTheme="minorHAnsi" w:hAnsiTheme="minorHAnsi"/>
          <w:szCs w:val="24"/>
        </w:rPr>
        <w:t xml:space="preserve"> PP.</w:t>
      </w:r>
    </w:p>
    <w:p w14:paraId="3B35E42C" w14:textId="05360A23" w:rsidR="00AF4610" w:rsidRDefault="00AF4610"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1.</w:t>
      </w:r>
      <w:r w:rsidR="00BD7477">
        <w:rPr>
          <w:rFonts w:asciiTheme="minorHAnsi" w:hAnsiTheme="minorHAnsi"/>
          <w:szCs w:val="24"/>
        </w:rPr>
        <w:t>10</w:t>
      </w:r>
      <w:r>
        <w:rPr>
          <w:rFonts w:asciiTheme="minorHAnsi" w:hAnsiTheme="minorHAnsi"/>
          <w:szCs w:val="24"/>
        </w:rPr>
        <w:tab/>
      </w:r>
      <w:r w:rsidR="00C01CBA">
        <w:rPr>
          <w:rFonts w:asciiTheme="minorHAnsi" w:hAnsiTheme="minorHAnsi"/>
          <w:szCs w:val="24"/>
        </w:rPr>
        <w:t>The Secretary-General said that</w:t>
      </w:r>
      <w:r w:rsidR="00214C59">
        <w:rPr>
          <w:rFonts w:asciiTheme="minorHAnsi" w:hAnsiTheme="minorHAnsi"/>
          <w:szCs w:val="24"/>
        </w:rPr>
        <w:t xml:space="preserve"> i</w:t>
      </w:r>
      <w:r w:rsidR="00C01CBA">
        <w:rPr>
          <w:rFonts w:asciiTheme="minorHAnsi" w:hAnsiTheme="minorHAnsi"/>
          <w:szCs w:val="24"/>
        </w:rPr>
        <w:t xml:space="preserve">nput from ITU-D was vital. Although that Sector’s views had already been </w:t>
      </w:r>
      <w:proofErr w:type="gramStart"/>
      <w:r w:rsidR="00C01CBA">
        <w:rPr>
          <w:rFonts w:asciiTheme="minorHAnsi" w:hAnsiTheme="minorHAnsi"/>
          <w:szCs w:val="24"/>
        </w:rPr>
        <w:t>taken into account</w:t>
      </w:r>
      <w:proofErr w:type="gramEnd"/>
      <w:r w:rsidR="00C01CBA">
        <w:rPr>
          <w:rFonts w:asciiTheme="minorHAnsi" w:hAnsiTheme="minorHAnsi"/>
          <w:szCs w:val="24"/>
        </w:rPr>
        <w:t xml:space="preserve"> in preparing the draft, he welcomed the idea of WTDC preparing specific input for PP. </w:t>
      </w:r>
      <w:r w:rsidR="00214C59">
        <w:rPr>
          <w:rFonts w:asciiTheme="minorHAnsi" w:hAnsiTheme="minorHAnsi"/>
          <w:szCs w:val="24"/>
        </w:rPr>
        <w:t xml:space="preserve">He also noted that, as the auditor and IMAC were present, the approved draft strategic plan could be transmitted to them immediately. </w:t>
      </w:r>
    </w:p>
    <w:p w14:paraId="3B966C17" w14:textId="03FD0EE7" w:rsidR="00FD24AF" w:rsidRDefault="00FD24AF"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1.</w:t>
      </w:r>
      <w:r w:rsidR="007B4191">
        <w:rPr>
          <w:rFonts w:asciiTheme="minorHAnsi" w:hAnsiTheme="minorHAnsi"/>
          <w:szCs w:val="24"/>
        </w:rPr>
        <w:t>1</w:t>
      </w:r>
      <w:r w:rsidR="00BD7477">
        <w:rPr>
          <w:rFonts w:asciiTheme="minorHAnsi" w:hAnsiTheme="minorHAnsi"/>
          <w:szCs w:val="24"/>
        </w:rPr>
        <w:t>1</w:t>
      </w:r>
      <w:r>
        <w:rPr>
          <w:rFonts w:asciiTheme="minorHAnsi" w:hAnsiTheme="minorHAnsi"/>
          <w:szCs w:val="24"/>
        </w:rPr>
        <w:tab/>
      </w:r>
      <w:r w:rsidR="007C6888">
        <w:rPr>
          <w:rFonts w:asciiTheme="minorHAnsi" w:hAnsiTheme="minorHAnsi"/>
          <w:szCs w:val="24"/>
        </w:rPr>
        <w:t>In the light of the discussion, the Chairman</w:t>
      </w:r>
      <w:r>
        <w:rPr>
          <w:rFonts w:asciiTheme="minorHAnsi" w:hAnsiTheme="minorHAnsi"/>
          <w:szCs w:val="24"/>
        </w:rPr>
        <w:t xml:space="preserve"> took it that the Council agreed </w:t>
      </w:r>
      <w:r w:rsidR="006C38A1">
        <w:rPr>
          <w:rFonts w:asciiTheme="minorHAnsi" w:hAnsiTheme="minorHAnsi"/>
          <w:szCs w:val="24"/>
        </w:rPr>
        <w:t>to forward</w:t>
      </w:r>
      <w:r w:rsidR="006C38A1" w:rsidRPr="006C38A1">
        <w:rPr>
          <w:rFonts w:asciiTheme="minorHAnsi" w:hAnsiTheme="minorHAnsi"/>
          <w:szCs w:val="24"/>
        </w:rPr>
        <w:t xml:space="preserve"> </w:t>
      </w:r>
      <w:r w:rsidR="006C38A1">
        <w:rPr>
          <w:rFonts w:asciiTheme="minorHAnsi" w:hAnsiTheme="minorHAnsi"/>
          <w:szCs w:val="24"/>
        </w:rPr>
        <w:t xml:space="preserve">the draft strategic plan for 2024-2027 in </w:t>
      </w:r>
      <w:r w:rsidR="006C38A1" w:rsidRPr="006C38A1">
        <w:rPr>
          <w:rFonts w:asciiTheme="minorHAnsi" w:hAnsiTheme="minorHAnsi"/>
          <w:szCs w:val="24"/>
        </w:rPr>
        <w:t>Document C22/27(Rev.2)</w:t>
      </w:r>
      <w:r w:rsidR="00391BF7">
        <w:rPr>
          <w:rFonts w:asciiTheme="minorHAnsi" w:hAnsiTheme="minorHAnsi"/>
          <w:szCs w:val="24"/>
        </w:rPr>
        <w:t xml:space="preserve"> and its annexes</w:t>
      </w:r>
      <w:r w:rsidR="006C38A1">
        <w:rPr>
          <w:rFonts w:asciiTheme="minorHAnsi" w:hAnsiTheme="minorHAnsi"/>
          <w:szCs w:val="24"/>
        </w:rPr>
        <w:t xml:space="preserve">, </w:t>
      </w:r>
      <w:r w:rsidR="00391BF7">
        <w:rPr>
          <w:rFonts w:asciiTheme="minorHAnsi" w:hAnsiTheme="minorHAnsi"/>
          <w:szCs w:val="24"/>
        </w:rPr>
        <w:t>including the</w:t>
      </w:r>
      <w:r w:rsidR="006C38A1">
        <w:rPr>
          <w:rFonts w:asciiTheme="minorHAnsi" w:hAnsiTheme="minorHAnsi"/>
          <w:szCs w:val="24"/>
        </w:rPr>
        <w:t xml:space="preserve"> proposed draft text of the body of Resolution 71 (Rev. Bucharest, 2022)</w:t>
      </w:r>
      <w:r w:rsidR="00D25559">
        <w:rPr>
          <w:rFonts w:asciiTheme="minorHAnsi" w:hAnsiTheme="minorHAnsi"/>
          <w:szCs w:val="24"/>
        </w:rPr>
        <w:t>,</w:t>
      </w:r>
      <w:r w:rsidR="006C38A1">
        <w:rPr>
          <w:rFonts w:asciiTheme="minorHAnsi" w:hAnsiTheme="minorHAnsi"/>
          <w:szCs w:val="24"/>
        </w:rPr>
        <w:t xml:space="preserve"> to the Plenipotentiary Conference</w:t>
      </w:r>
      <w:r w:rsidR="00D25559">
        <w:rPr>
          <w:rFonts w:asciiTheme="minorHAnsi" w:hAnsiTheme="minorHAnsi"/>
          <w:szCs w:val="24"/>
        </w:rPr>
        <w:t>;</w:t>
      </w:r>
      <w:r w:rsidR="006C38A1">
        <w:rPr>
          <w:rFonts w:asciiTheme="minorHAnsi" w:hAnsiTheme="minorHAnsi"/>
          <w:szCs w:val="24"/>
        </w:rPr>
        <w:t xml:space="preserve"> </w:t>
      </w:r>
      <w:r>
        <w:rPr>
          <w:rFonts w:asciiTheme="minorHAnsi" w:hAnsiTheme="minorHAnsi"/>
          <w:szCs w:val="24"/>
        </w:rPr>
        <w:t xml:space="preserve">to invite the secretariat to share the draft </w:t>
      </w:r>
      <w:r w:rsidR="00D25559">
        <w:rPr>
          <w:rFonts w:asciiTheme="minorHAnsi" w:hAnsiTheme="minorHAnsi"/>
          <w:szCs w:val="24"/>
        </w:rPr>
        <w:t>s</w:t>
      </w:r>
      <w:r>
        <w:rPr>
          <w:rFonts w:asciiTheme="minorHAnsi" w:hAnsiTheme="minorHAnsi"/>
          <w:szCs w:val="24"/>
        </w:rPr>
        <w:t xml:space="preserve">trategic </w:t>
      </w:r>
      <w:r w:rsidR="00D25559">
        <w:rPr>
          <w:rFonts w:asciiTheme="minorHAnsi" w:hAnsiTheme="minorHAnsi"/>
          <w:szCs w:val="24"/>
        </w:rPr>
        <w:t>p</w:t>
      </w:r>
      <w:r>
        <w:rPr>
          <w:rFonts w:asciiTheme="minorHAnsi" w:hAnsiTheme="minorHAnsi"/>
          <w:szCs w:val="24"/>
        </w:rPr>
        <w:t xml:space="preserve">lan with IMAC and the </w:t>
      </w:r>
      <w:r w:rsidR="00D86FC8">
        <w:rPr>
          <w:rFonts w:asciiTheme="minorHAnsi" w:hAnsiTheme="minorHAnsi"/>
          <w:szCs w:val="24"/>
        </w:rPr>
        <w:t>ex</w:t>
      </w:r>
      <w:r>
        <w:rPr>
          <w:rFonts w:asciiTheme="minorHAnsi" w:hAnsiTheme="minorHAnsi"/>
          <w:szCs w:val="24"/>
        </w:rPr>
        <w:t>ternal auditor for their comments</w:t>
      </w:r>
      <w:r w:rsidR="00D25559">
        <w:rPr>
          <w:rFonts w:asciiTheme="minorHAnsi" w:hAnsiTheme="minorHAnsi"/>
          <w:szCs w:val="24"/>
        </w:rPr>
        <w:t>;</w:t>
      </w:r>
      <w:r w:rsidR="00FF0106">
        <w:rPr>
          <w:rFonts w:asciiTheme="minorHAnsi" w:hAnsiTheme="minorHAnsi"/>
          <w:szCs w:val="24"/>
        </w:rPr>
        <w:t xml:space="preserve"> and </w:t>
      </w:r>
      <w:r w:rsidR="00EB37BC">
        <w:rPr>
          <w:rFonts w:asciiTheme="minorHAnsi" w:hAnsiTheme="minorHAnsi"/>
          <w:szCs w:val="24"/>
        </w:rPr>
        <w:t xml:space="preserve">that </w:t>
      </w:r>
      <w:r w:rsidR="00D25559">
        <w:rPr>
          <w:rFonts w:asciiTheme="minorHAnsi" w:hAnsiTheme="minorHAnsi"/>
          <w:szCs w:val="24"/>
        </w:rPr>
        <w:t>the outcomes of WTDC relating to the strategic plan would be transmitted direct to the Plenipotentiary Conference for consideration</w:t>
      </w:r>
      <w:r w:rsidR="00EB37BC">
        <w:rPr>
          <w:rFonts w:asciiTheme="minorHAnsi" w:hAnsiTheme="minorHAnsi"/>
          <w:szCs w:val="24"/>
        </w:rPr>
        <w:t>.</w:t>
      </w:r>
    </w:p>
    <w:p w14:paraId="5663DDDE" w14:textId="1E317003" w:rsidR="00C71E19" w:rsidRPr="00EB37BC" w:rsidRDefault="00DD2F1D"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1</w:t>
      </w:r>
      <w:r w:rsidR="00514607" w:rsidRPr="009F1A61">
        <w:rPr>
          <w:rFonts w:asciiTheme="minorHAnsi" w:hAnsiTheme="minorHAnsi"/>
          <w:szCs w:val="24"/>
        </w:rPr>
        <w:t>.</w:t>
      </w:r>
      <w:r w:rsidR="00EF5696">
        <w:rPr>
          <w:rFonts w:asciiTheme="minorHAnsi" w:hAnsiTheme="minorHAnsi"/>
          <w:szCs w:val="24"/>
        </w:rPr>
        <w:t>1</w:t>
      </w:r>
      <w:r w:rsidR="00BD7477">
        <w:rPr>
          <w:rFonts w:asciiTheme="minorHAnsi" w:hAnsiTheme="minorHAnsi"/>
          <w:szCs w:val="24"/>
        </w:rPr>
        <w:t>2</w:t>
      </w:r>
      <w:r w:rsidR="00514607" w:rsidRPr="009F1A61">
        <w:rPr>
          <w:rFonts w:asciiTheme="minorHAnsi" w:hAnsiTheme="minorHAnsi"/>
          <w:szCs w:val="24"/>
        </w:rPr>
        <w:tab/>
      </w:r>
      <w:r w:rsidR="00EB37BC">
        <w:rPr>
          <w:rFonts w:asciiTheme="minorHAnsi" w:hAnsiTheme="minorHAnsi"/>
          <w:szCs w:val="24"/>
        </w:rPr>
        <w:t>It was so</w:t>
      </w:r>
      <w:r w:rsidR="0067314A">
        <w:rPr>
          <w:rFonts w:asciiTheme="minorHAnsi" w:hAnsiTheme="minorHAnsi"/>
          <w:szCs w:val="24"/>
        </w:rPr>
        <w:t xml:space="preserve"> </w:t>
      </w:r>
      <w:r w:rsidR="00D059CF">
        <w:rPr>
          <w:rFonts w:asciiTheme="minorHAnsi" w:hAnsiTheme="minorHAnsi"/>
          <w:b/>
          <w:bCs/>
          <w:szCs w:val="24"/>
        </w:rPr>
        <w:t>agreed</w:t>
      </w:r>
      <w:r w:rsidR="00EB37BC">
        <w:rPr>
          <w:rFonts w:asciiTheme="minorHAnsi" w:hAnsiTheme="minorHAnsi"/>
          <w:szCs w:val="24"/>
        </w:rPr>
        <w:t>.</w:t>
      </w:r>
    </w:p>
    <w:p w14:paraId="50437EDD" w14:textId="01DFD608" w:rsidR="00C71E19" w:rsidRPr="001350FB" w:rsidRDefault="00DD2F1D" w:rsidP="008D511D">
      <w:pPr>
        <w:tabs>
          <w:tab w:val="clear" w:pos="567"/>
          <w:tab w:val="clear" w:pos="1134"/>
          <w:tab w:val="clear" w:pos="1701"/>
          <w:tab w:val="clear" w:pos="2268"/>
          <w:tab w:val="clear" w:pos="2835"/>
        </w:tabs>
        <w:snapToGrid w:val="0"/>
        <w:spacing w:before="360" w:after="120"/>
        <w:ind w:left="720" w:hanging="720"/>
        <w:jc w:val="both"/>
        <w:rPr>
          <w:rFonts w:asciiTheme="minorHAnsi" w:hAnsiTheme="minorHAnsi"/>
          <w:b/>
          <w:bCs/>
          <w:sz w:val="28"/>
          <w:szCs w:val="28"/>
        </w:rPr>
      </w:pPr>
      <w:r w:rsidRPr="001350FB">
        <w:rPr>
          <w:rFonts w:asciiTheme="minorHAnsi" w:hAnsiTheme="minorHAnsi"/>
          <w:b/>
          <w:bCs/>
          <w:sz w:val="28"/>
          <w:szCs w:val="28"/>
        </w:rPr>
        <w:t>2</w:t>
      </w:r>
      <w:r w:rsidR="00C71E19" w:rsidRPr="001350FB">
        <w:rPr>
          <w:rFonts w:asciiTheme="minorHAnsi" w:hAnsiTheme="minorHAnsi"/>
          <w:b/>
          <w:bCs/>
          <w:sz w:val="28"/>
          <w:szCs w:val="28"/>
        </w:rPr>
        <w:tab/>
      </w:r>
      <w:r w:rsidR="001379AA" w:rsidRPr="001350FB">
        <w:rPr>
          <w:rFonts w:asciiTheme="minorHAnsi" w:hAnsiTheme="minorHAnsi"/>
          <w:b/>
          <w:bCs/>
          <w:sz w:val="28"/>
          <w:szCs w:val="28"/>
        </w:rPr>
        <w:t xml:space="preserve">World Summit on the Information Society (WSIS)+20: WSIS beyond 2025 – WSIS+20 </w:t>
      </w:r>
      <w:r w:rsidR="00095344" w:rsidRPr="001350FB">
        <w:rPr>
          <w:rFonts w:asciiTheme="minorHAnsi" w:hAnsiTheme="minorHAnsi"/>
          <w:b/>
          <w:bCs/>
          <w:sz w:val="28"/>
          <w:szCs w:val="28"/>
        </w:rPr>
        <w:t>r</w:t>
      </w:r>
      <w:r w:rsidR="001379AA" w:rsidRPr="001350FB">
        <w:rPr>
          <w:rFonts w:asciiTheme="minorHAnsi" w:hAnsiTheme="minorHAnsi"/>
          <w:b/>
          <w:bCs/>
          <w:sz w:val="28"/>
          <w:szCs w:val="28"/>
        </w:rPr>
        <w:t xml:space="preserve">oadmap </w:t>
      </w:r>
      <w:r w:rsidR="00C71E19" w:rsidRPr="001350FB">
        <w:rPr>
          <w:rFonts w:asciiTheme="minorHAnsi" w:hAnsiTheme="minorHAnsi"/>
          <w:b/>
          <w:bCs/>
          <w:sz w:val="28"/>
          <w:szCs w:val="28"/>
        </w:rPr>
        <w:t>(Document</w:t>
      </w:r>
      <w:r w:rsidR="001379AA" w:rsidRPr="001350FB">
        <w:rPr>
          <w:rFonts w:asciiTheme="minorHAnsi" w:hAnsiTheme="minorHAnsi"/>
          <w:b/>
          <w:bCs/>
          <w:sz w:val="28"/>
          <w:szCs w:val="28"/>
        </w:rPr>
        <w:t>s</w:t>
      </w:r>
      <w:r w:rsidR="000323FB" w:rsidRPr="001350FB">
        <w:rPr>
          <w:rFonts w:asciiTheme="minorHAnsi" w:hAnsiTheme="minorHAnsi"/>
          <w:b/>
          <w:bCs/>
          <w:sz w:val="28"/>
          <w:szCs w:val="28"/>
        </w:rPr>
        <w:t xml:space="preserve"> C22/</w:t>
      </w:r>
      <w:r w:rsidR="001379AA" w:rsidRPr="001350FB">
        <w:rPr>
          <w:rFonts w:asciiTheme="minorHAnsi" w:hAnsiTheme="minorHAnsi"/>
          <w:b/>
          <w:bCs/>
          <w:sz w:val="28"/>
          <w:szCs w:val="28"/>
        </w:rPr>
        <w:t>59, C22/</w:t>
      </w:r>
      <w:proofErr w:type="gramStart"/>
      <w:r w:rsidR="001379AA" w:rsidRPr="001350FB">
        <w:rPr>
          <w:rFonts w:asciiTheme="minorHAnsi" w:hAnsiTheme="minorHAnsi"/>
          <w:b/>
          <w:bCs/>
          <w:sz w:val="28"/>
          <w:szCs w:val="28"/>
        </w:rPr>
        <w:t>74</w:t>
      </w:r>
      <w:proofErr w:type="gramEnd"/>
      <w:r w:rsidR="001379AA" w:rsidRPr="001350FB">
        <w:rPr>
          <w:rFonts w:asciiTheme="minorHAnsi" w:hAnsiTheme="minorHAnsi"/>
          <w:b/>
          <w:bCs/>
          <w:sz w:val="28"/>
          <w:szCs w:val="28"/>
        </w:rPr>
        <w:t xml:space="preserve"> and C22/76</w:t>
      </w:r>
      <w:r w:rsidR="00C71E19" w:rsidRPr="001350FB">
        <w:rPr>
          <w:rFonts w:asciiTheme="minorHAnsi" w:hAnsiTheme="minorHAnsi"/>
          <w:b/>
          <w:bCs/>
          <w:sz w:val="28"/>
          <w:szCs w:val="28"/>
        </w:rPr>
        <w:t>)</w:t>
      </w:r>
    </w:p>
    <w:p w14:paraId="4866CFBB" w14:textId="46190717" w:rsidR="00C71E19" w:rsidRDefault="00DD2F1D"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2</w:t>
      </w:r>
      <w:r w:rsidR="00C71E19" w:rsidRPr="009F1A61">
        <w:rPr>
          <w:rFonts w:asciiTheme="minorHAnsi" w:hAnsiTheme="minorHAnsi"/>
          <w:szCs w:val="24"/>
        </w:rPr>
        <w:t>.1</w:t>
      </w:r>
      <w:r w:rsidR="00C71E19" w:rsidRPr="009F1A61">
        <w:rPr>
          <w:rFonts w:asciiTheme="minorHAnsi" w:hAnsiTheme="minorHAnsi"/>
          <w:szCs w:val="24"/>
        </w:rPr>
        <w:tab/>
      </w:r>
      <w:r w:rsidR="003A471C">
        <w:rPr>
          <w:rFonts w:asciiTheme="minorHAnsi" w:hAnsiTheme="minorHAnsi"/>
          <w:szCs w:val="24"/>
        </w:rPr>
        <w:t>The</w:t>
      </w:r>
      <w:r w:rsidR="00313535">
        <w:rPr>
          <w:rFonts w:asciiTheme="minorHAnsi" w:hAnsiTheme="minorHAnsi"/>
          <w:szCs w:val="24"/>
        </w:rPr>
        <w:t xml:space="preserve"> representative of the General Secretariat introduced Document </w:t>
      </w:r>
      <w:hyperlink r:id="rId21" w:history="1">
        <w:r w:rsidR="00313535" w:rsidRPr="001350FB">
          <w:rPr>
            <w:rStyle w:val="Hyperlink"/>
            <w:rFonts w:asciiTheme="minorHAnsi" w:hAnsiTheme="minorHAnsi"/>
            <w:szCs w:val="24"/>
          </w:rPr>
          <w:t>C22/</w:t>
        </w:r>
        <w:r w:rsidR="001379AA" w:rsidRPr="001350FB">
          <w:rPr>
            <w:rStyle w:val="Hyperlink"/>
            <w:rFonts w:asciiTheme="minorHAnsi" w:hAnsiTheme="minorHAnsi"/>
            <w:szCs w:val="24"/>
          </w:rPr>
          <w:t>59</w:t>
        </w:r>
      </w:hyperlink>
      <w:r w:rsidR="00C84D5E">
        <w:rPr>
          <w:rFonts w:asciiTheme="minorHAnsi" w:hAnsiTheme="minorHAnsi"/>
          <w:szCs w:val="24"/>
        </w:rPr>
        <w:t>, which</w:t>
      </w:r>
      <w:r w:rsidR="001379AA">
        <w:rPr>
          <w:rFonts w:asciiTheme="minorHAnsi" w:hAnsiTheme="minorHAnsi"/>
          <w:szCs w:val="24"/>
        </w:rPr>
        <w:t xml:space="preserve"> </w:t>
      </w:r>
      <w:r w:rsidR="00F56405">
        <w:rPr>
          <w:rFonts w:asciiTheme="minorHAnsi" w:hAnsiTheme="minorHAnsi"/>
          <w:szCs w:val="24"/>
        </w:rPr>
        <w:t xml:space="preserve">set out the Secretary-General’s roadmap on the role of ITU in the WSIS+20 </w:t>
      </w:r>
      <w:r w:rsidR="00EC66A3">
        <w:rPr>
          <w:rFonts w:asciiTheme="minorHAnsi" w:hAnsiTheme="minorHAnsi"/>
          <w:szCs w:val="24"/>
        </w:rPr>
        <w:t>r</w:t>
      </w:r>
      <w:r w:rsidR="00F56405">
        <w:rPr>
          <w:rFonts w:asciiTheme="minorHAnsi" w:hAnsiTheme="minorHAnsi"/>
          <w:szCs w:val="24"/>
        </w:rPr>
        <w:t xml:space="preserve">eview process and its preparation, including a timeline of relevant ITU and other meetings and conferences. A special </w:t>
      </w:r>
      <w:r w:rsidR="00F56405" w:rsidRPr="008D511D">
        <w:rPr>
          <w:rFonts w:asciiTheme="minorHAnsi" w:hAnsiTheme="minorHAnsi"/>
          <w:spacing w:val="4"/>
          <w:szCs w:val="24"/>
        </w:rPr>
        <w:t>session on WSIS+20 had been held on 24 March 2022, under the chairmanship of Mr </w:t>
      </w:r>
      <w:r w:rsidR="00BE52E1" w:rsidRPr="008D511D">
        <w:rPr>
          <w:rFonts w:asciiTheme="minorHAnsi" w:hAnsiTheme="minorHAnsi"/>
          <w:spacing w:val="4"/>
          <w:szCs w:val="24"/>
        </w:rPr>
        <w:t>Mansour</w:t>
      </w:r>
      <w:r w:rsidR="00BE52E1" w:rsidRPr="00BE52E1">
        <w:rPr>
          <w:rFonts w:asciiTheme="minorHAnsi" w:hAnsiTheme="minorHAnsi"/>
          <w:szCs w:val="24"/>
        </w:rPr>
        <w:t xml:space="preserve"> Al-</w:t>
      </w:r>
      <w:proofErr w:type="spellStart"/>
      <w:r w:rsidR="00BE52E1" w:rsidRPr="00BE52E1">
        <w:rPr>
          <w:rFonts w:asciiTheme="minorHAnsi" w:hAnsiTheme="minorHAnsi"/>
          <w:szCs w:val="24"/>
        </w:rPr>
        <w:t>Qurashi</w:t>
      </w:r>
      <w:proofErr w:type="spellEnd"/>
      <w:r w:rsidR="00BE52E1">
        <w:rPr>
          <w:rFonts w:asciiTheme="minorHAnsi" w:hAnsiTheme="minorHAnsi"/>
          <w:szCs w:val="24"/>
        </w:rPr>
        <w:t xml:space="preserve"> (Saudi Arabia), Vice-Chairman of CWG-WSIS&amp;SDG, to provide the Council with additional information on the process.</w:t>
      </w:r>
    </w:p>
    <w:p w14:paraId="60FF82A8" w14:textId="7D24A0A1" w:rsidR="001379AA" w:rsidRDefault="001379AA"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2.2</w:t>
      </w:r>
      <w:r>
        <w:rPr>
          <w:rFonts w:asciiTheme="minorHAnsi" w:hAnsiTheme="minorHAnsi"/>
          <w:szCs w:val="24"/>
        </w:rPr>
        <w:tab/>
        <w:t xml:space="preserve">The councillor </w:t>
      </w:r>
      <w:r w:rsidR="003A471C">
        <w:rPr>
          <w:rFonts w:asciiTheme="minorHAnsi" w:hAnsiTheme="minorHAnsi"/>
          <w:szCs w:val="24"/>
        </w:rPr>
        <w:t>from</w:t>
      </w:r>
      <w:r>
        <w:rPr>
          <w:rFonts w:asciiTheme="minorHAnsi" w:hAnsiTheme="minorHAnsi"/>
          <w:szCs w:val="24"/>
        </w:rPr>
        <w:t xml:space="preserve"> the Russian Federation introduced Document </w:t>
      </w:r>
      <w:hyperlink r:id="rId22" w:history="1">
        <w:r w:rsidRPr="001350FB">
          <w:rPr>
            <w:rStyle w:val="Hyperlink"/>
            <w:rFonts w:asciiTheme="minorHAnsi" w:hAnsiTheme="minorHAnsi"/>
            <w:szCs w:val="24"/>
          </w:rPr>
          <w:t>C22/74</w:t>
        </w:r>
      </w:hyperlink>
      <w:r>
        <w:rPr>
          <w:rFonts w:asciiTheme="minorHAnsi" w:hAnsiTheme="minorHAnsi"/>
          <w:szCs w:val="24"/>
        </w:rPr>
        <w:t xml:space="preserve">, which contained a contribution from her </w:t>
      </w:r>
      <w:r w:rsidR="00EC66A3">
        <w:rPr>
          <w:rFonts w:asciiTheme="minorHAnsi" w:hAnsiTheme="minorHAnsi"/>
          <w:szCs w:val="24"/>
        </w:rPr>
        <w:t>a</w:t>
      </w:r>
      <w:r>
        <w:rPr>
          <w:rFonts w:asciiTheme="minorHAnsi" w:hAnsiTheme="minorHAnsi"/>
          <w:szCs w:val="24"/>
        </w:rPr>
        <w:t>dministration</w:t>
      </w:r>
      <w:r w:rsidR="008261C3">
        <w:rPr>
          <w:rFonts w:asciiTheme="minorHAnsi" w:hAnsiTheme="minorHAnsi"/>
          <w:szCs w:val="24"/>
        </w:rPr>
        <w:t xml:space="preserve"> proposing future work for the implementation of WSIS outcomes and achievement of the SDGs</w:t>
      </w:r>
      <w:r w:rsidR="00EC66A3" w:rsidRPr="0008401E">
        <w:rPr>
          <w:rFonts w:asciiTheme="minorHAnsi" w:hAnsiTheme="minorHAnsi"/>
          <w:szCs w:val="24"/>
          <w:lang w:val="en-US"/>
        </w:rPr>
        <w:t>;</w:t>
      </w:r>
      <w:r w:rsidR="008261C3">
        <w:rPr>
          <w:rFonts w:asciiTheme="minorHAnsi" w:hAnsiTheme="minorHAnsi"/>
          <w:szCs w:val="24"/>
        </w:rPr>
        <w:t xml:space="preserve"> preparations for PP-22, which would be the only </w:t>
      </w:r>
      <w:r w:rsidR="00391BF7">
        <w:rPr>
          <w:rFonts w:asciiTheme="minorHAnsi" w:hAnsiTheme="minorHAnsi"/>
          <w:szCs w:val="24"/>
        </w:rPr>
        <w:t>p</w:t>
      </w:r>
      <w:r w:rsidR="008261C3">
        <w:rPr>
          <w:rFonts w:asciiTheme="minorHAnsi" w:hAnsiTheme="minorHAnsi"/>
          <w:szCs w:val="24"/>
        </w:rPr>
        <w:t xml:space="preserve">lenipotentiary </w:t>
      </w:r>
      <w:r w:rsidR="00391BF7">
        <w:rPr>
          <w:rFonts w:asciiTheme="minorHAnsi" w:hAnsiTheme="minorHAnsi"/>
          <w:szCs w:val="24"/>
        </w:rPr>
        <w:t>c</w:t>
      </w:r>
      <w:r w:rsidR="008261C3">
        <w:rPr>
          <w:rFonts w:asciiTheme="minorHAnsi" w:hAnsiTheme="minorHAnsi"/>
          <w:szCs w:val="24"/>
        </w:rPr>
        <w:t>onference before the United Nations General Assembly high-level meeting on the overall review of the implementation of WSIS outcomes, to be held in 2025</w:t>
      </w:r>
      <w:r w:rsidR="00EC66A3">
        <w:rPr>
          <w:rFonts w:asciiTheme="minorHAnsi" w:hAnsiTheme="minorHAnsi"/>
          <w:szCs w:val="24"/>
        </w:rPr>
        <w:t>;</w:t>
      </w:r>
      <w:r w:rsidR="008261C3">
        <w:rPr>
          <w:rFonts w:asciiTheme="minorHAnsi" w:hAnsiTheme="minorHAnsi"/>
          <w:szCs w:val="24"/>
        </w:rPr>
        <w:t xml:space="preserve"> and preparations for the high-level meeting itself.</w:t>
      </w:r>
      <w:r w:rsidR="005A4496">
        <w:rPr>
          <w:rFonts w:asciiTheme="minorHAnsi" w:hAnsiTheme="minorHAnsi"/>
          <w:szCs w:val="24"/>
        </w:rPr>
        <w:t xml:space="preserve"> </w:t>
      </w:r>
      <w:r w:rsidR="000606A6" w:rsidRPr="00863A12">
        <w:rPr>
          <w:rFonts w:asciiTheme="minorHAnsi" w:hAnsiTheme="minorHAnsi"/>
          <w:szCs w:val="24"/>
        </w:rPr>
        <w:t xml:space="preserve">It had been proposed to support the draft ITU WSIS+20 roadmap overall and to consider drawing on the successes of the WSIS+10 multistakeholder preparatory </w:t>
      </w:r>
      <w:r w:rsidR="000606A6" w:rsidRPr="00863A12">
        <w:rPr>
          <w:rFonts w:asciiTheme="minorHAnsi" w:hAnsiTheme="minorHAnsi"/>
          <w:szCs w:val="24"/>
        </w:rPr>
        <w:lastRenderedPageBreak/>
        <w:t xml:space="preserve">platform in the preparations for WSIS+20 in 2025. CWG-WSIS&amp;SDG played an important role in the implementation of the WSIS outcomes, and the proposal had been made to continue its work. It had been suggested to revise Resolution 140 (Rev. Dubai, 2018) of the Plenipotentiary Conference, on ITU's role in implementing the outcomes of the World Summit on the Information Society and the 2030 Agenda for Sustainable Development, as well as in their follow-up and review processes, </w:t>
      </w:r>
      <w:proofErr w:type="gramStart"/>
      <w:r w:rsidR="000606A6" w:rsidRPr="00863A12">
        <w:rPr>
          <w:rFonts w:asciiTheme="minorHAnsi" w:hAnsiTheme="minorHAnsi"/>
          <w:szCs w:val="24"/>
        </w:rPr>
        <w:t>in order to</w:t>
      </w:r>
      <w:proofErr w:type="gramEnd"/>
      <w:r w:rsidR="000606A6" w:rsidRPr="00863A12">
        <w:rPr>
          <w:rFonts w:asciiTheme="minorHAnsi" w:hAnsiTheme="minorHAnsi"/>
          <w:szCs w:val="24"/>
        </w:rPr>
        <w:t xml:space="preserve"> include paragraphs common to all Sectors, which could help to shorten the relevant resolutions of the Sectors significantly. It had also been suggested to consider the issues raised at PP-22.”</w:t>
      </w:r>
    </w:p>
    <w:p w14:paraId="34545A65" w14:textId="23F0F892" w:rsidR="001379AA" w:rsidRDefault="001379AA"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2.3</w:t>
      </w:r>
      <w:r>
        <w:rPr>
          <w:rFonts w:asciiTheme="minorHAnsi" w:hAnsiTheme="minorHAnsi"/>
          <w:szCs w:val="24"/>
        </w:rPr>
        <w:tab/>
        <w:t xml:space="preserve">The councillor </w:t>
      </w:r>
      <w:r w:rsidR="003A471C">
        <w:rPr>
          <w:rFonts w:asciiTheme="minorHAnsi" w:hAnsiTheme="minorHAnsi"/>
          <w:szCs w:val="24"/>
        </w:rPr>
        <w:t>from</w:t>
      </w:r>
      <w:r>
        <w:rPr>
          <w:rFonts w:asciiTheme="minorHAnsi" w:hAnsiTheme="minorHAnsi"/>
          <w:szCs w:val="24"/>
        </w:rPr>
        <w:t xml:space="preserve"> the United States introduced Document </w:t>
      </w:r>
      <w:hyperlink r:id="rId23" w:history="1">
        <w:r w:rsidRPr="001350FB">
          <w:rPr>
            <w:rStyle w:val="Hyperlink"/>
            <w:rFonts w:asciiTheme="minorHAnsi" w:hAnsiTheme="minorHAnsi"/>
            <w:szCs w:val="24"/>
          </w:rPr>
          <w:t>C22/76</w:t>
        </w:r>
      </w:hyperlink>
      <w:r>
        <w:rPr>
          <w:rFonts w:asciiTheme="minorHAnsi" w:hAnsiTheme="minorHAnsi"/>
          <w:szCs w:val="24"/>
        </w:rPr>
        <w:t>, contain</w:t>
      </w:r>
      <w:r w:rsidR="00504E5F">
        <w:rPr>
          <w:rFonts w:asciiTheme="minorHAnsi" w:hAnsiTheme="minorHAnsi"/>
          <w:szCs w:val="24"/>
        </w:rPr>
        <w:t>ing</w:t>
      </w:r>
      <w:r>
        <w:rPr>
          <w:rFonts w:asciiTheme="minorHAnsi" w:hAnsiTheme="minorHAnsi"/>
          <w:szCs w:val="24"/>
        </w:rPr>
        <w:t xml:space="preserve"> a contribution from his </w:t>
      </w:r>
      <w:r w:rsidR="00EC66A3">
        <w:rPr>
          <w:rFonts w:asciiTheme="minorHAnsi" w:hAnsiTheme="minorHAnsi"/>
          <w:szCs w:val="24"/>
        </w:rPr>
        <w:t>a</w:t>
      </w:r>
      <w:r>
        <w:rPr>
          <w:rFonts w:asciiTheme="minorHAnsi" w:hAnsiTheme="minorHAnsi"/>
          <w:szCs w:val="24"/>
        </w:rPr>
        <w:t>dministration</w:t>
      </w:r>
      <w:r w:rsidR="00504E5F">
        <w:rPr>
          <w:rFonts w:asciiTheme="minorHAnsi" w:hAnsiTheme="minorHAnsi"/>
          <w:szCs w:val="24"/>
        </w:rPr>
        <w:t xml:space="preserve">, which considered it premature for the Council to agree to ITU’s role in the WSIS+20 process and adopt the roadmap set out in Document C22/59. There had been insufficient time for discussion of the roadmap since its preparation had been requested by CWG-WSIS&amp;SDG in January 2022; moreover, ITU’s role in the WSIS+20 process would require a decision by the Plenipotentiary Conference </w:t>
      </w:r>
      <w:r w:rsidR="00EC66A3">
        <w:rPr>
          <w:rFonts w:asciiTheme="minorHAnsi" w:hAnsiTheme="minorHAnsi"/>
          <w:szCs w:val="24"/>
        </w:rPr>
        <w:t xml:space="preserve">in consideration of </w:t>
      </w:r>
      <w:r w:rsidR="0050036A">
        <w:rPr>
          <w:rFonts w:asciiTheme="minorHAnsi" w:hAnsiTheme="minorHAnsi"/>
          <w:szCs w:val="24"/>
        </w:rPr>
        <w:t xml:space="preserve">its </w:t>
      </w:r>
      <w:r w:rsidR="00504E5F">
        <w:rPr>
          <w:rFonts w:asciiTheme="minorHAnsi" w:hAnsiTheme="minorHAnsi"/>
          <w:szCs w:val="24"/>
        </w:rPr>
        <w:t xml:space="preserve">Resolution 140 (Rev. Dubai, 2018). </w:t>
      </w:r>
      <w:r w:rsidR="0050036A">
        <w:rPr>
          <w:rFonts w:asciiTheme="minorHAnsi" w:hAnsiTheme="minorHAnsi"/>
          <w:szCs w:val="24"/>
        </w:rPr>
        <w:t>The special session held on 24 March had allowed for useful discussion;</w:t>
      </w:r>
      <w:r w:rsidR="00EC66A3">
        <w:rPr>
          <w:rFonts w:asciiTheme="minorHAnsi" w:hAnsiTheme="minorHAnsi"/>
          <w:szCs w:val="24"/>
        </w:rPr>
        <w:t xml:space="preserve"> in that regard,</w:t>
      </w:r>
      <w:r w:rsidR="0050036A">
        <w:rPr>
          <w:rFonts w:asciiTheme="minorHAnsi" w:hAnsiTheme="minorHAnsi"/>
          <w:szCs w:val="24"/>
        </w:rPr>
        <w:t xml:space="preserve"> it would be helpful for the General Secretariat to update Document C22/59 based on the questions raised and information requested</w:t>
      </w:r>
      <w:r w:rsidR="00391BF7">
        <w:rPr>
          <w:rFonts w:asciiTheme="minorHAnsi" w:hAnsiTheme="minorHAnsi"/>
          <w:szCs w:val="24"/>
        </w:rPr>
        <w:t xml:space="preserve"> there</w:t>
      </w:r>
      <w:r w:rsidR="0050036A">
        <w:rPr>
          <w:rFonts w:asciiTheme="minorHAnsi" w:hAnsiTheme="minorHAnsi"/>
          <w:szCs w:val="24"/>
        </w:rPr>
        <w:t>. For the moment, the Council should note, rather than approve, the roadmap and request more information ahead of PP-22.</w:t>
      </w:r>
    </w:p>
    <w:p w14:paraId="15E818AF" w14:textId="492C6568" w:rsidR="001379AA" w:rsidRPr="009F1A61" w:rsidRDefault="001379AA"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2.4</w:t>
      </w:r>
      <w:r>
        <w:rPr>
          <w:rFonts w:asciiTheme="minorHAnsi" w:hAnsiTheme="minorHAnsi"/>
          <w:szCs w:val="24"/>
        </w:rPr>
        <w:tab/>
      </w:r>
      <w:r w:rsidR="005C2558">
        <w:rPr>
          <w:rFonts w:asciiTheme="minorHAnsi" w:hAnsiTheme="minorHAnsi"/>
          <w:szCs w:val="24"/>
        </w:rPr>
        <w:t xml:space="preserve">The councillor </w:t>
      </w:r>
      <w:r w:rsidR="003A471C">
        <w:rPr>
          <w:rFonts w:asciiTheme="minorHAnsi" w:hAnsiTheme="minorHAnsi"/>
          <w:szCs w:val="24"/>
        </w:rPr>
        <w:t>from</w:t>
      </w:r>
      <w:r w:rsidR="005C2558">
        <w:rPr>
          <w:rFonts w:asciiTheme="minorHAnsi" w:hAnsiTheme="minorHAnsi"/>
          <w:szCs w:val="24"/>
        </w:rPr>
        <w:t xml:space="preserve"> Saudi Arabia, who had </w:t>
      </w:r>
      <w:r>
        <w:rPr>
          <w:rFonts w:asciiTheme="minorHAnsi" w:hAnsiTheme="minorHAnsi"/>
          <w:szCs w:val="24"/>
        </w:rPr>
        <w:t>chair</w:t>
      </w:r>
      <w:r w:rsidR="005C2558">
        <w:rPr>
          <w:rFonts w:asciiTheme="minorHAnsi" w:hAnsiTheme="minorHAnsi"/>
          <w:szCs w:val="24"/>
        </w:rPr>
        <w:t>ed the</w:t>
      </w:r>
      <w:r>
        <w:rPr>
          <w:rFonts w:asciiTheme="minorHAnsi" w:hAnsiTheme="minorHAnsi"/>
          <w:szCs w:val="24"/>
        </w:rPr>
        <w:t xml:space="preserve"> special session </w:t>
      </w:r>
      <w:r w:rsidR="005C2558">
        <w:rPr>
          <w:rFonts w:asciiTheme="minorHAnsi" w:hAnsiTheme="minorHAnsi"/>
          <w:szCs w:val="24"/>
        </w:rPr>
        <w:t xml:space="preserve">held on 24 March, </w:t>
      </w:r>
      <w:r>
        <w:rPr>
          <w:rFonts w:asciiTheme="minorHAnsi" w:hAnsiTheme="minorHAnsi"/>
          <w:szCs w:val="24"/>
        </w:rPr>
        <w:t xml:space="preserve">reported on the outcome </w:t>
      </w:r>
      <w:r w:rsidR="005C2558">
        <w:rPr>
          <w:rFonts w:asciiTheme="minorHAnsi" w:hAnsiTheme="minorHAnsi"/>
          <w:szCs w:val="24"/>
        </w:rPr>
        <w:t>there</w:t>
      </w:r>
      <w:r>
        <w:rPr>
          <w:rFonts w:asciiTheme="minorHAnsi" w:hAnsiTheme="minorHAnsi"/>
          <w:szCs w:val="24"/>
        </w:rPr>
        <w:t>of</w:t>
      </w:r>
      <w:r w:rsidR="005C2558">
        <w:rPr>
          <w:rFonts w:asciiTheme="minorHAnsi" w:hAnsiTheme="minorHAnsi"/>
          <w:szCs w:val="24"/>
        </w:rPr>
        <w:t>.</w:t>
      </w:r>
      <w:r w:rsidR="00050733">
        <w:rPr>
          <w:rFonts w:asciiTheme="minorHAnsi" w:hAnsiTheme="minorHAnsi"/>
          <w:szCs w:val="24"/>
        </w:rPr>
        <w:t xml:space="preserve"> Some 25 councillors had attended in person, with others participating virtually.</w:t>
      </w:r>
      <w:r w:rsidR="005C2558">
        <w:rPr>
          <w:rFonts w:asciiTheme="minorHAnsi" w:hAnsiTheme="minorHAnsi"/>
          <w:szCs w:val="24"/>
        </w:rPr>
        <w:t xml:space="preserve"> Broad support had been expressed for continuing to implement the WSIS outcomes and consolidate </w:t>
      </w:r>
      <w:r w:rsidR="00F357FB">
        <w:rPr>
          <w:rFonts w:asciiTheme="minorHAnsi" w:hAnsiTheme="minorHAnsi"/>
          <w:szCs w:val="24"/>
        </w:rPr>
        <w:t>efforts</w:t>
      </w:r>
      <w:r w:rsidR="005C2558">
        <w:rPr>
          <w:rFonts w:asciiTheme="minorHAnsi" w:hAnsiTheme="minorHAnsi"/>
          <w:szCs w:val="24"/>
        </w:rPr>
        <w:t xml:space="preserve"> to link </w:t>
      </w:r>
      <w:r w:rsidR="00050733">
        <w:rPr>
          <w:rFonts w:asciiTheme="minorHAnsi" w:hAnsiTheme="minorHAnsi"/>
          <w:szCs w:val="24"/>
        </w:rPr>
        <w:t>WSIS implementation with work on achieving</w:t>
      </w:r>
      <w:r w:rsidR="005C2558">
        <w:rPr>
          <w:rFonts w:asciiTheme="minorHAnsi" w:hAnsiTheme="minorHAnsi"/>
          <w:szCs w:val="24"/>
        </w:rPr>
        <w:t xml:space="preserve"> the SDGs</w:t>
      </w:r>
      <w:r w:rsidR="00050733">
        <w:rPr>
          <w:rFonts w:asciiTheme="minorHAnsi" w:hAnsiTheme="minorHAnsi"/>
          <w:szCs w:val="24"/>
        </w:rPr>
        <w:t xml:space="preserve">. </w:t>
      </w:r>
      <w:r w:rsidR="00A04FFC">
        <w:rPr>
          <w:rFonts w:asciiTheme="minorHAnsi" w:hAnsiTheme="minorHAnsi"/>
          <w:szCs w:val="24"/>
        </w:rPr>
        <w:t xml:space="preserve">The General Secretariat had been provided with various comments from Council Member States. It had been proposed that the Council should note Document C22/59 and request the General Secretariat to refer it to </w:t>
      </w:r>
      <w:r w:rsidR="00AC2B54">
        <w:rPr>
          <w:rFonts w:asciiTheme="minorHAnsi" w:hAnsiTheme="minorHAnsi"/>
          <w:szCs w:val="24"/>
        </w:rPr>
        <w:t>PP</w:t>
      </w:r>
      <w:r w:rsidR="00A04FFC">
        <w:rPr>
          <w:rFonts w:asciiTheme="minorHAnsi" w:hAnsiTheme="minorHAnsi"/>
          <w:szCs w:val="24"/>
        </w:rPr>
        <w:t xml:space="preserve">, with the necessary updates. </w:t>
      </w:r>
    </w:p>
    <w:p w14:paraId="2B3902FB" w14:textId="7B31FAE8" w:rsidR="0046118D" w:rsidRDefault="00A358BE"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2.</w:t>
      </w:r>
      <w:r w:rsidR="001A504E">
        <w:rPr>
          <w:rFonts w:asciiTheme="minorHAnsi" w:hAnsiTheme="minorHAnsi"/>
          <w:szCs w:val="24"/>
        </w:rPr>
        <w:t>5</w:t>
      </w:r>
      <w:r>
        <w:rPr>
          <w:rFonts w:asciiTheme="minorHAnsi" w:hAnsiTheme="minorHAnsi"/>
          <w:szCs w:val="24"/>
        </w:rPr>
        <w:tab/>
      </w:r>
      <w:r w:rsidR="005164D6">
        <w:rPr>
          <w:rFonts w:asciiTheme="minorHAnsi" w:hAnsiTheme="minorHAnsi"/>
          <w:szCs w:val="24"/>
        </w:rPr>
        <w:t xml:space="preserve">Councillors </w:t>
      </w:r>
      <w:r w:rsidR="001A504E">
        <w:rPr>
          <w:rFonts w:asciiTheme="minorHAnsi" w:hAnsiTheme="minorHAnsi"/>
          <w:szCs w:val="24"/>
        </w:rPr>
        <w:t>expressed strong support for the continued implementation of WSIS outcomes and the overall review process</w:t>
      </w:r>
      <w:r w:rsidR="00F641D9">
        <w:rPr>
          <w:rFonts w:asciiTheme="minorHAnsi" w:hAnsiTheme="minorHAnsi"/>
          <w:szCs w:val="24"/>
        </w:rPr>
        <w:t xml:space="preserve"> and welcomed ITU’s contribution to date</w:t>
      </w:r>
      <w:r w:rsidR="00B0012F">
        <w:rPr>
          <w:rFonts w:asciiTheme="minorHAnsi" w:hAnsiTheme="minorHAnsi"/>
          <w:szCs w:val="24"/>
        </w:rPr>
        <w:t>, highlighting the importance of harnessing ICTs to establish inclusive information and knowledge societies</w:t>
      </w:r>
      <w:r w:rsidR="001A504E">
        <w:rPr>
          <w:rFonts w:asciiTheme="minorHAnsi" w:hAnsiTheme="minorHAnsi"/>
          <w:szCs w:val="24"/>
        </w:rPr>
        <w:t>.</w:t>
      </w:r>
      <w:r w:rsidR="0089633C">
        <w:rPr>
          <w:rFonts w:asciiTheme="minorHAnsi" w:hAnsiTheme="minorHAnsi"/>
          <w:szCs w:val="24"/>
        </w:rPr>
        <w:t xml:space="preserve"> </w:t>
      </w:r>
      <w:r w:rsidR="00FC7670">
        <w:rPr>
          <w:rFonts w:asciiTheme="minorHAnsi" w:hAnsiTheme="minorHAnsi"/>
          <w:szCs w:val="24"/>
        </w:rPr>
        <w:t>The Union</w:t>
      </w:r>
      <w:r w:rsidR="00604E16">
        <w:rPr>
          <w:rFonts w:asciiTheme="minorHAnsi" w:hAnsiTheme="minorHAnsi"/>
          <w:szCs w:val="24"/>
        </w:rPr>
        <w:t>’s</w:t>
      </w:r>
      <w:r w:rsidR="0089633C">
        <w:rPr>
          <w:rFonts w:asciiTheme="minorHAnsi" w:hAnsiTheme="minorHAnsi"/>
          <w:szCs w:val="24"/>
        </w:rPr>
        <w:t xml:space="preserve"> chairmanship of the United Nations Group on the Information Society </w:t>
      </w:r>
      <w:r w:rsidR="00CD1E5C">
        <w:rPr>
          <w:rFonts w:asciiTheme="minorHAnsi" w:hAnsiTheme="minorHAnsi"/>
          <w:szCs w:val="24"/>
        </w:rPr>
        <w:t xml:space="preserve">would </w:t>
      </w:r>
      <w:r w:rsidR="0089633C">
        <w:rPr>
          <w:rFonts w:asciiTheme="minorHAnsi" w:hAnsiTheme="minorHAnsi"/>
          <w:szCs w:val="24"/>
        </w:rPr>
        <w:t>provide further opportunities in that regard.</w:t>
      </w:r>
      <w:r w:rsidR="00C461BA">
        <w:rPr>
          <w:rFonts w:asciiTheme="minorHAnsi" w:hAnsiTheme="minorHAnsi"/>
          <w:szCs w:val="24"/>
        </w:rPr>
        <w:t xml:space="preserve"> </w:t>
      </w:r>
      <w:r w:rsidR="00AC2C9E">
        <w:rPr>
          <w:rFonts w:asciiTheme="minorHAnsi" w:hAnsiTheme="minorHAnsi"/>
          <w:szCs w:val="24"/>
        </w:rPr>
        <w:t>Some</w:t>
      </w:r>
      <w:r w:rsidR="00C461BA">
        <w:rPr>
          <w:rFonts w:asciiTheme="minorHAnsi" w:hAnsiTheme="minorHAnsi"/>
          <w:szCs w:val="24"/>
        </w:rPr>
        <w:t xml:space="preserve"> councillor</w:t>
      </w:r>
      <w:r w:rsidR="00AC2C9E">
        <w:rPr>
          <w:rFonts w:asciiTheme="minorHAnsi" w:hAnsiTheme="minorHAnsi"/>
          <w:szCs w:val="24"/>
        </w:rPr>
        <w:t>s</w:t>
      </w:r>
      <w:r w:rsidR="00C461BA">
        <w:rPr>
          <w:rFonts w:asciiTheme="minorHAnsi" w:hAnsiTheme="minorHAnsi"/>
          <w:szCs w:val="24"/>
        </w:rPr>
        <w:t xml:space="preserve"> emphasized the importance of a multistakeholder approach to the review process that avoided top-down decisions.</w:t>
      </w:r>
      <w:r w:rsidR="001A504E">
        <w:rPr>
          <w:rFonts w:asciiTheme="minorHAnsi" w:hAnsiTheme="minorHAnsi"/>
          <w:szCs w:val="24"/>
        </w:rPr>
        <w:t xml:space="preserve"> </w:t>
      </w:r>
      <w:r w:rsidR="00102802">
        <w:rPr>
          <w:rFonts w:asciiTheme="minorHAnsi" w:hAnsiTheme="minorHAnsi"/>
          <w:szCs w:val="24"/>
        </w:rPr>
        <w:t xml:space="preserve">Several highlighted the importance of implementation efforts at </w:t>
      </w:r>
      <w:r w:rsidR="00102802" w:rsidRPr="00604E16">
        <w:rPr>
          <w:rFonts w:asciiTheme="minorHAnsi" w:hAnsiTheme="minorHAnsi"/>
          <w:szCs w:val="24"/>
        </w:rPr>
        <w:t>regional level</w:t>
      </w:r>
      <w:r w:rsidR="00102802">
        <w:rPr>
          <w:rFonts w:asciiTheme="minorHAnsi" w:hAnsiTheme="minorHAnsi"/>
          <w:szCs w:val="24"/>
        </w:rPr>
        <w:t xml:space="preserve"> and</w:t>
      </w:r>
      <w:r w:rsidR="0079528A">
        <w:rPr>
          <w:rFonts w:asciiTheme="minorHAnsi" w:hAnsiTheme="minorHAnsi"/>
          <w:szCs w:val="24"/>
        </w:rPr>
        <w:t xml:space="preserve"> the opportunities for</w:t>
      </w:r>
      <w:r w:rsidR="00102802">
        <w:rPr>
          <w:rFonts w:asciiTheme="minorHAnsi" w:hAnsiTheme="minorHAnsi"/>
          <w:szCs w:val="24"/>
        </w:rPr>
        <w:t xml:space="preserve"> linkages with work on the SDGs</w:t>
      </w:r>
      <w:r w:rsidR="00F70AA8">
        <w:rPr>
          <w:rFonts w:asciiTheme="minorHAnsi" w:hAnsiTheme="minorHAnsi"/>
          <w:szCs w:val="24"/>
        </w:rPr>
        <w:t xml:space="preserve"> </w:t>
      </w:r>
      <w:r w:rsidR="0079528A">
        <w:rPr>
          <w:rFonts w:asciiTheme="minorHAnsi" w:hAnsiTheme="minorHAnsi"/>
          <w:szCs w:val="24"/>
        </w:rPr>
        <w:t>and the Tunis Agenda for the Information Society.</w:t>
      </w:r>
      <w:r w:rsidR="00F70AA8">
        <w:rPr>
          <w:rFonts w:asciiTheme="minorHAnsi" w:hAnsiTheme="minorHAnsi"/>
          <w:szCs w:val="24"/>
        </w:rPr>
        <w:t xml:space="preserve"> One called for greater cooperation with the United Nations Economic Commission for Latin America and the Caribbean and the Executive Secretariat for Integral Development of the Organization of American States.</w:t>
      </w:r>
    </w:p>
    <w:p w14:paraId="65287A09" w14:textId="4B6378CB" w:rsidR="00720B1D" w:rsidRDefault="0046118D"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2.6</w:t>
      </w:r>
      <w:r>
        <w:rPr>
          <w:rFonts w:asciiTheme="minorHAnsi" w:hAnsiTheme="minorHAnsi"/>
          <w:szCs w:val="24"/>
        </w:rPr>
        <w:tab/>
      </w:r>
      <w:r w:rsidR="00102802">
        <w:rPr>
          <w:rFonts w:asciiTheme="minorHAnsi" w:hAnsiTheme="minorHAnsi"/>
          <w:szCs w:val="24"/>
        </w:rPr>
        <w:t xml:space="preserve">Some councillors expressed support for the roadmap </w:t>
      </w:r>
      <w:r w:rsidR="00DC62EA">
        <w:rPr>
          <w:rFonts w:asciiTheme="minorHAnsi" w:hAnsiTheme="minorHAnsi"/>
          <w:szCs w:val="24"/>
        </w:rPr>
        <w:t xml:space="preserve">as </w:t>
      </w:r>
      <w:r w:rsidR="00102802">
        <w:rPr>
          <w:rFonts w:asciiTheme="minorHAnsi" w:hAnsiTheme="minorHAnsi"/>
          <w:szCs w:val="24"/>
        </w:rPr>
        <w:t>set out in Document C22/59</w:t>
      </w:r>
      <w:r w:rsidR="00F641D9">
        <w:rPr>
          <w:rFonts w:asciiTheme="minorHAnsi" w:hAnsiTheme="minorHAnsi"/>
          <w:szCs w:val="24"/>
        </w:rPr>
        <w:t xml:space="preserve">, though one noted that the </w:t>
      </w:r>
      <w:r w:rsidR="00DC62EA">
        <w:rPr>
          <w:rFonts w:asciiTheme="minorHAnsi" w:hAnsiTheme="minorHAnsi"/>
          <w:szCs w:val="24"/>
        </w:rPr>
        <w:t>document</w:t>
      </w:r>
      <w:r w:rsidR="00C461BA">
        <w:rPr>
          <w:rFonts w:asciiTheme="minorHAnsi" w:hAnsiTheme="minorHAnsi"/>
          <w:szCs w:val="24"/>
        </w:rPr>
        <w:t xml:space="preserve"> was silent on</w:t>
      </w:r>
      <w:r w:rsidR="00043748">
        <w:rPr>
          <w:rFonts w:asciiTheme="minorHAnsi" w:hAnsiTheme="minorHAnsi"/>
          <w:szCs w:val="24"/>
        </w:rPr>
        <w:t xml:space="preserve"> CWG-WSIS&amp;SDG’s recommendation regarding ITU’s role in WSIS implementation and requested that it at least be mentioned.</w:t>
      </w:r>
      <w:r w:rsidR="00102802">
        <w:rPr>
          <w:rFonts w:asciiTheme="minorHAnsi" w:hAnsiTheme="minorHAnsi"/>
          <w:szCs w:val="24"/>
        </w:rPr>
        <w:t xml:space="preserve"> </w:t>
      </w:r>
      <w:r w:rsidR="00DC62EA">
        <w:rPr>
          <w:rFonts w:asciiTheme="minorHAnsi" w:hAnsiTheme="minorHAnsi"/>
          <w:szCs w:val="24"/>
        </w:rPr>
        <w:t>O</w:t>
      </w:r>
      <w:r w:rsidR="0012032E">
        <w:rPr>
          <w:rFonts w:asciiTheme="minorHAnsi" w:hAnsiTheme="minorHAnsi"/>
          <w:szCs w:val="24"/>
        </w:rPr>
        <w:t>thers</w:t>
      </w:r>
      <w:r w:rsidR="00102802">
        <w:rPr>
          <w:rFonts w:asciiTheme="minorHAnsi" w:hAnsiTheme="minorHAnsi"/>
          <w:szCs w:val="24"/>
        </w:rPr>
        <w:t xml:space="preserve"> echoed the views </w:t>
      </w:r>
      <w:r w:rsidR="00F641D9">
        <w:rPr>
          <w:rFonts w:asciiTheme="minorHAnsi" w:hAnsiTheme="minorHAnsi"/>
          <w:szCs w:val="24"/>
        </w:rPr>
        <w:t xml:space="preserve">and concerns </w:t>
      </w:r>
      <w:r w:rsidR="00102802">
        <w:rPr>
          <w:rFonts w:asciiTheme="minorHAnsi" w:hAnsiTheme="minorHAnsi"/>
          <w:szCs w:val="24"/>
        </w:rPr>
        <w:t xml:space="preserve">expressed by the councillor </w:t>
      </w:r>
      <w:r>
        <w:rPr>
          <w:rFonts w:asciiTheme="minorHAnsi" w:hAnsiTheme="minorHAnsi"/>
          <w:szCs w:val="24"/>
        </w:rPr>
        <w:t xml:space="preserve">from </w:t>
      </w:r>
      <w:r w:rsidR="00102802">
        <w:rPr>
          <w:rFonts w:asciiTheme="minorHAnsi" w:hAnsiTheme="minorHAnsi"/>
          <w:szCs w:val="24"/>
        </w:rPr>
        <w:t>the United States.</w:t>
      </w:r>
      <w:r w:rsidR="0012032E">
        <w:rPr>
          <w:rFonts w:asciiTheme="minorHAnsi" w:hAnsiTheme="minorHAnsi"/>
          <w:szCs w:val="24"/>
        </w:rPr>
        <w:t xml:space="preserve"> Several expressed support for the proposal that had emerged from the special session held on 24</w:t>
      </w:r>
      <w:r w:rsidR="00DC62EA">
        <w:rPr>
          <w:rFonts w:asciiTheme="minorHAnsi" w:hAnsiTheme="minorHAnsi"/>
          <w:szCs w:val="24"/>
        </w:rPr>
        <w:t> </w:t>
      </w:r>
      <w:r w:rsidR="0012032E">
        <w:rPr>
          <w:rFonts w:asciiTheme="minorHAnsi" w:hAnsiTheme="minorHAnsi"/>
          <w:szCs w:val="24"/>
        </w:rPr>
        <w:t xml:space="preserve">March, as outlined by the councillor </w:t>
      </w:r>
      <w:r>
        <w:rPr>
          <w:rFonts w:asciiTheme="minorHAnsi" w:hAnsiTheme="minorHAnsi"/>
          <w:szCs w:val="24"/>
        </w:rPr>
        <w:t xml:space="preserve">from </w:t>
      </w:r>
      <w:r w:rsidR="0012032E">
        <w:rPr>
          <w:rFonts w:asciiTheme="minorHAnsi" w:hAnsiTheme="minorHAnsi"/>
          <w:szCs w:val="24"/>
        </w:rPr>
        <w:t>Saudi Arabia.</w:t>
      </w:r>
      <w:r w:rsidR="00AD0879">
        <w:rPr>
          <w:rFonts w:asciiTheme="minorHAnsi" w:hAnsiTheme="minorHAnsi"/>
          <w:szCs w:val="24"/>
        </w:rPr>
        <w:t xml:space="preserve"> One </w:t>
      </w:r>
      <w:r w:rsidR="000606A6" w:rsidRPr="00863A12">
        <w:rPr>
          <w:rFonts w:asciiTheme="minorHAnsi" w:hAnsiTheme="minorHAnsi"/>
          <w:szCs w:val="24"/>
        </w:rPr>
        <w:t>drew attention to the fact that the WSIS Forum had been recommended as an efficient and effective multi-stakeholder platform for consideration of the action lines and</w:t>
      </w:r>
      <w:r w:rsidR="000606A6" w:rsidRPr="000606A6">
        <w:rPr>
          <w:rFonts w:asciiTheme="minorHAnsi" w:hAnsiTheme="minorHAnsi"/>
          <w:szCs w:val="24"/>
        </w:rPr>
        <w:t xml:space="preserve"> </w:t>
      </w:r>
      <w:r w:rsidR="00AD0879">
        <w:rPr>
          <w:rFonts w:asciiTheme="minorHAnsi" w:hAnsiTheme="minorHAnsi"/>
          <w:szCs w:val="24"/>
        </w:rPr>
        <w:t>the view that the roadmap should be viewed as a living document and approved on that basis, especially given the time constraints involved</w:t>
      </w:r>
      <w:r w:rsidR="002F6991">
        <w:rPr>
          <w:rFonts w:asciiTheme="minorHAnsi" w:hAnsiTheme="minorHAnsi"/>
          <w:szCs w:val="24"/>
        </w:rPr>
        <w:t xml:space="preserve">, so that it could be forwarded to the </w:t>
      </w:r>
      <w:r w:rsidR="00604E16">
        <w:rPr>
          <w:rFonts w:asciiTheme="minorHAnsi" w:hAnsiTheme="minorHAnsi"/>
          <w:szCs w:val="24"/>
        </w:rPr>
        <w:t xml:space="preserve">United Nations </w:t>
      </w:r>
      <w:r w:rsidR="002F6991">
        <w:rPr>
          <w:rFonts w:asciiTheme="minorHAnsi" w:hAnsiTheme="minorHAnsi"/>
          <w:szCs w:val="24"/>
        </w:rPr>
        <w:t xml:space="preserve">Commission on Science and Technology for Development </w:t>
      </w:r>
      <w:r w:rsidR="00604E16">
        <w:rPr>
          <w:rFonts w:asciiTheme="minorHAnsi" w:hAnsiTheme="minorHAnsi"/>
          <w:szCs w:val="24"/>
        </w:rPr>
        <w:t xml:space="preserve">(CSTD) </w:t>
      </w:r>
      <w:r w:rsidR="002F6991">
        <w:rPr>
          <w:rFonts w:asciiTheme="minorHAnsi" w:hAnsiTheme="minorHAnsi"/>
          <w:szCs w:val="24"/>
        </w:rPr>
        <w:t>and the WSIS Forum for their comments</w:t>
      </w:r>
      <w:r w:rsidR="00AD0879" w:rsidRPr="00863A12">
        <w:rPr>
          <w:rFonts w:asciiTheme="minorHAnsi" w:hAnsiTheme="minorHAnsi"/>
          <w:szCs w:val="24"/>
        </w:rPr>
        <w:t>.</w:t>
      </w:r>
      <w:r w:rsidR="00F641D9" w:rsidRPr="00863A12">
        <w:rPr>
          <w:rFonts w:asciiTheme="minorHAnsi" w:hAnsiTheme="minorHAnsi"/>
          <w:szCs w:val="24"/>
        </w:rPr>
        <w:t xml:space="preserve"> </w:t>
      </w:r>
      <w:r w:rsidR="00B52DF3" w:rsidRPr="00863A12">
        <w:rPr>
          <w:rFonts w:asciiTheme="minorHAnsi" w:hAnsiTheme="minorHAnsi"/>
          <w:szCs w:val="24"/>
        </w:rPr>
        <w:t xml:space="preserve">Strong and unanimous </w:t>
      </w:r>
      <w:r w:rsidR="009D4A89" w:rsidRPr="00863A12">
        <w:rPr>
          <w:rFonts w:asciiTheme="minorHAnsi" w:hAnsiTheme="minorHAnsi"/>
          <w:szCs w:val="24"/>
        </w:rPr>
        <w:t xml:space="preserve">support was expressed for the work of CWG-WSIS&amp;SDG continuing for a further </w:t>
      </w:r>
      <w:r w:rsidR="009D4A89" w:rsidRPr="00863A12">
        <w:rPr>
          <w:rFonts w:asciiTheme="minorHAnsi" w:hAnsiTheme="minorHAnsi"/>
          <w:szCs w:val="24"/>
        </w:rPr>
        <w:lastRenderedPageBreak/>
        <w:t>term.</w:t>
      </w:r>
      <w:r w:rsidR="00B52DF3" w:rsidRPr="00863A12">
        <w:rPr>
          <w:rFonts w:asciiTheme="minorHAnsi" w:hAnsiTheme="minorHAnsi"/>
          <w:szCs w:val="24"/>
        </w:rPr>
        <w:t xml:space="preserve"> Councillors acknowledged the contribution of Prof </w:t>
      </w:r>
      <w:proofErr w:type="spellStart"/>
      <w:r w:rsidR="00B52DF3" w:rsidRPr="00863A12">
        <w:rPr>
          <w:rFonts w:asciiTheme="minorHAnsi" w:hAnsiTheme="minorHAnsi"/>
          <w:szCs w:val="24"/>
        </w:rPr>
        <w:t>Minkin</w:t>
      </w:r>
      <w:proofErr w:type="spellEnd"/>
      <w:r w:rsidR="00B52DF3" w:rsidRPr="00863A12">
        <w:rPr>
          <w:rFonts w:asciiTheme="minorHAnsi" w:hAnsiTheme="minorHAnsi"/>
          <w:szCs w:val="24"/>
        </w:rPr>
        <w:t xml:space="preserve"> as the Chairman of CWG-WSIS&amp;SDG and its Vice Chairs considering its importance and their contribution for the work of the CWG.</w:t>
      </w:r>
      <w:r w:rsidR="00B52DF3">
        <w:rPr>
          <w:rFonts w:asciiTheme="minorHAnsi" w:hAnsiTheme="minorHAnsi"/>
          <w:szCs w:val="24"/>
        </w:rPr>
        <w:t xml:space="preserve"> </w:t>
      </w:r>
    </w:p>
    <w:p w14:paraId="017A32F0" w14:textId="12302292" w:rsidR="00AC2C9E" w:rsidRPr="009F1A61" w:rsidRDefault="00AC2C9E" w:rsidP="008D511D">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2.</w:t>
      </w:r>
      <w:r w:rsidR="0046118D">
        <w:rPr>
          <w:rFonts w:asciiTheme="minorHAnsi" w:hAnsiTheme="minorHAnsi"/>
          <w:szCs w:val="24"/>
        </w:rPr>
        <w:t>7</w:t>
      </w:r>
      <w:r>
        <w:rPr>
          <w:rFonts w:asciiTheme="minorHAnsi" w:hAnsiTheme="minorHAnsi"/>
          <w:szCs w:val="24"/>
        </w:rPr>
        <w:tab/>
        <w:t xml:space="preserve">The Chairman took it that the Council agreed to note the roadmap </w:t>
      </w:r>
      <w:r w:rsidR="00224756">
        <w:rPr>
          <w:rFonts w:asciiTheme="minorHAnsi" w:hAnsiTheme="minorHAnsi"/>
          <w:szCs w:val="24"/>
        </w:rPr>
        <w:t>developed</w:t>
      </w:r>
      <w:r>
        <w:rPr>
          <w:rFonts w:asciiTheme="minorHAnsi" w:hAnsiTheme="minorHAnsi"/>
          <w:szCs w:val="24"/>
        </w:rPr>
        <w:t xml:space="preserve"> by the Secretary-General</w:t>
      </w:r>
      <w:r w:rsidR="00426E1C">
        <w:rPr>
          <w:rFonts w:asciiTheme="minorHAnsi" w:hAnsiTheme="minorHAnsi"/>
          <w:szCs w:val="24"/>
        </w:rPr>
        <w:t>;</w:t>
      </w:r>
      <w:r w:rsidR="00224756">
        <w:rPr>
          <w:rFonts w:asciiTheme="minorHAnsi" w:hAnsiTheme="minorHAnsi"/>
          <w:szCs w:val="24"/>
        </w:rPr>
        <w:t xml:space="preserve"> </w:t>
      </w:r>
      <w:r w:rsidR="00426E1C">
        <w:rPr>
          <w:rFonts w:asciiTheme="minorHAnsi" w:hAnsiTheme="minorHAnsi"/>
          <w:szCs w:val="24"/>
        </w:rPr>
        <w:t xml:space="preserve">to </w:t>
      </w:r>
      <w:r w:rsidR="00224756">
        <w:rPr>
          <w:rFonts w:asciiTheme="minorHAnsi" w:hAnsiTheme="minorHAnsi"/>
          <w:szCs w:val="24"/>
        </w:rPr>
        <w:t xml:space="preserve">request the secretariat to update Document C22/59 </w:t>
      </w:r>
      <w:r w:rsidR="00BB69E3">
        <w:rPr>
          <w:rFonts w:asciiTheme="minorHAnsi" w:hAnsiTheme="minorHAnsi"/>
          <w:szCs w:val="24"/>
        </w:rPr>
        <w:t>to take account of</w:t>
      </w:r>
      <w:r w:rsidR="00224756">
        <w:rPr>
          <w:rFonts w:asciiTheme="minorHAnsi" w:hAnsiTheme="minorHAnsi"/>
          <w:szCs w:val="24"/>
        </w:rPr>
        <w:t xml:space="preserve"> comments </w:t>
      </w:r>
      <w:r w:rsidR="00BB69E3">
        <w:rPr>
          <w:rFonts w:asciiTheme="minorHAnsi" w:hAnsiTheme="minorHAnsi"/>
          <w:szCs w:val="24"/>
        </w:rPr>
        <w:t xml:space="preserve">made </w:t>
      </w:r>
      <w:r w:rsidR="00224756">
        <w:rPr>
          <w:rFonts w:asciiTheme="minorHAnsi" w:hAnsiTheme="minorHAnsi"/>
          <w:szCs w:val="24"/>
        </w:rPr>
        <w:t xml:space="preserve">and </w:t>
      </w:r>
      <w:r w:rsidR="00AA35A9">
        <w:rPr>
          <w:rFonts w:asciiTheme="minorHAnsi" w:hAnsiTheme="minorHAnsi"/>
          <w:szCs w:val="24"/>
        </w:rPr>
        <w:t xml:space="preserve">forward </w:t>
      </w:r>
      <w:r w:rsidR="00224756">
        <w:rPr>
          <w:rFonts w:asciiTheme="minorHAnsi" w:hAnsiTheme="minorHAnsi"/>
          <w:szCs w:val="24"/>
        </w:rPr>
        <w:t xml:space="preserve">it to the Plenipotentiary Conference with the summary record of the </w:t>
      </w:r>
      <w:r w:rsidR="00721747">
        <w:rPr>
          <w:rFonts w:asciiTheme="minorHAnsi" w:hAnsiTheme="minorHAnsi"/>
          <w:szCs w:val="24"/>
        </w:rPr>
        <w:t>meeting</w:t>
      </w:r>
      <w:r w:rsidR="00426E1C">
        <w:rPr>
          <w:rFonts w:asciiTheme="minorHAnsi" w:hAnsiTheme="minorHAnsi"/>
          <w:szCs w:val="24"/>
        </w:rPr>
        <w:t>;</w:t>
      </w:r>
      <w:r w:rsidR="00224756">
        <w:rPr>
          <w:rFonts w:asciiTheme="minorHAnsi" w:hAnsiTheme="minorHAnsi"/>
          <w:szCs w:val="24"/>
        </w:rPr>
        <w:t xml:space="preserve"> and</w:t>
      </w:r>
      <w:r w:rsidR="00426E1C">
        <w:rPr>
          <w:rFonts w:asciiTheme="minorHAnsi" w:hAnsiTheme="minorHAnsi"/>
          <w:szCs w:val="24"/>
        </w:rPr>
        <w:t xml:space="preserve"> to</w:t>
      </w:r>
      <w:r w:rsidR="00224756">
        <w:rPr>
          <w:rFonts w:asciiTheme="minorHAnsi" w:hAnsiTheme="minorHAnsi"/>
          <w:szCs w:val="24"/>
        </w:rPr>
        <w:t xml:space="preserve"> invite the secretariat to share the document with CSTD and the WSIS Forum </w:t>
      </w:r>
      <w:proofErr w:type="gramStart"/>
      <w:r w:rsidR="0046118D">
        <w:rPr>
          <w:rFonts w:asciiTheme="minorHAnsi" w:hAnsiTheme="minorHAnsi"/>
          <w:szCs w:val="24"/>
        </w:rPr>
        <w:t xml:space="preserve">so as </w:t>
      </w:r>
      <w:r w:rsidR="00224756">
        <w:rPr>
          <w:rFonts w:asciiTheme="minorHAnsi" w:hAnsiTheme="minorHAnsi"/>
          <w:szCs w:val="24"/>
        </w:rPr>
        <w:t>to</w:t>
      </w:r>
      <w:proofErr w:type="gramEnd"/>
      <w:r w:rsidR="00224756">
        <w:rPr>
          <w:rFonts w:asciiTheme="minorHAnsi" w:hAnsiTheme="minorHAnsi"/>
          <w:szCs w:val="24"/>
        </w:rPr>
        <w:t xml:space="preserve"> include multistakeholder comments.</w:t>
      </w:r>
    </w:p>
    <w:p w14:paraId="3502297C" w14:textId="4BBC4A80" w:rsidR="00975523" w:rsidRPr="00224756" w:rsidRDefault="00DD2F1D"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2</w:t>
      </w:r>
      <w:r w:rsidR="00975523" w:rsidRPr="009F1A61">
        <w:rPr>
          <w:rFonts w:asciiTheme="minorHAnsi" w:hAnsiTheme="minorHAnsi"/>
          <w:szCs w:val="24"/>
        </w:rPr>
        <w:t>.</w:t>
      </w:r>
      <w:r w:rsidR="0046118D">
        <w:rPr>
          <w:rFonts w:asciiTheme="minorHAnsi" w:hAnsiTheme="minorHAnsi"/>
          <w:szCs w:val="24"/>
        </w:rPr>
        <w:t>8</w:t>
      </w:r>
      <w:r w:rsidR="00975523" w:rsidRPr="009F1A61">
        <w:rPr>
          <w:rFonts w:asciiTheme="minorHAnsi" w:hAnsiTheme="minorHAnsi"/>
          <w:szCs w:val="24"/>
        </w:rPr>
        <w:tab/>
      </w:r>
      <w:r w:rsidR="00224756">
        <w:rPr>
          <w:rFonts w:asciiTheme="minorHAnsi" w:hAnsiTheme="minorHAnsi"/>
          <w:szCs w:val="24"/>
        </w:rPr>
        <w:t>It was so</w:t>
      </w:r>
      <w:r w:rsidR="0085084D">
        <w:rPr>
          <w:rFonts w:asciiTheme="minorHAnsi" w:hAnsiTheme="minorHAnsi"/>
          <w:szCs w:val="24"/>
        </w:rPr>
        <w:t xml:space="preserve"> </w:t>
      </w:r>
      <w:r w:rsidR="00BE5219">
        <w:rPr>
          <w:rFonts w:asciiTheme="minorHAnsi" w:hAnsiTheme="minorHAnsi"/>
          <w:b/>
          <w:bCs/>
          <w:szCs w:val="24"/>
        </w:rPr>
        <w:t>agreed</w:t>
      </w:r>
      <w:r w:rsidR="00224756">
        <w:rPr>
          <w:rFonts w:asciiTheme="minorHAnsi" w:hAnsiTheme="minorHAnsi"/>
          <w:szCs w:val="24"/>
        </w:rPr>
        <w:t>.</w:t>
      </w:r>
    </w:p>
    <w:p w14:paraId="2B3C24E8" w14:textId="5BAAF2EF" w:rsidR="00C71E19" w:rsidRPr="001350FB" w:rsidRDefault="00DD2F1D" w:rsidP="008D511D">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asciiTheme="minorHAnsi" w:hAnsiTheme="minorHAnsi"/>
          <w:szCs w:val="28"/>
        </w:rPr>
      </w:pPr>
      <w:r w:rsidRPr="001350FB">
        <w:rPr>
          <w:rFonts w:asciiTheme="minorHAnsi" w:hAnsiTheme="minorHAnsi"/>
          <w:szCs w:val="28"/>
        </w:rPr>
        <w:t>3</w:t>
      </w:r>
      <w:r w:rsidR="00C71E19" w:rsidRPr="001350FB">
        <w:rPr>
          <w:rFonts w:asciiTheme="minorHAnsi" w:hAnsiTheme="minorHAnsi"/>
          <w:szCs w:val="28"/>
        </w:rPr>
        <w:tab/>
      </w:r>
      <w:r w:rsidR="00C4786C" w:rsidRPr="001350FB">
        <w:rPr>
          <w:rFonts w:asciiTheme="minorHAnsi" w:hAnsiTheme="minorHAnsi"/>
          <w:bCs/>
          <w:szCs w:val="28"/>
        </w:rPr>
        <w:t xml:space="preserve">Draft Guidelines for the utilization of the Global Cybersecurity Agenda (GCA) by ITU (continued) </w:t>
      </w:r>
      <w:r w:rsidR="00C71E19" w:rsidRPr="001350FB">
        <w:rPr>
          <w:rFonts w:asciiTheme="minorHAnsi" w:hAnsiTheme="minorHAnsi"/>
          <w:szCs w:val="28"/>
        </w:rPr>
        <w:t>(Document</w:t>
      </w:r>
      <w:r w:rsidR="00C95F6C" w:rsidRPr="001350FB">
        <w:rPr>
          <w:rFonts w:asciiTheme="minorHAnsi" w:hAnsiTheme="minorHAnsi"/>
          <w:szCs w:val="28"/>
        </w:rPr>
        <w:t xml:space="preserve"> </w:t>
      </w:r>
      <w:r w:rsidR="00CD2B00" w:rsidRPr="001350FB">
        <w:rPr>
          <w:rFonts w:asciiTheme="minorHAnsi" w:hAnsiTheme="minorHAnsi"/>
          <w:szCs w:val="28"/>
        </w:rPr>
        <w:t>C22/32(Rev.2)</w:t>
      </w:r>
      <w:r w:rsidR="00C71E19" w:rsidRPr="001350FB">
        <w:rPr>
          <w:rFonts w:asciiTheme="minorHAnsi" w:hAnsiTheme="minorHAnsi"/>
          <w:szCs w:val="28"/>
        </w:rPr>
        <w:t>)</w:t>
      </w:r>
    </w:p>
    <w:p w14:paraId="37BCB5C9" w14:textId="1A6A6012" w:rsidR="00CD2B00" w:rsidRPr="00642126" w:rsidRDefault="00DD2F1D"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3</w:t>
      </w:r>
      <w:r w:rsidR="00C71E19" w:rsidRPr="009F1A61">
        <w:rPr>
          <w:rFonts w:asciiTheme="minorHAnsi" w:hAnsiTheme="minorHAnsi"/>
          <w:szCs w:val="24"/>
        </w:rPr>
        <w:t>.1</w:t>
      </w:r>
      <w:r w:rsidR="00C71E19" w:rsidRPr="009F1A61">
        <w:rPr>
          <w:rFonts w:asciiTheme="minorHAnsi" w:hAnsiTheme="minorHAnsi"/>
          <w:szCs w:val="24"/>
        </w:rPr>
        <w:tab/>
      </w:r>
      <w:r w:rsidR="00CD2B00" w:rsidRPr="00642126">
        <w:rPr>
          <w:rFonts w:asciiTheme="minorHAnsi" w:hAnsiTheme="minorHAnsi"/>
          <w:szCs w:val="24"/>
        </w:rPr>
        <w:t xml:space="preserve">The representative of the General Secretariat introduced Document </w:t>
      </w:r>
      <w:hyperlink r:id="rId24" w:history="1">
        <w:r w:rsidR="00CD2B00" w:rsidRPr="001350FB">
          <w:rPr>
            <w:rStyle w:val="Hyperlink"/>
            <w:rFonts w:asciiTheme="minorHAnsi" w:hAnsiTheme="minorHAnsi"/>
            <w:szCs w:val="24"/>
          </w:rPr>
          <w:t>C22/32(Rev.2)</w:t>
        </w:r>
      </w:hyperlink>
      <w:r w:rsidR="00CD2B00" w:rsidRPr="00642126">
        <w:rPr>
          <w:rFonts w:asciiTheme="minorHAnsi" w:hAnsiTheme="minorHAnsi"/>
          <w:szCs w:val="24"/>
        </w:rPr>
        <w:t xml:space="preserve">, containing the latest version of the </w:t>
      </w:r>
      <w:r w:rsidR="00CD2B00" w:rsidRPr="00642126">
        <w:rPr>
          <w:rFonts w:asciiTheme="minorHAnsi" w:hAnsiTheme="minorHAnsi"/>
          <w:bCs/>
          <w:szCs w:val="24"/>
        </w:rPr>
        <w:t xml:space="preserve">draft guidelines for the utilization of the GCA. Agreement had been reached on all </w:t>
      </w:r>
      <w:r w:rsidR="00CD2B00">
        <w:rPr>
          <w:rFonts w:asciiTheme="minorHAnsi" w:hAnsiTheme="minorHAnsi"/>
          <w:bCs/>
          <w:szCs w:val="24"/>
        </w:rPr>
        <w:t xml:space="preserve">outstanding </w:t>
      </w:r>
      <w:r w:rsidR="00CD2B00" w:rsidRPr="00642126">
        <w:rPr>
          <w:rFonts w:asciiTheme="minorHAnsi" w:hAnsiTheme="minorHAnsi"/>
          <w:bCs/>
          <w:szCs w:val="24"/>
        </w:rPr>
        <w:t xml:space="preserve">parts of the text during informal </w:t>
      </w:r>
      <w:r w:rsidR="00CD2B00">
        <w:rPr>
          <w:rFonts w:asciiTheme="minorHAnsi" w:hAnsiTheme="minorHAnsi"/>
          <w:bCs/>
          <w:szCs w:val="24"/>
        </w:rPr>
        <w:t>consultations</w:t>
      </w:r>
      <w:r w:rsidR="00CD2B00" w:rsidRPr="00642126">
        <w:rPr>
          <w:rFonts w:asciiTheme="minorHAnsi" w:hAnsiTheme="minorHAnsi"/>
          <w:bCs/>
          <w:szCs w:val="24"/>
        </w:rPr>
        <w:t xml:space="preserve"> held during the current session of the Council.</w:t>
      </w:r>
    </w:p>
    <w:p w14:paraId="5D96C073" w14:textId="77777777" w:rsidR="00CD2B00" w:rsidRPr="00642126" w:rsidRDefault="00CD2B00" w:rsidP="008D511D">
      <w:pPr>
        <w:tabs>
          <w:tab w:val="clear" w:pos="567"/>
          <w:tab w:val="clear" w:pos="1134"/>
          <w:tab w:val="clear" w:pos="1701"/>
          <w:tab w:val="clear" w:pos="2268"/>
          <w:tab w:val="clear" w:pos="2835"/>
        </w:tabs>
        <w:snapToGrid w:val="0"/>
        <w:jc w:val="both"/>
        <w:rPr>
          <w:rFonts w:asciiTheme="minorHAnsi" w:hAnsiTheme="minorHAnsi"/>
          <w:szCs w:val="24"/>
        </w:rPr>
      </w:pPr>
      <w:r w:rsidRPr="00642126">
        <w:rPr>
          <w:rFonts w:asciiTheme="minorHAnsi" w:hAnsiTheme="minorHAnsi"/>
          <w:szCs w:val="24"/>
        </w:rPr>
        <w:t>3.2</w:t>
      </w:r>
      <w:r w:rsidRPr="00642126">
        <w:rPr>
          <w:rFonts w:asciiTheme="minorHAnsi" w:hAnsiTheme="minorHAnsi"/>
          <w:szCs w:val="24"/>
        </w:rPr>
        <w:tab/>
        <w:t xml:space="preserve">Councillors welcomed the document and commended the consensus reached. </w:t>
      </w:r>
    </w:p>
    <w:p w14:paraId="6E5EB795" w14:textId="5479A4E6" w:rsidR="00C47ACC" w:rsidRPr="009F1A61" w:rsidRDefault="00CD2B00" w:rsidP="008D511D">
      <w:pPr>
        <w:tabs>
          <w:tab w:val="clear" w:pos="567"/>
          <w:tab w:val="clear" w:pos="1134"/>
          <w:tab w:val="clear" w:pos="1701"/>
          <w:tab w:val="clear" w:pos="2268"/>
          <w:tab w:val="clear" w:pos="2835"/>
        </w:tabs>
        <w:snapToGrid w:val="0"/>
        <w:jc w:val="both"/>
        <w:rPr>
          <w:rFonts w:asciiTheme="minorHAnsi" w:hAnsiTheme="minorHAnsi"/>
          <w:szCs w:val="24"/>
        </w:rPr>
      </w:pPr>
      <w:r w:rsidRPr="00642126">
        <w:rPr>
          <w:rFonts w:asciiTheme="minorHAnsi" w:hAnsiTheme="minorHAnsi"/>
          <w:szCs w:val="24"/>
        </w:rPr>
        <w:t>3.3</w:t>
      </w:r>
      <w:r w:rsidRPr="00642126">
        <w:rPr>
          <w:rFonts w:asciiTheme="minorHAnsi" w:hAnsiTheme="minorHAnsi"/>
          <w:szCs w:val="24"/>
        </w:rPr>
        <w:tab/>
        <w:t xml:space="preserve">The Council </w:t>
      </w:r>
      <w:r w:rsidRPr="00642126">
        <w:rPr>
          <w:rFonts w:asciiTheme="minorHAnsi" w:hAnsiTheme="minorHAnsi"/>
          <w:b/>
          <w:bCs/>
          <w:szCs w:val="24"/>
        </w:rPr>
        <w:t>approved</w:t>
      </w:r>
      <w:r w:rsidRPr="00642126">
        <w:rPr>
          <w:rFonts w:asciiTheme="minorHAnsi" w:hAnsiTheme="minorHAnsi"/>
          <w:szCs w:val="24"/>
        </w:rPr>
        <w:t xml:space="preserve"> the </w:t>
      </w:r>
      <w:r w:rsidRPr="00642126">
        <w:rPr>
          <w:rFonts w:asciiTheme="minorHAnsi" w:hAnsiTheme="minorHAnsi"/>
          <w:bCs/>
          <w:szCs w:val="24"/>
        </w:rPr>
        <w:t xml:space="preserve">draft </w:t>
      </w:r>
      <w:r w:rsidR="00BB69E3">
        <w:rPr>
          <w:rFonts w:asciiTheme="minorHAnsi" w:hAnsiTheme="minorHAnsi"/>
          <w:bCs/>
          <w:szCs w:val="24"/>
        </w:rPr>
        <w:t>G</w:t>
      </w:r>
      <w:r w:rsidRPr="00642126">
        <w:rPr>
          <w:rFonts w:asciiTheme="minorHAnsi" w:hAnsiTheme="minorHAnsi"/>
          <w:bCs/>
          <w:szCs w:val="24"/>
        </w:rPr>
        <w:t>uidelines for the utilization of the GCA as contained in Document C22/32(Rev.2)</w:t>
      </w:r>
      <w:r>
        <w:rPr>
          <w:rFonts w:asciiTheme="minorHAnsi" w:hAnsiTheme="minorHAnsi"/>
          <w:bCs/>
          <w:szCs w:val="24"/>
        </w:rPr>
        <w:t xml:space="preserve"> and </w:t>
      </w:r>
      <w:r>
        <w:rPr>
          <w:rFonts w:asciiTheme="minorHAnsi" w:hAnsiTheme="minorHAnsi"/>
          <w:b/>
          <w:szCs w:val="24"/>
        </w:rPr>
        <w:t>agreed</w:t>
      </w:r>
      <w:r>
        <w:rPr>
          <w:rFonts w:asciiTheme="minorHAnsi" w:hAnsiTheme="minorHAnsi"/>
          <w:bCs/>
          <w:szCs w:val="24"/>
        </w:rPr>
        <w:t xml:space="preserve"> to transmit </w:t>
      </w:r>
      <w:r w:rsidR="00BB69E3">
        <w:rPr>
          <w:rFonts w:asciiTheme="minorHAnsi" w:hAnsiTheme="minorHAnsi"/>
          <w:bCs/>
          <w:szCs w:val="24"/>
        </w:rPr>
        <w:t>them</w:t>
      </w:r>
      <w:r>
        <w:rPr>
          <w:rFonts w:asciiTheme="minorHAnsi" w:hAnsiTheme="minorHAnsi"/>
          <w:bCs/>
          <w:szCs w:val="24"/>
        </w:rPr>
        <w:t xml:space="preserve"> to </w:t>
      </w:r>
      <w:r w:rsidR="0046118D">
        <w:rPr>
          <w:rFonts w:asciiTheme="minorHAnsi" w:hAnsiTheme="minorHAnsi"/>
          <w:bCs/>
          <w:szCs w:val="24"/>
        </w:rPr>
        <w:t>the Plenipotentiary Conference</w:t>
      </w:r>
      <w:r w:rsidR="0049358C">
        <w:rPr>
          <w:rFonts w:asciiTheme="minorHAnsi" w:hAnsiTheme="minorHAnsi"/>
          <w:bCs/>
          <w:szCs w:val="24"/>
        </w:rPr>
        <w:t xml:space="preserve"> for consideration</w:t>
      </w:r>
      <w:r>
        <w:rPr>
          <w:rFonts w:asciiTheme="minorHAnsi" w:hAnsiTheme="minorHAnsi"/>
          <w:bCs/>
          <w:szCs w:val="24"/>
        </w:rPr>
        <w:t>.</w:t>
      </w:r>
    </w:p>
    <w:p w14:paraId="402591E0" w14:textId="4DC0C6D1" w:rsidR="00C71E19" w:rsidRPr="001350FB" w:rsidRDefault="00DD2F1D" w:rsidP="008D511D">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asciiTheme="minorHAnsi" w:hAnsiTheme="minorHAnsi"/>
          <w:szCs w:val="28"/>
        </w:rPr>
      </w:pPr>
      <w:r w:rsidRPr="001350FB">
        <w:rPr>
          <w:rFonts w:asciiTheme="minorHAnsi" w:hAnsiTheme="minorHAnsi"/>
          <w:szCs w:val="28"/>
        </w:rPr>
        <w:t>4</w:t>
      </w:r>
      <w:r w:rsidR="00C71E19" w:rsidRPr="001350FB">
        <w:rPr>
          <w:rFonts w:asciiTheme="minorHAnsi" w:hAnsiTheme="minorHAnsi"/>
          <w:szCs w:val="28"/>
        </w:rPr>
        <w:tab/>
      </w:r>
      <w:r w:rsidR="00C4786C" w:rsidRPr="001350FB">
        <w:rPr>
          <w:rFonts w:asciiTheme="minorHAnsi" w:hAnsiTheme="minorHAnsi"/>
          <w:szCs w:val="28"/>
        </w:rPr>
        <w:t xml:space="preserve">Report on ITU accessibility policy and framework implementation </w:t>
      </w:r>
      <w:r w:rsidR="00B01346" w:rsidRPr="001350FB">
        <w:rPr>
          <w:rFonts w:asciiTheme="minorHAnsi" w:hAnsiTheme="minorHAnsi"/>
          <w:szCs w:val="28"/>
        </w:rPr>
        <w:t>(Document</w:t>
      </w:r>
      <w:r w:rsidR="000F1C14" w:rsidRPr="001350FB">
        <w:rPr>
          <w:rFonts w:asciiTheme="minorHAnsi" w:hAnsiTheme="minorHAnsi"/>
          <w:szCs w:val="28"/>
        </w:rPr>
        <w:t> </w:t>
      </w:r>
      <w:r w:rsidR="00B01346" w:rsidRPr="001350FB">
        <w:rPr>
          <w:rFonts w:asciiTheme="minorHAnsi" w:hAnsiTheme="minorHAnsi"/>
          <w:szCs w:val="28"/>
        </w:rPr>
        <w:t>C22/</w:t>
      </w:r>
      <w:r w:rsidR="00C4786C" w:rsidRPr="001350FB">
        <w:rPr>
          <w:rFonts w:asciiTheme="minorHAnsi" w:hAnsiTheme="minorHAnsi"/>
          <w:szCs w:val="28"/>
        </w:rPr>
        <w:t>13(Rev.1)</w:t>
      </w:r>
      <w:r w:rsidR="00B01346" w:rsidRPr="001350FB">
        <w:rPr>
          <w:rFonts w:asciiTheme="minorHAnsi" w:hAnsiTheme="minorHAnsi"/>
          <w:szCs w:val="28"/>
        </w:rPr>
        <w:t>)</w:t>
      </w:r>
    </w:p>
    <w:p w14:paraId="369BE829" w14:textId="10E041BC" w:rsidR="00CD2B00" w:rsidRPr="009F1A61" w:rsidRDefault="00DD2F1D"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4</w:t>
      </w:r>
      <w:r w:rsidR="00C71E19" w:rsidRPr="009F1A61">
        <w:rPr>
          <w:rFonts w:asciiTheme="minorHAnsi" w:hAnsiTheme="minorHAnsi"/>
          <w:szCs w:val="24"/>
        </w:rPr>
        <w:t>.1</w:t>
      </w:r>
      <w:r w:rsidR="00C71E19" w:rsidRPr="009F1A61">
        <w:rPr>
          <w:rFonts w:asciiTheme="minorHAnsi" w:hAnsiTheme="minorHAnsi"/>
          <w:szCs w:val="24"/>
        </w:rPr>
        <w:tab/>
      </w:r>
      <w:r w:rsidR="00CD2B00">
        <w:rPr>
          <w:rFonts w:asciiTheme="minorHAnsi" w:hAnsiTheme="minorHAnsi"/>
          <w:szCs w:val="24"/>
        </w:rPr>
        <w:t xml:space="preserve">The representative of </w:t>
      </w:r>
      <w:r w:rsidR="000F1C14">
        <w:rPr>
          <w:rFonts w:asciiTheme="minorHAnsi" w:hAnsiTheme="minorHAnsi"/>
          <w:szCs w:val="24"/>
        </w:rPr>
        <w:t xml:space="preserve">the </w:t>
      </w:r>
      <w:r w:rsidR="00CD2B00">
        <w:rPr>
          <w:rFonts w:asciiTheme="minorHAnsi" w:hAnsiTheme="minorHAnsi"/>
          <w:szCs w:val="24"/>
        </w:rPr>
        <w:t>S</w:t>
      </w:r>
      <w:r w:rsidR="000F1C14">
        <w:rPr>
          <w:rFonts w:asciiTheme="minorHAnsi" w:hAnsiTheme="minorHAnsi"/>
          <w:szCs w:val="24"/>
        </w:rPr>
        <w:t xml:space="preserve">trategic </w:t>
      </w:r>
      <w:r w:rsidR="00CD2B00">
        <w:rPr>
          <w:rFonts w:asciiTheme="minorHAnsi" w:hAnsiTheme="minorHAnsi"/>
          <w:szCs w:val="24"/>
        </w:rPr>
        <w:t>P</w:t>
      </w:r>
      <w:r w:rsidR="000F1C14">
        <w:rPr>
          <w:rFonts w:asciiTheme="minorHAnsi" w:hAnsiTheme="minorHAnsi"/>
          <w:szCs w:val="24"/>
        </w:rPr>
        <w:t xml:space="preserve">lanning and </w:t>
      </w:r>
      <w:r w:rsidR="00CD2B00">
        <w:rPr>
          <w:rFonts w:asciiTheme="minorHAnsi" w:hAnsiTheme="minorHAnsi"/>
          <w:szCs w:val="24"/>
        </w:rPr>
        <w:t>M</w:t>
      </w:r>
      <w:r w:rsidR="000F1C14">
        <w:rPr>
          <w:rFonts w:asciiTheme="minorHAnsi" w:hAnsiTheme="minorHAnsi"/>
          <w:szCs w:val="24"/>
        </w:rPr>
        <w:t>embership Department</w:t>
      </w:r>
      <w:r w:rsidR="00CD2B00">
        <w:rPr>
          <w:rFonts w:asciiTheme="minorHAnsi" w:hAnsiTheme="minorHAnsi"/>
          <w:szCs w:val="24"/>
        </w:rPr>
        <w:t xml:space="preserve"> introduced Document </w:t>
      </w:r>
      <w:hyperlink r:id="rId25" w:history="1">
        <w:r w:rsidR="00CD2B00" w:rsidRPr="001350FB">
          <w:rPr>
            <w:rStyle w:val="Hyperlink"/>
            <w:rFonts w:asciiTheme="minorHAnsi" w:hAnsiTheme="minorHAnsi"/>
            <w:szCs w:val="24"/>
          </w:rPr>
          <w:t>C22/13(Rev.1)</w:t>
        </w:r>
      </w:hyperlink>
      <w:r w:rsidR="00CD2B00">
        <w:rPr>
          <w:rFonts w:asciiTheme="minorHAnsi" w:hAnsiTheme="minorHAnsi"/>
          <w:szCs w:val="24"/>
        </w:rPr>
        <w:t xml:space="preserve">, containing the first report on the implementation of the ITU </w:t>
      </w:r>
      <w:r w:rsidR="0046118D">
        <w:rPr>
          <w:rFonts w:asciiTheme="minorHAnsi" w:hAnsiTheme="minorHAnsi"/>
          <w:szCs w:val="24"/>
        </w:rPr>
        <w:t>a</w:t>
      </w:r>
      <w:r w:rsidR="00CD2B00">
        <w:rPr>
          <w:rFonts w:asciiTheme="minorHAnsi" w:hAnsiTheme="minorHAnsi"/>
          <w:szCs w:val="24"/>
        </w:rPr>
        <w:t xml:space="preserve">ccessibility </w:t>
      </w:r>
      <w:r w:rsidR="0046118D">
        <w:rPr>
          <w:rFonts w:asciiTheme="minorHAnsi" w:hAnsiTheme="minorHAnsi"/>
          <w:szCs w:val="24"/>
        </w:rPr>
        <w:t>p</w:t>
      </w:r>
      <w:r w:rsidR="00CD2B00">
        <w:rPr>
          <w:rFonts w:asciiTheme="minorHAnsi" w:hAnsiTheme="minorHAnsi"/>
          <w:szCs w:val="24"/>
        </w:rPr>
        <w:t>olicy and related activities. He noted that, since the report’s publication, mandatory training on accessibility for ITU staff had also been introduced.</w:t>
      </w:r>
    </w:p>
    <w:p w14:paraId="1626325B" w14:textId="5EA0957B" w:rsidR="00CD2B00" w:rsidRPr="009F1A61" w:rsidRDefault="00CD2B00" w:rsidP="008D511D">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4.2</w:t>
      </w:r>
      <w:r w:rsidRPr="009F1A61">
        <w:rPr>
          <w:rFonts w:asciiTheme="minorHAnsi" w:hAnsiTheme="minorHAnsi"/>
          <w:szCs w:val="24"/>
        </w:rPr>
        <w:tab/>
      </w:r>
      <w:r>
        <w:rPr>
          <w:rFonts w:asciiTheme="minorHAnsi" w:hAnsiTheme="minorHAnsi"/>
          <w:szCs w:val="24"/>
        </w:rPr>
        <w:t xml:space="preserve">Councillors expressed strong support for ITU’s work to improve accessibility. The councillor from Italy announced that the </w:t>
      </w:r>
      <w:r w:rsidRPr="0050270D">
        <w:rPr>
          <w:rFonts w:asciiTheme="minorHAnsi" w:hAnsiTheme="minorHAnsi"/>
          <w:szCs w:val="24"/>
        </w:rPr>
        <w:t>Inter-Sector Coordination Group</w:t>
      </w:r>
      <w:r>
        <w:rPr>
          <w:rFonts w:asciiTheme="minorHAnsi" w:hAnsiTheme="minorHAnsi"/>
          <w:szCs w:val="24"/>
        </w:rPr>
        <w:t xml:space="preserve"> had appointed a coordinator for accessibility at its most recent meeting. Another councillor noted that, for accessibility to be effective, all persons – both with and without disabilities – in all areas of the world must have equal access to ICT</w:t>
      </w:r>
      <w:r w:rsidR="0046118D">
        <w:rPr>
          <w:rFonts w:asciiTheme="minorHAnsi" w:hAnsiTheme="minorHAnsi"/>
          <w:szCs w:val="24"/>
        </w:rPr>
        <w:t>s</w:t>
      </w:r>
      <w:r>
        <w:rPr>
          <w:rFonts w:asciiTheme="minorHAnsi" w:hAnsiTheme="minorHAnsi"/>
          <w:szCs w:val="24"/>
        </w:rPr>
        <w:t>.</w:t>
      </w:r>
    </w:p>
    <w:p w14:paraId="7B01FDBD" w14:textId="1124DA3B" w:rsidR="00C71E19" w:rsidRPr="009F1A61" w:rsidRDefault="00CD2B00" w:rsidP="008D511D">
      <w:pPr>
        <w:tabs>
          <w:tab w:val="clear" w:pos="567"/>
          <w:tab w:val="clear" w:pos="1134"/>
          <w:tab w:val="clear" w:pos="1701"/>
          <w:tab w:val="clear" w:pos="2268"/>
          <w:tab w:val="clear" w:pos="2835"/>
        </w:tabs>
        <w:snapToGrid w:val="0"/>
        <w:jc w:val="both"/>
        <w:rPr>
          <w:rFonts w:asciiTheme="minorHAnsi" w:hAnsiTheme="minorHAnsi"/>
          <w:bCs/>
          <w:szCs w:val="24"/>
        </w:rPr>
      </w:pPr>
      <w:r w:rsidRPr="009F1A61">
        <w:rPr>
          <w:rFonts w:asciiTheme="minorHAnsi" w:hAnsiTheme="minorHAnsi"/>
          <w:szCs w:val="24"/>
        </w:rPr>
        <w:t>4.</w:t>
      </w:r>
      <w:r>
        <w:rPr>
          <w:rFonts w:asciiTheme="minorHAnsi" w:hAnsiTheme="minorHAnsi"/>
          <w:szCs w:val="24"/>
        </w:rPr>
        <w:t>3</w:t>
      </w:r>
      <w:r w:rsidRPr="009F1A61">
        <w:rPr>
          <w:rFonts w:asciiTheme="minorHAnsi" w:hAnsiTheme="minorHAnsi"/>
          <w:szCs w:val="24"/>
        </w:rPr>
        <w:tab/>
      </w:r>
      <w:r>
        <w:rPr>
          <w:rFonts w:asciiTheme="minorHAnsi" w:hAnsiTheme="minorHAnsi"/>
          <w:szCs w:val="24"/>
        </w:rPr>
        <w:t xml:space="preserve">The Council </w:t>
      </w:r>
      <w:r>
        <w:rPr>
          <w:rFonts w:asciiTheme="minorHAnsi" w:hAnsiTheme="minorHAnsi"/>
          <w:b/>
          <w:bCs/>
          <w:szCs w:val="24"/>
        </w:rPr>
        <w:t>noted</w:t>
      </w:r>
      <w:r>
        <w:rPr>
          <w:rFonts w:asciiTheme="minorHAnsi" w:hAnsiTheme="minorHAnsi"/>
          <w:szCs w:val="24"/>
        </w:rPr>
        <w:t xml:space="preserve"> the report contained in Document C22/13(Rev.1).</w:t>
      </w:r>
    </w:p>
    <w:p w14:paraId="167042D5" w14:textId="357CC5E5" w:rsidR="00C71E19" w:rsidRPr="001350FB" w:rsidRDefault="00DD2F1D" w:rsidP="008D511D">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cstheme="minorHAnsi"/>
          <w:szCs w:val="28"/>
        </w:rPr>
      </w:pPr>
      <w:r w:rsidRPr="001350FB">
        <w:rPr>
          <w:rFonts w:cstheme="minorHAnsi"/>
          <w:bCs/>
          <w:szCs w:val="28"/>
        </w:rPr>
        <w:t>5</w:t>
      </w:r>
      <w:r w:rsidR="00C71E19" w:rsidRPr="001350FB">
        <w:rPr>
          <w:rFonts w:cstheme="minorHAnsi"/>
          <w:bCs/>
          <w:szCs w:val="28"/>
        </w:rPr>
        <w:tab/>
      </w:r>
      <w:r w:rsidR="003C5F39" w:rsidRPr="001350FB">
        <w:rPr>
          <w:rFonts w:cstheme="minorHAnsi"/>
          <w:bCs/>
          <w:szCs w:val="28"/>
        </w:rPr>
        <w:t>ITU’s activities related to Resolution 70 (Rev. Dubai, 2018</w:t>
      </w:r>
      <w:r w:rsidR="00AA6B9B" w:rsidRPr="001350FB">
        <w:rPr>
          <w:rFonts w:cstheme="minorHAnsi"/>
          <w:bCs/>
          <w:szCs w:val="28"/>
        </w:rPr>
        <w:t xml:space="preserve">) </w:t>
      </w:r>
      <w:r w:rsidR="00C71E19" w:rsidRPr="001350FB">
        <w:rPr>
          <w:rFonts w:cstheme="minorHAnsi"/>
          <w:bCs/>
          <w:szCs w:val="28"/>
        </w:rPr>
        <w:t>(</w:t>
      </w:r>
      <w:bookmarkStart w:id="12" w:name="_Hlk99880317"/>
      <w:r w:rsidR="00C71E19" w:rsidRPr="001350FB">
        <w:rPr>
          <w:rFonts w:cstheme="minorHAnsi"/>
          <w:bCs/>
          <w:szCs w:val="28"/>
        </w:rPr>
        <w:t>Document</w:t>
      </w:r>
      <w:r w:rsidR="0048589D" w:rsidRPr="001350FB">
        <w:rPr>
          <w:rFonts w:cstheme="minorHAnsi"/>
          <w:bCs/>
          <w:szCs w:val="28"/>
        </w:rPr>
        <w:t xml:space="preserve"> C22/</w:t>
      </w:r>
      <w:r w:rsidR="003C5F39" w:rsidRPr="001350FB">
        <w:rPr>
          <w:rFonts w:cstheme="minorHAnsi"/>
          <w:bCs/>
          <w:szCs w:val="28"/>
        </w:rPr>
        <w:t>6</w:t>
      </w:r>
      <w:bookmarkEnd w:id="12"/>
      <w:r w:rsidR="0048589D" w:rsidRPr="001350FB">
        <w:rPr>
          <w:rFonts w:cstheme="minorHAnsi"/>
          <w:bCs/>
          <w:szCs w:val="28"/>
        </w:rPr>
        <w:t>)</w:t>
      </w:r>
    </w:p>
    <w:p w14:paraId="435BD8C6" w14:textId="1ABC4ECE" w:rsidR="00CD2B00" w:rsidRPr="009F1A61" w:rsidRDefault="00DD2F1D" w:rsidP="008D511D">
      <w:pPr>
        <w:tabs>
          <w:tab w:val="clear" w:pos="567"/>
          <w:tab w:val="clear" w:pos="1134"/>
          <w:tab w:val="clear" w:pos="1701"/>
          <w:tab w:val="clear" w:pos="2268"/>
          <w:tab w:val="clear" w:pos="2835"/>
        </w:tabs>
        <w:snapToGrid w:val="0"/>
        <w:jc w:val="both"/>
        <w:rPr>
          <w:rFonts w:cstheme="minorHAnsi"/>
          <w:szCs w:val="24"/>
        </w:rPr>
      </w:pPr>
      <w:r w:rsidRPr="009F1A61">
        <w:rPr>
          <w:rFonts w:cstheme="minorHAnsi"/>
          <w:szCs w:val="24"/>
        </w:rPr>
        <w:t>5</w:t>
      </w:r>
      <w:r w:rsidR="00C71E19" w:rsidRPr="009F1A61">
        <w:rPr>
          <w:rFonts w:cstheme="minorHAnsi"/>
          <w:szCs w:val="24"/>
        </w:rPr>
        <w:t>.1</w:t>
      </w:r>
      <w:r w:rsidR="00C71E19" w:rsidRPr="009F1A61">
        <w:rPr>
          <w:rFonts w:cstheme="minorHAnsi"/>
          <w:szCs w:val="24"/>
        </w:rPr>
        <w:tab/>
      </w:r>
      <w:r w:rsidR="00CD2B00">
        <w:rPr>
          <w:rFonts w:cstheme="minorHAnsi"/>
          <w:szCs w:val="24"/>
        </w:rPr>
        <w:t xml:space="preserve">The representative of the General Secretariat introduced Document </w:t>
      </w:r>
      <w:hyperlink r:id="rId26" w:history="1">
        <w:r w:rsidR="00CD2B00" w:rsidRPr="001350FB">
          <w:rPr>
            <w:rStyle w:val="Hyperlink"/>
            <w:rFonts w:cstheme="minorHAnsi"/>
            <w:szCs w:val="24"/>
          </w:rPr>
          <w:t>C22/6</w:t>
        </w:r>
      </w:hyperlink>
      <w:r w:rsidR="00CD2B00">
        <w:rPr>
          <w:rFonts w:cstheme="minorHAnsi"/>
          <w:szCs w:val="24"/>
        </w:rPr>
        <w:t xml:space="preserve">, summarizing recent activities and developments in relation to Resolution 70 (Rev. Dubai, 2018) across ITU and presenting a revised version of the ITU Gender Equality and Mainstreaming </w:t>
      </w:r>
      <w:r w:rsidR="005220AA">
        <w:rPr>
          <w:rFonts w:cstheme="minorHAnsi"/>
          <w:szCs w:val="24"/>
        </w:rPr>
        <w:t xml:space="preserve">(GEM) </w:t>
      </w:r>
      <w:r w:rsidR="00CD2B00">
        <w:rPr>
          <w:rFonts w:cstheme="minorHAnsi"/>
          <w:szCs w:val="24"/>
        </w:rPr>
        <w:t>Policy. She invited Member States to nominate female delegates to PP-22 to receive training under an ITU/Australian initiative to support gender responsiveness.</w:t>
      </w:r>
    </w:p>
    <w:p w14:paraId="3597F6BA" w14:textId="0DBB0BFF" w:rsidR="00CD2B00" w:rsidRDefault="00CD2B00" w:rsidP="008D511D">
      <w:pPr>
        <w:tabs>
          <w:tab w:val="clear" w:pos="567"/>
          <w:tab w:val="clear" w:pos="1134"/>
          <w:tab w:val="clear" w:pos="1701"/>
          <w:tab w:val="clear" w:pos="2268"/>
          <w:tab w:val="clear" w:pos="2835"/>
        </w:tabs>
        <w:snapToGrid w:val="0"/>
        <w:jc w:val="both"/>
        <w:rPr>
          <w:rFonts w:cstheme="minorHAnsi"/>
          <w:szCs w:val="24"/>
        </w:rPr>
      </w:pPr>
      <w:r w:rsidRPr="009F1A61">
        <w:rPr>
          <w:rFonts w:cstheme="minorHAnsi"/>
          <w:szCs w:val="24"/>
        </w:rPr>
        <w:t>5.2</w:t>
      </w:r>
      <w:r w:rsidRPr="009F1A61">
        <w:rPr>
          <w:rFonts w:cstheme="minorHAnsi"/>
          <w:szCs w:val="24"/>
        </w:rPr>
        <w:tab/>
      </w:r>
      <w:r>
        <w:rPr>
          <w:rFonts w:cstheme="minorHAnsi"/>
          <w:szCs w:val="24"/>
        </w:rPr>
        <w:t xml:space="preserve">Councillors expressed overwhelming support for ITU’s efforts to enhance gender equality and mainstreaming and </w:t>
      </w:r>
      <w:r w:rsidR="00BB69E3">
        <w:rPr>
          <w:rFonts w:cstheme="minorHAnsi"/>
          <w:szCs w:val="24"/>
        </w:rPr>
        <w:t>describ</w:t>
      </w:r>
      <w:r>
        <w:rPr>
          <w:rFonts w:cstheme="minorHAnsi"/>
          <w:szCs w:val="24"/>
        </w:rPr>
        <w:t xml:space="preserve">ed some of the activities undertaken by their countries at national, </w:t>
      </w:r>
      <w:proofErr w:type="gramStart"/>
      <w:r>
        <w:rPr>
          <w:rFonts w:cstheme="minorHAnsi"/>
          <w:szCs w:val="24"/>
        </w:rPr>
        <w:lastRenderedPageBreak/>
        <w:t>regional</w:t>
      </w:r>
      <w:proofErr w:type="gramEnd"/>
      <w:r>
        <w:rPr>
          <w:rFonts w:cstheme="minorHAnsi"/>
          <w:szCs w:val="24"/>
        </w:rPr>
        <w:t xml:space="preserve"> and international level to support those aims. One councillor expressed </w:t>
      </w:r>
      <w:proofErr w:type="gramStart"/>
      <w:r>
        <w:rPr>
          <w:rFonts w:cstheme="minorHAnsi"/>
          <w:szCs w:val="24"/>
        </w:rPr>
        <w:t>particular support</w:t>
      </w:r>
      <w:proofErr w:type="gramEnd"/>
      <w:r>
        <w:rPr>
          <w:rFonts w:cstheme="minorHAnsi"/>
          <w:szCs w:val="24"/>
        </w:rPr>
        <w:t xml:space="preserve"> for the inclusion of provisions on oversight and transparency in the revised </w:t>
      </w:r>
      <w:r w:rsidR="005220AA">
        <w:rPr>
          <w:rFonts w:cstheme="minorHAnsi"/>
          <w:szCs w:val="24"/>
        </w:rPr>
        <w:t>GEM</w:t>
      </w:r>
      <w:r w:rsidRPr="00BE67D8">
        <w:rPr>
          <w:rFonts w:cstheme="minorHAnsi"/>
          <w:szCs w:val="24"/>
        </w:rPr>
        <w:t xml:space="preserve"> Policy</w:t>
      </w:r>
      <w:r>
        <w:rPr>
          <w:rFonts w:cstheme="minorHAnsi"/>
          <w:szCs w:val="24"/>
        </w:rPr>
        <w:t>.</w:t>
      </w:r>
    </w:p>
    <w:p w14:paraId="21E10C66" w14:textId="3B8A50C7" w:rsidR="00CD2B00"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5.3</w:t>
      </w:r>
      <w:r>
        <w:rPr>
          <w:rFonts w:cstheme="minorHAnsi"/>
          <w:szCs w:val="24"/>
        </w:rPr>
        <w:tab/>
        <w:t xml:space="preserve">One councillor proposed that the revised </w:t>
      </w:r>
      <w:r w:rsidR="005220AA">
        <w:rPr>
          <w:rFonts w:cstheme="minorHAnsi"/>
          <w:szCs w:val="24"/>
        </w:rPr>
        <w:t>GEM</w:t>
      </w:r>
      <w:r w:rsidRPr="00BE67D8">
        <w:rPr>
          <w:rFonts w:cstheme="minorHAnsi"/>
          <w:szCs w:val="24"/>
        </w:rPr>
        <w:t xml:space="preserve"> Policy</w:t>
      </w:r>
      <w:r>
        <w:rPr>
          <w:rFonts w:cstheme="minorHAnsi"/>
          <w:szCs w:val="24"/>
        </w:rPr>
        <w:t xml:space="preserve"> should be amended to stipulate that financial limitations should be taken into account when implementing the policy and that the provisions of </w:t>
      </w:r>
      <w:r w:rsidR="005220AA">
        <w:rPr>
          <w:rFonts w:cstheme="minorHAnsi"/>
          <w:szCs w:val="24"/>
        </w:rPr>
        <w:t>No. </w:t>
      </w:r>
      <w:r w:rsidRPr="00750B50">
        <w:rPr>
          <w:rFonts w:cstheme="minorHAnsi"/>
          <w:szCs w:val="24"/>
        </w:rPr>
        <w:t xml:space="preserve">154 </w:t>
      </w:r>
      <w:r>
        <w:rPr>
          <w:rFonts w:cstheme="minorHAnsi"/>
          <w:szCs w:val="24"/>
        </w:rPr>
        <w:t xml:space="preserve">of the ITU Constitution, on the need to </w:t>
      </w:r>
      <w:r w:rsidRPr="00750B50">
        <w:rPr>
          <w:rFonts w:cstheme="minorHAnsi"/>
          <w:szCs w:val="24"/>
        </w:rPr>
        <w:t>secur</w:t>
      </w:r>
      <w:r>
        <w:rPr>
          <w:rFonts w:cstheme="minorHAnsi"/>
          <w:szCs w:val="24"/>
        </w:rPr>
        <w:t>e</w:t>
      </w:r>
      <w:r w:rsidRPr="00750B50">
        <w:rPr>
          <w:rFonts w:cstheme="minorHAnsi"/>
          <w:szCs w:val="24"/>
        </w:rPr>
        <w:t xml:space="preserve"> for the Union the highest standards</w:t>
      </w:r>
      <w:r>
        <w:rPr>
          <w:rFonts w:cstheme="minorHAnsi"/>
          <w:szCs w:val="24"/>
        </w:rPr>
        <w:t xml:space="preserve"> </w:t>
      </w:r>
      <w:r w:rsidRPr="00750B50">
        <w:rPr>
          <w:rFonts w:cstheme="minorHAnsi"/>
          <w:szCs w:val="24"/>
        </w:rPr>
        <w:t>of efficiency, competence and integrity</w:t>
      </w:r>
      <w:r>
        <w:rPr>
          <w:rFonts w:cstheme="minorHAnsi"/>
          <w:szCs w:val="24"/>
        </w:rPr>
        <w:t xml:space="preserve"> and to </w:t>
      </w:r>
      <w:r w:rsidRPr="00750B50">
        <w:rPr>
          <w:rFonts w:cstheme="minorHAnsi"/>
          <w:szCs w:val="24"/>
        </w:rPr>
        <w:t>recruit staff on as wide a</w:t>
      </w:r>
      <w:r>
        <w:rPr>
          <w:rFonts w:cstheme="minorHAnsi"/>
          <w:szCs w:val="24"/>
        </w:rPr>
        <w:t xml:space="preserve"> </w:t>
      </w:r>
      <w:r w:rsidRPr="00750B50">
        <w:rPr>
          <w:rFonts w:cstheme="minorHAnsi"/>
          <w:szCs w:val="24"/>
        </w:rPr>
        <w:t>geographical basis as possible</w:t>
      </w:r>
      <w:r>
        <w:rPr>
          <w:rFonts w:cstheme="minorHAnsi"/>
          <w:szCs w:val="24"/>
        </w:rPr>
        <w:t>,</w:t>
      </w:r>
      <w:r w:rsidRPr="00750B50">
        <w:rPr>
          <w:rFonts w:cstheme="minorHAnsi"/>
          <w:szCs w:val="24"/>
        </w:rPr>
        <w:t xml:space="preserve"> </w:t>
      </w:r>
      <w:r>
        <w:rPr>
          <w:rFonts w:cstheme="minorHAnsi"/>
          <w:szCs w:val="24"/>
        </w:rPr>
        <w:t xml:space="preserve">should be applied when implementing a </w:t>
      </w:r>
      <w:r w:rsidRPr="00BE67D8">
        <w:rPr>
          <w:rFonts w:cstheme="minorHAnsi"/>
          <w:szCs w:val="24"/>
        </w:rPr>
        <w:t xml:space="preserve">gender-sensitive approach </w:t>
      </w:r>
      <w:r>
        <w:rPr>
          <w:rFonts w:cstheme="minorHAnsi"/>
          <w:szCs w:val="24"/>
        </w:rPr>
        <w:t>to</w:t>
      </w:r>
      <w:r w:rsidRPr="00BE67D8">
        <w:rPr>
          <w:rFonts w:cstheme="minorHAnsi"/>
          <w:szCs w:val="24"/>
        </w:rPr>
        <w:t xml:space="preserve"> HR policies and practices</w:t>
      </w:r>
      <w:r>
        <w:rPr>
          <w:rFonts w:cstheme="minorHAnsi"/>
          <w:szCs w:val="24"/>
        </w:rPr>
        <w:t>. Another councillor opposed that proposal.</w:t>
      </w:r>
    </w:p>
    <w:p w14:paraId="249F162F" w14:textId="317EA1AF" w:rsidR="00C71E19" w:rsidRPr="006C0EF5"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5.4</w:t>
      </w:r>
      <w:r>
        <w:rPr>
          <w:rFonts w:cstheme="minorHAnsi"/>
          <w:szCs w:val="24"/>
        </w:rPr>
        <w:tab/>
        <w:t xml:space="preserve">The Council </w:t>
      </w:r>
      <w:r w:rsidRPr="00BE67D8">
        <w:rPr>
          <w:rFonts w:cstheme="minorHAnsi"/>
          <w:b/>
          <w:bCs/>
          <w:szCs w:val="24"/>
        </w:rPr>
        <w:t>noted</w:t>
      </w:r>
      <w:r>
        <w:rPr>
          <w:rFonts w:cstheme="minorHAnsi"/>
          <w:szCs w:val="24"/>
        </w:rPr>
        <w:t xml:space="preserve"> the report </w:t>
      </w:r>
      <w:r w:rsidR="005220AA">
        <w:rPr>
          <w:rFonts w:cstheme="minorHAnsi"/>
          <w:szCs w:val="24"/>
        </w:rPr>
        <w:t xml:space="preserve">in </w:t>
      </w:r>
      <w:r w:rsidR="005220AA" w:rsidRPr="005220AA">
        <w:rPr>
          <w:rFonts w:cstheme="minorHAnsi"/>
          <w:szCs w:val="24"/>
        </w:rPr>
        <w:t>Document C22/6</w:t>
      </w:r>
      <w:r w:rsidR="005220AA">
        <w:rPr>
          <w:rFonts w:cstheme="minorHAnsi"/>
          <w:szCs w:val="24"/>
        </w:rPr>
        <w:t xml:space="preserve"> </w:t>
      </w:r>
      <w:r>
        <w:rPr>
          <w:rFonts w:cstheme="minorHAnsi"/>
          <w:szCs w:val="24"/>
        </w:rPr>
        <w:t xml:space="preserve">and </w:t>
      </w:r>
      <w:r>
        <w:rPr>
          <w:rFonts w:cstheme="minorHAnsi"/>
          <w:b/>
          <w:bCs/>
          <w:szCs w:val="24"/>
        </w:rPr>
        <w:t>endorsed</w:t>
      </w:r>
      <w:r>
        <w:rPr>
          <w:rFonts w:cstheme="minorHAnsi"/>
          <w:szCs w:val="24"/>
        </w:rPr>
        <w:t xml:space="preserve"> the revised Gender Equality and Mainstreaming Policy</w:t>
      </w:r>
      <w:r w:rsidR="00944A1B">
        <w:rPr>
          <w:rFonts w:cstheme="minorHAnsi"/>
          <w:szCs w:val="24"/>
        </w:rPr>
        <w:t xml:space="preserve"> as presented in the Annex to the document</w:t>
      </w:r>
      <w:r>
        <w:rPr>
          <w:rFonts w:cstheme="minorHAnsi"/>
          <w:szCs w:val="24"/>
        </w:rPr>
        <w:t>.</w:t>
      </w:r>
    </w:p>
    <w:p w14:paraId="4D311015" w14:textId="418DFFAA" w:rsidR="00AA6B9B" w:rsidRPr="001350FB" w:rsidRDefault="00B57E17" w:rsidP="008D511D">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cstheme="minorHAnsi"/>
          <w:szCs w:val="28"/>
        </w:rPr>
      </w:pPr>
      <w:r w:rsidRPr="001350FB">
        <w:rPr>
          <w:rFonts w:cstheme="minorHAnsi"/>
          <w:bCs/>
          <w:szCs w:val="28"/>
        </w:rPr>
        <w:t>6</w:t>
      </w:r>
      <w:r w:rsidR="00AA6B9B" w:rsidRPr="001350FB">
        <w:rPr>
          <w:rFonts w:cstheme="minorHAnsi"/>
          <w:bCs/>
          <w:szCs w:val="28"/>
        </w:rPr>
        <w:tab/>
      </w:r>
      <w:r w:rsidR="003C5F39" w:rsidRPr="001350FB">
        <w:rPr>
          <w:rFonts w:cstheme="minorHAnsi"/>
          <w:bCs/>
          <w:szCs w:val="28"/>
        </w:rPr>
        <w:t xml:space="preserve">Final report of the Expert Group on the International Telecommunication </w:t>
      </w:r>
      <w:r w:rsidR="003C5F39" w:rsidRPr="008D511D">
        <w:rPr>
          <w:rFonts w:cstheme="minorHAnsi"/>
          <w:bCs/>
          <w:spacing w:val="-2"/>
          <w:szCs w:val="28"/>
        </w:rPr>
        <w:t xml:space="preserve">Regulations (EG-ITRs) to ITU Council 2022 </w:t>
      </w:r>
      <w:r w:rsidR="00AA6B9B" w:rsidRPr="008D511D">
        <w:rPr>
          <w:rFonts w:cstheme="minorHAnsi"/>
          <w:bCs/>
          <w:spacing w:val="-2"/>
          <w:szCs w:val="28"/>
        </w:rPr>
        <w:t>(Document</w:t>
      </w:r>
      <w:r w:rsidR="003C5F39" w:rsidRPr="008D511D">
        <w:rPr>
          <w:rFonts w:cstheme="minorHAnsi"/>
          <w:bCs/>
          <w:spacing w:val="-2"/>
          <w:szCs w:val="28"/>
        </w:rPr>
        <w:t>s</w:t>
      </w:r>
      <w:r w:rsidR="00AA6B9B" w:rsidRPr="008D511D">
        <w:rPr>
          <w:rFonts w:cstheme="minorHAnsi"/>
          <w:bCs/>
          <w:spacing w:val="-2"/>
          <w:szCs w:val="28"/>
        </w:rPr>
        <w:t xml:space="preserve"> C22/</w:t>
      </w:r>
      <w:r w:rsidR="003C5F39" w:rsidRPr="008D511D">
        <w:rPr>
          <w:rFonts w:cstheme="minorHAnsi"/>
          <w:bCs/>
          <w:spacing w:val="-2"/>
          <w:szCs w:val="28"/>
        </w:rPr>
        <w:t>26, C22/67,</w:t>
      </w:r>
      <w:r w:rsidR="003C5F39" w:rsidRPr="001350FB">
        <w:rPr>
          <w:rFonts w:cstheme="minorHAnsi"/>
          <w:bCs/>
          <w:szCs w:val="28"/>
        </w:rPr>
        <w:t xml:space="preserve"> C22/</w:t>
      </w:r>
      <w:proofErr w:type="gramStart"/>
      <w:r w:rsidR="003C5F39" w:rsidRPr="001350FB">
        <w:rPr>
          <w:rFonts w:cstheme="minorHAnsi"/>
          <w:bCs/>
          <w:szCs w:val="28"/>
        </w:rPr>
        <w:t>72</w:t>
      </w:r>
      <w:proofErr w:type="gramEnd"/>
      <w:r w:rsidR="003C5F39" w:rsidRPr="001350FB">
        <w:rPr>
          <w:rFonts w:cstheme="minorHAnsi"/>
          <w:bCs/>
          <w:szCs w:val="28"/>
        </w:rPr>
        <w:t xml:space="preserve"> and C22/75</w:t>
      </w:r>
      <w:r w:rsidR="00AA6B9B" w:rsidRPr="001350FB">
        <w:rPr>
          <w:rFonts w:cstheme="minorHAnsi"/>
          <w:bCs/>
          <w:szCs w:val="28"/>
        </w:rPr>
        <w:t>)</w:t>
      </w:r>
    </w:p>
    <w:p w14:paraId="52B6CE39" w14:textId="6AB4021E" w:rsidR="00CD2B00" w:rsidRPr="009F1A61" w:rsidRDefault="00E757C5"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w:t>
      </w:r>
      <w:r w:rsidRPr="009F1A61">
        <w:rPr>
          <w:rFonts w:cstheme="minorHAnsi"/>
          <w:szCs w:val="24"/>
        </w:rPr>
        <w:t>.1</w:t>
      </w:r>
      <w:r w:rsidRPr="009F1A61">
        <w:rPr>
          <w:rFonts w:cstheme="minorHAnsi"/>
          <w:szCs w:val="24"/>
        </w:rPr>
        <w:tab/>
      </w:r>
      <w:r w:rsidR="00CD2B00">
        <w:rPr>
          <w:rFonts w:cstheme="minorHAnsi"/>
          <w:szCs w:val="24"/>
        </w:rPr>
        <w:t xml:space="preserve">The </w:t>
      </w:r>
      <w:r w:rsidR="0015489C">
        <w:rPr>
          <w:rFonts w:cstheme="minorHAnsi"/>
          <w:szCs w:val="24"/>
        </w:rPr>
        <w:t>C</w:t>
      </w:r>
      <w:r w:rsidR="00CD2B00">
        <w:rPr>
          <w:rFonts w:cstheme="minorHAnsi"/>
          <w:szCs w:val="24"/>
        </w:rPr>
        <w:t xml:space="preserve">hairman of </w:t>
      </w:r>
      <w:r w:rsidR="00CD2B00" w:rsidRPr="007443C6">
        <w:rPr>
          <w:rFonts w:cstheme="minorHAnsi"/>
          <w:szCs w:val="24"/>
        </w:rPr>
        <w:t>EG-ITRs</w:t>
      </w:r>
      <w:r w:rsidR="00CD2B00">
        <w:rPr>
          <w:rFonts w:cstheme="minorHAnsi"/>
          <w:szCs w:val="24"/>
        </w:rPr>
        <w:t xml:space="preserve"> presented </w:t>
      </w:r>
      <w:r w:rsidR="00CD2B00" w:rsidRPr="007443C6">
        <w:rPr>
          <w:rFonts w:cstheme="minorHAnsi"/>
          <w:szCs w:val="24"/>
        </w:rPr>
        <w:t xml:space="preserve">Document </w:t>
      </w:r>
      <w:hyperlink r:id="rId27" w:history="1">
        <w:r w:rsidR="00CD2B00" w:rsidRPr="001350FB">
          <w:rPr>
            <w:rStyle w:val="Hyperlink"/>
            <w:rFonts w:cstheme="minorHAnsi"/>
            <w:szCs w:val="24"/>
          </w:rPr>
          <w:t>C22/26</w:t>
        </w:r>
      </w:hyperlink>
      <w:r w:rsidR="00CD2B00">
        <w:rPr>
          <w:rFonts w:cstheme="minorHAnsi"/>
          <w:szCs w:val="24"/>
        </w:rPr>
        <w:t xml:space="preserve">, containing the final report of the group. </w:t>
      </w:r>
      <w:r w:rsidR="008D45C3">
        <w:rPr>
          <w:rFonts w:cstheme="minorHAnsi"/>
          <w:szCs w:val="24"/>
        </w:rPr>
        <w:t xml:space="preserve">He noted that the Group had carried out a provision by provision review of the ITRs as per the Terms of Reference of the </w:t>
      </w:r>
      <w:proofErr w:type="gramStart"/>
      <w:r w:rsidR="008D45C3">
        <w:rPr>
          <w:rFonts w:cstheme="minorHAnsi"/>
          <w:szCs w:val="24"/>
        </w:rPr>
        <w:t>Group, and</w:t>
      </w:r>
      <w:proofErr w:type="gramEnd"/>
      <w:r w:rsidR="008D45C3">
        <w:rPr>
          <w:rFonts w:cstheme="minorHAnsi"/>
          <w:szCs w:val="24"/>
        </w:rPr>
        <w:t xml:space="preserve"> highlighted that no </w:t>
      </w:r>
      <w:r w:rsidR="00CD2B00">
        <w:rPr>
          <w:rFonts w:cstheme="minorHAnsi"/>
          <w:szCs w:val="24"/>
        </w:rPr>
        <w:t>consensus had been achieved on the way forward with respect to the ITRs.</w:t>
      </w:r>
    </w:p>
    <w:p w14:paraId="4A124F60" w14:textId="3FCE004A" w:rsidR="00CD2B00"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w:t>
      </w:r>
      <w:r w:rsidRPr="009F1A61">
        <w:rPr>
          <w:rFonts w:cstheme="minorHAnsi"/>
          <w:szCs w:val="24"/>
        </w:rPr>
        <w:t>.2</w:t>
      </w:r>
      <w:r w:rsidRPr="009F1A61">
        <w:rPr>
          <w:rFonts w:cstheme="minorHAnsi"/>
          <w:szCs w:val="24"/>
        </w:rPr>
        <w:tab/>
      </w:r>
      <w:r>
        <w:rPr>
          <w:rFonts w:cstheme="minorHAnsi"/>
          <w:szCs w:val="24"/>
        </w:rPr>
        <w:t xml:space="preserve">The councillor from Egypt introduced a proposal by Egypt and Kuwait, contained in Document </w:t>
      </w:r>
      <w:hyperlink r:id="rId28" w:history="1">
        <w:r w:rsidRPr="001350FB">
          <w:rPr>
            <w:rStyle w:val="Hyperlink"/>
            <w:rFonts w:cstheme="minorHAnsi"/>
            <w:szCs w:val="24"/>
          </w:rPr>
          <w:t>C22/67</w:t>
        </w:r>
      </w:hyperlink>
      <w:r>
        <w:rPr>
          <w:rFonts w:cstheme="minorHAnsi"/>
          <w:szCs w:val="24"/>
        </w:rPr>
        <w:t>, to establish a new expert group on the ITRs with the aim of achieving consensus. The ITRs were a vital tool for governing relations between Member States regarding telecommunications/ICT</w:t>
      </w:r>
      <w:r w:rsidR="0046118D">
        <w:rPr>
          <w:rFonts w:cstheme="minorHAnsi"/>
          <w:szCs w:val="24"/>
        </w:rPr>
        <w:t>s</w:t>
      </w:r>
      <w:r>
        <w:rPr>
          <w:rFonts w:cstheme="minorHAnsi"/>
          <w:szCs w:val="24"/>
        </w:rPr>
        <w:t xml:space="preserve"> and for helping </w:t>
      </w:r>
      <w:r w:rsidR="0046118D">
        <w:rPr>
          <w:rFonts w:cstheme="minorHAnsi"/>
          <w:szCs w:val="24"/>
        </w:rPr>
        <w:t xml:space="preserve">to </w:t>
      </w:r>
      <w:r>
        <w:rPr>
          <w:rFonts w:cstheme="minorHAnsi"/>
          <w:szCs w:val="24"/>
        </w:rPr>
        <w:t xml:space="preserve">attain the SDGs. The scope of the ITRs should be limited to Member States, which could then adopt policies and regulations to ensure that operating agencies implemented the ITRs. Furthermore, the existence of two versions of the ITRs was harmful to ITU’s image, and the </w:t>
      </w:r>
      <w:r w:rsidRPr="00CD5661">
        <w:rPr>
          <w:rFonts w:cstheme="minorHAnsi"/>
          <w:szCs w:val="24"/>
        </w:rPr>
        <w:t>World Conference on International Telecommunications</w:t>
      </w:r>
      <w:r>
        <w:rPr>
          <w:rFonts w:cstheme="minorHAnsi"/>
          <w:szCs w:val="24"/>
        </w:rPr>
        <w:t xml:space="preserve"> (WCIT) should not be convened again until a single version of the ITRs had been agreed upon.</w:t>
      </w:r>
      <w:r w:rsidRPr="00E7088A">
        <w:rPr>
          <w:rFonts w:cstheme="minorHAnsi"/>
          <w:szCs w:val="24"/>
        </w:rPr>
        <w:t xml:space="preserve"> </w:t>
      </w:r>
      <w:r>
        <w:rPr>
          <w:rFonts w:cstheme="minorHAnsi"/>
          <w:szCs w:val="24"/>
        </w:rPr>
        <w:t>The problem of how to proceed with the ITRs would be best resolved within the expert group.</w:t>
      </w:r>
    </w:p>
    <w:p w14:paraId="3B7BFA94" w14:textId="497CE0EE" w:rsidR="00CD2B00"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6.3</w:t>
      </w:r>
      <w:r>
        <w:rPr>
          <w:rFonts w:cstheme="minorHAnsi"/>
          <w:szCs w:val="24"/>
        </w:rPr>
        <w:tab/>
        <w:t xml:space="preserve">The councillor from China presented Document </w:t>
      </w:r>
      <w:hyperlink r:id="rId29" w:history="1">
        <w:r w:rsidRPr="001350FB">
          <w:rPr>
            <w:rStyle w:val="Hyperlink"/>
            <w:rFonts w:cstheme="minorHAnsi"/>
            <w:szCs w:val="24"/>
          </w:rPr>
          <w:t>C22/72</w:t>
        </w:r>
      </w:hyperlink>
      <w:r>
        <w:rPr>
          <w:rFonts w:cstheme="minorHAnsi"/>
          <w:szCs w:val="24"/>
        </w:rPr>
        <w:t>, recommending that the expert group should continue its review of the ITRs and related work. T</w:t>
      </w:r>
      <w:r w:rsidRPr="003A5DC4">
        <w:rPr>
          <w:rFonts w:cstheme="minorHAnsi"/>
          <w:szCs w:val="24"/>
        </w:rPr>
        <w:t>he ITRs remain</w:t>
      </w:r>
      <w:r>
        <w:rPr>
          <w:rFonts w:cstheme="minorHAnsi"/>
          <w:szCs w:val="24"/>
        </w:rPr>
        <w:t>ed</w:t>
      </w:r>
      <w:r w:rsidRPr="003A5DC4">
        <w:rPr>
          <w:rFonts w:cstheme="minorHAnsi"/>
          <w:szCs w:val="24"/>
        </w:rPr>
        <w:t xml:space="preserve"> the only</w:t>
      </w:r>
      <w:r>
        <w:rPr>
          <w:rFonts w:cstheme="minorHAnsi"/>
          <w:szCs w:val="24"/>
        </w:rPr>
        <w:t xml:space="preserve"> global</w:t>
      </w:r>
      <w:r w:rsidRPr="003A5DC4">
        <w:rPr>
          <w:rFonts w:cstheme="minorHAnsi"/>
          <w:szCs w:val="24"/>
        </w:rPr>
        <w:t xml:space="preserve"> treaty that establishe</w:t>
      </w:r>
      <w:r>
        <w:rPr>
          <w:rFonts w:cstheme="minorHAnsi"/>
          <w:szCs w:val="24"/>
        </w:rPr>
        <w:t>d</w:t>
      </w:r>
      <w:r w:rsidRPr="003A5DC4">
        <w:rPr>
          <w:rFonts w:cstheme="minorHAnsi"/>
          <w:szCs w:val="24"/>
        </w:rPr>
        <w:t xml:space="preserve"> general principles to </w:t>
      </w:r>
      <w:r>
        <w:rPr>
          <w:rFonts w:cstheme="minorHAnsi"/>
          <w:szCs w:val="24"/>
        </w:rPr>
        <w:t>facilitate</w:t>
      </w:r>
      <w:r w:rsidRPr="003A5DC4">
        <w:rPr>
          <w:rFonts w:cstheme="minorHAnsi"/>
          <w:szCs w:val="24"/>
        </w:rPr>
        <w:t xml:space="preserve"> the provision and operation of international telecommunications</w:t>
      </w:r>
      <w:r>
        <w:rPr>
          <w:rFonts w:cstheme="minorHAnsi"/>
          <w:szCs w:val="24"/>
        </w:rPr>
        <w:t xml:space="preserve">, and they helped enhance the </w:t>
      </w:r>
      <w:r w:rsidRPr="003A5DC4">
        <w:rPr>
          <w:rFonts w:cstheme="minorHAnsi"/>
          <w:szCs w:val="24"/>
        </w:rPr>
        <w:t xml:space="preserve">efficiency, practicability and availability of global international telecommunication networks, </w:t>
      </w:r>
      <w:proofErr w:type="gramStart"/>
      <w:r w:rsidRPr="003A5DC4">
        <w:rPr>
          <w:rFonts w:cstheme="minorHAnsi"/>
          <w:szCs w:val="24"/>
        </w:rPr>
        <w:t>infrastructure</w:t>
      </w:r>
      <w:proofErr w:type="gramEnd"/>
      <w:r w:rsidRPr="003A5DC4">
        <w:rPr>
          <w:rFonts w:cstheme="minorHAnsi"/>
          <w:szCs w:val="24"/>
        </w:rPr>
        <w:t xml:space="preserve"> and services, especially for developing</w:t>
      </w:r>
      <w:r>
        <w:rPr>
          <w:rFonts w:cstheme="minorHAnsi"/>
          <w:szCs w:val="24"/>
        </w:rPr>
        <w:t xml:space="preserve"> countries. A</w:t>
      </w:r>
      <w:r w:rsidRPr="0017016C">
        <w:rPr>
          <w:rFonts w:cstheme="minorHAnsi"/>
          <w:szCs w:val="24"/>
        </w:rPr>
        <w:t xml:space="preserve"> legal and regulatory environment that </w:t>
      </w:r>
      <w:r>
        <w:rPr>
          <w:rFonts w:cstheme="minorHAnsi"/>
          <w:szCs w:val="24"/>
        </w:rPr>
        <w:t xml:space="preserve">could </w:t>
      </w:r>
      <w:r w:rsidRPr="0017016C">
        <w:rPr>
          <w:rFonts w:cstheme="minorHAnsi"/>
          <w:szCs w:val="24"/>
        </w:rPr>
        <w:t xml:space="preserve">keep up with the rapidly changing </w:t>
      </w:r>
      <w:r>
        <w:rPr>
          <w:rFonts w:cstheme="minorHAnsi"/>
          <w:szCs w:val="24"/>
        </w:rPr>
        <w:t xml:space="preserve">ICT </w:t>
      </w:r>
      <w:r w:rsidRPr="0017016C">
        <w:rPr>
          <w:rFonts w:cstheme="minorHAnsi"/>
          <w:szCs w:val="24"/>
        </w:rPr>
        <w:t>ecosystem</w:t>
      </w:r>
      <w:r>
        <w:rPr>
          <w:rFonts w:cstheme="minorHAnsi"/>
          <w:szCs w:val="24"/>
        </w:rPr>
        <w:t xml:space="preserve"> also needed to be cultivated.</w:t>
      </w:r>
    </w:p>
    <w:p w14:paraId="1E48DE67" w14:textId="65F1FE6B" w:rsidR="00CD2B00"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6.4</w:t>
      </w:r>
      <w:r>
        <w:rPr>
          <w:rFonts w:cstheme="minorHAnsi"/>
          <w:szCs w:val="24"/>
        </w:rPr>
        <w:tab/>
        <w:t xml:space="preserve">The councillor from the United States introduced Document </w:t>
      </w:r>
      <w:hyperlink r:id="rId30" w:history="1">
        <w:r w:rsidRPr="001350FB">
          <w:rPr>
            <w:rStyle w:val="Hyperlink"/>
            <w:rFonts w:cstheme="minorHAnsi"/>
            <w:szCs w:val="24"/>
          </w:rPr>
          <w:t>C22/75</w:t>
        </w:r>
      </w:hyperlink>
      <w:r>
        <w:rPr>
          <w:rFonts w:cstheme="minorHAnsi"/>
          <w:szCs w:val="24"/>
        </w:rPr>
        <w:t xml:space="preserve">, which contained a contribution from </w:t>
      </w:r>
      <w:r w:rsidR="009857BE">
        <w:rPr>
          <w:rFonts w:cstheme="minorHAnsi"/>
          <w:szCs w:val="24"/>
        </w:rPr>
        <w:t>the United States and Canada</w:t>
      </w:r>
      <w:r>
        <w:rPr>
          <w:rFonts w:cstheme="minorHAnsi"/>
          <w:szCs w:val="24"/>
        </w:rPr>
        <w:t xml:space="preserve">. The report </w:t>
      </w:r>
      <w:r w:rsidR="00BB69E3">
        <w:rPr>
          <w:rFonts w:cstheme="minorHAnsi"/>
          <w:szCs w:val="24"/>
        </w:rPr>
        <w:t>set out</w:t>
      </w:r>
      <w:r>
        <w:rPr>
          <w:rFonts w:cstheme="minorHAnsi"/>
          <w:szCs w:val="24"/>
        </w:rPr>
        <w:t xml:space="preserve"> in Document C22/26 accurately reflected all views expressed during the meetings of EG-ITRs, including the lack of consensus on the future of both the ITRs and the expert group. The only recourse for the Council was therefore to note the report and transmit it to PP-22.</w:t>
      </w:r>
    </w:p>
    <w:p w14:paraId="72D2D958" w14:textId="16C218A9" w:rsidR="009857BE" w:rsidRDefault="009857BE"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w:t>
      </w:r>
      <w:r w:rsidR="0015489C">
        <w:rPr>
          <w:rFonts w:cstheme="minorHAnsi"/>
          <w:szCs w:val="24"/>
        </w:rPr>
        <w:t>5</w:t>
      </w:r>
      <w:r>
        <w:rPr>
          <w:rFonts w:cstheme="minorHAnsi"/>
          <w:szCs w:val="24"/>
        </w:rPr>
        <w:tab/>
        <w:t xml:space="preserve">The councillor from Canada, co-sponsor of Document C22/75, recalled that neither of the past two expert groups had managed to achieve consensus and that </w:t>
      </w:r>
      <w:r w:rsidR="008D45C3">
        <w:rPr>
          <w:rFonts w:cstheme="minorHAnsi"/>
          <w:szCs w:val="24"/>
        </w:rPr>
        <w:t xml:space="preserve">the expert group members </w:t>
      </w:r>
      <w:r>
        <w:rPr>
          <w:rFonts w:cstheme="minorHAnsi"/>
          <w:szCs w:val="24"/>
        </w:rPr>
        <w:t xml:space="preserve">had received a legal opinion that there was no conflict between the two versions of the ITRs. There was also no empirical evidence that Member States were experiencing problems in that regard. One councillor expressed support for that position, arguing that the </w:t>
      </w:r>
      <w:r w:rsidR="00BB69E3">
        <w:rPr>
          <w:rFonts w:cstheme="minorHAnsi"/>
          <w:szCs w:val="24"/>
        </w:rPr>
        <w:t xml:space="preserve">expert group’s </w:t>
      </w:r>
      <w:r>
        <w:rPr>
          <w:rFonts w:cstheme="minorHAnsi"/>
          <w:szCs w:val="24"/>
        </w:rPr>
        <w:t>work was resource-</w:t>
      </w:r>
      <w:r>
        <w:rPr>
          <w:rFonts w:cstheme="minorHAnsi"/>
          <w:szCs w:val="24"/>
        </w:rPr>
        <w:lastRenderedPageBreak/>
        <w:t>intensive and that the ITRs were no longer necessary as they had been largely replaced by commercial</w:t>
      </w:r>
      <w:r w:rsidR="0046118D">
        <w:rPr>
          <w:rFonts w:cstheme="minorHAnsi"/>
          <w:szCs w:val="24"/>
        </w:rPr>
        <w:t>-based</w:t>
      </w:r>
      <w:r>
        <w:rPr>
          <w:rFonts w:cstheme="minorHAnsi"/>
          <w:szCs w:val="24"/>
        </w:rPr>
        <w:t xml:space="preserve"> arrangements.</w:t>
      </w:r>
    </w:p>
    <w:p w14:paraId="6C88D8B4" w14:textId="1C71DEB6" w:rsidR="00CD2B00"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w:t>
      </w:r>
      <w:r w:rsidR="006F6BA8">
        <w:rPr>
          <w:rFonts w:cstheme="minorHAnsi"/>
          <w:szCs w:val="24"/>
        </w:rPr>
        <w:t>6</w:t>
      </w:r>
      <w:r>
        <w:rPr>
          <w:rFonts w:cstheme="minorHAnsi"/>
          <w:szCs w:val="24"/>
        </w:rPr>
        <w:tab/>
        <w:t xml:space="preserve">Several councillors expressed strong support for the continuation of the expert group’s work, as they deemed the ITRs vital to global telecommunications, and many of them called for a single version of the ITRs to be </w:t>
      </w:r>
      <w:r w:rsidR="00A55B0A">
        <w:rPr>
          <w:rFonts w:cstheme="minorHAnsi"/>
          <w:szCs w:val="24"/>
        </w:rPr>
        <w:t xml:space="preserve">established </w:t>
      </w:r>
      <w:r>
        <w:rPr>
          <w:rFonts w:cstheme="minorHAnsi"/>
          <w:szCs w:val="24"/>
        </w:rPr>
        <w:t xml:space="preserve">which </w:t>
      </w:r>
      <w:proofErr w:type="gramStart"/>
      <w:r>
        <w:rPr>
          <w:rFonts w:cstheme="minorHAnsi"/>
          <w:szCs w:val="24"/>
        </w:rPr>
        <w:t>took into account</w:t>
      </w:r>
      <w:proofErr w:type="gramEnd"/>
      <w:r>
        <w:rPr>
          <w:rFonts w:cstheme="minorHAnsi"/>
          <w:szCs w:val="24"/>
        </w:rPr>
        <w:t xml:space="preserve"> new developments in that field. New approaches were required to overcome the divergent positions on the topic. One councillor argued that the expert group had yet to its </w:t>
      </w:r>
      <w:r w:rsidR="00A55B0A">
        <w:rPr>
          <w:rFonts w:cstheme="minorHAnsi"/>
          <w:szCs w:val="24"/>
        </w:rPr>
        <w:t xml:space="preserve">complete </w:t>
      </w:r>
      <w:r>
        <w:rPr>
          <w:rFonts w:cstheme="minorHAnsi"/>
          <w:szCs w:val="24"/>
        </w:rPr>
        <w:t>mandate under Resolution</w:t>
      </w:r>
      <w:r w:rsidR="00A55B0A">
        <w:rPr>
          <w:rFonts w:cstheme="minorHAnsi"/>
          <w:szCs w:val="24"/>
        </w:rPr>
        <w:t> </w:t>
      </w:r>
      <w:r>
        <w:rPr>
          <w:rFonts w:cstheme="minorHAnsi"/>
          <w:szCs w:val="24"/>
        </w:rPr>
        <w:t xml:space="preserve">146 (Rev. Dubai, 2018) and </w:t>
      </w:r>
      <w:r w:rsidR="00A55B0A">
        <w:rPr>
          <w:rFonts w:cstheme="minorHAnsi"/>
          <w:szCs w:val="24"/>
        </w:rPr>
        <w:t xml:space="preserve">Council </w:t>
      </w:r>
      <w:r>
        <w:rPr>
          <w:rFonts w:cstheme="minorHAnsi"/>
          <w:szCs w:val="24"/>
        </w:rPr>
        <w:t xml:space="preserve">Resolution </w:t>
      </w:r>
      <w:r w:rsidRPr="00755C20">
        <w:rPr>
          <w:rFonts w:cstheme="minorHAnsi"/>
          <w:szCs w:val="24"/>
        </w:rPr>
        <w:t>1379 (Modified 2019)</w:t>
      </w:r>
      <w:r>
        <w:rPr>
          <w:rFonts w:cstheme="minorHAnsi"/>
          <w:szCs w:val="24"/>
        </w:rPr>
        <w:t>, while other councillors argued the opposite. Some councillors proposed that the terms of reference for the expert group should be updated.</w:t>
      </w:r>
    </w:p>
    <w:p w14:paraId="496FA0AE" w14:textId="755289B6" w:rsidR="00CD2B00"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6.7</w:t>
      </w:r>
      <w:r>
        <w:rPr>
          <w:rFonts w:cstheme="minorHAnsi"/>
          <w:szCs w:val="24"/>
        </w:rPr>
        <w:tab/>
        <w:t xml:space="preserve">One councillor proposed that the report should include a recognition of the difficult circumstances in which the discussions had been held, </w:t>
      </w:r>
      <w:r w:rsidR="0046118D">
        <w:rPr>
          <w:rFonts w:cstheme="minorHAnsi"/>
          <w:szCs w:val="24"/>
        </w:rPr>
        <w:t>owing</w:t>
      </w:r>
      <w:r w:rsidR="009857BE">
        <w:rPr>
          <w:rFonts w:cstheme="minorHAnsi"/>
          <w:szCs w:val="24"/>
        </w:rPr>
        <w:t xml:space="preserve"> to COVID-19, </w:t>
      </w:r>
      <w:r>
        <w:rPr>
          <w:rFonts w:cstheme="minorHAnsi"/>
          <w:szCs w:val="24"/>
        </w:rPr>
        <w:t xml:space="preserve">which his </w:t>
      </w:r>
      <w:r w:rsidR="009857BE">
        <w:rPr>
          <w:rFonts w:cstheme="minorHAnsi"/>
          <w:szCs w:val="24"/>
        </w:rPr>
        <w:t>a</w:t>
      </w:r>
      <w:r>
        <w:rPr>
          <w:rFonts w:cstheme="minorHAnsi"/>
          <w:szCs w:val="24"/>
        </w:rPr>
        <w:t xml:space="preserve">dministration believed had had an impact on the outcome. Another councillor </w:t>
      </w:r>
      <w:r w:rsidR="00BB69E3">
        <w:rPr>
          <w:rFonts w:cstheme="minorHAnsi"/>
          <w:szCs w:val="24"/>
        </w:rPr>
        <w:t>regret</w:t>
      </w:r>
      <w:r>
        <w:rPr>
          <w:rFonts w:cstheme="minorHAnsi"/>
          <w:szCs w:val="24"/>
        </w:rPr>
        <w:t xml:space="preserve">ted that, owing to the lack of consensus, the expert group had not had the opportunity to discuss matters of substance </w:t>
      </w:r>
      <w:r w:rsidR="009857BE">
        <w:rPr>
          <w:rFonts w:cstheme="minorHAnsi"/>
          <w:szCs w:val="24"/>
        </w:rPr>
        <w:t>in respect of</w:t>
      </w:r>
      <w:r>
        <w:rPr>
          <w:rFonts w:cstheme="minorHAnsi"/>
          <w:szCs w:val="24"/>
        </w:rPr>
        <w:t xml:space="preserve"> the real problems that the ITRs helped countries address. A further councillor encouraged the expert group to study the real-world applications of the ITRs to identify whether they were still required.</w:t>
      </w:r>
    </w:p>
    <w:p w14:paraId="5A740ABA" w14:textId="77777777" w:rsidR="00CD2B00" w:rsidRPr="009F1A61"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6.8</w:t>
      </w:r>
      <w:r>
        <w:rPr>
          <w:rFonts w:cstheme="minorHAnsi"/>
          <w:szCs w:val="24"/>
        </w:rPr>
        <w:tab/>
        <w:t>Councillors agreed that, as no consensus had been reached within the expert group, any decision on the future of the group should be taken at PP-22.</w:t>
      </w:r>
    </w:p>
    <w:p w14:paraId="169A3D61" w14:textId="5C02245A" w:rsidR="00AA6B9B" w:rsidRPr="009F1A61" w:rsidRDefault="00CD2B00" w:rsidP="008D511D">
      <w:pPr>
        <w:tabs>
          <w:tab w:val="clear" w:pos="567"/>
          <w:tab w:val="clear" w:pos="1134"/>
          <w:tab w:val="clear" w:pos="1701"/>
          <w:tab w:val="clear" w:pos="2268"/>
          <w:tab w:val="clear" w:pos="2835"/>
        </w:tabs>
        <w:snapToGrid w:val="0"/>
        <w:jc w:val="both"/>
        <w:rPr>
          <w:rFonts w:cstheme="minorHAnsi"/>
          <w:szCs w:val="24"/>
        </w:rPr>
      </w:pPr>
      <w:r>
        <w:rPr>
          <w:rFonts w:cstheme="minorHAnsi"/>
          <w:szCs w:val="24"/>
        </w:rPr>
        <w:t>6</w:t>
      </w:r>
      <w:r w:rsidRPr="009F1A61">
        <w:rPr>
          <w:rFonts w:cstheme="minorHAnsi"/>
          <w:szCs w:val="24"/>
        </w:rPr>
        <w:t>.</w:t>
      </w:r>
      <w:r>
        <w:rPr>
          <w:rFonts w:cstheme="minorHAnsi"/>
          <w:szCs w:val="24"/>
        </w:rPr>
        <w:t>9</w:t>
      </w:r>
      <w:r w:rsidRPr="009F1A61">
        <w:rPr>
          <w:rFonts w:cstheme="minorHAnsi"/>
          <w:szCs w:val="24"/>
        </w:rPr>
        <w:tab/>
      </w:r>
      <w:r>
        <w:rPr>
          <w:rFonts w:cstheme="minorHAnsi"/>
          <w:szCs w:val="24"/>
        </w:rPr>
        <w:t xml:space="preserve">The Council </w:t>
      </w:r>
      <w:r>
        <w:rPr>
          <w:rFonts w:cstheme="minorHAnsi"/>
          <w:b/>
          <w:bCs/>
          <w:szCs w:val="24"/>
        </w:rPr>
        <w:t>noted</w:t>
      </w:r>
      <w:r>
        <w:rPr>
          <w:rFonts w:cstheme="minorHAnsi"/>
          <w:szCs w:val="24"/>
        </w:rPr>
        <w:t xml:space="preserve"> the report contained in Document C22/26 and </w:t>
      </w:r>
      <w:r>
        <w:rPr>
          <w:rFonts w:cstheme="minorHAnsi"/>
          <w:b/>
          <w:bCs/>
          <w:szCs w:val="24"/>
        </w:rPr>
        <w:t>agreed</w:t>
      </w:r>
      <w:r>
        <w:rPr>
          <w:rFonts w:cstheme="minorHAnsi"/>
          <w:szCs w:val="24"/>
        </w:rPr>
        <w:t xml:space="preserve"> to transmit it to </w:t>
      </w:r>
      <w:r w:rsidR="0046118D">
        <w:rPr>
          <w:rFonts w:cstheme="minorHAnsi"/>
          <w:szCs w:val="24"/>
        </w:rPr>
        <w:t>the Plenipotentiary Conference</w:t>
      </w:r>
      <w:r>
        <w:rPr>
          <w:rFonts w:cstheme="minorHAnsi"/>
          <w:szCs w:val="24"/>
        </w:rPr>
        <w:t>, together with the summary record of the meeting.</w:t>
      </w:r>
    </w:p>
    <w:p w14:paraId="1528B99E" w14:textId="0912A708" w:rsidR="00CD7C42" w:rsidRPr="001350FB" w:rsidRDefault="003C5F39" w:rsidP="008D511D">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b w:val="0"/>
          <w:bCs/>
          <w:szCs w:val="28"/>
        </w:rPr>
      </w:pPr>
      <w:r w:rsidRPr="001350FB">
        <w:rPr>
          <w:bCs/>
          <w:szCs w:val="28"/>
        </w:rPr>
        <w:t>7</w:t>
      </w:r>
      <w:r w:rsidR="00CD7C42" w:rsidRPr="001350FB">
        <w:rPr>
          <w:bCs/>
          <w:szCs w:val="28"/>
        </w:rPr>
        <w:tab/>
        <w:t>Statements by ministers and councillors</w:t>
      </w:r>
    </w:p>
    <w:p w14:paraId="56658F81" w14:textId="7D866540" w:rsidR="00CD7C42" w:rsidRPr="009F1A61" w:rsidRDefault="003C5F39" w:rsidP="008D511D">
      <w:pPr>
        <w:tabs>
          <w:tab w:val="clear" w:pos="567"/>
          <w:tab w:val="clear" w:pos="1134"/>
          <w:tab w:val="clear" w:pos="1701"/>
          <w:tab w:val="clear" w:pos="2268"/>
          <w:tab w:val="clear" w:pos="2835"/>
        </w:tabs>
        <w:snapToGrid w:val="0"/>
        <w:jc w:val="both"/>
        <w:rPr>
          <w:szCs w:val="24"/>
        </w:rPr>
      </w:pPr>
      <w:r>
        <w:rPr>
          <w:szCs w:val="24"/>
        </w:rPr>
        <w:t>7</w:t>
      </w:r>
      <w:r w:rsidR="00CD7C42" w:rsidRPr="009F1A61">
        <w:rPr>
          <w:szCs w:val="24"/>
        </w:rPr>
        <w:t>.1</w:t>
      </w:r>
      <w:r w:rsidR="00CD7C42" w:rsidRPr="009F1A61">
        <w:rPr>
          <w:szCs w:val="24"/>
        </w:rPr>
        <w:tab/>
      </w:r>
      <w:r w:rsidR="00CD7C42" w:rsidRPr="009F1A61">
        <w:rPr>
          <w:rFonts w:asciiTheme="minorHAnsi" w:hAnsiTheme="minorHAnsi"/>
          <w:szCs w:val="24"/>
        </w:rPr>
        <w:t>Statements were delivered</w:t>
      </w:r>
      <w:r>
        <w:rPr>
          <w:rFonts w:asciiTheme="minorHAnsi" w:hAnsiTheme="minorHAnsi"/>
          <w:szCs w:val="24"/>
        </w:rPr>
        <w:t xml:space="preserve"> by</w:t>
      </w:r>
      <w:r w:rsidR="00BA5176">
        <w:rPr>
          <w:rFonts w:asciiTheme="minorHAnsi" w:hAnsiTheme="minorHAnsi"/>
          <w:szCs w:val="24"/>
        </w:rPr>
        <w:t xml:space="preserve"> Mr</w:t>
      </w:r>
      <w:r w:rsidR="0046118D">
        <w:rPr>
          <w:rFonts w:asciiTheme="minorHAnsi" w:hAnsiTheme="minorHAnsi"/>
          <w:szCs w:val="24"/>
        </w:rPr>
        <w:t> </w:t>
      </w:r>
      <w:r w:rsidR="00BA5176">
        <w:rPr>
          <w:rFonts w:asciiTheme="minorHAnsi" w:hAnsiTheme="minorHAnsi"/>
          <w:szCs w:val="24"/>
        </w:rPr>
        <w:t xml:space="preserve">Ebrima </w:t>
      </w:r>
      <w:proofErr w:type="spellStart"/>
      <w:r w:rsidR="00BA5176">
        <w:rPr>
          <w:rFonts w:asciiTheme="minorHAnsi" w:hAnsiTheme="minorHAnsi"/>
          <w:szCs w:val="24"/>
        </w:rPr>
        <w:t>Sillah</w:t>
      </w:r>
      <w:proofErr w:type="spellEnd"/>
      <w:r w:rsidR="00BA5176">
        <w:rPr>
          <w:rFonts w:asciiTheme="minorHAnsi" w:hAnsiTheme="minorHAnsi"/>
          <w:szCs w:val="24"/>
        </w:rPr>
        <w:t xml:space="preserve"> (Minister of </w:t>
      </w:r>
      <w:r w:rsidR="00A567E9">
        <w:rPr>
          <w:rFonts w:asciiTheme="minorHAnsi" w:hAnsiTheme="minorHAnsi"/>
          <w:szCs w:val="24"/>
        </w:rPr>
        <w:t>I</w:t>
      </w:r>
      <w:r w:rsidR="00BA5176">
        <w:rPr>
          <w:rFonts w:asciiTheme="minorHAnsi" w:hAnsiTheme="minorHAnsi"/>
          <w:szCs w:val="24"/>
        </w:rPr>
        <w:t xml:space="preserve">nformation and Communication Infrastructure, the Gambia), who announced that his </w:t>
      </w:r>
      <w:r w:rsidR="007D0654">
        <w:rPr>
          <w:rFonts w:asciiTheme="minorHAnsi" w:hAnsiTheme="minorHAnsi"/>
          <w:szCs w:val="24"/>
        </w:rPr>
        <w:t>a</w:t>
      </w:r>
      <w:r w:rsidR="00BA5176">
        <w:rPr>
          <w:rFonts w:asciiTheme="minorHAnsi" w:hAnsiTheme="minorHAnsi"/>
          <w:szCs w:val="24"/>
        </w:rPr>
        <w:t xml:space="preserve">dministration </w:t>
      </w:r>
      <w:r w:rsidR="00CD2B00">
        <w:rPr>
          <w:rFonts w:asciiTheme="minorHAnsi" w:hAnsiTheme="minorHAnsi"/>
          <w:szCs w:val="24"/>
        </w:rPr>
        <w:t>would</w:t>
      </w:r>
      <w:r w:rsidR="00BA5176">
        <w:rPr>
          <w:rFonts w:asciiTheme="minorHAnsi" w:hAnsiTheme="minorHAnsi"/>
          <w:szCs w:val="24"/>
        </w:rPr>
        <w:t xml:space="preserve"> </w:t>
      </w:r>
      <w:r w:rsidR="002C54A0">
        <w:rPr>
          <w:rFonts w:asciiTheme="minorHAnsi" w:hAnsiTheme="minorHAnsi"/>
          <w:szCs w:val="24"/>
        </w:rPr>
        <w:t xml:space="preserve">be </w:t>
      </w:r>
      <w:r w:rsidR="00BA5176">
        <w:rPr>
          <w:rFonts w:asciiTheme="minorHAnsi" w:hAnsiTheme="minorHAnsi"/>
          <w:szCs w:val="24"/>
        </w:rPr>
        <w:t>submit</w:t>
      </w:r>
      <w:r w:rsidR="002C54A0">
        <w:rPr>
          <w:rFonts w:asciiTheme="minorHAnsi" w:hAnsiTheme="minorHAnsi"/>
          <w:szCs w:val="24"/>
        </w:rPr>
        <w:t>ting</w:t>
      </w:r>
      <w:r w:rsidR="00BA5176">
        <w:rPr>
          <w:rFonts w:asciiTheme="minorHAnsi" w:hAnsiTheme="minorHAnsi"/>
          <w:szCs w:val="24"/>
        </w:rPr>
        <w:t xml:space="preserve"> the candidature of Professor </w:t>
      </w:r>
      <w:proofErr w:type="spellStart"/>
      <w:r w:rsidR="00BA5176">
        <w:rPr>
          <w:rFonts w:asciiTheme="minorHAnsi" w:hAnsiTheme="minorHAnsi"/>
          <w:szCs w:val="24"/>
        </w:rPr>
        <w:t>Muhammadou</w:t>
      </w:r>
      <w:proofErr w:type="spellEnd"/>
      <w:r w:rsidR="00BA5176">
        <w:rPr>
          <w:rFonts w:asciiTheme="minorHAnsi" w:hAnsiTheme="minorHAnsi"/>
          <w:szCs w:val="24"/>
        </w:rPr>
        <w:t xml:space="preserve"> M</w:t>
      </w:r>
      <w:r w:rsidR="002C54A0">
        <w:rPr>
          <w:rFonts w:asciiTheme="minorHAnsi" w:hAnsiTheme="minorHAnsi"/>
          <w:szCs w:val="24"/>
        </w:rPr>
        <w:t>.</w:t>
      </w:r>
      <w:r w:rsidR="00BA5176">
        <w:rPr>
          <w:rFonts w:asciiTheme="minorHAnsi" w:hAnsiTheme="minorHAnsi"/>
          <w:szCs w:val="24"/>
        </w:rPr>
        <w:t xml:space="preserve"> O</w:t>
      </w:r>
      <w:r w:rsidR="002C54A0">
        <w:rPr>
          <w:rFonts w:asciiTheme="minorHAnsi" w:hAnsiTheme="minorHAnsi"/>
          <w:szCs w:val="24"/>
        </w:rPr>
        <w:t>.</w:t>
      </w:r>
      <w:r w:rsidR="00BA5176">
        <w:rPr>
          <w:rFonts w:asciiTheme="minorHAnsi" w:hAnsiTheme="minorHAnsi"/>
          <w:szCs w:val="24"/>
        </w:rPr>
        <w:t xml:space="preserve"> </w:t>
      </w:r>
      <w:proofErr w:type="spellStart"/>
      <w:r w:rsidR="00BA5176">
        <w:rPr>
          <w:rFonts w:asciiTheme="minorHAnsi" w:hAnsiTheme="minorHAnsi"/>
          <w:szCs w:val="24"/>
        </w:rPr>
        <w:t>Kah</w:t>
      </w:r>
      <w:proofErr w:type="spellEnd"/>
      <w:r w:rsidR="00975399">
        <w:rPr>
          <w:rFonts w:asciiTheme="minorHAnsi" w:hAnsiTheme="minorHAnsi"/>
          <w:szCs w:val="24"/>
        </w:rPr>
        <w:t xml:space="preserve"> for the position of Director of the </w:t>
      </w:r>
      <w:r w:rsidR="002C54A0">
        <w:rPr>
          <w:rFonts w:asciiTheme="minorHAnsi" w:hAnsiTheme="minorHAnsi"/>
          <w:szCs w:val="24"/>
        </w:rPr>
        <w:t>BDT</w:t>
      </w:r>
      <w:r w:rsidR="00975399">
        <w:rPr>
          <w:rFonts w:asciiTheme="minorHAnsi" w:hAnsiTheme="minorHAnsi"/>
          <w:szCs w:val="24"/>
        </w:rPr>
        <w:t xml:space="preserve"> at PP-22, and the councillor for Senegal, who said that his country </w:t>
      </w:r>
      <w:r w:rsidR="00CD2B00">
        <w:rPr>
          <w:rFonts w:asciiTheme="minorHAnsi" w:hAnsiTheme="minorHAnsi"/>
          <w:szCs w:val="24"/>
        </w:rPr>
        <w:t>intended to</w:t>
      </w:r>
      <w:r w:rsidR="00975399">
        <w:rPr>
          <w:rFonts w:asciiTheme="minorHAnsi" w:hAnsiTheme="minorHAnsi"/>
          <w:szCs w:val="24"/>
        </w:rPr>
        <w:t xml:space="preserve"> stand for re-election as a member of the Council</w:t>
      </w:r>
      <w:r w:rsidR="00A9595C">
        <w:rPr>
          <w:rFonts w:asciiTheme="minorHAnsi" w:hAnsiTheme="minorHAnsi"/>
          <w:szCs w:val="24"/>
        </w:rPr>
        <w:t xml:space="preserve"> for the Africa region</w:t>
      </w:r>
      <w:r w:rsidR="00A15F06">
        <w:rPr>
          <w:rFonts w:asciiTheme="minorHAnsi" w:hAnsiTheme="minorHAnsi"/>
          <w:szCs w:val="24"/>
        </w:rPr>
        <w:t>.</w:t>
      </w:r>
    </w:p>
    <w:p w14:paraId="0193490D" w14:textId="77777777" w:rsidR="003162F3" w:rsidRPr="009F1A61" w:rsidRDefault="003162F3" w:rsidP="003162F3">
      <w:pPr>
        <w:pStyle w:val="Normalaftertitle"/>
        <w:tabs>
          <w:tab w:val="clear" w:pos="567"/>
          <w:tab w:val="clear" w:pos="1134"/>
          <w:tab w:val="clear" w:pos="1701"/>
          <w:tab w:val="clear" w:pos="2268"/>
          <w:tab w:val="clear" w:pos="2835"/>
          <w:tab w:val="left" w:pos="6521"/>
        </w:tabs>
        <w:snapToGrid w:val="0"/>
        <w:spacing w:before="600"/>
      </w:pPr>
      <w:bookmarkStart w:id="13" w:name="_Hlk98833803"/>
      <w:r w:rsidRPr="009F1A61">
        <w:t>The Secretary-General:</w:t>
      </w:r>
      <w:r w:rsidRPr="009F1A61">
        <w:tab/>
        <w:t>The Chairman:</w:t>
      </w:r>
    </w:p>
    <w:p w14:paraId="0A6634B8" w14:textId="09245DFD" w:rsidR="003162F3" w:rsidRPr="009F1A61" w:rsidRDefault="003162F3" w:rsidP="003162F3">
      <w:pPr>
        <w:pStyle w:val="Normalaftertitle"/>
        <w:tabs>
          <w:tab w:val="clear" w:pos="567"/>
          <w:tab w:val="clear" w:pos="1134"/>
          <w:tab w:val="clear" w:pos="1701"/>
          <w:tab w:val="clear" w:pos="2268"/>
          <w:tab w:val="clear" w:pos="2835"/>
          <w:tab w:val="left" w:pos="6521"/>
        </w:tabs>
        <w:snapToGrid w:val="0"/>
        <w:spacing w:before="0" w:after="120"/>
      </w:pPr>
      <w:r w:rsidRPr="009F1A61">
        <w:t>H. ZHAO</w:t>
      </w:r>
      <w:r w:rsidRPr="009F1A61">
        <w:tab/>
      </w:r>
      <w:r w:rsidRPr="009F1A61">
        <w:rPr>
          <w:rFonts w:asciiTheme="minorHAnsi" w:hAnsiTheme="minorHAnsi" w:cstheme="minorHAnsi"/>
          <w:color w:val="000000"/>
          <w:u w:color="000000"/>
        </w:rPr>
        <w:t>S. BIN GHELAITA</w:t>
      </w:r>
    </w:p>
    <w:p w14:paraId="25BD5EC4" w14:textId="4207C5B7" w:rsidR="00795437" w:rsidRPr="009F1A61" w:rsidRDefault="003162F3" w:rsidP="00711834">
      <w:pPr>
        <w:pStyle w:val="Normalaftertitle"/>
        <w:snapToGrid w:val="0"/>
        <w:spacing w:before="840"/>
        <w:jc w:val="center"/>
      </w:pPr>
      <w:r w:rsidRPr="009F1A61">
        <w:t>__________________</w:t>
      </w:r>
      <w:bookmarkEnd w:id="13"/>
    </w:p>
    <w:sectPr w:rsidR="00795437" w:rsidRPr="009F1A61" w:rsidSect="004D1851">
      <w:head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3611" w14:textId="77777777" w:rsidR="007E3A9A" w:rsidRDefault="007E3A9A">
      <w:r>
        <w:separator/>
      </w:r>
    </w:p>
  </w:endnote>
  <w:endnote w:type="continuationSeparator" w:id="0">
    <w:p w14:paraId="6DCAC93A" w14:textId="77777777" w:rsidR="007E3A9A" w:rsidRDefault="007E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D51E" w14:textId="77777777" w:rsidR="007E3A9A" w:rsidRDefault="007E3A9A">
      <w:r>
        <w:t>____________________</w:t>
      </w:r>
    </w:p>
  </w:footnote>
  <w:footnote w:type="continuationSeparator" w:id="0">
    <w:p w14:paraId="73C7382A" w14:textId="77777777" w:rsidR="007E3A9A" w:rsidRDefault="007E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6E4C8513" w:rsidR="00322D0D" w:rsidRDefault="006535F1" w:rsidP="00CE433C">
    <w:pPr>
      <w:pStyle w:val="Header"/>
    </w:pPr>
    <w:r>
      <w:fldChar w:fldCharType="begin"/>
    </w:r>
    <w:r>
      <w:instrText>PAGE</w:instrText>
    </w:r>
    <w:r>
      <w:fldChar w:fldCharType="separate"/>
    </w:r>
    <w:r w:rsidR="00E82844">
      <w:rPr>
        <w:noProof/>
      </w:rPr>
      <w:t>3</w:t>
    </w:r>
    <w:r>
      <w:rPr>
        <w:noProof/>
      </w:rPr>
      <w:fldChar w:fldCharType="end"/>
    </w:r>
  </w:p>
  <w:p w14:paraId="4948958C" w14:textId="2B065616"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1350FB">
      <w:rPr>
        <w:bCs/>
      </w:rPr>
      <w:t>90</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A753B"/>
    <w:multiLevelType w:val="hybridMultilevel"/>
    <w:tmpl w:val="190EAA20"/>
    <w:lvl w:ilvl="0" w:tplc="9D4C0A50">
      <w:start w:val="5"/>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54BC5"/>
    <w:multiLevelType w:val="hybridMultilevel"/>
    <w:tmpl w:val="38AA60E4"/>
    <w:lvl w:ilvl="0" w:tplc="3DDA6766">
      <w:start w:val="3"/>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707540">
    <w:abstractNumId w:val="0"/>
  </w:num>
  <w:num w:numId="2" w16cid:durableId="1305699223">
    <w:abstractNumId w:val="2"/>
  </w:num>
  <w:num w:numId="3" w16cid:durableId="18934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4F"/>
    <w:rsid w:val="00006024"/>
    <w:rsid w:val="000076D7"/>
    <w:rsid w:val="0001160A"/>
    <w:rsid w:val="000210D4"/>
    <w:rsid w:val="00030E4A"/>
    <w:rsid w:val="000323FB"/>
    <w:rsid w:val="0003386B"/>
    <w:rsid w:val="0004056B"/>
    <w:rsid w:val="00043748"/>
    <w:rsid w:val="00050733"/>
    <w:rsid w:val="000606A6"/>
    <w:rsid w:val="000609F5"/>
    <w:rsid w:val="00063016"/>
    <w:rsid w:val="00066795"/>
    <w:rsid w:val="000754DD"/>
    <w:rsid w:val="00076AF6"/>
    <w:rsid w:val="00080D43"/>
    <w:rsid w:val="000837A9"/>
    <w:rsid w:val="0008401E"/>
    <w:rsid w:val="00085CF2"/>
    <w:rsid w:val="0008682E"/>
    <w:rsid w:val="00095344"/>
    <w:rsid w:val="000B1705"/>
    <w:rsid w:val="000C7EAF"/>
    <w:rsid w:val="000D45A5"/>
    <w:rsid w:val="000D75B2"/>
    <w:rsid w:val="000E4AD1"/>
    <w:rsid w:val="000F1C14"/>
    <w:rsid w:val="000F2E5E"/>
    <w:rsid w:val="000F5F8B"/>
    <w:rsid w:val="00102802"/>
    <w:rsid w:val="001121F5"/>
    <w:rsid w:val="00114ED1"/>
    <w:rsid w:val="0012032E"/>
    <w:rsid w:val="001350FB"/>
    <w:rsid w:val="001379AA"/>
    <w:rsid w:val="001400DC"/>
    <w:rsid w:val="00140CE1"/>
    <w:rsid w:val="0014634F"/>
    <w:rsid w:val="001535DE"/>
    <w:rsid w:val="0015489C"/>
    <w:rsid w:val="00162EA5"/>
    <w:rsid w:val="001656B5"/>
    <w:rsid w:val="0017539C"/>
    <w:rsid w:val="00175AC2"/>
    <w:rsid w:val="0017609F"/>
    <w:rsid w:val="00197815"/>
    <w:rsid w:val="001A504E"/>
    <w:rsid w:val="001A60E3"/>
    <w:rsid w:val="001A6578"/>
    <w:rsid w:val="001B7572"/>
    <w:rsid w:val="001C1CF2"/>
    <w:rsid w:val="001C628E"/>
    <w:rsid w:val="001E0F7B"/>
    <w:rsid w:val="001F2DEC"/>
    <w:rsid w:val="001F488B"/>
    <w:rsid w:val="00210A10"/>
    <w:rsid w:val="00210C34"/>
    <w:rsid w:val="002119FD"/>
    <w:rsid w:val="002121F4"/>
    <w:rsid w:val="002130E0"/>
    <w:rsid w:val="00213D0A"/>
    <w:rsid w:val="00214C59"/>
    <w:rsid w:val="00224756"/>
    <w:rsid w:val="00234499"/>
    <w:rsid w:val="002573D5"/>
    <w:rsid w:val="00264425"/>
    <w:rsid w:val="00265875"/>
    <w:rsid w:val="0027303B"/>
    <w:rsid w:val="00273B5C"/>
    <w:rsid w:val="002751DC"/>
    <w:rsid w:val="00275FE2"/>
    <w:rsid w:val="0028109B"/>
    <w:rsid w:val="002955CB"/>
    <w:rsid w:val="002957CA"/>
    <w:rsid w:val="00296927"/>
    <w:rsid w:val="002A0A7D"/>
    <w:rsid w:val="002A2188"/>
    <w:rsid w:val="002A7825"/>
    <w:rsid w:val="002A7BB3"/>
    <w:rsid w:val="002B0239"/>
    <w:rsid w:val="002B1F58"/>
    <w:rsid w:val="002B57F4"/>
    <w:rsid w:val="002C1C7A"/>
    <w:rsid w:val="002C54A0"/>
    <w:rsid w:val="002C66FF"/>
    <w:rsid w:val="002C7592"/>
    <w:rsid w:val="002E0111"/>
    <w:rsid w:val="002E228C"/>
    <w:rsid w:val="002F6991"/>
    <w:rsid w:val="0030160F"/>
    <w:rsid w:val="00303633"/>
    <w:rsid w:val="00306697"/>
    <w:rsid w:val="00313535"/>
    <w:rsid w:val="003162F3"/>
    <w:rsid w:val="0031729A"/>
    <w:rsid w:val="00320223"/>
    <w:rsid w:val="00320F2B"/>
    <w:rsid w:val="00321954"/>
    <w:rsid w:val="00322D0D"/>
    <w:rsid w:val="00323461"/>
    <w:rsid w:val="003663D9"/>
    <w:rsid w:val="0036720C"/>
    <w:rsid w:val="003750DF"/>
    <w:rsid w:val="00381B5F"/>
    <w:rsid w:val="00391BF7"/>
    <w:rsid w:val="003942D4"/>
    <w:rsid w:val="003958A8"/>
    <w:rsid w:val="003962DD"/>
    <w:rsid w:val="003A1A49"/>
    <w:rsid w:val="003A471C"/>
    <w:rsid w:val="003B27B9"/>
    <w:rsid w:val="003C2533"/>
    <w:rsid w:val="003C5F39"/>
    <w:rsid w:val="003D0B12"/>
    <w:rsid w:val="003D1E91"/>
    <w:rsid w:val="003D28BD"/>
    <w:rsid w:val="003D793F"/>
    <w:rsid w:val="003E482F"/>
    <w:rsid w:val="003F4086"/>
    <w:rsid w:val="003F7614"/>
    <w:rsid w:val="0040078A"/>
    <w:rsid w:val="00402D82"/>
    <w:rsid w:val="0040435A"/>
    <w:rsid w:val="004047AC"/>
    <w:rsid w:val="00416A24"/>
    <w:rsid w:val="00426E1C"/>
    <w:rsid w:val="00430A5B"/>
    <w:rsid w:val="00431D9E"/>
    <w:rsid w:val="00433CE8"/>
    <w:rsid w:val="0043471A"/>
    <w:rsid w:val="00434A5C"/>
    <w:rsid w:val="00440D7E"/>
    <w:rsid w:val="00444B66"/>
    <w:rsid w:val="00454227"/>
    <w:rsid w:val="004544D9"/>
    <w:rsid w:val="0046118D"/>
    <w:rsid w:val="00462F59"/>
    <w:rsid w:val="00472D02"/>
    <w:rsid w:val="00472F33"/>
    <w:rsid w:val="00475104"/>
    <w:rsid w:val="004848EE"/>
    <w:rsid w:val="0048589D"/>
    <w:rsid w:val="004904E8"/>
    <w:rsid w:val="00490E72"/>
    <w:rsid w:val="00491157"/>
    <w:rsid w:val="004921C8"/>
    <w:rsid w:val="0049358C"/>
    <w:rsid w:val="00494D87"/>
    <w:rsid w:val="00495D8A"/>
    <w:rsid w:val="004A1B8B"/>
    <w:rsid w:val="004B48DA"/>
    <w:rsid w:val="004C0E89"/>
    <w:rsid w:val="004C612F"/>
    <w:rsid w:val="004D1851"/>
    <w:rsid w:val="004D599D"/>
    <w:rsid w:val="004E2EA5"/>
    <w:rsid w:val="004E2F47"/>
    <w:rsid w:val="004E3AEB"/>
    <w:rsid w:val="004E57FA"/>
    <w:rsid w:val="0050036A"/>
    <w:rsid w:val="00501D55"/>
    <w:rsid w:val="0050223C"/>
    <w:rsid w:val="00504E5F"/>
    <w:rsid w:val="00514607"/>
    <w:rsid w:val="005164D6"/>
    <w:rsid w:val="005220AA"/>
    <w:rsid w:val="005243FF"/>
    <w:rsid w:val="00526106"/>
    <w:rsid w:val="00537B76"/>
    <w:rsid w:val="005420B2"/>
    <w:rsid w:val="00561801"/>
    <w:rsid w:val="00564FBC"/>
    <w:rsid w:val="00572F62"/>
    <w:rsid w:val="00581148"/>
    <w:rsid w:val="00582442"/>
    <w:rsid w:val="00585B27"/>
    <w:rsid w:val="00587B12"/>
    <w:rsid w:val="00590568"/>
    <w:rsid w:val="005A4496"/>
    <w:rsid w:val="005A4D8C"/>
    <w:rsid w:val="005A7F93"/>
    <w:rsid w:val="005B4DD7"/>
    <w:rsid w:val="005B5DCA"/>
    <w:rsid w:val="005C2558"/>
    <w:rsid w:val="005C336D"/>
    <w:rsid w:val="005D645D"/>
    <w:rsid w:val="005F3269"/>
    <w:rsid w:val="005F640E"/>
    <w:rsid w:val="006021F0"/>
    <w:rsid w:val="00604E16"/>
    <w:rsid w:val="00610B94"/>
    <w:rsid w:val="00610EBD"/>
    <w:rsid w:val="006207DA"/>
    <w:rsid w:val="00623AE3"/>
    <w:rsid w:val="00624E0F"/>
    <w:rsid w:val="00643C83"/>
    <w:rsid w:val="0064737F"/>
    <w:rsid w:val="006535F1"/>
    <w:rsid w:val="0065557D"/>
    <w:rsid w:val="00655709"/>
    <w:rsid w:val="00662984"/>
    <w:rsid w:val="00665395"/>
    <w:rsid w:val="00665EBA"/>
    <w:rsid w:val="006716BB"/>
    <w:rsid w:val="0067314A"/>
    <w:rsid w:val="00680C06"/>
    <w:rsid w:val="00683BE0"/>
    <w:rsid w:val="006905F0"/>
    <w:rsid w:val="006963EA"/>
    <w:rsid w:val="00697AD8"/>
    <w:rsid w:val="006B02A0"/>
    <w:rsid w:val="006B6680"/>
    <w:rsid w:val="006B6DCC"/>
    <w:rsid w:val="006C0EF5"/>
    <w:rsid w:val="006C38A1"/>
    <w:rsid w:val="006D67A9"/>
    <w:rsid w:val="006E07A6"/>
    <w:rsid w:val="006E1F6F"/>
    <w:rsid w:val="006F0C9D"/>
    <w:rsid w:val="006F1A02"/>
    <w:rsid w:val="006F37F4"/>
    <w:rsid w:val="006F6BA8"/>
    <w:rsid w:val="006F7181"/>
    <w:rsid w:val="00702DEF"/>
    <w:rsid w:val="00706861"/>
    <w:rsid w:val="00711834"/>
    <w:rsid w:val="00720B1D"/>
    <w:rsid w:val="00721747"/>
    <w:rsid w:val="00723F35"/>
    <w:rsid w:val="00725397"/>
    <w:rsid w:val="00733AB5"/>
    <w:rsid w:val="007349D2"/>
    <w:rsid w:val="007462C4"/>
    <w:rsid w:val="0075051B"/>
    <w:rsid w:val="007524F1"/>
    <w:rsid w:val="00752BAE"/>
    <w:rsid w:val="00754FD1"/>
    <w:rsid w:val="00763DBF"/>
    <w:rsid w:val="00766CC6"/>
    <w:rsid w:val="007731D0"/>
    <w:rsid w:val="00793188"/>
    <w:rsid w:val="00793E19"/>
    <w:rsid w:val="00794D34"/>
    <w:rsid w:val="0079528A"/>
    <w:rsid w:val="00795437"/>
    <w:rsid w:val="007A7010"/>
    <w:rsid w:val="007B4191"/>
    <w:rsid w:val="007C6888"/>
    <w:rsid w:val="007D0654"/>
    <w:rsid w:val="007D5923"/>
    <w:rsid w:val="007E3A9A"/>
    <w:rsid w:val="007F0154"/>
    <w:rsid w:val="007F4CA1"/>
    <w:rsid w:val="007F7101"/>
    <w:rsid w:val="0081016A"/>
    <w:rsid w:val="00813987"/>
    <w:rsid w:val="00813E5E"/>
    <w:rsid w:val="00813FD7"/>
    <w:rsid w:val="008261C3"/>
    <w:rsid w:val="00834D4B"/>
    <w:rsid w:val="0083581B"/>
    <w:rsid w:val="00836B35"/>
    <w:rsid w:val="0085084D"/>
    <w:rsid w:val="00854972"/>
    <w:rsid w:val="00855EEC"/>
    <w:rsid w:val="00863937"/>
    <w:rsid w:val="00863A12"/>
    <w:rsid w:val="00864AFF"/>
    <w:rsid w:val="008667DE"/>
    <w:rsid w:val="008713A8"/>
    <w:rsid w:val="00882D6C"/>
    <w:rsid w:val="008940D9"/>
    <w:rsid w:val="0089577C"/>
    <w:rsid w:val="0089633C"/>
    <w:rsid w:val="008A177F"/>
    <w:rsid w:val="008A29BD"/>
    <w:rsid w:val="008B3B9E"/>
    <w:rsid w:val="008B4A6A"/>
    <w:rsid w:val="008B58AE"/>
    <w:rsid w:val="008B5973"/>
    <w:rsid w:val="008B73ED"/>
    <w:rsid w:val="008B74DC"/>
    <w:rsid w:val="008C7E27"/>
    <w:rsid w:val="008D45C3"/>
    <w:rsid w:val="008D511D"/>
    <w:rsid w:val="008D57D6"/>
    <w:rsid w:val="008D74C8"/>
    <w:rsid w:val="008E7152"/>
    <w:rsid w:val="00910852"/>
    <w:rsid w:val="00915D75"/>
    <w:rsid w:val="009173EF"/>
    <w:rsid w:val="00925B37"/>
    <w:rsid w:val="00932906"/>
    <w:rsid w:val="009348C7"/>
    <w:rsid w:val="00944731"/>
    <w:rsid w:val="00944A1B"/>
    <w:rsid w:val="00950DBB"/>
    <w:rsid w:val="00961B0B"/>
    <w:rsid w:val="00964240"/>
    <w:rsid w:val="009731C2"/>
    <w:rsid w:val="0097371A"/>
    <w:rsid w:val="00975399"/>
    <w:rsid w:val="00975523"/>
    <w:rsid w:val="009761B2"/>
    <w:rsid w:val="00976B8C"/>
    <w:rsid w:val="00980226"/>
    <w:rsid w:val="00980892"/>
    <w:rsid w:val="009810FD"/>
    <w:rsid w:val="00983351"/>
    <w:rsid w:val="009857BE"/>
    <w:rsid w:val="00997CEB"/>
    <w:rsid w:val="009A6E62"/>
    <w:rsid w:val="009B38C3"/>
    <w:rsid w:val="009B798F"/>
    <w:rsid w:val="009D3089"/>
    <w:rsid w:val="009D49C0"/>
    <w:rsid w:val="009D4A89"/>
    <w:rsid w:val="009E17BD"/>
    <w:rsid w:val="009E405B"/>
    <w:rsid w:val="009E485A"/>
    <w:rsid w:val="009E5C02"/>
    <w:rsid w:val="009F0E0D"/>
    <w:rsid w:val="009F145A"/>
    <w:rsid w:val="009F1A61"/>
    <w:rsid w:val="009F63FF"/>
    <w:rsid w:val="00A04CEC"/>
    <w:rsid w:val="00A04FFC"/>
    <w:rsid w:val="00A11128"/>
    <w:rsid w:val="00A15F06"/>
    <w:rsid w:val="00A27F92"/>
    <w:rsid w:val="00A31332"/>
    <w:rsid w:val="00A32257"/>
    <w:rsid w:val="00A358BE"/>
    <w:rsid w:val="00A36C16"/>
    <w:rsid w:val="00A36D20"/>
    <w:rsid w:val="00A404FF"/>
    <w:rsid w:val="00A40B92"/>
    <w:rsid w:val="00A55622"/>
    <w:rsid w:val="00A55B0A"/>
    <w:rsid w:val="00A567E9"/>
    <w:rsid w:val="00A608D6"/>
    <w:rsid w:val="00A70721"/>
    <w:rsid w:val="00A7078D"/>
    <w:rsid w:val="00A81473"/>
    <w:rsid w:val="00A83502"/>
    <w:rsid w:val="00A93751"/>
    <w:rsid w:val="00A9595C"/>
    <w:rsid w:val="00AA35A9"/>
    <w:rsid w:val="00AA6B9B"/>
    <w:rsid w:val="00AA7325"/>
    <w:rsid w:val="00AC2B54"/>
    <w:rsid w:val="00AC2C9E"/>
    <w:rsid w:val="00AD0879"/>
    <w:rsid w:val="00AD15B3"/>
    <w:rsid w:val="00AD77C6"/>
    <w:rsid w:val="00AE0371"/>
    <w:rsid w:val="00AE7511"/>
    <w:rsid w:val="00AF4610"/>
    <w:rsid w:val="00AF6E49"/>
    <w:rsid w:val="00B0012F"/>
    <w:rsid w:val="00B01346"/>
    <w:rsid w:val="00B03AE3"/>
    <w:rsid w:val="00B04A67"/>
    <w:rsid w:val="00B0583C"/>
    <w:rsid w:val="00B1076C"/>
    <w:rsid w:val="00B12EE2"/>
    <w:rsid w:val="00B1768D"/>
    <w:rsid w:val="00B21F6F"/>
    <w:rsid w:val="00B33678"/>
    <w:rsid w:val="00B40A81"/>
    <w:rsid w:val="00B4431D"/>
    <w:rsid w:val="00B44910"/>
    <w:rsid w:val="00B52DF3"/>
    <w:rsid w:val="00B53BC7"/>
    <w:rsid w:val="00B57E17"/>
    <w:rsid w:val="00B72267"/>
    <w:rsid w:val="00B76EB6"/>
    <w:rsid w:val="00B7737B"/>
    <w:rsid w:val="00B824C8"/>
    <w:rsid w:val="00B84B9D"/>
    <w:rsid w:val="00B92FF6"/>
    <w:rsid w:val="00BA5176"/>
    <w:rsid w:val="00BB69E3"/>
    <w:rsid w:val="00BC251A"/>
    <w:rsid w:val="00BD0306"/>
    <w:rsid w:val="00BD032B"/>
    <w:rsid w:val="00BD202B"/>
    <w:rsid w:val="00BD7477"/>
    <w:rsid w:val="00BE011A"/>
    <w:rsid w:val="00BE2640"/>
    <w:rsid w:val="00BE5219"/>
    <w:rsid w:val="00BE52E1"/>
    <w:rsid w:val="00BE577E"/>
    <w:rsid w:val="00BF0EDD"/>
    <w:rsid w:val="00BF1CCB"/>
    <w:rsid w:val="00BF77DB"/>
    <w:rsid w:val="00C00EB8"/>
    <w:rsid w:val="00C01189"/>
    <w:rsid w:val="00C01CBA"/>
    <w:rsid w:val="00C16584"/>
    <w:rsid w:val="00C2499F"/>
    <w:rsid w:val="00C374DE"/>
    <w:rsid w:val="00C42E3F"/>
    <w:rsid w:val="00C461BA"/>
    <w:rsid w:val="00C47587"/>
    <w:rsid w:val="00C4786C"/>
    <w:rsid w:val="00C47ACC"/>
    <w:rsid w:val="00C47AD4"/>
    <w:rsid w:val="00C52D81"/>
    <w:rsid w:val="00C55198"/>
    <w:rsid w:val="00C662CF"/>
    <w:rsid w:val="00C71E19"/>
    <w:rsid w:val="00C75BA3"/>
    <w:rsid w:val="00C81F9F"/>
    <w:rsid w:val="00C84D5E"/>
    <w:rsid w:val="00C95F6C"/>
    <w:rsid w:val="00CA6393"/>
    <w:rsid w:val="00CB18FF"/>
    <w:rsid w:val="00CB285A"/>
    <w:rsid w:val="00CC194F"/>
    <w:rsid w:val="00CC5C39"/>
    <w:rsid w:val="00CD0C08"/>
    <w:rsid w:val="00CD1E5C"/>
    <w:rsid w:val="00CD2B00"/>
    <w:rsid w:val="00CD7C42"/>
    <w:rsid w:val="00CE03FB"/>
    <w:rsid w:val="00CE433C"/>
    <w:rsid w:val="00CF33F3"/>
    <w:rsid w:val="00CF72D5"/>
    <w:rsid w:val="00D052FB"/>
    <w:rsid w:val="00D059CF"/>
    <w:rsid w:val="00D06183"/>
    <w:rsid w:val="00D14F5D"/>
    <w:rsid w:val="00D166D1"/>
    <w:rsid w:val="00D214DE"/>
    <w:rsid w:val="00D22C42"/>
    <w:rsid w:val="00D24014"/>
    <w:rsid w:val="00D25559"/>
    <w:rsid w:val="00D366CE"/>
    <w:rsid w:val="00D371AA"/>
    <w:rsid w:val="00D37AF7"/>
    <w:rsid w:val="00D4318B"/>
    <w:rsid w:val="00D65041"/>
    <w:rsid w:val="00D76F49"/>
    <w:rsid w:val="00D83920"/>
    <w:rsid w:val="00D851AF"/>
    <w:rsid w:val="00D86FC8"/>
    <w:rsid w:val="00D96FB5"/>
    <w:rsid w:val="00DA488D"/>
    <w:rsid w:val="00DB384B"/>
    <w:rsid w:val="00DC56D8"/>
    <w:rsid w:val="00DC62EA"/>
    <w:rsid w:val="00DD2F1D"/>
    <w:rsid w:val="00DE409B"/>
    <w:rsid w:val="00DF515E"/>
    <w:rsid w:val="00E04E2F"/>
    <w:rsid w:val="00E07F0A"/>
    <w:rsid w:val="00E10BA0"/>
    <w:rsid w:val="00E10E80"/>
    <w:rsid w:val="00E124F0"/>
    <w:rsid w:val="00E3513C"/>
    <w:rsid w:val="00E36421"/>
    <w:rsid w:val="00E44836"/>
    <w:rsid w:val="00E47AE1"/>
    <w:rsid w:val="00E60F04"/>
    <w:rsid w:val="00E658F2"/>
    <w:rsid w:val="00E665B3"/>
    <w:rsid w:val="00E670E1"/>
    <w:rsid w:val="00E757C5"/>
    <w:rsid w:val="00E778E7"/>
    <w:rsid w:val="00E80FAC"/>
    <w:rsid w:val="00E82844"/>
    <w:rsid w:val="00E854E4"/>
    <w:rsid w:val="00E91FB7"/>
    <w:rsid w:val="00EA6C95"/>
    <w:rsid w:val="00EB0D6F"/>
    <w:rsid w:val="00EB2232"/>
    <w:rsid w:val="00EB37BC"/>
    <w:rsid w:val="00EB5303"/>
    <w:rsid w:val="00EB730A"/>
    <w:rsid w:val="00EB7C80"/>
    <w:rsid w:val="00EC5337"/>
    <w:rsid w:val="00EC66A3"/>
    <w:rsid w:val="00ED6F69"/>
    <w:rsid w:val="00EE4C38"/>
    <w:rsid w:val="00EE54E5"/>
    <w:rsid w:val="00EF1B7F"/>
    <w:rsid w:val="00EF23F8"/>
    <w:rsid w:val="00EF2CA9"/>
    <w:rsid w:val="00EF5696"/>
    <w:rsid w:val="00F05A3E"/>
    <w:rsid w:val="00F10F5E"/>
    <w:rsid w:val="00F16955"/>
    <w:rsid w:val="00F2033B"/>
    <w:rsid w:val="00F2150A"/>
    <w:rsid w:val="00F231D8"/>
    <w:rsid w:val="00F313B9"/>
    <w:rsid w:val="00F357FB"/>
    <w:rsid w:val="00F3651B"/>
    <w:rsid w:val="00F40E86"/>
    <w:rsid w:val="00F46C5F"/>
    <w:rsid w:val="00F56405"/>
    <w:rsid w:val="00F641D9"/>
    <w:rsid w:val="00F70AA8"/>
    <w:rsid w:val="00F73E4B"/>
    <w:rsid w:val="00F75409"/>
    <w:rsid w:val="00F75EEC"/>
    <w:rsid w:val="00F80217"/>
    <w:rsid w:val="00F81005"/>
    <w:rsid w:val="00F90DBA"/>
    <w:rsid w:val="00F94A63"/>
    <w:rsid w:val="00F97524"/>
    <w:rsid w:val="00FA1C28"/>
    <w:rsid w:val="00FB1279"/>
    <w:rsid w:val="00FB7596"/>
    <w:rsid w:val="00FC0E34"/>
    <w:rsid w:val="00FC3818"/>
    <w:rsid w:val="00FC531D"/>
    <w:rsid w:val="00FC7670"/>
    <w:rsid w:val="00FD24AF"/>
    <w:rsid w:val="00FD2829"/>
    <w:rsid w:val="00FE0685"/>
    <w:rsid w:val="00FE243A"/>
    <w:rsid w:val="00FE4077"/>
    <w:rsid w:val="00FE77D2"/>
    <w:rsid w:val="00FF0106"/>
    <w:rsid w:val="00FF1E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UnresolvedMention1">
    <w:name w:val="Unresolved Mention1"/>
    <w:basedOn w:val="DefaultParagraphFont"/>
    <w:uiPriority w:val="99"/>
    <w:semiHidden/>
    <w:unhideWhenUsed/>
    <w:rsid w:val="00FC531D"/>
    <w:rPr>
      <w:color w:val="605E5C"/>
      <w:shd w:val="clear" w:color="auto" w:fill="E1DFDD"/>
    </w:rPr>
  </w:style>
  <w:style w:type="paragraph" w:styleId="ListParagraph">
    <w:name w:val="List Paragraph"/>
    <w:basedOn w:val="Normal"/>
    <w:uiPriority w:val="34"/>
    <w:qFormat/>
    <w:rsid w:val="00213D0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213D0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semiHidden/>
    <w:unhideWhenUsed/>
    <w:rsid w:val="0067314A"/>
    <w:rPr>
      <w:sz w:val="16"/>
      <w:szCs w:val="16"/>
    </w:rPr>
  </w:style>
  <w:style w:type="paragraph" w:styleId="CommentText">
    <w:name w:val="annotation text"/>
    <w:basedOn w:val="Normal"/>
    <w:link w:val="CommentTextChar"/>
    <w:unhideWhenUsed/>
    <w:rsid w:val="0067314A"/>
    <w:rPr>
      <w:sz w:val="20"/>
    </w:rPr>
  </w:style>
  <w:style w:type="character" w:customStyle="1" w:styleId="CommentTextChar">
    <w:name w:val="Comment Text Char"/>
    <w:basedOn w:val="DefaultParagraphFont"/>
    <w:link w:val="CommentText"/>
    <w:rsid w:val="0067314A"/>
    <w:rPr>
      <w:rFonts w:ascii="Calibri" w:hAnsi="Calibri"/>
      <w:lang w:val="en-GB" w:eastAsia="en-US"/>
    </w:rPr>
  </w:style>
  <w:style w:type="paragraph" w:styleId="CommentSubject">
    <w:name w:val="annotation subject"/>
    <w:basedOn w:val="CommentText"/>
    <w:next w:val="CommentText"/>
    <w:link w:val="CommentSubjectChar"/>
    <w:semiHidden/>
    <w:unhideWhenUsed/>
    <w:rsid w:val="0067314A"/>
    <w:rPr>
      <w:b/>
      <w:bCs/>
    </w:rPr>
  </w:style>
  <w:style w:type="character" w:customStyle="1" w:styleId="CommentSubjectChar">
    <w:name w:val="Comment Subject Char"/>
    <w:basedOn w:val="CommentTextChar"/>
    <w:link w:val="CommentSubject"/>
    <w:semiHidden/>
    <w:rsid w:val="0067314A"/>
    <w:rPr>
      <w:rFonts w:ascii="Calibri" w:hAnsi="Calibri"/>
      <w:b/>
      <w:bCs/>
      <w:lang w:val="en-GB" w:eastAsia="en-US"/>
    </w:rPr>
  </w:style>
  <w:style w:type="paragraph" w:styleId="Revision">
    <w:name w:val="Revision"/>
    <w:hidden/>
    <w:uiPriority w:val="99"/>
    <w:semiHidden/>
    <w:rsid w:val="000E4AD1"/>
    <w:rPr>
      <w:rFonts w:ascii="Calibri" w:hAnsi="Calibri"/>
      <w:sz w:val="24"/>
      <w:lang w:val="en-GB" w:eastAsia="en-US"/>
    </w:rPr>
  </w:style>
  <w:style w:type="paragraph" w:styleId="BalloonText">
    <w:name w:val="Balloon Text"/>
    <w:basedOn w:val="Normal"/>
    <w:link w:val="BalloonTextChar"/>
    <w:semiHidden/>
    <w:unhideWhenUsed/>
    <w:rsid w:val="000E4AD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E4AD1"/>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BE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2-CL-C-0032/en" TargetMode="External"/><Relationship Id="rId18" Type="http://schemas.openxmlformats.org/officeDocument/2006/relationships/hyperlink" Target="https://www.itu.int/md/S22-CL-C-0072/en" TargetMode="External"/><Relationship Id="rId26" Type="http://schemas.openxmlformats.org/officeDocument/2006/relationships/hyperlink" Target="https://www.itu.int/md/S22-CL-C-0006/en" TargetMode="External"/><Relationship Id="rId3" Type="http://schemas.openxmlformats.org/officeDocument/2006/relationships/styles" Target="styles.xml"/><Relationship Id="rId21" Type="http://schemas.openxmlformats.org/officeDocument/2006/relationships/hyperlink" Target="https://www.itu.int/md/S22-CL-C-0059/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22-CL-C-0076/en" TargetMode="External"/><Relationship Id="rId17" Type="http://schemas.openxmlformats.org/officeDocument/2006/relationships/hyperlink" Target="https://www.itu.int/md/S22-CL-C-0067/en" TargetMode="External"/><Relationship Id="rId25" Type="http://schemas.openxmlformats.org/officeDocument/2006/relationships/hyperlink" Target="https://www.itu.int/md/S22-CL-C-0013/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22-CL-C-0026/en" TargetMode="External"/><Relationship Id="rId20" Type="http://schemas.openxmlformats.org/officeDocument/2006/relationships/hyperlink" Target="https://www.itu.int/md/S22-CL-C-0027/en" TargetMode="External"/><Relationship Id="rId29" Type="http://schemas.openxmlformats.org/officeDocument/2006/relationships/hyperlink" Target="https://www.itu.int/md/S22-CL-C-007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CL-C-0074/en" TargetMode="External"/><Relationship Id="rId24" Type="http://schemas.openxmlformats.org/officeDocument/2006/relationships/hyperlink" Target="https://www.itu.int/md/S22-CL-C-0032/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22-CL-C-0006/en" TargetMode="External"/><Relationship Id="rId23" Type="http://schemas.openxmlformats.org/officeDocument/2006/relationships/hyperlink" Target="https://www.itu.int/md/S22-CL-C-0076/en" TargetMode="External"/><Relationship Id="rId28" Type="http://schemas.openxmlformats.org/officeDocument/2006/relationships/hyperlink" Target="https://www.itu.int/md/S22-CL-C-0067/en" TargetMode="External"/><Relationship Id="rId10" Type="http://schemas.openxmlformats.org/officeDocument/2006/relationships/hyperlink" Target="https://www.itu.int/md/S22-CL-C-0059/en" TargetMode="External"/><Relationship Id="rId19" Type="http://schemas.openxmlformats.org/officeDocument/2006/relationships/hyperlink" Target="https://www.itu.int/md/S22-CL-C-0075/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2-CL-C-0027/en" TargetMode="External"/><Relationship Id="rId14" Type="http://schemas.openxmlformats.org/officeDocument/2006/relationships/hyperlink" Target="https://www.itu.int/md/S22-CL-C-0013/en" TargetMode="External"/><Relationship Id="rId22" Type="http://schemas.openxmlformats.org/officeDocument/2006/relationships/hyperlink" Target="https://www.itu.int/md/S22-CL-C-0074/en" TargetMode="External"/><Relationship Id="rId27" Type="http://schemas.openxmlformats.org/officeDocument/2006/relationships/hyperlink" Target="https://www.itu.int/md/S22-CL-C-0026/en" TargetMode="External"/><Relationship Id="rId30" Type="http://schemas.openxmlformats.org/officeDocument/2006/relationships/hyperlink" Target="https://www.itu.int/md/S22-CL-C-0075/en"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6097-E210-42BB-8AF4-7CEA2B1F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3309</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Summary record of the fifth Plenary meeting</vt:lpstr>
    </vt:vector>
  </TitlesOfParts>
  <Manager>General Secretariat - Pool</Manager>
  <Company>International Telecommunication Union (ITU)</Company>
  <LinksUpToDate>false</LinksUpToDate>
  <CharactersWithSpaces>22614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Council 2022</dc:subject>
  <dc:creator>Brouard, Ricarda</dc:creator>
  <cp:keywords>C2022, C22, Council-22</cp:keywords>
  <dc:description/>
  <cp:lastModifiedBy>Xue, Kun</cp:lastModifiedBy>
  <cp:revision>3</cp:revision>
  <cp:lastPrinted>2000-07-18T13:30:00Z</cp:lastPrinted>
  <dcterms:created xsi:type="dcterms:W3CDTF">2022-06-03T08:55:00Z</dcterms:created>
  <dcterms:modified xsi:type="dcterms:W3CDTF">2022-06-03T08:57:00Z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