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4EEA01CC" w14:textId="77777777">
        <w:trPr>
          <w:cantSplit/>
        </w:trPr>
        <w:tc>
          <w:tcPr>
            <w:tcW w:w="6911" w:type="dxa"/>
          </w:tcPr>
          <w:p w14:paraId="6C65DFEA" w14:textId="77777777" w:rsidR="000C0BC5" w:rsidRPr="000C0BC5" w:rsidRDefault="00D94637" w:rsidP="000C0BC5">
            <w:pPr>
              <w:spacing w:before="360" w:after="48"/>
              <w:rPr>
                <w:lang w:eastAsia="zh-CN"/>
              </w:rPr>
            </w:pP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</w:t>
            </w:r>
            <w:r w:rsidR="008418F5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="00AE195F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0E010F" w:rsidRPr="00E318A8">
              <w:rPr>
                <w:rFonts w:ascii="SimSun" w:hAnsi="SimSun" w:cs="SimSun" w:hint="eastAsia"/>
                <w:b/>
                <w:bCs/>
                <w:smallCaps/>
                <w:sz w:val="26"/>
                <w:szCs w:val="26"/>
                <w:lang w:val="en-US" w:eastAsia="zh-CN"/>
              </w:rPr>
              <w:t>最后</w:t>
            </w:r>
            <w:r w:rsidR="000E010F" w:rsidRPr="00E318A8">
              <w:rPr>
                <w:rFonts w:ascii="SimSun" w:hAnsi="SimSun" w:hint="eastAsia"/>
                <w:b/>
                <w:bCs/>
                <w:color w:val="000000"/>
                <w:sz w:val="26"/>
                <w:szCs w:val="26"/>
                <w:lang w:eastAsia="zh-CN"/>
              </w:rPr>
              <w:t>会议，</w:t>
            </w:r>
            <w:r w:rsidR="000E010F" w:rsidRPr="00E318A8">
              <w:rPr>
                <w:b/>
                <w:bCs/>
                <w:color w:val="000000"/>
                <w:sz w:val="26"/>
                <w:szCs w:val="26"/>
                <w:lang w:eastAsia="zh-CN"/>
              </w:rPr>
              <w:t>2022</w:t>
            </w:r>
            <w:r w:rsidR="000E010F" w:rsidRPr="00E318A8">
              <w:rPr>
                <w:rFonts w:ascii="SimSun" w:hAnsi="SimSun" w:hint="eastAsia"/>
                <w:b/>
                <w:bCs/>
                <w:color w:val="000000"/>
                <w:sz w:val="26"/>
                <w:szCs w:val="26"/>
                <w:lang w:eastAsia="zh-CN"/>
              </w:rPr>
              <w:t>年</w:t>
            </w:r>
            <w:r w:rsidR="000E010F" w:rsidRPr="00E318A8">
              <w:rPr>
                <w:b/>
                <w:bCs/>
                <w:color w:val="000000"/>
                <w:sz w:val="26"/>
                <w:szCs w:val="26"/>
                <w:lang w:eastAsia="zh-CN"/>
              </w:rPr>
              <w:t>9</w:t>
            </w:r>
            <w:r w:rsidR="000E010F" w:rsidRPr="00E318A8">
              <w:rPr>
                <w:rFonts w:ascii="SimSun" w:hAnsi="SimSun" w:hint="eastAsia"/>
                <w:b/>
                <w:bCs/>
                <w:color w:val="000000"/>
                <w:sz w:val="26"/>
                <w:szCs w:val="26"/>
                <w:lang w:eastAsia="zh-CN"/>
              </w:rPr>
              <w:t>月</w:t>
            </w:r>
            <w:r w:rsidR="000E010F" w:rsidRPr="00E318A8">
              <w:rPr>
                <w:b/>
                <w:bCs/>
                <w:color w:val="000000"/>
                <w:sz w:val="26"/>
                <w:szCs w:val="26"/>
                <w:lang w:eastAsia="zh-CN"/>
              </w:rPr>
              <w:t>24</w:t>
            </w:r>
            <w:r w:rsidR="000E010F" w:rsidRPr="00E318A8">
              <w:rPr>
                <w:rFonts w:ascii="SimSun" w:hAnsi="SimSun" w:hint="eastAsia"/>
                <w:b/>
                <w:bCs/>
                <w:color w:val="000000"/>
                <w:sz w:val="26"/>
                <w:szCs w:val="26"/>
                <w:lang w:eastAsia="zh-CN"/>
              </w:rPr>
              <w:t>日</w:t>
            </w:r>
            <w:r w:rsidR="000E010F" w:rsidRPr="00E318A8">
              <w:rPr>
                <w:rFonts w:ascii="SimSun" w:hAnsi="SimSun" w:cs="SimSun" w:hint="eastAsia"/>
                <w:b/>
                <w:bCs/>
                <w:smallCaps/>
                <w:sz w:val="26"/>
                <w:szCs w:val="26"/>
                <w:lang w:val="en-US" w:eastAsia="zh-CN"/>
              </w:rPr>
              <w:t>，</w:t>
            </w:r>
            <w:r w:rsidR="000E010F" w:rsidRPr="00E318A8">
              <w:rPr>
                <w:rFonts w:ascii="SimSun" w:hAnsi="SimSun" w:hint="eastAsia"/>
                <w:b/>
                <w:bCs/>
                <w:color w:val="000000"/>
                <w:sz w:val="26"/>
                <w:szCs w:val="26"/>
                <w:lang w:eastAsia="zh-CN"/>
              </w:rPr>
              <w:t>布加勒斯特</w:t>
            </w:r>
          </w:p>
        </w:tc>
        <w:tc>
          <w:tcPr>
            <w:tcW w:w="3120" w:type="dxa"/>
          </w:tcPr>
          <w:p w14:paraId="1B4C0860" w14:textId="77777777" w:rsidR="00700D1F" w:rsidRDefault="008418F5" w:rsidP="008418F5">
            <w:pPr>
              <w:spacing w:before="0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372FCAC" wp14:editId="16EAB23C">
                  <wp:extent cx="612251" cy="645984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868" cy="65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2359ECB1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253CE6C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422BA82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38438293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BD9F627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3C50452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24E3F0C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10F51181" w14:textId="77777777" w:rsidR="00700D1F" w:rsidRPr="00FC5386" w:rsidRDefault="00833170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lt_pId005"/>
            <w:bookmarkStart w:id="2" w:name="dmeeting" w:colFirst="0" w:colLast="0"/>
            <w:r w:rsidRPr="00833170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833170">
              <w:rPr>
                <w:b/>
                <w:szCs w:val="24"/>
                <w:lang w:eastAsia="zh-CN"/>
              </w:rPr>
              <w:t>：</w:t>
            </w:r>
            <w:r w:rsidRPr="00833170">
              <w:rPr>
                <w:b/>
                <w:szCs w:val="24"/>
                <w:lang w:eastAsia="zh-CN"/>
              </w:rPr>
              <w:t xml:space="preserve">ADM </w:t>
            </w:r>
            <w:r w:rsidRPr="00833170">
              <w:rPr>
                <w:rFonts w:hint="eastAsia"/>
                <w:b/>
                <w:szCs w:val="24"/>
                <w:lang w:eastAsia="zh-CN"/>
              </w:rPr>
              <w:t>8</w:t>
            </w:r>
            <w:bookmarkEnd w:id="1"/>
          </w:p>
        </w:tc>
        <w:tc>
          <w:tcPr>
            <w:tcW w:w="3120" w:type="dxa"/>
          </w:tcPr>
          <w:p w14:paraId="24AD3C02" w14:textId="77777777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AE195F">
              <w:rPr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833170">
              <w:rPr>
                <w:rFonts w:hint="eastAsia"/>
                <w:b/>
                <w:bCs/>
                <w:szCs w:val="24"/>
                <w:lang w:eastAsia="zh-CN"/>
              </w:rPr>
              <w:t>100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2"/>
      <w:tr w:rsidR="00700D1F" w14:paraId="0E7DBB92" w14:textId="77777777">
        <w:trPr>
          <w:cantSplit/>
          <w:trHeight w:val="23"/>
        </w:trPr>
        <w:tc>
          <w:tcPr>
            <w:tcW w:w="6911" w:type="dxa"/>
            <w:vMerge/>
          </w:tcPr>
          <w:p w14:paraId="57987973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0F782059" w14:textId="62E8A2D1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9256C2">
              <w:rPr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833170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833170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028E84B4" w14:textId="77777777">
        <w:trPr>
          <w:cantSplit/>
          <w:trHeight w:val="23"/>
        </w:trPr>
        <w:tc>
          <w:tcPr>
            <w:tcW w:w="6911" w:type="dxa"/>
            <w:vMerge/>
          </w:tcPr>
          <w:p w14:paraId="08917D39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507DBB7D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10C41E79" w14:textId="77777777">
        <w:trPr>
          <w:cantSplit/>
        </w:trPr>
        <w:tc>
          <w:tcPr>
            <w:tcW w:w="10031" w:type="dxa"/>
          </w:tcPr>
          <w:p w14:paraId="30859C26" w14:textId="77777777"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 w14:paraId="611B8B75" w14:textId="77777777">
        <w:trPr>
          <w:cantSplit/>
        </w:trPr>
        <w:tc>
          <w:tcPr>
            <w:tcW w:w="10031" w:type="dxa"/>
          </w:tcPr>
          <w:p w14:paraId="4ED1C912" w14:textId="4952E5DE" w:rsidR="0093362E" w:rsidRDefault="009256C2" w:rsidP="00001B77">
            <w:pPr>
              <w:pStyle w:val="Title1"/>
              <w:rPr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审查会费豁免组织的名单</w:t>
            </w:r>
          </w:p>
        </w:tc>
      </w:tr>
    </w:tbl>
    <w:p w14:paraId="4372A1AC" w14:textId="77777777" w:rsidR="00B40A53" w:rsidRPr="008418F5" w:rsidRDefault="00B40A53" w:rsidP="00B40A53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14:paraId="1089A700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11AA1" w14:textId="77777777" w:rsidR="00B40A53" w:rsidRPr="008418F5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14:paraId="68574F7A" w14:textId="7AA84B61" w:rsidR="00833170" w:rsidRPr="008B5EBD" w:rsidRDefault="009256C2" w:rsidP="00833170">
            <w:pPr>
              <w:overflowPunct/>
              <w:autoSpaceDE/>
              <w:autoSpaceDN/>
              <w:adjustRightInd/>
              <w:spacing w:after="120"/>
              <w:ind w:firstLineChars="200" w:firstLine="480"/>
              <w:jc w:val="both"/>
              <w:textAlignment w:val="auto"/>
              <w:rPr>
                <w:rFonts w:asciiTheme="minorHAnsi" w:hAnsiTheme="minorHAnsi"/>
                <w:bCs/>
                <w:lang w:eastAsia="zh-CN"/>
              </w:rPr>
            </w:pPr>
            <w:r w:rsidRPr="009256C2">
              <w:rPr>
                <w:rFonts w:ascii="SimSun" w:hAnsi="SimSun" w:cs="Microsoft YaHei" w:hint="eastAsia"/>
                <w:lang w:eastAsia="zh-CN"/>
              </w:rPr>
              <w:t>秘书处审查了全部</w:t>
            </w:r>
            <w:r w:rsidRPr="009256C2">
              <w:rPr>
                <w:rFonts w:eastAsia="Calibri" w:cs="Calibri" w:hint="eastAsia"/>
                <w:lang w:eastAsia="zh-CN"/>
              </w:rPr>
              <w:t>132</w:t>
            </w:r>
            <w:r w:rsidRPr="009256C2">
              <w:rPr>
                <w:rFonts w:ascii="SimSun" w:hAnsi="SimSun" w:cs="Microsoft YaHei" w:hint="eastAsia"/>
                <w:lang w:eastAsia="zh-CN"/>
              </w:rPr>
              <w:t>个豁免会费的国际性组织的名单，以评估它们是否完全符合理事会</w:t>
            </w:r>
            <w:r w:rsidRPr="009256C2">
              <w:rPr>
                <w:rFonts w:eastAsia="Calibri" w:cs="Calibri" w:hint="eastAsia"/>
                <w:lang w:eastAsia="zh-CN"/>
              </w:rPr>
              <w:t>2017</w:t>
            </w:r>
            <w:r w:rsidRPr="009256C2">
              <w:rPr>
                <w:rFonts w:ascii="SimSun" w:hAnsi="SimSun" w:cs="Microsoft YaHei" w:hint="eastAsia"/>
                <w:lang w:eastAsia="zh-CN"/>
              </w:rPr>
              <w:t>年修订的标准。</w:t>
            </w:r>
          </w:p>
          <w:p w14:paraId="7890F5FA" w14:textId="62F5027D" w:rsidR="00B40A53" w:rsidRPr="008418F5" w:rsidRDefault="00771787" w:rsidP="00833170">
            <w:pPr>
              <w:ind w:firstLineChars="200" w:firstLine="480"/>
              <w:rPr>
                <w:szCs w:val="22"/>
                <w:lang w:eastAsia="zh-CN"/>
              </w:rPr>
            </w:pPr>
            <w:r w:rsidRPr="00771787">
              <w:rPr>
                <w:rFonts w:ascii="SimSun" w:hAnsi="SimSun" w:cs="Microsoft YaHei" w:hint="eastAsia"/>
                <w:lang w:eastAsia="zh-CN"/>
              </w:rPr>
              <w:t>本报告</w:t>
            </w:r>
            <w:r w:rsidR="00A868AD">
              <w:rPr>
                <w:rFonts w:ascii="SimSun" w:hAnsi="SimSun" w:cs="Microsoft YaHei" w:hint="eastAsia"/>
                <w:lang w:eastAsia="zh-CN"/>
              </w:rPr>
              <w:t>概述</w:t>
            </w:r>
            <w:r w:rsidRPr="00771787">
              <w:rPr>
                <w:rFonts w:ascii="SimSun" w:hAnsi="SimSun" w:cs="Microsoft YaHei" w:hint="eastAsia"/>
                <w:lang w:eastAsia="zh-CN"/>
              </w:rPr>
              <w:t>了此次审查的结果，并为每个组织提出了建议。</w:t>
            </w:r>
          </w:p>
          <w:p w14:paraId="6C395EEB" w14:textId="77777777" w:rsidR="00B40A53" w:rsidRPr="003C2E37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14:paraId="6FFB5B2C" w14:textId="59220A93" w:rsidR="00B40A53" w:rsidRPr="008418F5" w:rsidRDefault="006038B9" w:rsidP="00B40A53">
            <w:pPr>
              <w:pStyle w:val="BodyTextIndent3"/>
              <w:spacing w:before="120"/>
              <w:ind w:firstLineChars="200" w:firstLine="440"/>
              <w:textAlignment w:val="baseline"/>
              <w:rPr>
                <w:sz w:val="24"/>
                <w:szCs w:val="22"/>
                <w:lang w:val="en-GB"/>
              </w:rPr>
            </w:pPr>
            <w:r w:rsidRPr="00D856C9">
              <w:rPr>
                <w:rFonts w:hint="eastAsia"/>
              </w:rPr>
              <w:t>请</w:t>
            </w:r>
            <w:r>
              <w:rPr>
                <w:rFonts w:hint="eastAsia"/>
              </w:rPr>
              <w:t>理事会</w:t>
            </w:r>
            <w:r w:rsidR="00771787">
              <w:rPr>
                <w:rFonts w:hint="eastAsia"/>
                <w:b/>
                <w:bCs/>
              </w:rPr>
              <w:t>批准</w:t>
            </w:r>
            <w:r w:rsidRPr="00D856C9">
              <w:rPr>
                <w:rFonts w:hint="eastAsia"/>
              </w:rPr>
              <w:t>秘书长的建议。</w:t>
            </w:r>
          </w:p>
          <w:p w14:paraId="18E5A64A" w14:textId="77777777" w:rsidR="00B40A53" w:rsidRDefault="00B40A53">
            <w:pPr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14:paraId="3D292FBD" w14:textId="77777777" w:rsidR="009164A9" w:rsidRPr="008418F5" w:rsidRDefault="009164A9" w:rsidP="003C2E37">
            <w:pPr>
              <w:pStyle w:val="Headingb"/>
              <w:rPr>
                <w:lang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bookmarkStart w:id="3" w:name="lt_pId021"/>
          <w:p w14:paraId="70192ABE" w14:textId="622F29F3" w:rsidR="00B40A53" w:rsidRPr="008418F5" w:rsidRDefault="00833170" w:rsidP="009164A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2"/>
                <w:lang w:eastAsia="zh-CN"/>
              </w:rPr>
            </w:pPr>
            <w:r w:rsidRPr="00452138">
              <w:rPr>
                <w:rFonts w:asciiTheme="minorHAnsi" w:eastAsia="STKaiti" w:hAnsiTheme="minorHAnsi" w:cstheme="minorHAnsi"/>
                <w:caps/>
                <w:szCs w:val="22"/>
                <w:lang w:eastAsia="zh-CN"/>
              </w:rPr>
              <w:fldChar w:fldCharType="begin"/>
            </w:r>
            <w:r w:rsidRPr="00452138">
              <w:rPr>
                <w:rFonts w:asciiTheme="minorHAnsi" w:eastAsia="STKaiti" w:hAnsiTheme="minorHAnsi" w:cstheme="minorHAnsi"/>
                <w:caps/>
                <w:szCs w:val="22"/>
                <w:lang w:eastAsia="zh-CN"/>
              </w:rPr>
              <w:instrText xml:space="preserve"> HYPERLINK "http://www.itu.int/itudoc/gs/council/c00/docs/28rev1.html" </w:instrText>
            </w:r>
            <w:r w:rsidRPr="00452138">
              <w:rPr>
                <w:rFonts w:asciiTheme="minorHAnsi" w:eastAsia="STKaiti" w:hAnsiTheme="minorHAnsi" w:cstheme="minorHAnsi"/>
                <w:caps/>
                <w:szCs w:val="22"/>
                <w:lang w:eastAsia="zh-CN"/>
              </w:rPr>
            </w:r>
            <w:r w:rsidRPr="00452138">
              <w:rPr>
                <w:rFonts w:asciiTheme="minorHAnsi" w:eastAsia="STKaiti" w:hAnsiTheme="minorHAnsi" w:cstheme="minorHAnsi"/>
                <w:caps/>
                <w:szCs w:val="22"/>
                <w:lang w:eastAsia="zh-CN"/>
              </w:rPr>
              <w:fldChar w:fldCharType="separate"/>
            </w:r>
            <w:r w:rsidRPr="00452138">
              <w:rPr>
                <w:rStyle w:val="Hyperlink"/>
                <w:rFonts w:asciiTheme="minorHAnsi" w:eastAsia="STKaiti" w:hAnsiTheme="minorHAnsi" w:cstheme="minorHAnsi"/>
                <w:caps/>
                <w:szCs w:val="22"/>
                <w:lang w:eastAsia="zh-CN"/>
              </w:rPr>
              <w:t>C2000/28(Rev.1)</w:t>
            </w:r>
            <w:r w:rsidRPr="00452138">
              <w:rPr>
                <w:rStyle w:val="Hyperlink"/>
                <w:rFonts w:asciiTheme="minorHAnsi" w:eastAsia="STKaiti" w:hAnsiTheme="minorHAnsi" w:cstheme="minorHAnsi"/>
                <w:caps/>
                <w:szCs w:val="22"/>
                <w:lang w:eastAsia="zh-CN"/>
              </w:rPr>
              <w:t>号文件</w:t>
            </w:r>
            <w:r w:rsidRPr="00452138">
              <w:rPr>
                <w:rFonts w:asciiTheme="minorHAnsi" w:eastAsia="STKaiti" w:hAnsiTheme="minorHAnsi" w:cstheme="minorHAnsi"/>
                <w:caps/>
                <w:szCs w:val="22"/>
                <w:lang w:eastAsia="zh-CN"/>
              </w:rPr>
              <w:fldChar w:fldCharType="end"/>
            </w:r>
            <w:r w:rsidRPr="00452138">
              <w:rPr>
                <w:rFonts w:asciiTheme="minorHAnsi" w:eastAsia="STKaiti" w:hAnsiTheme="minorHAnsi" w:cstheme="minorHAnsi"/>
                <w:caps/>
                <w:szCs w:val="22"/>
                <w:lang w:eastAsia="zh-CN"/>
              </w:rPr>
              <w:t>、</w:t>
            </w:r>
            <w:hyperlink r:id="rId9" w:history="1">
              <w:r w:rsidRPr="00452138">
                <w:rPr>
                  <w:rStyle w:val="Hyperlink"/>
                  <w:rFonts w:asciiTheme="minorHAnsi" w:eastAsia="STKaiti" w:hAnsiTheme="minorHAnsi" w:cstheme="minorHAnsi"/>
                  <w:caps/>
                  <w:szCs w:val="22"/>
                  <w:lang w:eastAsia="zh-CN"/>
                </w:rPr>
                <w:t>理事会第</w:t>
              </w:r>
              <w:r w:rsidRPr="00452138">
                <w:rPr>
                  <w:rStyle w:val="Hyperlink"/>
                  <w:rFonts w:asciiTheme="minorHAnsi" w:eastAsia="STKaiti" w:hAnsiTheme="minorHAnsi" w:cstheme="minorHAnsi"/>
                  <w:caps/>
                  <w:szCs w:val="22"/>
                  <w:lang w:eastAsia="zh-CN"/>
                </w:rPr>
                <w:t>925</w:t>
              </w:r>
              <w:r w:rsidRPr="00452138">
                <w:rPr>
                  <w:rStyle w:val="Hyperlink"/>
                  <w:rFonts w:asciiTheme="minorHAnsi" w:eastAsia="STKaiti" w:hAnsiTheme="minorHAnsi" w:cstheme="minorHAnsi"/>
                  <w:caps/>
                  <w:szCs w:val="22"/>
                  <w:lang w:eastAsia="zh-CN"/>
                </w:rPr>
                <w:t>号决议</w:t>
              </w:r>
            </w:hyperlink>
            <w:r w:rsidRPr="00452138">
              <w:rPr>
                <w:rFonts w:asciiTheme="minorHAnsi" w:eastAsia="STKaiti" w:hAnsiTheme="minorHAnsi" w:cstheme="minorHAnsi"/>
                <w:caps/>
                <w:szCs w:val="22"/>
                <w:lang w:eastAsia="zh-CN"/>
              </w:rPr>
              <w:t>、</w:t>
            </w:r>
            <w:r w:rsidR="00443251">
              <w:rPr>
                <w:rFonts w:asciiTheme="minorHAnsi" w:eastAsia="STKaiti" w:hAnsiTheme="minorHAnsi" w:cstheme="minorHAnsi"/>
                <w:caps/>
                <w:szCs w:val="22"/>
                <w:lang w:eastAsia="zh-CN"/>
              </w:rPr>
              <w:br/>
            </w:r>
            <w:hyperlink r:id="rId10" w:history="1">
              <w:r w:rsidRPr="00452138">
                <w:rPr>
                  <w:rStyle w:val="Hyperlink"/>
                  <w:rFonts w:asciiTheme="minorHAnsi" w:eastAsia="STKaiti" w:hAnsiTheme="minorHAnsi" w:cstheme="minorHAnsi"/>
                  <w:caps/>
                  <w:szCs w:val="22"/>
                  <w:lang w:eastAsia="zh-CN"/>
                </w:rPr>
                <w:t>理事会免予缴费标准（</w:t>
              </w:r>
              <w:r w:rsidRPr="00452138">
                <w:rPr>
                  <w:rStyle w:val="Hyperlink"/>
                  <w:rFonts w:asciiTheme="minorHAnsi" w:eastAsia="STKaiti" w:hAnsiTheme="minorHAnsi" w:cstheme="minorHAnsi"/>
                  <w:caps/>
                  <w:szCs w:val="22"/>
                  <w:lang w:eastAsia="zh-CN"/>
                </w:rPr>
                <w:t>2017</w:t>
              </w:r>
              <w:r w:rsidRPr="00452138">
                <w:rPr>
                  <w:rStyle w:val="Hyperlink"/>
                  <w:rFonts w:asciiTheme="minorHAnsi" w:eastAsia="STKaiti" w:hAnsiTheme="minorHAnsi" w:cstheme="minorHAnsi"/>
                  <w:caps/>
                  <w:szCs w:val="22"/>
                  <w:lang w:eastAsia="zh-CN"/>
                </w:rPr>
                <w:t>年，修订版）</w:t>
              </w:r>
            </w:hyperlink>
            <w:bookmarkEnd w:id="3"/>
          </w:p>
        </w:tc>
      </w:tr>
    </w:tbl>
    <w:p w14:paraId="0BD854BD" w14:textId="77777777" w:rsidR="0042680C" w:rsidRDefault="0042680C" w:rsidP="0042680C">
      <w:pPr>
        <w:rPr>
          <w:lang w:eastAsia="zh-CN"/>
        </w:rPr>
      </w:pPr>
      <w:r>
        <w:rPr>
          <w:lang w:eastAsia="zh-CN"/>
        </w:rPr>
        <w:br w:type="page"/>
      </w:r>
    </w:p>
    <w:p w14:paraId="053790CF" w14:textId="77777777" w:rsidR="00AE195F" w:rsidRPr="002B2582" w:rsidRDefault="0042680C" w:rsidP="002B2582">
      <w:pPr>
        <w:pStyle w:val="Heading1"/>
        <w:rPr>
          <w:lang w:eastAsia="zh-CN"/>
        </w:rPr>
      </w:pPr>
      <w:r w:rsidRPr="002B2582">
        <w:rPr>
          <w:lang w:eastAsia="zh-CN"/>
        </w:rPr>
        <w:lastRenderedPageBreak/>
        <w:t>1</w:t>
      </w:r>
      <w:r w:rsidRPr="002B2582">
        <w:rPr>
          <w:lang w:eastAsia="zh-CN"/>
        </w:rPr>
        <w:tab/>
      </w:r>
      <w:r w:rsidRPr="002B2582">
        <w:rPr>
          <w:rFonts w:hint="eastAsia"/>
          <w:lang w:eastAsia="zh-CN"/>
        </w:rPr>
        <w:t>背景</w:t>
      </w:r>
    </w:p>
    <w:p w14:paraId="3FBB06E1" w14:textId="72ED65A1" w:rsidR="00DD3674" w:rsidRPr="006214B8" w:rsidRDefault="00DD3674" w:rsidP="00DD3674">
      <w:pPr>
        <w:spacing w:after="120"/>
        <w:jc w:val="both"/>
        <w:rPr>
          <w:rFonts w:eastAsia="Calibri" w:cs="Calibri"/>
          <w:lang w:eastAsia="zh-CN"/>
        </w:rPr>
      </w:pPr>
      <w:r w:rsidRPr="006214B8">
        <w:rPr>
          <w:rFonts w:eastAsia="Calibri" w:cs="Calibri"/>
          <w:lang w:eastAsia="zh-CN"/>
        </w:rPr>
        <w:t>1.1</w:t>
      </w:r>
      <w:r w:rsidRPr="006214B8">
        <w:rPr>
          <w:rFonts w:eastAsia="Calibri" w:cs="Calibri"/>
          <w:lang w:eastAsia="zh-CN"/>
        </w:rPr>
        <w:tab/>
      </w:r>
      <w:bookmarkStart w:id="4" w:name="lt_pId032"/>
      <w:r w:rsidRPr="00DD3674">
        <w:rPr>
          <w:rFonts w:cs="Calibri" w:hint="eastAsia"/>
          <w:lang w:eastAsia="zh-CN"/>
        </w:rPr>
        <w:t>目前，会费</w:t>
      </w:r>
      <w:r w:rsidR="001F7108">
        <w:rPr>
          <w:rFonts w:cs="Calibri" w:hint="eastAsia"/>
          <w:lang w:eastAsia="zh-CN"/>
        </w:rPr>
        <w:t>豁免</w:t>
      </w:r>
      <w:r w:rsidRPr="00DD3674">
        <w:rPr>
          <w:rFonts w:cs="Calibri" w:hint="eastAsia"/>
          <w:lang w:eastAsia="zh-CN"/>
        </w:rPr>
        <w:t>的国际性组织有</w:t>
      </w:r>
      <w:r w:rsidRPr="00DD3674">
        <w:rPr>
          <w:rFonts w:cs="Calibri"/>
          <w:lang w:eastAsia="zh-CN"/>
        </w:rPr>
        <w:t>13</w:t>
      </w:r>
      <w:r w:rsidR="00BA5449">
        <w:rPr>
          <w:rFonts w:cs="Calibri"/>
          <w:lang w:eastAsia="zh-CN"/>
        </w:rPr>
        <w:t>2</w:t>
      </w:r>
      <w:r w:rsidRPr="00DD3674">
        <w:rPr>
          <w:rFonts w:cs="Calibri" w:hint="eastAsia"/>
          <w:lang w:eastAsia="zh-CN"/>
        </w:rPr>
        <w:t>个。完整名单可</w:t>
      </w:r>
      <w:r w:rsidR="003C4304">
        <w:rPr>
          <w:rFonts w:cs="Calibri" w:hint="eastAsia"/>
          <w:lang w:eastAsia="zh-CN"/>
        </w:rPr>
        <w:t>查看</w:t>
      </w:r>
      <w:hyperlink r:id="rId11" w:history="1">
        <w:r w:rsidRPr="00DD3674">
          <w:rPr>
            <w:rStyle w:val="Hyperlink"/>
            <w:rFonts w:cs="Calibri" w:hint="eastAsia"/>
            <w:lang w:eastAsia="zh-CN"/>
          </w:rPr>
          <w:t>此处</w:t>
        </w:r>
      </w:hyperlink>
      <w:r w:rsidRPr="00DD3674">
        <w:rPr>
          <w:rFonts w:cs="Calibri" w:hint="eastAsia"/>
          <w:lang w:eastAsia="zh-CN"/>
        </w:rPr>
        <w:t>。</w:t>
      </w:r>
      <w:bookmarkEnd w:id="4"/>
    </w:p>
    <w:p w14:paraId="0503A9A1" w14:textId="6BBBF325" w:rsidR="00DD3674" w:rsidRPr="006214B8" w:rsidRDefault="00DD3674" w:rsidP="00DD3674">
      <w:pPr>
        <w:spacing w:after="120"/>
        <w:jc w:val="both"/>
        <w:rPr>
          <w:rFonts w:eastAsia="Calibri" w:cs="Calibri"/>
          <w:lang w:eastAsia="zh-CN"/>
        </w:rPr>
      </w:pPr>
      <w:r w:rsidRPr="006214B8">
        <w:rPr>
          <w:rFonts w:eastAsia="Calibri" w:cs="Calibri"/>
          <w:lang w:eastAsia="zh-CN"/>
        </w:rPr>
        <w:t>1.2</w:t>
      </w:r>
      <w:r w:rsidRPr="006214B8">
        <w:rPr>
          <w:lang w:eastAsia="zh-CN"/>
        </w:rPr>
        <w:tab/>
      </w:r>
      <w:r w:rsidR="00BA5449">
        <w:rPr>
          <w:rFonts w:cs="Calibri" w:hint="eastAsia"/>
          <w:lang w:eastAsia="zh-CN"/>
        </w:rPr>
        <w:t>在</w:t>
      </w:r>
      <w:r w:rsidRPr="00DD3674">
        <w:rPr>
          <w:rFonts w:cs="Calibri" w:hint="eastAsia"/>
          <w:lang w:eastAsia="zh-CN"/>
        </w:rPr>
        <w:t>第</w:t>
      </w:r>
      <w:r w:rsidRPr="00DD3674">
        <w:rPr>
          <w:rFonts w:cs="Calibri"/>
          <w:lang w:eastAsia="zh-CN"/>
        </w:rPr>
        <w:t>187</w:t>
      </w:r>
      <w:r w:rsidRPr="00DD3674">
        <w:rPr>
          <w:rFonts w:cs="Calibri" w:hint="eastAsia"/>
          <w:lang w:eastAsia="zh-CN"/>
        </w:rPr>
        <w:t>号决议（</w:t>
      </w:r>
      <w:r w:rsidRPr="00DD3674">
        <w:rPr>
          <w:rFonts w:cs="Calibri"/>
          <w:lang w:eastAsia="zh-CN"/>
        </w:rPr>
        <w:t>2014</w:t>
      </w:r>
      <w:r w:rsidRPr="00DD3674">
        <w:rPr>
          <w:rFonts w:cs="Calibri" w:hint="eastAsia"/>
          <w:lang w:eastAsia="zh-CN"/>
        </w:rPr>
        <w:t>年，釜山）</w:t>
      </w:r>
      <w:r w:rsidR="00BA5449">
        <w:rPr>
          <w:rFonts w:cs="Calibri" w:hint="eastAsia"/>
          <w:lang w:eastAsia="zh-CN"/>
        </w:rPr>
        <w:t>中，</w:t>
      </w:r>
      <w:proofErr w:type="gramStart"/>
      <w:r w:rsidR="00BA5449">
        <w:rPr>
          <w:rFonts w:cs="Calibri" w:hint="eastAsia"/>
          <w:lang w:eastAsia="zh-CN"/>
        </w:rPr>
        <w:t>全权代表大会</w:t>
      </w:r>
      <w:r w:rsidRPr="00DD3674">
        <w:rPr>
          <w:rFonts w:cs="Calibri" w:hint="eastAsia"/>
          <w:lang w:eastAsia="zh-CN"/>
        </w:rPr>
        <w:t>责成理事会“</w:t>
      </w:r>
      <w:proofErr w:type="gramEnd"/>
      <w:r w:rsidRPr="00DD3674">
        <w:rPr>
          <w:rFonts w:cs="Calibri" w:hint="eastAsia"/>
          <w:lang w:eastAsia="zh-CN"/>
        </w:rPr>
        <w:t>审议免予实体缴纳成员会费的做法和标准，并在必要时进行修订，以收紧资格标准，从而有助于更明确、更一致、更公平地体现付费成员和非付费成员之间的区别，并减少免缴会费实体的总数”。</w:t>
      </w:r>
    </w:p>
    <w:p w14:paraId="788F2854" w14:textId="7289EBB3" w:rsidR="00DD3674" w:rsidRPr="006214B8" w:rsidRDefault="00DD3674" w:rsidP="00DD3674">
      <w:pPr>
        <w:spacing w:after="120"/>
        <w:jc w:val="both"/>
        <w:rPr>
          <w:rFonts w:eastAsia="Calibri" w:cs="Calibri"/>
          <w:lang w:eastAsia="zh-CN"/>
        </w:rPr>
      </w:pPr>
      <w:r w:rsidRPr="006214B8">
        <w:rPr>
          <w:rFonts w:eastAsia="Calibri" w:cs="Calibri"/>
          <w:lang w:eastAsia="zh-CN"/>
        </w:rPr>
        <w:t>1.3</w:t>
      </w:r>
      <w:r w:rsidRPr="006214B8">
        <w:rPr>
          <w:lang w:eastAsia="zh-CN"/>
        </w:rPr>
        <w:tab/>
      </w:r>
      <w:r w:rsidR="00BA5449">
        <w:rPr>
          <w:rFonts w:hint="eastAsia"/>
          <w:lang w:eastAsia="zh-CN"/>
        </w:rPr>
        <w:t>理事会</w:t>
      </w:r>
      <w:r w:rsidR="00BA5449">
        <w:rPr>
          <w:rFonts w:hint="eastAsia"/>
          <w:lang w:eastAsia="zh-CN"/>
        </w:rPr>
        <w:t>2</w:t>
      </w:r>
      <w:r w:rsidR="00BA5449">
        <w:rPr>
          <w:lang w:eastAsia="zh-CN"/>
        </w:rPr>
        <w:t>017</w:t>
      </w:r>
      <w:r w:rsidR="00BA5449">
        <w:rPr>
          <w:rFonts w:hint="eastAsia"/>
          <w:lang w:eastAsia="zh-CN"/>
        </w:rPr>
        <w:t>年会议（</w:t>
      </w:r>
      <w:r w:rsidRPr="006214B8">
        <w:rPr>
          <w:rFonts w:eastAsia="Calibri" w:cs="Calibri"/>
          <w:spacing w:val="2"/>
          <w:lang w:eastAsia="zh-CN"/>
        </w:rPr>
        <w:t>Council</w:t>
      </w:r>
      <w:r>
        <w:rPr>
          <w:rFonts w:eastAsia="Calibri" w:cs="Calibri"/>
          <w:spacing w:val="2"/>
          <w:lang w:eastAsia="zh-CN"/>
        </w:rPr>
        <w:t>-</w:t>
      </w:r>
      <w:r w:rsidRPr="006214B8">
        <w:rPr>
          <w:rFonts w:eastAsia="Calibri" w:cs="Calibri"/>
          <w:spacing w:val="2"/>
          <w:lang w:eastAsia="zh-CN"/>
        </w:rPr>
        <w:t>17</w:t>
      </w:r>
      <w:r w:rsidR="00BA5449" w:rsidRPr="00BA5449">
        <w:rPr>
          <w:rFonts w:ascii="SimSun" w:hAnsi="SimSun" w:cs="Microsoft YaHei" w:hint="eastAsia"/>
          <w:spacing w:val="2"/>
          <w:lang w:eastAsia="zh-CN"/>
        </w:rPr>
        <w:t>）</w:t>
      </w:r>
      <w:r w:rsidR="00BA5449">
        <w:rPr>
          <w:rFonts w:ascii="SimSun" w:hAnsi="SimSun" w:cs="Microsoft YaHei" w:hint="eastAsia"/>
          <w:spacing w:val="2"/>
          <w:lang w:eastAsia="zh-CN"/>
        </w:rPr>
        <w:t>批准了经修订的会费豁免标准。完整标准可</w:t>
      </w:r>
      <w:r w:rsidR="003C4304">
        <w:rPr>
          <w:rFonts w:ascii="SimSun" w:hAnsi="SimSun" w:cs="Microsoft YaHei" w:hint="eastAsia"/>
          <w:spacing w:val="2"/>
          <w:lang w:eastAsia="zh-CN"/>
        </w:rPr>
        <w:t>查看</w:t>
      </w:r>
      <w:hyperlink r:id="rId12">
        <w:r w:rsidR="00BA5449">
          <w:rPr>
            <w:color w:val="0000FF"/>
            <w:spacing w:val="2"/>
            <w:u w:val="single"/>
            <w:lang w:eastAsia="zh-CN"/>
          </w:rPr>
          <w:t>此处</w:t>
        </w:r>
      </w:hyperlink>
      <w:r w:rsidR="00BA5449" w:rsidRPr="00BA5449">
        <w:rPr>
          <w:rFonts w:ascii="SimSun" w:hAnsi="SimSun" w:cs="Microsoft YaHei" w:hint="eastAsia"/>
          <w:lang w:eastAsia="zh-CN"/>
        </w:rPr>
        <w:t>。</w:t>
      </w:r>
      <w:r w:rsidR="00BA5449">
        <w:rPr>
          <w:rFonts w:ascii="SimSun" w:hAnsi="SimSun" w:cs="Microsoft YaHei" w:hint="eastAsia"/>
          <w:lang w:eastAsia="zh-CN"/>
        </w:rPr>
        <w:t>附件</w:t>
      </w:r>
      <w:r w:rsidR="00BA5449" w:rsidRPr="00BA5449">
        <w:rPr>
          <w:rFonts w:asciiTheme="minorHAnsi" w:hAnsiTheme="minorHAnsi" w:cstheme="minorHAnsi"/>
          <w:lang w:eastAsia="zh-CN"/>
        </w:rPr>
        <w:t>1</w:t>
      </w:r>
      <w:r w:rsidR="00BA5449">
        <w:rPr>
          <w:rFonts w:ascii="SimSun" w:hAnsi="SimSun" w:cs="Microsoft YaHei" w:hint="eastAsia"/>
          <w:lang w:eastAsia="zh-CN"/>
        </w:rPr>
        <w:t>总结了这些标准。</w:t>
      </w:r>
    </w:p>
    <w:p w14:paraId="270B0A1D" w14:textId="560B7D07" w:rsidR="00DD3674" w:rsidRPr="006214B8" w:rsidRDefault="00DD3674" w:rsidP="00DD3674">
      <w:pPr>
        <w:spacing w:after="120"/>
        <w:jc w:val="both"/>
        <w:rPr>
          <w:rFonts w:eastAsia="Calibri" w:cs="Calibri"/>
          <w:lang w:eastAsia="zh-CN"/>
        </w:rPr>
      </w:pPr>
      <w:r w:rsidRPr="006214B8">
        <w:rPr>
          <w:rFonts w:eastAsia="Calibri" w:cs="Calibri"/>
          <w:lang w:eastAsia="zh-CN"/>
        </w:rPr>
        <w:t>1.4</w:t>
      </w:r>
      <w:r w:rsidRPr="006214B8">
        <w:rPr>
          <w:lang w:eastAsia="zh-CN"/>
        </w:rPr>
        <w:tab/>
      </w:r>
      <w:r w:rsidR="00D00203" w:rsidRPr="001A4943">
        <w:rPr>
          <w:rFonts w:ascii="SimSun" w:hAnsi="SimSun" w:cs="SimSun" w:hint="eastAsia"/>
          <w:lang w:eastAsia="zh-CN"/>
        </w:rPr>
        <w:t>理事会在</w:t>
      </w:r>
      <w:r w:rsidR="00D00203" w:rsidRPr="001A4943">
        <w:rPr>
          <w:rFonts w:eastAsia="Calibri" w:cs="Calibri" w:hint="eastAsia"/>
          <w:lang w:eastAsia="zh-CN"/>
        </w:rPr>
        <w:t>2019</w:t>
      </w:r>
      <w:r w:rsidR="00D00203" w:rsidRPr="001A4943">
        <w:rPr>
          <w:rFonts w:ascii="SimSun" w:hAnsi="SimSun" w:cs="SimSun" w:hint="eastAsia"/>
          <w:lang w:eastAsia="zh-CN"/>
        </w:rPr>
        <w:t>年会议上决定将</w:t>
      </w:r>
      <w:r w:rsidR="00D00203">
        <w:rPr>
          <w:rFonts w:ascii="SimSun" w:hAnsi="SimSun" w:cs="SimSun" w:hint="eastAsia"/>
          <w:lang w:eastAsia="zh-CN"/>
        </w:rPr>
        <w:t>经</w:t>
      </w:r>
      <w:r w:rsidR="00D00203" w:rsidRPr="001A4943">
        <w:rPr>
          <w:rFonts w:ascii="SimSun" w:hAnsi="SimSun" w:cs="SimSun" w:hint="eastAsia"/>
          <w:lang w:eastAsia="zh-CN"/>
        </w:rPr>
        <w:t>修订的标准适用于新的申请，并将现有名单</w:t>
      </w:r>
      <w:r w:rsidR="00D00203">
        <w:rPr>
          <w:rFonts w:ascii="SimSun" w:hAnsi="SimSun" w:cs="SimSun" w:hint="eastAsia"/>
          <w:lang w:eastAsia="zh-CN"/>
        </w:rPr>
        <w:t>再保留</w:t>
      </w:r>
      <w:r w:rsidR="00D00203" w:rsidRPr="001A4943">
        <w:rPr>
          <w:rFonts w:ascii="SimSun" w:hAnsi="SimSun" w:cs="SimSun" w:hint="eastAsia"/>
          <w:lang w:eastAsia="zh-CN"/>
        </w:rPr>
        <w:t>四年（</w:t>
      </w:r>
      <w:proofErr w:type="gramStart"/>
      <w:r w:rsidR="00D00203" w:rsidRPr="001A4943">
        <w:rPr>
          <w:rFonts w:ascii="SimSun" w:hAnsi="SimSun" w:cs="SimSun" w:hint="eastAsia"/>
          <w:lang w:eastAsia="zh-CN"/>
        </w:rPr>
        <w:t>即</w:t>
      </w:r>
      <w:r w:rsidR="00D00203">
        <w:rPr>
          <w:rFonts w:asciiTheme="minorEastAsia" w:eastAsiaTheme="minorEastAsia" w:hAnsiTheme="minorEastAsia" w:cs="Calibri" w:hint="eastAsia"/>
          <w:lang w:eastAsia="zh-CN"/>
        </w:rPr>
        <w:t>“</w:t>
      </w:r>
      <w:proofErr w:type="gramEnd"/>
      <w:r w:rsidR="00D00203">
        <w:rPr>
          <w:rFonts w:asciiTheme="minorEastAsia" w:eastAsiaTheme="minorEastAsia" w:hAnsiTheme="minorEastAsia" w:cs="Calibri" w:hint="eastAsia"/>
          <w:lang w:eastAsia="zh-CN"/>
        </w:rPr>
        <w:t>祖父”条款</w:t>
      </w:r>
      <w:r w:rsidR="00D00203" w:rsidRPr="001A4943">
        <w:rPr>
          <w:rFonts w:ascii="SimSun" w:hAnsi="SimSun" w:cs="SimSun" w:hint="eastAsia"/>
          <w:lang w:eastAsia="zh-CN"/>
        </w:rPr>
        <w:t>），作为一项过渡性措施。</w:t>
      </w:r>
    </w:p>
    <w:p w14:paraId="6D8FCE14" w14:textId="2678CF58" w:rsidR="00DD3674" w:rsidRPr="00FE1747" w:rsidRDefault="00DD3674" w:rsidP="00DD3674">
      <w:pPr>
        <w:overflowPunct/>
        <w:autoSpaceDE/>
        <w:autoSpaceDN/>
        <w:adjustRightInd/>
        <w:spacing w:after="120"/>
        <w:jc w:val="both"/>
        <w:textAlignment w:val="auto"/>
        <w:rPr>
          <w:rFonts w:ascii="SimSun" w:hAnsi="SimSun"/>
          <w:bCs/>
          <w:lang w:eastAsia="zh-CN"/>
        </w:rPr>
      </w:pPr>
      <w:r w:rsidRPr="006214B8">
        <w:rPr>
          <w:rFonts w:eastAsia="Calibri" w:cs="Calibri"/>
          <w:lang w:eastAsia="zh-CN"/>
        </w:rPr>
        <w:t>1.5</w:t>
      </w:r>
      <w:r w:rsidRPr="006214B8">
        <w:rPr>
          <w:lang w:eastAsia="zh-CN"/>
        </w:rPr>
        <w:tab/>
      </w:r>
      <w:r w:rsidR="003C4304" w:rsidRPr="003C4304">
        <w:rPr>
          <w:rFonts w:ascii="SimSun" w:hAnsi="SimSun" w:cs="Microsoft YaHei" w:hint="eastAsia"/>
          <w:lang w:eastAsia="zh-CN"/>
        </w:rPr>
        <w:t>秘书处</w:t>
      </w:r>
      <w:r w:rsidR="003C4304">
        <w:rPr>
          <w:rFonts w:ascii="SimSun" w:hAnsi="SimSun" w:cs="Microsoft YaHei" w:hint="eastAsia"/>
          <w:lang w:eastAsia="zh-CN"/>
        </w:rPr>
        <w:t>完整</w:t>
      </w:r>
      <w:r w:rsidR="003C4304" w:rsidRPr="003C4304">
        <w:rPr>
          <w:rFonts w:ascii="SimSun" w:hAnsi="SimSun" w:cs="Microsoft YaHei" w:hint="eastAsia"/>
          <w:lang w:eastAsia="zh-CN"/>
        </w:rPr>
        <w:t>审查了豁免</w:t>
      </w:r>
      <w:r w:rsidR="003C4304">
        <w:rPr>
          <w:rFonts w:ascii="SimSun" w:hAnsi="SimSun" w:cs="Microsoft YaHei" w:hint="eastAsia"/>
          <w:lang w:eastAsia="zh-CN"/>
        </w:rPr>
        <w:t>会费的</w:t>
      </w:r>
      <w:r w:rsidR="003C4304" w:rsidRPr="003C4304">
        <w:rPr>
          <w:rFonts w:ascii="SimSun" w:hAnsi="SimSun" w:cs="Microsoft YaHei" w:hint="eastAsia"/>
          <w:lang w:eastAsia="zh-CN"/>
        </w:rPr>
        <w:t>组织名单，以评估它们是否符合修订后的标准。本报告概述了本次审查的结果，包括每个组织的状</w:t>
      </w:r>
      <w:r w:rsidR="00A868AD">
        <w:rPr>
          <w:rFonts w:ascii="SimSun" w:hAnsi="SimSun" w:cs="Microsoft YaHei" w:hint="eastAsia"/>
          <w:lang w:eastAsia="zh-CN"/>
        </w:rPr>
        <w:t>态</w:t>
      </w:r>
      <w:r w:rsidR="003C4304" w:rsidRPr="003C4304">
        <w:rPr>
          <w:rFonts w:ascii="SimSun" w:hAnsi="SimSun" w:cs="Microsoft YaHei" w:hint="eastAsia"/>
          <w:lang w:eastAsia="zh-CN"/>
        </w:rPr>
        <w:t>以及秘书长根据</w:t>
      </w:r>
      <w:r w:rsidR="003C4304">
        <w:rPr>
          <w:rFonts w:ascii="SimSun" w:hAnsi="SimSun" w:cs="Microsoft YaHei" w:hint="eastAsia"/>
          <w:lang w:eastAsia="zh-CN"/>
        </w:rPr>
        <w:t>每个组织符合</w:t>
      </w:r>
      <w:r w:rsidR="003C4304" w:rsidRPr="003C4304">
        <w:rPr>
          <w:rFonts w:ascii="SimSun" w:hAnsi="SimSun" w:cs="Microsoft YaHei" w:hint="eastAsia"/>
          <w:lang w:eastAsia="zh-CN"/>
        </w:rPr>
        <w:t>标准的情况和互惠承诺，</w:t>
      </w:r>
      <w:r w:rsidR="003C4304">
        <w:rPr>
          <w:rFonts w:ascii="SimSun" w:hAnsi="SimSun" w:cs="Microsoft YaHei" w:hint="eastAsia"/>
          <w:lang w:eastAsia="zh-CN"/>
        </w:rPr>
        <w:t>对每个组织是否</w:t>
      </w:r>
      <w:r w:rsidR="003C4304" w:rsidRPr="003C4304">
        <w:rPr>
          <w:rFonts w:ascii="SimSun" w:hAnsi="SimSun" w:cs="Microsoft YaHei" w:hint="eastAsia"/>
          <w:lang w:eastAsia="zh-CN"/>
        </w:rPr>
        <w:t>可能延长豁免</w:t>
      </w:r>
      <w:r w:rsidR="00A868AD">
        <w:rPr>
          <w:rFonts w:ascii="SimSun" w:hAnsi="SimSun" w:cs="Microsoft YaHei" w:hint="eastAsia"/>
          <w:lang w:eastAsia="zh-CN"/>
        </w:rPr>
        <w:t>状态</w:t>
      </w:r>
      <w:r w:rsidR="003C4304">
        <w:rPr>
          <w:rFonts w:ascii="SimSun" w:hAnsi="SimSun" w:cs="Microsoft YaHei" w:hint="eastAsia"/>
          <w:lang w:eastAsia="zh-CN"/>
        </w:rPr>
        <w:t>提出</w:t>
      </w:r>
      <w:r w:rsidR="003C4304" w:rsidRPr="003C4304">
        <w:rPr>
          <w:rFonts w:ascii="SimSun" w:hAnsi="SimSun" w:cs="Microsoft YaHei" w:hint="eastAsia"/>
          <w:lang w:eastAsia="zh-CN"/>
        </w:rPr>
        <w:t>的建议</w:t>
      </w:r>
      <w:r w:rsidR="003C4304">
        <w:rPr>
          <w:rFonts w:ascii="SimSun" w:hAnsi="SimSun" w:cs="Microsoft YaHei" w:hint="eastAsia"/>
          <w:lang w:eastAsia="zh-CN"/>
        </w:rPr>
        <w:t>。</w:t>
      </w:r>
    </w:p>
    <w:p w14:paraId="40E1C369" w14:textId="395BF90F" w:rsidR="00DD3674" w:rsidRPr="002B2582" w:rsidRDefault="00DD3674" w:rsidP="002B2582">
      <w:pPr>
        <w:pStyle w:val="Heading1"/>
        <w:rPr>
          <w:lang w:eastAsia="zh-CN"/>
        </w:rPr>
      </w:pPr>
      <w:r w:rsidRPr="002B2582">
        <w:rPr>
          <w:lang w:eastAsia="zh-CN"/>
        </w:rPr>
        <w:t>2</w:t>
      </w:r>
      <w:r w:rsidRPr="002B2582">
        <w:rPr>
          <w:lang w:eastAsia="zh-CN"/>
        </w:rPr>
        <w:tab/>
      </w:r>
      <w:r w:rsidR="00CA2BB8" w:rsidRPr="002B2582">
        <w:rPr>
          <w:rFonts w:hint="eastAsia"/>
          <w:lang w:eastAsia="zh-CN"/>
        </w:rPr>
        <w:t>审查流程</w:t>
      </w:r>
    </w:p>
    <w:p w14:paraId="30126D96" w14:textId="7693929E" w:rsidR="00DD3674" w:rsidRPr="006214B8" w:rsidRDefault="00DD3674" w:rsidP="00DD3674">
      <w:pPr>
        <w:keepNext/>
        <w:keepLines/>
        <w:spacing w:after="120"/>
        <w:jc w:val="both"/>
        <w:rPr>
          <w:lang w:eastAsia="zh-CN"/>
        </w:rPr>
      </w:pPr>
      <w:r w:rsidRPr="006214B8">
        <w:rPr>
          <w:lang w:eastAsia="zh-CN"/>
        </w:rPr>
        <w:t>2.1</w:t>
      </w:r>
      <w:r w:rsidR="0056259C">
        <w:rPr>
          <w:lang w:eastAsia="zh-CN"/>
        </w:rPr>
        <w:tab/>
      </w:r>
      <w:r w:rsidR="004B04F3" w:rsidRPr="004B04F3">
        <w:rPr>
          <w:rFonts w:hint="eastAsia"/>
          <w:lang w:eastAsia="zh-CN"/>
        </w:rPr>
        <w:t>2021</w:t>
      </w:r>
      <w:r w:rsidR="004B04F3">
        <w:rPr>
          <w:rFonts w:hint="eastAsia"/>
          <w:lang w:eastAsia="zh-CN"/>
        </w:rPr>
        <w:t>年</w:t>
      </w:r>
      <w:r w:rsidR="004B04F3" w:rsidRPr="004B04F3">
        <w:rPr>
          <w:rFonts w:hint="eastAsia"/>
          <w:lang w:eastAsia="zh-CN"/>
        </w:rPr>
        <w:t>10</w:t>
      </w:r>
      <w:r w:rsidR="004B04F3" w:rsidRPr="004B04F3">
        <w:rPr>
          <w:rFonts w:hint="eastAsia"/>
          <w:lang w:eastAsia="zh-CN"/>
        </w:rPr>
        <w:t>月</w:t>
      </w:r>
      <w:r w:rsidR="004B04F3" w:rsidRPr="004B04F3">
        <w:rPr>
          <w:rFonts w:hint="eastAsia"/>
          <w:lang w:eastAsia="zh-CN"/>
        </w:rPr>
        <w:t>11</w:t>
      </w:r>
      <w:r w:rsidR="004B04F3" w:rsidRPr="004B04F3">
        <w:rPr>
          <w:rFonts w:hint="eastAsia"/>
          <w:lang w:eastAsia="zh-CN"/>
        </w:rPr>
        <w:t>日，秘书长致函目前享受</w:t>
      </w:r>
      <w:r w:rsidR="004B04F3">
        <w:rPr>
          <w:rFonts w:hint="eastAsia"/>
          <w:lang w:eastAsia="zh-CN"/>
        </w:rPr>
        <w:t>会</w:t>
      </w:r>
      <w:r w:rsidR="004B04F3" w:rsidRPr="004B04F3">
        <w:rPr>
          <w:rFonts w:hint="eastAsia"/>
          <w:lang w:eastAsia="zh-CN"/>
        </w:rPr>
        <w:t>费豁免的</w:t>
      </w:r>
      <w:r w:rsidR="004B04F3">
        <w:rPr>
          <w:rFonts w:hint="eastAsia"/>
          <w:lang w:eastAsia="zh-CN"/>
        </w:rPr>
        <w:t>全部</w:t>
      </w:r>
      <w:r w:rsidR="004B04F3" w:rsidRPr="004B04F3">
        <w:rPr>
          <w:rFonts w:hint="eastAsia"/>
          <w:lang w:eastAsia="zh-CN"/>
        </w:rPr>
        <w:t>132</w:t>
      </w:r>
      <w:r w:rsidR="004B04F3" w:rsidRPr="004B04F3">
        <w:rPr>
          <w:rFonts w:hint="eastAsia"/>
          <w:lang w:eastAsia="zh-CN"/>
        </w:rPr>
        <w:t>个国际性组织（</w:t>
      </w:r>
      <w:r w:rsidR="001F2AD9">
        <w:fldChar w:fldCharType="begin"/>
      </w:r>
      <w:r w:rsidR="001F2AD9">
        <w:rPr>
          <w:lang w:eastAsia="zh-CN"/>
        </w:rPr>
        <w:instrText xml:space="preserve"> HYPERLINK "https://www.itu.int/md/S21-DM-CIR-01023/en" \h </w:instrText>
      </w:r>
      <w:r w:rsidR="001F2AD9">
        <w:fldChar w:fldCharType="separate"/>
      </w:r>
      <w:r w:rsidR="004B04F3" w:rsidRPr="006214B8">
        <w:rPr>
          <w:color w:val="0000FF"/>
          <w:u w:val="single"/>
          <w:lang w:eastAsia="zh-CN"/>
        </w:rPr>
        <w:t>DM 21/1023</w:t>
      </w:r>
      <w:r w:rsidR="001F2AD9">
        <w:rPr>
          <w:color w:val="0000FF"/>
          <w:u w:val="single"/>
          <w:lang w:eastAsia="zh-CN"/>
        </w:rPr>
        <w:fldChar w:fldCharType="end"/>
      </w:r>
      <w:r w:rsidR="004B04F3" w:rsidRPr="004B04F3">
        <w:rPr>
          <w:rFonts w:hint="eastAsia"/>
          <w:lang w:eastAsia="zh-CN"/>
        </w:rPr>
        <w:t>），要求它们确认是否希望在互惠的前提下将豁免状态延长至</w:t>
      </w:r>
      <w:r w:rsidR="004B04F3" w:rsidRPr="004B04F3">
        <w:rPr>
          <w:rFonts w:hint="eastAsia"/>
          <w:lang w:eastAsia="zh-CN"/>
        </w:rPr>
        <w:t>2024-27</w:t>
      </w:r>
      <w:r w:rsidR="004B04F3" w:rsidRPr="004B04F3">
        <w:rPr>
          <w:rFonts w:hint="eastAsia"/>
          <w:lang w:eastAsia="zh-CN"/>
        </w:rPr>
        <w:t>年</w:t>
      </w:r>
      <w:r w:rsidR="004B04F3">
        <w:rPr>
          <w:rFonts w:hint="eastAsia"/>
          <w:lang w:eastAsia="zh-CN"/>
        </w:rPr>
        <w:t>周期</w:t>
      </w:r>
      <w:r w:rsidR="004B04F3" w:rsidRPr="004B04F3">
        <w:rPr>
          <w:rFonts w:hint="eastAsia"/>
          <w:lang w:eastAsia="zh-CN"/>
        </w:rPr>
        <w:t>，并提供最新信息。</w:t>
      </w:r>
      <w:r w:rsidR="004B04F3">
        <w:rPr>
          <w:rFonts w:hint="eastAsia"/>
          <w:lang w:eastAsia="zh-CN"/>
        </w:rPr>
        <w:t>告知</w:t>
      </w:r>
      <w:r w:rsidR="004B04F3" w:rsidRPr="004B04F3">
        <w:rPr>
          <w:rFonts w:hint="eastAsia"/>
          <w:lang w:eastAsia="zh-CN"/>
        </w:rPr>
        <w:t>这些组织，理事会于</w:t>
      </w:r>
      <w:r w:rsidR="004B04F3" w:rsidRPr="004B04F3">
        <w:rPr>
          <w:rFonts w:hint="eastAsia"/>
          <w:lang w:eastAsia="zh-CN"/>
        </w:rPr>
        <w:t>2017</w:t>
      </w:r>
      <w:r w:rsidR="004B04F3" w:rsidRPr="004B04F3">
        <w:rPr>
          <w:rFonts w:hint="eastAsia"/>
          <w:lang w:eastAsia="zh-CN"/>
        </w:rPr>
        <w:t>年修订了标准，并要求</w:t>
      </w:r>
      <w:r w:rsidR="004B04F3">
        <w:rPr>
          <w:rFonts w:hint="eastAsia"/>
          <w:lang w:eastAsia="zh-CN"/>
        </w:rPr>
        <w:t>它们</w:t>
      </w:r>
      <w:r w:rsidR="004B04F3" w:rsidRPr="004B04F3">
        <w:rPr>
          <w:rFonts w:hint="eastAsia"/>
          <w:lang w:eastAsia="zh-CN"/>
        </w:rPr>
        <w:t>提供证明其符合</w:t>
      </w:r>
      <w:r w:rsidR="004B04F3">
        <w:rPr>
          <w:rFonts w:hint="eastAsia"/>
          <w:lang w:eastAsia="zh-CN"/>
        </w:rPr>
        <w:t>经</w:t>
      </w:r>
      <w:r w:rsidR="004B04F3" w:rsidRPr="004B04F3">
        <w:rPr>
          <w:rFonts w:hint="eastAsia"/>
          <w:lang w:eastAsia="zh-CN"/>
        </w:rPr>
        <w:t>修订</w:t>
      </w:r>
      <w:r w:rsidR="004B04F3">
        <w:rPr>
          <w:rFonts w:hint="eastAsia"/>
          <w:lang w:eastAsia="zh-CN"/>
        </w:rPr>
        <w:t>的</w:t>
      </w:r>
      <w:r w:rsidR="004B04F3" w:rsidRPr="004B04F3">
        <w:rPr>
          <w:rFonts w:hint="eastAsia"/>
          <w:lang w:eastAsia="zh-CN"/>
        </w:rPr>
        <w:t>标准的信息。秘书处于</w:t>
      </w:r>
      <w:r w:rsidR="004B04F3" w:rsidRPr="004B04F3">
        <w:rPr>
          <w:rFonts w:hint="eastAsia"/>
          <w:lang w:eastAsia="zh-CN"/>
        </w:rPr>
        <w:t>2021</w:t>
      </w:r>
      <w:r w:rsidR="004B04F3">
        <w:rPr>
          <w:rFonts w:hint="eastAsia"/>
          <w:lang w:eastAsia="zh-CN"/>
        </w:rPr>
        <w:t>年</w:t>
      </w:r>
      <w:r w:rsidR="004B04F3" w:rsidRPr="004B04F3">
        <w:rPr>
          <w:rFonts w:hint="eastAsia"/>
          <w:lang w:eastAsia="zh-CN"/>
        </w:rPr>
        <w:t>11</w:t>
      </w:r>
      <w:r w:rsidR="004B04F3" w:rsidRPr="004B04F3">
        <w:rPr>
          <w:rFonts w:hint="eastAsia"/>
          <w:lang w:eastAsia="zh-CN"/>
        </w:rPr>
        <w:t>月</w:t>
      </w:r>
      <w:r w:rsidR="004B04F3" w:rsidRPr="004B04F3">
        <w:rPr>
          <w:rFonts w:hint="eastAsia"/>
          <w:lang w:eastAsia="zh-CN"/>
        </w:rPr>
        <w:t>3</w:t>
      </w:r>
      <w:r w:rsidR="004B04F3" w:rsidRPr="004B04F3">
        <w:rPr>
          <w:rFonts w:hint="eastAsia"/>
          <w:lang w:eastAsia="zh-CN"/>
        </w:rPr>
        <w:t>日发送了一封提醒电子邮件。</w:t>
      </w:r>
    </w:p>
    <w:p w14:paraId="4E02D02F" w14:textId="54D39699" w:rsidR="00DD3674" w:rsidRPr="006214B8" w:rsidRDefault="00DD3674" w:rsidP="00DD3674">
      <w:pPr>
        <w:keepNext/>
        <w:keepLines/>
        <w:spacing w:after="120"/>
        <w:jc w:val="both"/>
        <w:rPr>
          <w:lang w:eastAsia="zh-CN"/>
        </w:rPr>
      </w:pPr>
      <w:r w:rsidRPr="006214B8">
        <w:rPr>
          <w:lang w:eastAsia="zh-CN"/>
        </w:rPr>
        <w:t>2.2</w:t>
      </w:r>
      <w:r w:rsidRPr="006214B8">
        <w:rPr>
          <w:lang w:eastAsia="zh-CN"/>
        </w:rPr>
        <w:tab/>
        <w:t>2022</w:t>
      </w:r>
      <w:r w:rsidR="004B04F3">
        <w:rPr>
          <w:rFonts w:hint="eastAsia"/>
          <w:lang w:eastAsia="zh-CN"/>
        </w:rPr>
        <w:t>年</w:t>
      </w:r>
      <w:r w:rsidR="004B04F3">
        <w:rPr>
          <w:rFonts w:hint="eastAsia"/>
          <w:lang w:eastAsia="zh-CN"/>
        </w:rPr>
        <w:t>3</w:t>
      </w:r>
      <w:r w:rsidR="004B04F3">
        <w:rPr>
          <w:rFonts w:hint="eastAsia"/>
          <w:lang w:eastAsia="zh-CN"/>
        </w:rPr>
        <w:t>月</w:t>
      </w:r>
      <w:r w:rsidR="004B04F3">
        <w:rPr>
          <w:rFonts w:hint="eastAsia"/>
          <w:lang w:eastAsia="zh-CN"/>
        </w:rPr>
        <w:t>4</w:t>
      </w:r>
      <w:r w:rsidR="004B04F3">
        <w:rPr>
          <w:rFonts w:hint="eastAsia"/>
          <w:lang w:eastAsia="zh-CN"/>
        </w:rPr>
        <w:t>日，</w:t>
      </w:r>
      <w:r w:rsidR="004B04F3" w:rsidRPr="004B04F3">
        <w:rPr>
          <w:rFonts w:hint="eastAsia"/>
          <w:lang w:eastAsia="zh-CN"/>
        </w:rPr>
        <w:t>秘书长向每一</w:t>
      </w:r>
      <w:r w:rsidR="00244366">
        <w:rPr>
          <w:rFonts w:hint="eastAsia"/>
          <w:lang w:eastAsia="zh-CN"/>
        </w:rPr>
        <w:t>个</w:t>
      </w:r>
      <w:r w:rsidR="004B04F3" w:rsidRPr="004B04F3">
        <w:rPr>
          <w:rFonts w:hint="eastAsia"/>
          <w:lang w:eastAsia="zh-CN"/>
        </w:rPr>
        <w:t>没有答复的</w:t>
      </w:r>
      <w:r w:rsidR="00244366">
        <w:rPr>
          <w:rFonts w:hint="eastAsia"/>
          <w:lang w:eastAsia="zh-CN"/>
        </w:rPr>
        <w:t>组织</w:t>
      </w:r>
      <w:r w:rsidR="004B04F3" w:rsidRPr="004B04F3">
        <w:rPr>
          <w:rFonts w:hint="eastAsia"/>
          <w:lang w:eastAsia="zh-CN"/>
        </w:rPr>
        <w:t>发出了一封</w:t>
      </w:r>
      <w:r w:rsidR="00244366" w:rsidRPr="004B04F3">
        <w:rPr>
          <w:rFonts w:hint="eastAsia"/>
          <w:lang w:eastAsia="zh-CN"/>
        </w:rPr>
        <w:t>最后</w:t>
      </w:r>
      <w:r w:rsidR="00244366">
        <w:rPr>
          <w:rFonts w:hint="eastAsia"/>
          <w:lang w:eastAsia="zh-CN"/>
        </w:rPr>
        <w:t>跟进</w:t>
      </w:r>
      <w:r w:rsidR="004B04F3" w:rsidRPr="004B04F3">
        <w:rPr>
          <w:rFonts w:hint="eastAsia"/>
          <w:lang w:eastAsia="zh-CN"/>
        </w:rPr>
        <w:t>信</w:t>
      </w:r>
      <w:r w:rsidR="00244366">
        <w:rPr>
          <w:rFonts w:hint="eastAsia"/>
          <w:lang w:eastAsia="zh-CN"/>
        </w:rPr>
        <w:t>函</w:t>
      </w:r>
      <w:r w:rsidR="004B04F3" w:rsidRPr="004B04F3">
        <w:rPr>
          <w:rFonts w:hint="eastAsia"/>
          <w:lang w:eastAsia="zh-CN"/>
        </w:rPr>
        <w:t>，表示如果秘书处在</w:t>
      </w:r>
      <w:r w:rsidR="004B04F3" w:rsidRPr="004B04F3">
        <w:rPr>
          <w:rFonts w:hint="eastAsia"/>
          <w:lang w:eastAsia="zh-CN"/>
        </w:rPr>
        <w:t>2022</w:t>
      </w:r>
      <w:r w:rsidR="004B04F3" w:rsidRPr="004B04F3">
        <w:rPr>
          <w:rFonts w:hint="eastAsia"/>
          <w:lang w:eastAsia="zh-CN"/>
        </w:rPr>
        <w:t>年</w:t>
      </w:r>
      <w:r w:rsidR="004B04F3" w:rsidRPr="004B04F3">
        <w:rPr>
          <w:rFonts w:hint="eastAsia"/>
          <w:lang w:eastAsia="zh-CN"/>
        </w:rPr>
        <w:t>4</w:t>
      </w:r>
      <w:r w:rsidR="004B04F3" w:rsidRPr="004B04F3">
        <w:rPr>
          <w:rFonts w:hint="eastAsia"/>
          <w:lang w:eastAsia="zh-CN"/>
        </w:rPr>
        <w:t>月</w:t>
      </w:r>
      <w:r w:rsidR="004B04F3" w:rsidRPr="004B04F3">
        <w:rPr>
          <w:rFonts w:hint="eastAsia"/>
          <w:lang w:eastAsia="zh-CN"/>
        </w:rPr>
        <w:t>4</w:t>
      </w:r>
      <w:r w:rsidR="004B04F3" w:rsidRPr="004B04F3">
        <w:rPr>
          <w:rFonts w:hint="eastAsia"/>
          <w:lang w:eastAsia="zh-CN"/>
        </w:rPr>
        <w:t>日之前没有收到答复，国际电联将认为没有答复</w:t>
      </w:r>
      <w:r w:rsidR="00244366">
        <w:rPr>
          <w:rFonts w:hint="eastAsia"/>
          <w:lang w:eastAsia="zh-CN"/>
        </w:rPr>
        <w:t>即</w:t>
      </w:r>
      <w:r w:rsidR="004B04F3" w:rsidRPr="004B04F3">
        <w:rPr>
          <w:rFonts w:hint="eastAsia"/>
          <w:lang w:eastAsia="zh-CN"/>
        </w:rPr>
        <w:t>意味着不希望请求延长其豁免</w:t>
      </w:r>
      <w:r w:rsidR="00244366">
        <w:rPr>
          <w:rFonts w:hint="eastAsia"/>
          <w:lang w:eastAsia="zh-CN"/>
        </w:rPr>
        <w:t>状态</w:t>
      </w:r>
      <w:r w:rsidR="004B04F3" w:rsidRPr="004B04F3">
        <w:rPr>
          <w:rFonts w:hint="eastAsia"/>
          <w:lang w:eastAsia="zh-CN"/>
        </w:rPr>
        <w:t>。</w:t>
      </w:r>
    </w:p>
    <w:p w14:paraId="5CF979DB" w14:textId="1E44350D" w:rsidR="00DD3674" w:rsidRPr="002B2582" w:rsidRDefault="00CF21FE" w:rsidP="002B2582">
      <w:pPr>
        <w:pStyle w:val="Heading1"/>
        <w:rPr>
          <w:lang w:eastAsia="zh-CN"/>
        </w:rPr>
      </w:pPr>
      <w:r w:rsidRPr="002B2582">
        <w:rPr>
          <w:lang w:eastAsia="zh-CN"/>
        </w:rPr>
        <w:t>3</w:t>
      </w:r>
      <w:r w:rsidR="00DD3674" w:rsidRPr="002B2582">
        <w:rPr>
          <w:lang w:eastAsia="zh-CN"/>
        </w:rPr>
        <w:tab/>
      </w:r>
      <w:r w:rsidR="00CA2BB8" w:rsidRPr="002B2582">
        <w:rPr>
          <w:rFonts w:hint="eastAsia"/>
          <w:lang w:eastAsia="zh-CN"/>
        </w:rPr>
        <w:t>分析</w:t>
      </w:r>
    </w:p>
    <w:p w14:paraId="69C4BE24" w14:textId="0711913B" w:rsidR="00DD3674" w:rsidRPr="006214B8" w:rsidRDefault="00DD3674" w:rsidP="00DD3674">
      <w:pPr>
        <w:spacing w:after="120"/>
        <w:jc w:val="both"/>
        <w:rPr>
          <w:lang w:eastAsia="zh-CN"/>
        </w:rPr>
      </w:pPr>
      <w:r w:rsidRPr="006214B8">
        <w:rPr>
          <w:lang w:eastAsia="zh-CN"/>
        </w:rPr>
        <w:t>3.1</w:t>
      </w:r>
      <w:r w:rsidRPr="006214B8">
        <w:rPr>
          <w:lang w:eastAsia="zh-CN"/>
        </w:rPr>
        <w:tab/>
      </w:r>
      <w:r w:rsidR="003547C1" w:rsidRPr="003547C1">
        <w:rPr>
          <w:rFonts w:hint="eastAsia"/>
          <w:lang w:eastAsia="zh-CN"/>
        </w:rPr>
        <w:t>在上述</w:t>
      </w:r>
      <w:r w:rsidR="003547C1">
        <w:rPr>
          <w:rFonts w:hint="eastAsia"/>
          <w:lang w:eastAsia="zh-CN"/>
        </w:rPr>
        <w:t>行</w:t>
      </w:r>
      <w:r w:rsidR="003547C1" w:rsidRPr="003547C1">
        <w:rPr>
          <w:rFonts w:hint="eastAsia"/>
          <w:lang w:eastAsia="zh-CN"/>
        </w:rPr>
        <w:t>动之后，在</w:t>
      </w:r>
      <w:r w:rsidR="003547C1" w:rsidRPr="003547C1">
        <w:rPr>
          <w:rFonts w:hint="eastAsia"/>
          <w:lang w:eastAsia="zh-CN"/>
        </w:rPr>
        <w:t>132</w:t>
      </w:r>
      <w:r w:rsidR="003547C1" w:rsidRPr="003547C1">
        <w:rPr>
          <w:rFonts w:hint="eastAsia"/>
          <w:lang w:eastAsia="zh-CN"/>
        </w:rPr>
        <w:t>个</w:t>
      </w:r>
      <w:r w:rsidR="003547C1">
        <w:rPr>
          <w:rFonts w:hint="eastAsia"/>
          <w:lang w:eastAsia="zh-CN"/>
        </w:rPr>
        <w:t>豁免会费</w:t>
      </w:r>
      <w:r w:rsidR="003547C1" w:rsidRPr="003547C1">
        <w:rPr>
          <w:rFonts w:hint="eastAsia"/>
          <w:lang w:eastAsia="zh-CN"/>
        </w:rPr>
        <w:t>的组织中：</w:t>
      </w:r>
    </w:p>
    <w:p w14:paraId="3BBF6762" w14:textId="427A289D" w:rsidR="00DD3674" w:rsidRPr="00F979C6" w:rsidRDefault="005B423F" w:rsidP="00F979C6">
      <w:pPr>
        <w:pStyle w:val="enumlev1"/>
        <w:rPr>
          <w:lang w:eastAsia="zh-CN"/>
        </w:rPr>
      </w:pPr>
      <w:r w:rsidRPr="00F979C6">
        <w:rPr>
          <w:lang w:eastAsia="zh-CN"/>
        </w:rPr>
        <w:t>•</w:t>
      </w:r>
      <w:r w:rsidRPr="00F979C6">
        <w:rPr>
          <w:lang w:eastAsia="zh-CN"/>
        </w:rPr>
        <w:tab/>
      </w:r>
      <w:r w:rsidR="00DD3674" w:rsidRPr="00F979C6">
        <w:rPr>
          <w:lang w:eastAsia="zh-CN"/>
        </w:rPr>
        <w:t>84</w:t>
      </w:r>
      <w:r w:rsidR="003547C1" w:rsidRPr="00F979C6">
        <w:rPr>
          <w:rFonts w:hint="eastAsia"/>
          <w:lang w:eastAsia="zh-CN"/>
        </w:rPr>
        <w:t>个被认为符合理事会制定的标准。这些组织的名单见附件</w:t>
      </w:r>
      <w:r w:rsidR="003547C1" w:rsidRPr="00F979C6">
        <w:rPr>
          <w:rFonts w:hint="eastAsia"/>
          <w:lang w:eastAsia="zh-CN"/>
        </w:rPr>
        <w:t>2</w:t>
      </w:r>
      <w:r w:rsidR="003547C1" w:rsidRPr="00F979C6">
        <w:rPr>
          <w:rFonts w:hint="eastAsia"/>
          <w:lang w:eastAsia="zh-CN"/>
        </w:rPr>
        <w:t>。</w:t>
      </w:r>
    </w:p>
    <w:p w14:paraId="38EE018E" w14:textId="1285BA06" w:rsidR="00DD3674" w:rsidRPr="00F979C6" w:rsidRDefault="005B423F" w:rsidP="00F979C6">
      <w:pPr>
        <w:pStyle w:val="enumlev1"/>
        <w:rPr>
          <w:lang w:eastAsia="zh-CN"/>
        </w:rPr>
      </w:pPr>
      <w:r w:rsidRPr="00F979C6">
        <w:rPr>
          <w:lang w:eastAsia="zh-CN"/>
        </w:rPr>
        <w:t>•</w:t>
      </w:r>
      <w:r w:rsidRPr="00F979C6">
        <w:rPr>
          <w:lang w:eastAsia="zh-CN"/>
        </w:rPr>
        <w:tab/>
      </w:r>
      <w:r w:rsidR="00DD3674" w:rsidRPr="00F979C6">
        <w:rPr>
          <w:lang w:eastAsia="zh-CN"/>
        </w:rPr>
        <w:t>19</w:t>
      </w:r>
      <w:r w:rsidR="003547C1" w:rsidRPr="00F979C6">
        <w:rPr>
          <w:rFonts w:hint="eastAsia"/>
          <w:lang w:eastAsia="zh-CN"/>
        </w:rPr>
        <w:t>个组织请求延长其豁免状态，并提供了所需信息；但认为它们不符合其中一项或多项标准。该名单见附件</w:t>
      </w:r>
      <w:r w:rsidR="003547C1" w:rsidRPr="00F979C6">
        <w:rPr>
          <w:rFonts w:hint="eastAsia"/>
          <w:lang w:eastAsia="zh-CN"/>
        </w:rPr>
        <w:t>3</w:t>
      </w:r>
      <w:r w:rsidR="003547C1" w:rsidRPr="00F979C6">
        <w:rPr>
          <w:rFonts w:hint="eastAsia"/>
          <w:lang w:eastAsia="zh-CN"/>
        </w:rPr>
        <w:t>。</w:t>
      </w:r>
    </w:p>
    <w:p w14:paraId="1DBE6E18" w14:textId="1608C4B8" w:rsidR="00DD3674" w:rsidRPr="006214B8" w:rsidRDefault="005B423F" w:rsidP="00F979C6">
      <w:pPr>
        <w:pStyle w:val="enumlev1"/>
        <w:rPr>
          <w:rFonts w:ascii="Times New Roman" w:hAnsi="Times New Roman"/>
          <w:lang w:val="en-AU" w:eastAsia="zh-CN"/>
        </w:rPr>
      </w:pPr>
      <w:r w:rsidRPr="00F979C6">
        <w:rPr>
          <w:lang w:eastAsia="zh-CN"/>
        </w:rPr>
        <w:t>•</w:t>
      </w:r>
      <w:r w:rsidRPr="00F979C6">
        <w:rPr>
          <w:lang w:eastAsia="zh-CN"/>
        </w:rPr>
        <w:tab/>
      </w:r>
      <w:r w:rsidR="00DD3674" w:rsidRPr="00F979C6">
        <w:rPr>
          <w:lang w:eastAsia="zh-CN"/>
        </w:rPr>
        <w:t>29</w:t>
      </w:r>
      <w:r w:rsidR="009B6B54" w:rsidRPr="00F979C6">
        <w:rPr>
          <w:rFonts w:hint="eastAsia"/>
          <w:lang w:eastAsia="zh-CN"/>
        </w:rPr>
        <w:t>个</w:t>
      </w:r>
      <w:r w:rsidR="009B6B54" w:rsidRPr="009B6B54">
        <w:rPr>
          <w:rFonts w:hint="eastAsia"/>
          <w:lang w:val="en-AU" w:eastAsia="zh-CN"/>
        </w:rPr>
        <w:t>组织没有提交延长其豁免</w:t>
      </w:r>
      <w:r w:rsidR="009B6B54">
        <w:rPr>
          <w:rFonts w:hint="eastAsia"/>
          <w:lang w:val="en-AU" w:eastAsia="zh-CN"/>
        </w:rPr>
        <w:t>状态</w:t>
      </w:r>
      <w:r w:rsidR="009B6B54" w:rsidRPr="009B6B54">
        <w:rPr>
          <w:rFonts w:hint="eastAsia"/>
          <w:lang w:val="en-AU" w:eastAsia="zh-CN"/>
        </w:rPr>
        <w:t>的正式请求。该</w:t>
      </w:r>
      <w:r w:rsidR="009B6B54">
        <w:rPr>
          <w:rFonts w:hint="eastAsia"/>
          <w:lang w:val="en-AU" w:eastAsia="zh-CN"/>
        </w:rPr>
        <w:t>名</w:t>
      </w:r>
      <w:r w:rsidR="009B6B54" w:rsidRPr="009B6B54">
        <w:rPr>
          <w:rFonts w:hint="eastAsia"/>
          <w:lang w:val="en-AU" w:eastAsia="zh-CN"/>
        </w:rPr>
        <w:t>单见附件</w:t>
      </w:r>
      <w:r w:rsidR="009B6B54" w:rsidRPr="009B6B54">
        <w:rPr>
          <w:rFonts w:hint="eastAsia"/>
          <w:lang w:val="en-AU" w:eastAsia="zh-CN"/>
        </w:rPr>
        <w:t>4</w:t>
      </w:r>
      <w:r w:rsidR="009B6B54">
        <w:rPr>
          <w:rFonts w:hint="eastAsia"/>
          <w:lang w:val="en-AU" w:eastAsia="zh-CN"/>
        </w:rPr>
        <w:t>。</w:t>
      </w:r>
    </w:p>
    <w:p w14:paraId="2D924977" w14:textId="775B9C70" w:rsidR="00DD3674" w:rsidRPr="006214B8" w:rsidRDefault="00DD3674" w:rsidP="00DD3674">
      <w:pPr>
        <w:spacing w:after="120"/>
        <w:jc w:val="both"/>
        <w:rPr>
          <w:lang w:eastAsia="zh-CN"/>
        </w:rPr>
      </w:pPr>
      <w:r w:rsidRPr="006214B8">
        <w:rPr>
          <w:lang w:eastAsia="zh-CN"/>
        </w:rPr>
        <w:t>3.2</w:t>
      </w:r>
      <w:r w:rsidRPr="006214B8">
        <w:rPr>
          <w:lang w:eastAsia="zh-CN"/>
        </w:rPr>
        <w:tab/>
      </w:r>
      <w:r w:rsidR="00A868AD">
        <w:rPr>
          <w:rFonts w:hint="eastAsia"/>
          <w:lang w:eastAsia="zh-CN"/>
        </w:rPr>
        <w:t>获得</w:t>
      </w:r>
      <w:r w:rsidR="009B6B54" w:rsidRPr="009B6B54">
        <w:rPr>
          <w:rFonts w:hint="eastAsia"/>
          <w:lang w:eastAsia="zh-CN"/>
        </w:rPr>
        <w:t>理事会批准延长其豁免的组织将被告知，</w:t>
      </w:r>
      <w:r w:rsidR="009B6B54">
        <w:rPr>
          <w:rFonts w:hint="eastAsia"/>
          <w:lang w:eastAsia="zh-CN"/>
        </w:rPr>
        <w:t>它</w:t>
      </w:r>
      <w:r w:rsidR="009B6B54" w:rsidRPr="009B6B54">
        <w:rPr>
          <w:rFonts w:hint="eastAsia"/>
          <w:lang w:eastAsia="zh-CN"/>
        </w:rPr>
        <w:t>们将继续保持目前的状态，至少到</w:t>
      </w:r>
      <w:r w:rsidR="009B6B54" w:rsidRPr="009B6B54">
        <w:rPr>
          <w:rFonts w:hint="eastAsia"/>
          <w:lang w:eastAsia="zh-CN"/>
        </w:rPr>
        <w:t>2027</w:t>
      </w:r>
      <w:r w:rsidR="009B6B54" w:rsidRPr="009B6B54">
        <w:rPr>
          <w:rFonts w:hint="eastAsia"/>
          <w:lang w:eastAsia="zh-CN"/>
        </w:rPr>
        <w:t>年底。</w:t>
      </w:r>
    </w:p>
    <w:p w14:paraId="60191D4A" w14:textId="0AAC1782" w:rsidR="00DD3674" w:rsidRPr="006214B8" w:rsidRDefault="00DD3674" w:rsidP="00DD3674">
      <w:pPr>
        <w:spacing w:after="120"/>
        <w:jc w:val="both"/>
        <w:rPr>
          <w:lang w:eastAsia="zh-CN"/>
        </w:rPr>
      </w:pPr>
      <w:r w:rsidRPr="006214B8">
        <w:rPr>
          <w:lang w:eastAsia="zh-CN"/>
        </w:rPr>
        <w:t>3.3</w:t>
      </w:r>
      <w:r w:rsidRPr="006214B8">
        <w:rPr>
          <w:lang w:eastAsia="zh-CN"/>
        </w:rPr>
        <w:tab/>
      </w:r>
      <w:r w:rsidR="009B6B54" w:rsidRPr="009B6B54">
        <w:rPr>
          <w:rFonts w:hint="eastAsia"/>
          <w:lang w:eastAsia="zh-CN"/>
        </w:rPr>
        <w:t>秘书处将与未</w:t>
      </w:r>
      <w:r w:rsidR="009B6B54">
        <w:rPr>
          <w:rFonts w:hint="eastAsia"/>
          <w:lang w:eastAsia="zh-CN"/>
        </w:rPr>
        <w:t>获得</w:t>
      </w:r>
      <w:r w:rsidR="009B6B54" w:rsidRPr="009B6B54">
        <w:rPr>
          <w:rFonts w:hint="eastAsia"/>
          <w:lang w:eastAsia="zh-CN"/>
        </w:rPr>
        <w:t>理事会批准延长其豁免的组织联系，并给予其</w:t>
      </w:r>
      <w:r w:rsidR="009B6B54">
        <w:rPr>
          <w:rFonts w:hint="eastAsia"/>
          <w:lang w:eastAsia="zh-CN"/>
        </w:rPr>
        <w:t>在</w:t>
      </w:r>
      <w:r w:rsidR="009B6B54" w:rsidRPr="009B6B54">
        <w:rPr>
          <w:rFonts w:hint="eastAsia"/>
          <w:lang w:eastAsia="zh-CN"/>
        </w:rPr>
        <w:t>付费</w:t>
      </w:r>
      <w:r w:rsidR="009B6B54">
        <w:rPr>
          <w:rFonts w:hint="eastAsia"/>
          <w:lang w:eastAsia="zh-CN"/>
        </w:rPr>
        <w:t>基础上继续保留成员身份</w:t>
      </w:r>
      <w:r w:rsidR="009B6B54" w:rsidRPr="009B6B54">
        <w:rPr>
          <w:rFonts w:hint="eastAsia"/>
          <w:lang w:eastAsia="zh-CN"/>
        </w:rPr>
        <w:t>的机会。在</w:t>
      </w:r>
      <w:r w:rsidR="009B6B54" w:rsidRPr="009B6B54">
        <w:rPr>
          <w:rFonts w:hint="eastAsia"/>
          <w:lang w:eastAsia="zh-CN"/>
        </w:rPr>
        <w:t>2022</w:t>
      </w:r>
      <w:r w:rsidR="009B6B54" w:rsidRPr="009B6B54">
        <w:rPr>
          <w:rFonts w:hint="eastAsia"/>
          <w:lang w:eastAsia="zh-CN"/>
        </w:rPr>
        <w:t>年</w:t>
      </w:r>
      <w:r w:rsidR="009B6B54" w:rsidRPr="009B6B54">
        <w:rPr>
          <w:rFonts w:hint="eastAsia"/>
          <w:lang w:eastAsia="zh-CN"/>
        </w:rPr>
        <w:t>12</w:t>
      </w:r>
      <w:r w:rsidR="009B6B54" w:rsidRPr="009B6B54">
        <w:rPr>
          <w:rFonts w:hint="eastAsia"/>
          <w:lang w:eastAsia="zh-CN"/>
        </w:rPr>
        <w:t>月</w:t>
      </w:r>
      <w:r w:rsidR="009B6B54" w:rsidRPr="009B6B54">
        <w:rPr>
          <w:rFonts w:hint="eastAsia"/>
          <w:lang w:eastAsia="zh-CN"/>
        </w:rPr>
        <w:t>31</w:t>
      </w:r>
      <w:r w:rsidR="009B6B54" w:rsidRPr="009B6B54">
        <w:rPr>
          <w:rFonts w:hint="eastAsia"/>
          <w:lang w:eastAsia="zh-CN"/>
        </w:rPr>
        <w:t>日之前未确认有</w:t>
      </w:r>
      <w:r w:rsidR="009B6B54">
        <w:rPr>
          <w:rFonts w:hint="eastAsia"/>
          <w:lang w:eastAsia="zh-CN"/>
        </w:rPr>
        <w:t>意愿</w:t>
      </w:r>
      <w:r w:rsidR="009B6B54" w:rsidRPr="009B6B54">
        <w:rPr>
          <w:rFonts w:hint="eastAsia"/>
          <w:lang w:eastAsia="zh-CN"/>
        </w:rPr>
        <w:t>继续付费</w:t>
      </w:r>
      <w:r w:rsidR="009B6B54">
        <w:rPr>
          <w:rFonts w:hint="eastAsia"/>
          <w:lang w:eastAsia="zh-CN"/>
        </w:rPr>
        <w:t>保留成员身份的</w:t>
      </w:r>
      <w:r w:rsidR="009B6B54" w:rsidRPr="009B6B54">
        <w:rPr>
          <w:rFonts w:hint="eastAsia"/>
          <w:lang w:eastAsia="zh-CN"/>
        </w:rPr>
        <w:t>组织将从国际电联成员名单中删除。</w:t>
      </w:r>
    </w:p>
    <w:p w14:paraId="3E858F87" w14:textId="7B99A0E6" w:rsidR="00DD3674" w:rsidRPr="00A22E1F" w:rsidRDefault="00DD3674" w:rsidP="00DD3674">
      <w:pPr>
        <w:spacing w:after="120"/>
        <w:jc w:val="both"/>
        <w:rPr>
          <w:rFonts w:ascii="SimSun" w:hAnsi="SimSun" w:cs="Calibri"/>
          <w:color w:val="000000" w:themeColor="text1"/>
          <w:lang w:eastAsia="zh-CN"/>
        </w:rPr>
      </w:pPr>
      <w:r w:rsidRPr="006214B8">
        <w:rPr>
          <w:rFonts w:eastAsia="Calibri" w:cs="Calibri"/>
          <w:color w:val="000000" w:themeColor="text1"/>
          <w:lang w:val="en-US" w:eastAsia="zh-CN"/>
        </w:rPr>
        <w:t>3.4</w:t>
      </w:r>
      <w:r w:rsidRPr="006214B8">
        <w:rPr>
          <w:lang w:eastAsia="zh-CN"/>
        </w:rPr>
        <w:tab/>
      </w:r>
      <w:r w:rsidR="00A22E1F" w:rsidRPr="00A22E1F">
        <w:rPr>
          <w:rFonts w:ascii="SimSun" w:hAnsi="SimSun" w:cs="Microsoft YaHei" w:hint="eastAsia"/>
          <w:color w:val="000000" w:themeColor="text1"/>
          <w:lang w:val="en-US" w:eastAsia="zh-CN"/>
        </w:rPr>
        <w:t>除非理事会另有决定，否则所有实体的豁免</w:t>
      </w:r>
      <w:r w:rsidR="00A22E1F">
        <w:rPr>
          <w:rFonts w:ascii="SimSun" w:hAnsi="SimSun" w:cs="Microsoft YaHei" w:hint="eastAsia"/>
          <w:color w:val="000000" w:themeColor="text1"/>
          <w:lang w:val="en-US" w:eastAsia="zh-CN"/>
        </w:rPr>
        <w:t>状态</w:t>
      </w:r>
      <w:r w:rsidR="00A22E1F" w:rsidRPr="00A22E1F">
        <w:rPr>
          <w:rFonts w:ascii="SimSun" w:hAnsi="SimSun" w:cs="Microsoft YaHei" w:hint="eastAsia"/>
          <w:color w:val="000000" w:themeColor="text1"/>
          <w:lang w:val="en-US" w:eastAsia="zh-CN"/>
        </w:rPr>
        <w:t>将继续有效。</w:t>
      </w:r>
    </w:p>
    <w:p w14:paraId="24DFFA3F" w14:textId="694C5B03" w:rsidR="00DD3674" w:rsidRPr="002B2582" w:rsidRDefault="00DD3674" w:rsidP="002B2582">
      <w:pPr>
        <w:pStyle w:val="Heading1"/>
        <w:pageBreakBefore/>
        <w:rPr>
          <w:lang w:eastAsia="zh-CN"/>
        </w:rPr>
      </w:pPr>
      <w:r w:rsidRPr="002B2582">
        <w:rPr>
          <w:lang w:eastAsia="zh-CN"/>
        </w:rPr>
        <w:lastRenderedPageBreak/>
        <w:t>4</w:t>
      </w:r>
      <w:r w:rsidRPr="002B2582">
        <w:rPr>
          <w:lang w:eastAsia="zh-CN"/>
        </w:rPr>
        <w:tab/>
      </w:r>
      <w:r w:rsidR="00CA2BB8" w:rsidRPr="002B2582">
        <w:rPr>
          <w:rFonts w:hint="eastAsia"/>
          <w:lang w:eastAsia="zh-CN"/>
        </w:rPr>
        <w:t>建议</w:t>
      </w:r>
    </w:p>
    <w:p w14:paraId="3F901250" w14:textId="65BD3AE4" w:rsidR="00DD3674" w:rsidRPr="006214B8" w:rsidRDefault="00CA2BB8" w:rsidP="001B6689">
      <w:pPr>
        <w:spacing w:after="120"/>
        <w:ind w:firstLineChars="200" w:firstLine="480"/>
        <w:jc w:val="both"/>
        <w:rPr>
          <w:rFonts w:eastAsia="Calibri" w:cs="Calibri"/>
          <w:lang w:eastAsia="zh-CN"/>
        </w:rPr>
      </w:pPr>
      <w:r>
        <w:rPr>
          <w:rFonts w:hint="eastAsia"/>
          <w:lang w:eastAsia="zh-CN"/>
        </w:rPr>
        <w:t>秘书长建议：</w:t>
      </w:r>
    </w:p>
    <w:p w14:paraId="151B4F39" w14:textId="134A6AC6" w:rsidR="00DD3674" w:rsidRPr="00F979C6" w:rsidRDefault="0042712D" w:rsidP="009A6755">
      <w:pPr>
        <w:pStyle w:val="enumlev1"/>
        <w:tabs>
          <w:tab w:val="clear" w:pos="794"/>
          <w:tab w:val="left" w:pos="1276"/>
        </w:tabs>
        <w:rPr>
          <w:lang w:eastAsia="zh-CN"/>
        </w:rPr>
      </w:pPr>
      <w:r w:rsidRPr="00F979C6">
        <w:rPr>
          <w:rFonts w:hint="eastAsia"/>
          <w:lang w:eastAsia="zh-CN"/>
        </w:rPr>
        <w:t>1)</w:t>
      </w:r>
      <w:r w:rsidRPr="00F979C6">
        <w:rPr>
          <w:rFonts w:hint="eastAsia"/>
          <w:lang w:eastAsia="zh-CN"/>
        </w:rPr>
        <w:tab/>
      </w:r>
      <w:r w:rsidR="00A22E1F" w:rsidRPr="00F979C6">
        <w:rPr>
          <w:rFonts w:hint="eastAsia"/>
          <w:lang w:eastAsia="zh-CN"/>
        </w:rPr>
        <w:t>批准附件</w:t>
      </w:r>
      <w:r w:rsidR="00A22E1F" w:rsidRPr="00F979C6">
        <w:rPr>
          <w:rFonts w:hint="eastAsia"/>
          <w:lang w:eastAsia="zh-CN"/>
        </w:rPr>
        <w:t>2</w:t>
      </w:r>
      <w:r w:rsidR="00A22E1F" w:rsidRPr="00F979C6">
        <w:rPr>
          <w:rFonts w:hint="eastAsia"/>
          <w:lang w:eastAsia="zh-CN"/>
        </w:rPr>
        <w:t>中豁免</w:t>
      </w:r>
      <w:r w:rsidR="00A22E1F" w:rsidRPr="00F979C6">
        <w:rPr>
          <w:rFonts w:hint="eastAsia"/>
          <w:lang w:eastAsia="zh-CN"/>
        </w:rPr>
        <w:t>2024-27</w:t>
      </w:r>
      <w:r w:rsidR="00A22E1F" w:rsidRPr="00F979C6">
        <w:rPr>
          <w:rFonts w:hint="eastAsia"/>
          <w:lang w:eastAsia="zh-CN"/>
        </w:rPr>
        <w:t>年周期会费的</w:t>
      </w:r>
      <w:r w:rsidR="00A22E1F" w:rsidRPr="00F979C6">
        <w:rPr>
          <w:rFonts w:hint="eastAsia"/>
          <w:lang w:eastAsia="zh-CN"/>
        </w:rPr>
        <w:t>84</w:t>
      </w:r>
      <w:r w:rsidR="00A22E1F" w:rsidRPr="00F979C6">
        <w:rPr>
          <w:rFonts w:hint="eastAsia"/>
          <w:lang w:eastAsia="zh-CN"/>
        </w:rPr>
        <w:t>个组织名单。</w:t>
      </w:r>
    </w:p>
    <w:p w14:paraId="53BAEE1C" w14:textId="1282A139" w:rsidR="00DD3674" w:rsidRPr="00F979C6" w:rsidRDefault="0042712D" w:rsidP="009A6755">
      <w:pPr>
        <w:pStyle w:val="enumlev1"/>
        <w:tabs>
          <w:tab w:val="clear" w:pos="794"/>
          <w:tab w:val="left" w:pos="1276"/>
        </w:tabs>
        <w:rPr>
          <w:lang w:eastAsia="zh-CN"/>
        </w:rPr>
      </w:pPr>
      <w:r w:rsidRPr="00F979C6">
        <w:rPr>
          <w:rFonts w:hint="eastAsia"/>
          <w:lang w:eastAsia="zh-CN"/>
        </w:rPr>
        <w:t>2)</w:t>
      </w:r>
      <w:r w:rsidRPr="00F979C6">
        <w:rPr>
          <w:lang w:eastAsia="zh-CN"/>
        </w:rPr>
        <w:tab/>
      </w:r>
      <w:r w:rsidR="00A22E1F" w:rsidRPr="00F979C6">
        <w:rPr>
          <w:rFonts w:hint="eastAsia"/>
          <w:lang w:eastAsia="zh-CN"/>
        </w:rPr>
        <w:t>请理事会财务和人力资源工作组在其</w:t>
      </w:r>
      <w:r w:rsidR="00A22E1F" w:rsidRPr="00F979C6">
        <w:rPr>
          <w:rFonts w:hint="eastAsia"/>
          <w:lang w:eastAsia="zh-CN"/>
        </w:rPr>
        <w:t>2023</w:t>
      </w:r>
      <w:r w:rsidR="00A22E1F" w:rsidRPr="00F979C6">
        <w:rPr>
          <w:rFonts w:hint="eastAsia"/>
          <w:lang w:eastAsia="zh-CN"/>
        </w:rPr>
        <w:t>年会议上审查附件</w:t>
      </w:r>
      <w:r w:rsidR="00A22E1F" w:rsidRPr="00F979C6">
        <w:rPr>
          <w:rFonts w:hint="eastAsia"/>
          <w:lang w:eastAsia="zh-CN"/>
        </w:rPr>
        <w:t>3</w:t>
      </w:r>
      <w:r w:rsidR="00A22E1F" w:rsidRPr="00F979C6">
        <w:rPr>
          <w:rFonts w:hint="eastAsia"/>
          <w:lang w:eastAsia="zh-CN"/>
        </w:rPr>
        <w:t>所列的</w:t>
      </w:r>
      <w:r w:rsidR="00A22E1F" w:rsidRPr="00F979C6">
        <w:rPr>
          <w:rFonts w:hint="eastAsia"/>
          <w:lang w:eastAsia="zh-CN"/>
        </w:rPr>
        <w:t>19</w:t>
      </w:r>
      <w:r w:rsidR="00A22E1F" w:rsidRPr="00F979C6">
        <w:rPr>
          <w:rFonts w:hint="eastAsia"/>
          <w:lang w:eastAsia="zh-CN"/>
        </w:rPr>
        <w:t>个组织，以向理事会</w:t>
      </w:r>
      <w:r w:rsidR="00A22E1F" w:rsidRPr="00F979C6">
        <w:rPr>
          <w:rFonts w:hint="eastAsia"/>
          <w:lang w:eastAsia="zh-CN"/>
        </w:rPr>
        <w:t>2023</w:t>
      </w:r>
      <w:r w:rsidR="00A22E1F" w:rsidRPr="00F979C6">
        <w:rPr>
          <w:rFonts w:hint="eastAsia"/>
          <w:lang w:eastAsia="zh-CN"/>
        </w:rPr>
        <w:t>年会议提出建议，供其最终批准。</w:t>
      </w:r>
    </w:p>
    <w:p w14:paraId="454D8F0C" w14:textId="1F79A1D3" w:rsidR="00DD3674" w:rsidRPr="006214B8" w:rsidRDefault="0042712D" w:rsidP="009A6755">
      <w:pPr>
        <w:pStyle w:val="enumlev1"/>
        <w:tabs>
          <w:tab w:val="clear" w:pos="794"/>
          <w:tab w:val="left" w:pos="1276"/>
        </w:tabs>
        <w:rPr>
          <w:lang w:val="en-AU" w:eastAsia="zh-CN"/>
        </w:rPr>
      </w:pPr>
      <w:r w:rsidRPr="00F979C6">
        <w:rPr>
          <w:rFonts w:hint="eastAsia"/>
          <w:lang w:eastAsia="zh-CN"/>
        </w:rPr>
        <w:t>3)</w:t>
      </w:r>
      <w:r w:rsidRPr="00F979C6">
        <w:rPr>
          <w:rFonts w:hint="eastAsia"/>
          <w:lang w:eastAsia="zh-CN"/>
        </w:rPr>
        <w:tab/>
      </w:r>
      <w:r w:rsidR="00A22E1F" w:rsidRPr="00F979C6">
        <w:rPr>
          <w:rFonts w:hint="eastAsia"/>
          <w:lang w:eastAsia="zh-CN"/>
        </w:rPr>
        <w:t>不</w:t>
      </w:r>
      <w:r w:rsidR="00A22E1F" w:rsidRPr="00A22E1F">
        <w:rPr>
          <w:rFonts w:hint="eastAsia"/>
          <w:lang w:val="en-AU" w:eastAsia="zh-CN"/>
        </w:rPr>
        <w:t>延长附件</w:t>
      </w:r>
      <w:r w:rsidR="00A22E1F" w:rsidRPr="00A22E1F">
        <w:rPr>
          <w:rFonts w:hint="eastAsia"/>
          <w:lang w:val="en-AU" w:eastAsia="zh-CN"/>
        </w:rPr>
        <w:t>4</w:t>
      </w:r>
      <w:r w:rsidR="00A22E1F" w:rsidRPr="00A22E1F">
        <w:rPr>
          <w:rFonts w:hint="eastAsia"/>
          <w:lang w:val="en-AU" w:eastAsia="zh-CN"/>
        </w:rPr>
        <w:t>所列</w:t>
      </w:r>
      <w:r w:rsidR="00A22E1F" w:rsidRPr="00A22E1F">
        <w:rPr>
          <w:rFonts w:hint="eastAsia"/>
          <w:lang w:val="en-AU" w:eastAsia="zh-CN"/>
        </w:rPr>
        <w:t>29</w:t>
      </w:r>
      <w:r w:rsidR="00A22E1F" w:rsidRPr="00A22E1F">
        <w:rPr>
          <w:rFonts w:hint="eastAsia"/>
          <w:lang w:val="en-AU" w:eastAsia="zh-CN"/>
        </w:rPr>
        <w:t>个组织的</w:t>
      </w:r>
      <w:r w:rsidR="00A22E1F">
        <w:rPr>
          <w:rFonts w:hint="eastAsia"/>
          <w:lang w:val="en-AU" w:eastAsia="zh-CN"/>
        </w:rPr>
        <w:t>会</w:t>
      </w:r>
      <w:r w:rsidR="00A22E1F" w:rsidRPr="00A22E1F">
        <w:rPr>
          <w:rFonts w:hint="eastAsia"/>
          <w:lang w:val="en-AU" w:eastAsia="zh-CN"/>
        </w:rPr>
        <w:t>费豁免状态。</w:t>
      </w:r>
    </w:p>
    <w:p w14:paraId="4B75A842" w14:textId="77777777" w:rsidR="00DD3674" w:rsidRDefault="00DD3674" w:rsidP="00DD3674">
      <w:pPr>
        <w:overflowPunct/>
        <w:autoSpaceDE/>
        <w:autoSpaceDN/>
        <w:adjustRightInd/>
        <w:spacing w:before="0"/>
        <w:textAlignment w:val="auto"/>
        <w:rPr>
          <w:rFonts w:asciiTheme="minorHAnsi" w:eastAsiaTheme="minorEastAsia" w:hAnsiTheme="minorHAnsi" w:cstheme="minorBidi"/>
          <w:lang w:eastAsia="zh-CN"/>
        </w:rPr>
      </w:pPr>
      <w:r>
        <w:rPr>
          <w:rFonts w:asciiTheme="minorHAnsi" w:eastAsiaTheme="minorEastAsia" w:hAnsiTheme="minorHAnsi" w:cstheme="minorBidi"/>
          <w:lang w:eastAsia="zh-CN"/>
        </w:rPr>
        <w:br w:type="page"/>
      </w:r>
    </w:p>
    <w:p w14:paraId="7BC4D134" w14:textId="21F42F42" w:rsidR="00DD3674" w:rsidRPr="006214B8" w:rsidRDefault="00771787" w:rsidP="00DD3674">
      <w:pPr>
        <w:pStyle w:val="Annextitle"/>
        <w:rPr>
          <w:lang w:eastAsia="zh-CN"/>
        </w:rPr>
      </w:pPr>
      <w:r>
        <w:rPr>
          <w:rFonts w:hint="eastAsia"/>
          <w:bCs/>
          <w:lang w:eastAsia="zh-CN"/>
        </w:rPr>
        <w:lastRenderedPageBreak/>
        <w:t>附件</w:t>
      </w:r>
      <w:r w:rsidR="00DD3674" w:rsidRPr="006214B8">
        <w:rPr>
          <w:bCs/>
          <w:lang w:eastAsia="zh-CN"/>
        </w:rPr>
        <w:t>1</w:t>
      </w:r>
      <w:r w:rsidR="00C22A3C">
        <w:rPr>
          <w:rFonts w:hint="eastAsia"/>
          <w:bCs/>
          <w:lang w:eastAsia="zh-CN"/>
        </w:rPr>
        <w:t>：</w:t>
      </w:r>
      <w:r w:rsidR="00A868AD">
        <w:rPr>
          <w:rFonts w:hint="eastAsia"/>
          <w:lang w:eastAsia="zh-CN"/>
        </w:rPr>
        <w:t>理事会</w:t>
      </w:r>
      <w:r w:rsidR="00A868AD">
        <w:rPr>
          <w:rFonts w:hint="eastAsia"/>
          <w:lang w:eastAsia="zh-CN"/>
        </w:rPr>
        <w:t>2</w:t>
      </w:r>
      <w:r w:rsidR="00A868AD">
        <w:rPr>
          <w:lang w:eastAsia="zh-CN"/>
        </w:rPr>
        <w:t>017</w:t>
      </w:r>
      <w:r w:rsidR="00A868AD">
        <w:rPr>
          <w:rFonts w:hint="eastAsia"/>
          <w:lang w:eastAsia="zh-CN"/>
        </w:rPr>
        <w:t>年会议</w:t>
      </w:r>
      <w:r>
        <w:rPr>
          <w:rFonts w:hint="eastAsia"/>
          <w:lang w:eastAsia="zh-CN"/>
        </w:rPr>
        <w:t>批准的经修订的标准</w:t>
      </w:r>
    </w:p>
    <w:p w14:paraId="489AA0F1" w14:textId="4BC3061A" w:rsidR="00DD3674" w:rsidRPr="006214B8" w:rsidRDefault="00B5446C" w:rsidP="001B7573">
      <w:pPr>
        <w:spacing w:before="100" w:beforeAutospacing="1" w:after="100" w:afterAutospacing="1"/>
        <w:ind w:firstLineChars="200" w:firstLine="480"/>
        <w:jc w:val="both"/>
        <w:rPr>
          <w:lang w:eastAsia="zh-CN"/>
        </w:rPr>
      </w:pPr>
      <w:r w:rsidRPr="00B5446C">
        <w:rPr>
          <w:rFonts w:hint="eastAsia"/>
          <w:lang w:eastAsia="zh-CN"/>
        </w:rPr>
        <w:t>申请豁免</w:t>
      </w:r>
      <w:r>
        <w:rPr>
          <w:rFonts w:hint="eastAsia"/>
          <w:lang w:eastAsia="zh-CN"/>
        </w:rPr>
        <w:t>会费</w:t>
      </w:r>
      <w:r w:rsidRPr="00B5446C">
        <w:rPr>
          <w:rFonts w:hint="eastAsia"/>
          <w:lang w:eastAsia="zh-CN"/>
        </w:rPr>
        <w:t>的组织应符合以下所有标准：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0"/>
      </w:tblGrid>
      <w:tr w:rsidR="00DD3674" w:rsidRPr="006214B8" w14:paraId="5E3D9958" w14:textId="77777777" w:rsidTr="00443251">
        <w:tc>
          <w:tcPr>
            <w:tcW w:w="1975" w:type="dxa"/>
            <w:vAlign w:val="center"/>
          </w:tcPr>
          <w:p w14:paraId="6F1D0A80" w14:textId="2EE1D8D0" w:rsidR="00DD3674" w:rsidRPr="006214B8" w:rsidRDefault="00B5446C" w:rsidP="00443251">
            <w:pPr>
              <w:spacing w:before="840" w:beforeAutospacing="1" w:afterAutospacing="1"/>
              <w:jc w:val="center"/>
              <w:rPr>
                <w:b/>
              </w:rPr>
            </w:pPr>
            <w:r>
              <w:rPr>
                <w:rFonts w:ascii="SimSun" w:eastAsia="SimSun" w:hAnsi="SimSun" w:cs="SimSun" w:hint="eastAsia"/>
                <w:b/>
                <w:lang w:eastAsia="zh-CN"/>
              </w:rPr>
              <w:t>标准</w:t>
            </w:r>
            <w:r w:rsidR="00DD3674" w:rsidRPr="006214B8">
              <w:rPr>
                <w:b/>
              </w:rPr>
              <w:t>1</w:t>
            </w:r>
          </w:p>
        </w:tc>
        <w:tc>
          <w:tcPr>
            <w:tcW w:w="7370" w:type="dxa"/>
            <w:vAlign w:val="center"/>
          </w:tcPr>
          <w:p w14:paraId="4828BF3E" w14:textId="178F23BB" w:rsidR="00DD3674" w:rsidRPr="006214B8" w:rsidRDefault="00A80A3F" w:rsidP="00A80A3F">
            <w:pPr>
              <w:spacing w:before="100" w:beforeAutospacing="1" w:after="100" w:afterAutospacing="1"/>
              <w:rPr>
                <w:lang w:eastAsia="zh-CN"/>
              </w:rPr>
            </w:pPr>
            <w:r w:rsidRPr="00A80A3F">
              <w:rPr>
                <w:rFonts w:eastAsia="SimSun" w:hint="eastAsia"/>
                <w:lang w:eastAsia="zh-CN"/>
              </w:rPr>
              <w:t>应是一个与电信有关的国际性组织；</w:t>
            </w:r>
          </w:p>
        </w:tc>
      </w:tr>
      <w:tr w:rsidR="00DD3674" w:rsidRPr="006214B8" w14:paraId="4453B928" w14:textId="77777777" w:rsidTr="00443251">
        <w:tc>
          <w:tcPr>
            <w:tcW w:w="1975" w:type="dxa"/>
            <w:vAlign w:val="center"/>
          </w:tcPr>
          <w:p w14:paraId="7C30AD6A" w14:textId="096BC68F" w:rsidR="00DD3674" w:rsidRPr="006214B8" w:rsidRDefault="00B5446C" w:rsidP="00443251">
            <w:pPr>
              <w:spacing w:before="840" w:beforeAutospacing="1" w:afterAutospacing="1"/>
              <w:jc w:val="center"/>
              <w:rPr>
                <w:b/>
              </w:rPr>
            </w:pPr>
            <w:r>
              <w:rPr>
                <w:rFonts w:ascii="SimSun" w:eastAsia="SimSun" w:hAnsi="SimSun" w:cs="SimSun" w:hint="eastAsia"/>
                <w:b/>
                <w:lang w:eastAsia="zh-CN"/>
              </w:rPr>
              <w:t>标准</w:t>
            </w:r>
            <w:r w:rsidR="00DD3674" w:rsidRPr="006214B8">
              <w:rPr>
                <w:b/>
              </w:rPr>
              <w:t>2</w:t>
            </w:r>
          </w:p>
        </w:tc>
        <w:tc>
          <w:tcPr>
            <w:tcW w:w="7370" w:type="dxa"/>
            <w:vAlign w:val="center"/>
          </w:tcPr>
          <w:p w14:paraId="7279C3A6" w14:textId="695A70B5" w:rsidR="00DD3674" w:rsidRPr="00A80A3F" w:rsidRDefault="00A80A3F" w:rsidP="00443251">
            <w:pPr>
              <w:spacing w:before="840" w:beforeAutospacing="1" w:afterAutospacing="1"/>
              <w:rPr>
                <w:highlight w:val="green"/>
                <w:lang w:eastAsia="zh-CN"/>
              </w:rPr>
            </w:pPr>
            <w:r w:rsidRPr="00A80A3F">
              <w:rPr>
                <w:rFonts w:eastAsia="SimSun" w:hint="eastAsia"/>
                <w:lang w:eastAsia="zh-CN"/>
              </w:rPr>
              <w:t>应是一个在</w:t>
            </w:r>
            <w:r w:rsidRPr="00A80A3F">
              <w:rPr>
                <w:rFonts w:eastAsia="SimSun"/>
                <w:lang w:eastAsia="zh-CN"/>
              </w:rPr>
              <w:t>法律上得到认可的</w:t>
            </w:r>
            <w:r w:rsidRPr="00A80A3F">
              <w:rPr>
                <w:rFonts w:eastAsia="SimSun" w:hint="eastAsia"/>
                <w:lang w:eastAsia="zh-CN"/>
              </w:rPr>
              <w:t>非赢利性组织，而</w:t>
            </w:r>
            <w:r w:rsidRPr="00A80A3F">
              <w:rPr>
                <w:rFonts w:eastAsia="SimSun"/>
                <w:lang w:eastAsia="zh-CN"/>
              </w:rPr>
              <w:t>且</w:t>
            </w:r>
            <w:r w:rsidRPr="00A80A3F">
              <w:rPr>
                <w:rFonts w:eastAsia="SimSun" w:hint="eastAsia"/>
                <w:lang w:eastAsia="zh-CN"/>
              </w:rPr>
              <w:t>所</w:t>
            </w:r>
            <w:r w:rsidRPr="00A80A3F">
              <w:rPr>
                <w:rFonts w:eastAsia="SimSun"/>
                <w:lang w:eastAsia="zh-CN"/>
              </w:rPr>
              <w:t>代表</w:t>
            </w:r>
            <w:r w:rsidRPr="00A80A3F">
              <w:rPr>
                <w:rFonts w:eastAsia="SimSun" w:hint="eastAsia"/>
                <w:lang w:eastAsia="zh-CN"/>
              </w:rPr>
              <w:t>的</w:t>
            </w:r>
            <w:r w:rsidRPr="00A80A3F">
              <w:rPr>
                <w:rFonts w:eastAsia="SimSun"/>
                <w:lang w:eastAsia="zh-CN"/>
              </w:rPr>
              <w:t>成员</w:t>
            </w:r>
            <w:r w:rsidRPr="00A80A3F">
              <w:rPr>
                <w:rFonts w:eastAsia="SimSun" w:hint="eastAsia"/>
                <w:lang w:eastAsia="zh-CN"/>
              </w:rPr>
              <w:t>亦</w:t>
            </w:r>
            <w:r w:rsidRPr="00A80A3F">
              <w:rPr>
                <w:rFonts w:eastAsia="SimSun"/>
                <w:lang w:eastAsia="zh-CN"/>
              </w:rPr>
              <w:t>为非盈利成员</w:t>
            </w:r>
            <w:r w:rsidRPr="00A80A3F">
              <w:rPr>
                <w:rFonts w:eastAsia="SimSun" w:hint="eastAsia"/>
                <w:lang w:eastAsia="zh-CN"/>
              </w:rPr>
              <w:t>；</w:t>
            </w:r>
          </w:p>
        </w:tc>
      </w:tr>
      <w:tr w:rsidR="00DD3674" w:rsidRPr="006214B8" w14:paraId="2228AF7E" w14:textId="77777777" w:rsidTr="00443251">
        <w:tc>
          <w:tcPr>
            <w:tcW w:w="1975" w:type="dxa"/>
            <w:vAlign w:val="center"/>
          </w:tcPr>
          <w:p w14:paraId="5AF30520" w14:textId="7319BA63" w:rsidR="00DD3674" w:rsidRPr="006214B8" w:rsidRDefault="00B5446C" w:rsidP="00443251">
            <w:pPr>
              <w:spacing w:before="840" w:beforeAutospacing="1" w:afterAutospacing="1"/>
              <w:jc w:val="center"/>
              <w:rPr>
                <w:b/>
              </w:rPr>
            </w:pPr>
            <w:r>
              <w:rPr>
                <w:rFonts w:ascii="SimSun" w:eastAsia="SimSun" w:hAnsi="SimSun" w:cs="SimSun" w:hint="eastAsia"/>
                <w:b/>
                <w:lang w:eastAsia="zh-CN"/>
              </w:rPr>
              <w:t>标准</w:t>
            </w:r>
            <w:r w:rsidR="00DD3674" w:rsidRPr="006214B8">
              <w:rPr>
                <w:b/>
              </w:rPr>
              <w:t>3</w:t>
            </w:r>
          </w:p>
        </w:tc>
        <w:tc>
          <w:tcPr>
            <w:tcW w:w="7370" w:type="dxa"/>
            <w:vAlign w:val="center"/>
          </w:tcPr>
          <w:p w14:paraId="38189569" w14:textId="4DA2BD4C" w:rsidR="00DD3674" w:rsidRPr="00A80A3F" w:rsidRDefault="00A80A3F" w:rsidP="00443251">
            <w:pPr>
              <w:spacing w:before="840" w:beforeAutospacing="1" w:afterAutospacing="1"/>
              <w:rPr>
                <w:highlight w:val="green"/>
                <w:lang w:eastAsia="zh-CN"/>
              </w:rPr>
            </w:pPr>
            <w:r w:rsidRPr="00A80A3F">
              <w:rPr>
                <w:rFonts w:eastAsia="SimSun" w:hint="eastAsia"/>
                <w:lang w:eastAsia="zh-CN"/>
              </w:rPr>
              <w:t>在</w:t>
            </w:r>
            <w:r w:rsidRPr="00A80A3F">
              <w:rPr>
                <w:rFonts w:eastAsia="SimSun"/>
                <w:lang w:eastAsia="zh-CN"/>
              </w:rPr>
              <w:t>多个成员国有大量</w:t>
            </w:r>
            <w:r w:rsidRPr="00A80A3F">
              <w:rPr>
                <w:rFonts w:eastAsia="SimSun" w:hint="eastAsia"/>
                <w:lang w:eastAsia="zh-CN"/>
              </w:rPr>
              <w:t>成员、</w:t>
            </w:r>
            <w:r w:rsidRPr="00A80A3F">
              <w:rPr>
                <w:rFonts w:eastAsia="SimSun"/>
                <w:lang w:eastAsia="zh-CN"/>
              </w:rPr>
              <w:t>业务</w:t>
            </w:r>
            <w:r w:rsidRPr="00A80A3F">
              <w:rPr>
                <w:rFonts w:eastAsia="SimSun" w:hint="eastAsia"/>
                <w:lang w:eastAsia="zh-CN"/>
              </w:rPr>
              <w:t>和</w:t>
            </w:r>
            <w:r w:rsidRPr="00A80A3F">
              <w:rPr>
                <w:rFonts w:eastAsia="SimSun"/>
                <w:lang w:eastAsia="zh-CN"/>
              </w:rPr>
              <w:t>活动，</w:t>
            </w:r>
            <w:r w:rsidRPr="00A80A3F">
              <w:rPr>
                <w:rFonts w:eastAsia="SimSun" w:hint="eastAsia"/>
                <w:lang w:eastAsia="zh-CN"/>
              </w:rPr>
              <w:t>而</w:t>
            </w:r>
            <w:r w:rsidRPr="00A80A3F">
              <w:rPr>
                <w:rFonts w:eastAsia="SimSun"/>
                <w:lang w:eastAsia="zh-CN"/>
              </w:rPr>
              <w:t>且</w:t>
            </w:r>
            <w:r w:rsidRPr="00A80A3F">
              <w:rPr>
                <w:rFonts w:eastAsia="SimSun" w:hint="eastAsia"/>
                <w:lang w:eastAsia="zh-CN"/>
              </w:rPr>
              <w:t>该组织参与国际电联的活动有利于国</w:t>
            </w:r>
            <w:r w:rsidRPr="00A80A3F">
              <w:rPr>
                <w:rFonts w:eastAsia="SimSun"/>
                <w:lang w:eastAsia="zh-CN"/>
              </w:rPr>
              <w:t>际</w:t>
            </w:r>
            <w:r w:rsidRPr="00A80A3F">
              <w:rPr>
                <w:rFonts w:eastAsia="SimSun" w:hint="eastAsia"/>
                <w:lang w:eastAsia="zh-CN"/>
              </w:rPr>
              <w:t>电</w:t>
            </w:r>
            <w:proofErr w:type="gramStart"/>
            <w:r w:rsidRPr="00A80A3F">
              <w:rPr>
                <w:rFonts w:eastAsia="SimSun" w:hint="eastAsia"/>
                <w:lang w:eastAsia="zh-CN"/>
              </w:rPr>
              <w:t>联目标</w:t>
            </w:r>
            <w:proofErr w:type="gramEnd"/>
            <w:r w:rsidRPr="00A80A3F">
              <w:rPr>
                <w:rFonts w:eastAsia="SimSun" w:hint="eastAsia"/>
                <w:lang w:eastAsia="zh-CN"/>
              </w:rPr>
              <w:t>的实现；</w:t>
            </w:r>
          </w:p>
        </w:tc>
      </w:tr>
      <w:tr w:rsidR="00DD3674" w:rsidRPr="006214B8" w14:paraId="27D25A3F" w14:textId="77777777" w:rsidTr="00443251">
        <w:tc>
          <w:tcPr>
            <w:tcW w:w="1975" w:type="dxa"/>
            <w:vAlign w:val="center"/>
          </w:tcPr>
          <w:p w14:paraId="0DE14028" w14:textId="367EDA6B" w:rsidR="00DD3674" w:rsidRPr="006214B8" w:rsidRDefault="00B5446C" w:rsidP="00443251">
            <w:pPr>
              <w:spacing w:before="840" w:beforeAutospacing="1" w:afterAutospacing="1"/>
              <w:jc w:val="center"/>
              <w:rPr>
                <w:b/>
              </w:rPr>
            </w:pPr>
            <w:r>
              <w:rPr>
                <w:rFonts w:ascii="SimSun" w:eastAsia="SimSun" w:hAnsi="SimSun" w:cs="SimSun" w:hint="eastAsia"/>
                <w:b/>
                <w:lang w:eastAsia="zh-CN"/>
              </w:rPr>
              <w:t>标准</w:t>
            </w:r>
            <w:r w:rsidR="00DD3674" w:rsidRPr="006214B8">
              <w:rPr>
                <w:b/>
              </w:rPr>
              <w:t>4</w:t>
            </w:r>
          </w:p>
        </w:tc>
        <w:tc>
          <w:tcPr>
            <w:tcW w:w="7370" w:type="dxa"/>
            <w:vAlign w:val="center"/>
          </w:tcPr>
          <w:p w14:paraId="1566E7AB" w14:textId="7744FBE0" w:rsidR="00DD3674" w:rsidRPr="00A80A3F" w:rsidRDefault="00A80A3F" w:rsidP="00443251">
            <w:pPr>
              <w:spacing w:before="840" w:beforeAutospacing="1" w:afterAutospacing="1"/>
              <w:rPr>
                <w:highlight w:val="green"/>
                <w:lang w:eastAsia="zh-CN"/>
              </w:rPr>
            </w:pPr>
            <w:r w:rsidRPr="00A80A3F">
              <w:rPr>
                <w:rFonts w:eastAsia="SimSun" w:hint="eastAsia"/>
                <w:lang w:eastAsia="zh-CN"/>
              </w:rPr>
              <w:t>允许国际电</w:t>
            </w:r>
            <w:proofErr w:type="gramStart"/>
            <w:r w:rsidRPr="00A80A3F">
              <w:rPr>
                <w:rFonts w:eastAsia="SimSun" w:hint="eastAsia"/>
                <w:lang w:eastAsia="zh-CN"/>
              </w:rPr>
              <w:t>联代表</w:t>
            </w:r>
            <w:proofErr w:type="gramEnd"/>
            <w:r w:rsidRPr="00A80A3F">
              <w:rPr>
                <w:rFonts w:eastAsia="SimSun" w:hint="eastAsia"/>
                <w:lang w:eastAsia="zh-CN"/>
              </w:rPr>
              <w:t>免费参加其会议，并且</w:t>
            </w:r>
            <w:r w:rsidRPr="00A80A3F">
              <w:rPr>
                <w:rFonts w:eastAsia="SimSun"/>
                <w:lang w:eastAsia="zh-CN"/>
              </w:rPr>
              <w:t>拥有其成员享有的权利和利益</w:t>
            </w:r>
            <w:r w:rsidRPr="00A80A3F">
              <w:rPr>
                <w:rFonts w:eastAsia="SimSun" w:hint="eastAsia"/>
                <w:lang w:eastAsia="zh-CN"/>
              </w:rPr>
              <w:t>；</w:t>
            </w:r>
          </w:p>
        </w:tc>
      </w:tr>
      <w:tr w:rsidR="00DD3674" w:rsidRPr="006214B8" w14:paraId="634A9768" w14:textId="77777777" w:rsidTr="00443251">
        <w:tc>
          <w:tcPr>
            <w:tcW w:w="1975" w:type="dxa"/>
            <w:vAlign w:val="center"/>
          </w:tcPr>
          <w:p w14:paraId="4BDCF588" w14:textId="6B2C24DD" w:rsidR="00DD3674" w:rsidRPr="006214B8" w:rsidRDefault="00B5446C" w:rsidP="00443251">
            <w:pPr>
              <w:spacing w:before="840" w:beforeAutospacing="1" w:afterAutospacing="1"/>
              <w:jc w:val="center"/>
              <w:rPr>
                <w:b/>
              </w:rPr>
            </w:pPr>
            <w:r>
              <w:rPr>
                <w:rFonts w:ascii="SimSun" w:eastAsia="SimSun" w:hAnsi="SimSun" w:cs="SimSun" w:hint="eastAsia"/>
                <w:b/>
                <w:lang w:eastAsia="zh-CN"/>
              </w:rPr>
              <w:t>标准</w:t>
            </w:r>
            <w:r w:rsidR="00DD3674" w:rsidRPr="006214B8">
              <w:rPr>
                <w:b/>
              </w:rPr>
              <w:t>5</w:t>
            </w:r>
          </w:p>
        </w:tc>
        <w:tc>
          <w:tcPr>
            <w:tcW w:w="7370" w:type="dxa"/>
            <w:vAlign w:val="center"/>
          </w:tcPr>
          <w:p w14:paraId="76C449A8" w14:textId="692D1A03" w:rsidR="00DD3674" w:rsidRPr="00A80A3F" w:rsidRDefault="00A80A3F" w:rsidP="00443251">
            <w:pPr>
              <w:spacing w:before="840" w:beforeAutospacing="1" w:afterAutospacing="1"/>
              <w:rPr>
                <w:highlight w:val="green"/>
                <w:lang w:eastAsia="zh-CN"/>
              </w:rPr>
            </w:pPr>
            <w:r w:rsidRPr="00A80A3F">
              <w:rPr>
                <w:rFonts w:eastAsia="SimSun" w:hint="eastAsia"/>
                <w:lang w:eastAsia="zh-CN"/>
              </w:rPr>
              <w:t>允许国际电联获取其有关文件，</w:t>
            </w:r>
            <w:r w:rsidRPr="00A80A3F">
              <w:rPr>
                <w:rFonts w:eastAsia="SimSun"/>
                <w:lang w:eastAsia="zh-CN"/>
              </w:rPr>
              <w:t>包括仅为其成员提供的信息</w:t>
            </w:r>
            <w:r w:rsidRPr="00A80A3F">
              <w:rPr>
                <w:rFonts w:eastAsia="SimSun" w:hint="eastAsia"/>
                <w:lang w:eastAsia="zh-CN"/>
              </w:rPr>
              <w:t>。</w:t>
            </w:r>
          </w:p>
        </w:tc>
      </w:tr>
    </w:tbl>
    <w:p w14:paraId="3F9F67D8" w14:textId="77777777" w:rsidR="00DD3674" w:rsidRPr="006214B8" w:rsidRDefault="00DD3674" w:rsidP="00DD3674">
      <w:pPr>
        <w:spacing w:before="840"/>
        <w:rPr>
          <w:lang w:eastAsia="zh-CN"/>
        </w:rPr>
      </w:pPr>
      <w:r w:rsidRPr="006214B8">
        <w:rPr>
          <w:lang w:eastAsia="zh-CN"/>
        </w:rPr>
        <w:br w:type="page"/>
      </w:r>
    </w:p>
    <w:p w14:paraId="615F94FF" w14:textId="1DDBB9D7" w:rsidR="00DD3674" w:rsidRPr="006214B8" w:rsidRDefault="00771787" w:rsidP="00DD3674">
      <w:pPr>
        <w:pStyle w:val="Annextitle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 w:rsidR="00446836">
        <w:rPr>
          <w:bCs/>
          <w:lang w:eastAsia="zh-CN"/>
        </w:rPr>
        <w:t>2</w:t>
      </w:r>
      <w:r w:rsidR="00C22A3C">
        <w:rPr>
          <w:rFonts w:hint="eastAsia"/>
          <w:bCs/>
          <w:lang w:eastAsia="zh-CN"/>
        </w:rPr>
        <w:t>：</w:t>
      </w:r>
      <w:r w:rsidR="00C45335" w:rsidRPr="006214B8">
        <w:rPr>
          <w:lang w:eastAsia="zh-CN"/>
        </w:rPr>
        <w:t>2024-27</w:t>
      </w:r>
      <w:r w:rsidR="00C45335">
        <w:rPr>
          <w:rFonts w:hint="eastAsia"/>
          <w:lang w:eastAsia="zh-CN"/>
        </w:rPr>
        <w:t>年周期推荐豁免会费的组织名单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5836"/>
        <w:gridCol w:w="1418"/>
        <w:gridCol w:w="1106"/>
      </w:tblGrid>
      <w:tr w:rsidR="00DD3674" w:rsidRPr="006214B8" w14:paraId="493A5504" w14:textId="77777777" w:rsidTr="00443251">
        <w:trPr>
          <w:trHeight w:val="294"/>
        </w:trPr>
        <w:tc>
          <w:tcPr>
            <w:tcW w:w="985" w:type="dxa"/>
            <w:shd w:val="clear" w:color="auto" w:fill="A6A6A6" w:themeFill="background1" w:themeFillShade="A6"/>
            <w:noWrap/>
            <w:vAlign w:val="center"/>
            <w:hideMark/>
          </w:tcPr>
          <w:p w14:paraId="2AE3D813" w14:textId="1CCE160C" w:rsidR="00DD3674" w:rsidRPr="006214B8" w:rsidRDefault="00C45335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b/>
                <w:bCs/>
                <w:color w:val="000000"/>
                <w:sz w:val="20"/>
                <w:lang w:eastAsia="zh-CN"/>
              </w:rPr>
              <w:t>编号</w:t>
            </w:r>
          </w:p>
        </w:tc>
        <w:tc>
          <w:tcPr>
            <w:tcW w:w="5836" w:type="dxa"/>
            <w:shd w:val="clear" w:color="auto" w:fill="A6A6A6" w:themeFill="background1" w:themeFillShade="A6"/>
            <w:noWrap/>
            <w:vAlign w:val="center"/>
            <w:hideMark/>
          </w:tcPr>
          <w:p w14:paraId="01E517CA" w14:textId="5FAA37F4" w:rsidR="00DD3674" w:rsidRPr="006214B8" w:rsidRDefault="00C45335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b/>
                <w:bCs/>
                <w:color w:val="000000"/>
                <w:sz w:val="20"/>
                <w:lang w:eastAsia="zh-CN"/>
              </w:rPr>
              <w:t>实体名称</w:t>
            </w:r>
          </w:p>
        </w:tc>
        <w:tc>
          <w:tcPr>
            <w:tcW w:w="1418" w:type="dxa"/>
            <w:shd w:val="clear" w:color="auto" w:fill="A6A6A6" w:themeFill="background1" w:themeFillShade="A6"/>
            <w:noWrap/>
            <w:vAlign w:val="center"/>
            <w:hideMark/>
          </w:tcPr>
          <w:p w14:paraId="4CCE4D6A" w14:textId="644C7EB7" w:rsidR="00DD3674" w:rsidRPr="006214B8" w:rsidRDefault="00C45335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b/>
                <w:bCs/>
                <w:color w:val="000000"/>
                <w:sz w:val="20"/>
                <w:lang w:eastAsia="zh-CN"/>
              </w:rPr>
              <w:t>主要类别</w:t>
            </w:r>
          </w:p>
        </w:tc>
        <w:tc>
          <w:tcPr>
            <w:tcW w:w="1106" w:type="dxa"/>
            <w:shd w:val="clear" w:color="auto" w:fill="A6A6A6" w:themeFill="background1" w:themeFillShade="A6"/>
            <w:noWrap/>
            <w:vAlign w:val="center"/>
            <w:hideMark/>
          </w:tcPr>
          <w:p w14:paraId="217CBBB8" w14:textId="067D4309" w:rsidR="00DD3674" w:rsidRPr="006214B8" w:rsidRDefault="00C45335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b/>
                <w:bCs/>
                <w:color w:val="000000"/>
                <w:sz w:val="20"/>
                <w:lang w:eastAsia="zh-CN"/>
              </w:rPr>
              <w:t>部门</w:t>
            </w:r>
          </w:p>
        </w:tc>
      </w:tr>
      <w:tr w:rsidR="00DD3674" w:rsidRPr="006214B8" w14:paraId="181C177F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DDC45C1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666CEC01" w14:textId="7664A12A" w:rsidR="00DD3674" w:rsidRPr="006214B8" w:rsidRDefault="00EA6DCF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zh-CN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非洲信息社会民间团体（</w:t>
            </w:r>
            <w:r w:rsidR="00DD3674" w:rsidRPr="006214B8">
              <w:rPr>
                <w:rFonts w:cs="Calibri"/>
                <w:color w:val="000000"/>
                <w:sz w:val="20"/>
                <w:lang w:eastAsia="zh-CN"/>
              </w:rPr>
              <w:t>ACSIS</w:t>
            </w:r>
            <w:r>
              <w:rPr>
                <w:rFonts w:cs="Calibri" w:hint="eastAsia"/>
                <w:color w:val="000000"/>
                <w:sz w:val="20"/>
                <w:lang w:eastAsia="zh-CN"/>
              </w:rPr>
              <w:t>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A6DBF8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4B51B1BA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D</w:t>
            </w:r>
          </w:p>
        </w:tc>
      </w:tr>
      <w:tr w:rsidR="00DD3674" w:rsidRPr="006214B8" w14:paraId="4374A258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8BE1E55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009E6964" w14:textId="2E1F9D2E" w:rsidR="00DD3674" w:rsidRPr="006214B8" w:rsidRDefault="00EA6DCF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zh-CN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非洲网络信息中心有限公司（</w:t>
            </w:r>
            <w:r w:rsidR="00DD3674" w:rsidRPr="006214B8">
              <w:rPr>
                <w:rFonts w:cs="Calibri"/>
                <w:color w:val="000000"/>
                <w:sz w:val="20"/>
              </w:rPr>
              <w:t>AFRNIC</w:t>
            </w:r>
            <w:r>
              <w:rPr>
                <w:rFonts w:cs="Calibri" w:hint="eastAsia"/>
                <w:color w:val="000000"/>
                <w:sz w:val="20"/>
                <w:lang w:eastAsia="zh-CN"/>
              </w:rPr>
              <w:t>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3DD1E1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56A9998D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D</w:t>
            </w:r>
          </w:p>
        </w:tc>
      </w:tr>
      <w:tr w:rsidR="00DD3674" w:rsidRPr="006214B8" w14:paraId="54AF42E1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C84E7ED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3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41C266C2" w14:textId="54FBBFDD" w:rsidR="00DD3674" w:rsidRPr="006214B8" w:rsidRDefault="00EA6DCF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非洲标准化组织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ECFD76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73C481AA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T</w:t>
            </w:r>
          </w:p>
        </w:tc>
      </w:tr>
      <w:tr w:rsidR="00DD3674" w:rsidRPr="006214B8" w14:paraId="5452EB30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2A58FC6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4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04897733" w14:textId="00F3B241" w:rsidR="00DD3674" w:rsidRPr="006214B8" w:rsidRDefault="00EA6DCF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color w:val="000000"/>
                <w:sz w:val="20"/>
                <w:lang w:eastAsia="zh-CN"/>
              </w:rPr>
              <w:t>非洲电信联盟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AE91F5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4C2220D8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RTD</w:t>
            </w:r>
          </w:p>
        </w:tc>
      </w:tr>
      <w:tr w:rsidR="00DD3674" w:rsidRPr="006214B8" w14:paraId="1E4416A4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C157FC9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5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2FD3F259" w14:textId="5938846C" w:rsidR="00DD3674" w:rsidRPr="006214B8" w:rsidRDefault="00EA69BC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非洲联盟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05203D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6CB2B12E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RTD</w:t>
            </w:r>
          </w:p>
        </w:tc>
      </w:tr>
      <w:tr w:rsidR="00DD3674" w:rsidRPr="006214B8" w14:paraId="636E97EE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35255ED5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6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75B3CF44" w14:textId="417C4B5B" w:rsidR="00DD3674" w:rsidRPr="006214B8" w:rsidRDefault="00DC1C9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zh-CN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美国互联网号码注册机构（</w:t>
            </w:r>
            <w:r w:rsidR="00DD3674" w:rsidRPr="006214B8">
              <w:rPr>
                <w:rFonts w:cs="Calibri"/>
                <w:color w:val="000000"/>
                <w:sz w:val="20"/>
                <w:lang w:eastAsia="zh-CN"/>
              </w:rPr>
              <w:t>ARIN</w:t>
            </w:r>
            <w:r>
              <w:rPr>
                <w:rFonts w:cs="Calibri" w:hint="eastAsia"/>
                <w:color w:val="000000"/>
                <w:sz w:val="20"/>
                <w:lang w:eastAsia="zh-CN"/>
              </w:rPr>
              <w:t>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236542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7EF04AB2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TD</w:t>
            </w:r>
          </w:p>
        </w:tc>
      </w:tr>
      <w:tr w:rsidR="00DD3674" w:rsidRPr="006214B8" w14:paraId="4CDAE035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4C77CAD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7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1406ABF4" w14:textId="506DCBBF" w:rsidR="00DD3674" w:rsidRPr="006214B8" w:rsidRDefault="00DC1C9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zh-CN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阿拉伯信息和通信技术组织（</w:t>
            </w:r>
            <w:r w:rsidR="00DD3674" w:rsidRPr="006214B8">
              <w:rPr>
                <w:rFonts w:cs="Calibri"/>
                <w:color w:val="000000"/>
                <w:sz w:val="20"/>
                <w:lang w:eastAsia="zh-CN"/>
              </w:rPr>
              <w:t>AICTO</w:t>
            </w:r>
            <w:r>
              <w:rPr>
                <w:rFonts w:cs="Calibri" w:hint="eastAsia"/>
                <w:color w:val="000000"/>
                <w:sz w:val="20"/>
                <w:lang w:eastAsia="zh-CN"/>
              </w:rPr>
              <w:t>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FF5E78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05D80F98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RTD</w:t>
            </w:r>
          </w:p>
        </w:tc>
      </w:tr>
      <w:tr w:rsidR="00DD3674" w:rsidRPr="006214B8" w14:paraId="23ADAFA3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3D82E9E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8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17812351" w14:textId="74618035" w:rsidR="00DD3674" w:rsidRPr="006214B8" w:rsidRDefault="00DC1C9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color w:val="000000"/>
                <w:sz w:val="20"/>
                <w:lang w:eastAsia="zh-CN"/>
              </w:rPr>
              <w:t>阿拉伯监管机构网络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348B94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0ADB8C9A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RTD</w:t>
            </w:r>
          </w:p>
        </w:tc>
      </w:tr>
      <w:tr w:rsidR="00DD3674" w:rsidRPr="006214B8" w14:paraId="01A429BE" w14:textId="77777777" w:rsidTr="00443251">
        <w:trPr>
          <w:trHeight w:val="600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937C2D3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9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4B3A04D9" w14:textId="36C10707" w:rsidR="00DD3674" w:rsidRPr="006214B8" w:rsidRDefault="00DC1C9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阿拉伯国家研究和教育网络</w:t>
            </w:r>
            <w:r w:rsidR="00F442F7">
              <w:rPr>
                <w:rFonts w:cs="Calibri"/>
                <w:color w:val="000000"/>
                <w:sz w:val="20"/>
              </w:rPr>
              <w:t xml:space="preserve"> </w:t>
            </w:r>
            <w:r w:rsidR="00F442F7" w:rsidRPr="00F442F7">
              <w:rPr>
                <w:rFonts w:cs="Calibri"/>
                <w:color w:val="000000"/>
                <w:sz w:val="20"/>
              </w:rPr>
              <w:t>–</w:t>
            </w:r>
            <w:r w:rsidR="00DD3674" w:rsidRPr="006214B8">
              <w:rPr>
                <w:rFonts w:cs="Calibri"/>
                <w:color w:val="000000"/>
                <w:sz w:val="20"/>
              </w:rPr>
              <w:t xml:space="preserve"> ASREN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D8DDC4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19C04F05" w14:textId="3CFD6964" w:rsidR="00DD3674" w:rsidRPr="006214B8" w:rsidRDefault="00EA6DCF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学术成员</w:t>
            </w:r>
          </w:p>
        </w:tc>
      </w:tr>
      <w:tr w:rsidR="00DD3674" w:rsidRPr="006214B8" w14:paraId="22050064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11E216F9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10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299803BC" w14:textId="393C67A2" w:rsidR="00DD3674" w:rsidRPr="006214B8" w:rsidRDefault="00DC1C9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zh-CN"/>
              </w:rPr>
            </w:pPr>
            <w:r w:rsidRPr="00DC1C94">
              <w:rPr>
                <w:rFonts w:cs="Calibri" w:hint="eastAsia"/>
                <w:color w:val="000000"/>
                <w:sz w:val="20"/>
                <w:lang w:eastAsia="zh-CN"/>
              </w:rPr>
              <w:t>非洲和马达加斯加空中导航安全机构</w:t>
            </w:r>
            <w:r>
              <w:rPr>
                <w:rFonts w:cs="Calibri" w:hint="eastAsia"/>
                <w:color w:val="000000"/>
                <w:sz w:val="20"/>
                <w:lang w:eastAsia="zh-CN"/>
              </w:rPr>
              <w:t>（</w:t>
            </w:r>
            <w:r w:rsidR="00DD3674" w:rsidRPr="006214B8">
              <w:rPr>
                <w:rFonts w:cs="Calibri"/>
                <w:color w:val="000000"/>
                <w:sz w:val="20"/>
                <w:lang w:eastAsia="zh-CN"/>
              </w:rPr>
              <w:t>ASECNA</w:t>
            </w:r>
            <w:r>
              <w:rPr>
                <w:rFonts w:cs="Calibri" w:hint="eastAsia"/>
                <w:color w:val="000000"/>
                <w:sz w:val="20"/>
                <w:lang w:eastAsia="zh-CN"/>
              </w:rPr>
              <w:t>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D407E5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2C3FAE0D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</w:t>
            </w:r>
          </w:p>
        </w:tc>
      </w:tr>
      <w:tr w:rsidR="00DD3674" w:rsidRPr="006214B8" w14:paraId="242E5FE7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34ECC3BC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11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7A1DE11B" w14:textId="04A48DDC" w:rsidR="00DD3674" w:rsidRPr="006214B8" w:rsidRDefault="00DC1C9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zh-CN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亚太互联网络信息中心（</w:t>
            </w:r>
            <w:r w:rsidR="00DD3674" w:rsidRPr="006214B8">
              <w:rPr>
                <w:rFonts w:cs="Calibri"/>
                <w:color w:val="000000"/>
                <w:sz w:val="20"/>
                <w:lang w:eastAsia="zh-CN"/>
              </w:rPr>
              <w:t>APNIC</w:t>
            </w:r>
            <w:r>
              <w:rPr>
                <w:rFonts w:cs="Calibri" w:hint="eastAsia"/>
                <w:color w:val="000000"/>
                <w:sz w:val="20"/>
                <w:lang w:eastAsia="zh-CN"/>
              </w:rPr>
              <w:t>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51B288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443AF0A2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T</w:t>
            </w:r>
          </w:p>
        </w:tc>
      </w:tr>
      <w:tr w:rsidR="00DD3674" w:rsidRPr="006214B8" w14:paraId="11E3B2E1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221EDB9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12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0AA98CA8" w14:textId="69A32DB7" w:rsidR="00DD3674" w:rsidRPr="006214B8" w:rsidRDefault="00DC1C9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color w:val="000000"/>
                <w:sz w:val="20"/>
                <w:lang w:eastAsia="zh-CN"/>
              </w:rPr>
              <w:t>亚太广播联盟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85B038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14C62E1C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RTD</w:t>
            </w:r>
          </w:p>
        </w:tc>
      </w:tr>
      <w:tr w:rsidR="00DD3674" w:rsidRPr="006214B8" w14:paraId="3009FAAF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75218E2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13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53918A51" w14:textId="08241C53" w:rsidR="00DD3674" w:rsidRPr="006214B8" w:rsidRDefault="00DC1C9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color w:val="000000"/>
                <w:sz w:val="20"/>
                <w:lang w:eastAsia="zh-CN"/>
              </w:rPr>
              <w:t>亚太广播发展学院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7414B4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2D4AF79D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D</w:t>
            </w:r>
          </w:p>
        </w:tc>
      </w:tr>
      <w:tr w:rsidR="00DD3674" w:rsidRPr="006214B8" w14:paraId="4C7A7BD3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9E2CB58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14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5C9F922F" w14:textId="1AB6C76E" w:rsidR="00DD3674" w:rsidRPr="006214B8" w:rsidRDefault="00075B81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color w:val="000000"/>
                <w:sz w:val="20"/>
                <w:lang w:eastAsia="zh-CN"/>
              </w:rPr>
              <w:t>亚太电信组织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B7FD26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5D77801B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RTD</w:t>
            </w:r>
          </w:p>
        </w:tc>
      </w:tr>
      <w:tr w:rsidR="00DD3674" w:rsidRPr="006214B8" w14:paraId="006353FF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11ED3CB3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15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553E59D8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val="es-MX" w:eastAsia="en-GB"/>
              </w:rPr>
            </w:pPr>
            <w:r w:rsidRPr="006214B8">
              <w:rPr>
                <w:rFonts w:cs="Calibri"/>
                <w:color w:val="000000"/>
                <w:sz w:val="20"/>
                <w:lang w:val="es-MX"/>
              </w:rPr>
              <w:t>Asociación de Reguladores Administrador del Foro Latinoamericano de Entes Reguladores de Telecomunicaciones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09A3DC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10E01A72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RTD</w:t>
            </w:r>
          </w:p>
        </w:tc>
      </w:tr>
      <w:tr w:rsidR="00DD3674" w:rsidRPr="006214B8" w14:paraId="7611E2BF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D9A032C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16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1878AF44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val="es-MX" w:eastAsia="en-GB"/>
              </w:rPr>
            </w:pPr>
            <w:proofErr w:type="spellStart"/>
            <w:r w:rsidRPr="006214B8">
              <w:rPr>
                <w:rFonts w:cs="Calibri"/>
                <w:color w:val="000000"/>
                <w:sz w:val="20"/>
                <w:lang w:val="es-MX"/>
              </w:rPr>
              <w:t>Associação</w:t>
            </w:r>
            <w:proofErr w:type="spellEnd"/>
            <w:r w:rsidRPr="006214B8">
              <w:rPr>
                <w:rFonts w:cs="Calibri"/>
                <w:color w:val="000000"/>
                <w:sz w:val="20"/>
                <w:lang w:val="es-MX"/>
              </w:rPr>
              <w:t xml:space="preserve"> de Reguladores de </w:t>
            </w:r>
            <w:proofErr w:type="spellStart"/>
            <w:r w:rsidRPr="006214B8">
              <w:rPr>
                <w:rFonts w:cs="Calibri"/>
                <w:color w:val="000000"/>
                <w:sz w:val="20"/>
                <w:lang w:val="es-MX"/>
              </w:rPr>
              <w:t>Comunicações</w:t>
            </w:r>
            <w:proofErr w:type="spellEnd"/>
            <w:r w:rsidRPr="006214B8">
              <w:rPr>
                <w:rFonts w:cs="Calibri"/>
                <w:color w:val="000000"/>
                <w:sz w:val="20"/>
                <w:lang w:val="es-MX"/>
              </w:rPr>
              <w:t xml:space="preserve"> e </w:t>
            </w:r>
            <w:proofErr w:type="spellStart"/>
            <w:r w:rsidRPr="006214B8">
              <w:rPr>
                <w:rFonts w:cs="Calibri"/>
                <w:color w:val="000000"/>
                <w:sz w:val="20"/>
                <w:lang w:val="es-MX"/>
              </w:rPr>
              <w:t>Telecomunicações</w:t>
            </w:r>
            <w:proofErr w:type="spellEnd"/>
            <w:r w:rsidRPr="006214B8">
              <w:rPr>
                <w:rFonts w:cs="Calibri"/>
                <w:color w:val="000000"/>
                <w:sz w:val="20"/>
                <w:lang w:val="es-MX"/>
              </w:rPr>
              <w:t xml:space="preserve"> da </w:t>
            </w:r>
            <w:proofErr w:type="spellStart"/>
            <w:r w:rsidRPr="006214B8">
              <w:rPr>
                <w:rFonts w:cs="Calibri"/>
                <w:color w:val="000000"/>
                <w:sz w:val="20"/>
                <w:lang w:val="es-MX"/>
              </w:rPr>
              <w:t>Comunidade</w:t>
            </w:r>
            <w:proofErr w:type="spellEnd"/>
            <w:r w:rsidRPr="006214B8">
              <w:rPr>
                <w:rFonts w:cs="Calibri"/>
                <w:color w:val="000000"/>
                <w:sz w:val="20"/>
                <w:lang w:val="es-MX"/>
              </w:rPr>
              <w:t xml:space="preserve"> dos Países de </w:t>
            </w:r>
            <w:proofErr w:type="spellStart"/>
            <w:r w:rsidRPr="006214B8">
              <w:rPr>
                <w:rFonts w:cs="Calibri"/>
                <w:color w:val="000000"/>
                <w:sz w:val="20"/>
                <w:lang w:val="es-MX"/>
              </w:rPr>
              <w:t>Língua</w:t>
            </w:r>
            <w:proofErr w:type="spellEnd"/>
            <w:r w:rsidRPr="006214B8">
              <w:rPr>
                <w:rFonts w:cs="Calibri"/>
                <w:color w:val="000000"/>
                <w:sz w:val="20"/>
                <w:lang w:val="es-MX"/>
              </w:rPr>
              <w:t xml:space="preserve"> Portuguesa (ARCTEL-CPLP)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E8845D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3B2ADA9F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D</w:t>
            </w:r>
          </w:p>
        </w:tc>
      </w:tr>
      <w:tr w:rsidR="00DD3674" w:rsidRPr="006214B8" w14:paraId="419008A5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734A330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17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29652E33" w14:textId="5754CFD9" w:rsidR="00DD3674" w:rsidRPr="006214B8" w:rsidRDefault="00075B81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color w:val="000000"/>
                <w:sz w:val="20"/>
                <w:lang w:eastAsia="zh-CN"/>
              </w:rPr>
              <w:t>促进通信发展协会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AA1220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7C8626EB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RD</w:t>
            </w:r>
          </w:p>
        </w:tc>
      </w:tr>
      <w:tr w:rsidR="00DD3674" w:rsidRPr="006214B8" w14:paraId="0913C943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DA884C5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18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54FA69CF" w14:textId="4D0209E1" w:rsidR="00DD3674" w:rsidRPr="006214B8" w:rsidRDefault="00075B81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zh-CN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加勒比国家电信组织联盟（</w:t>
            </w:r>
            <w:r w:rsidR="00DD3674" w:rsidRPr="006214B8">
              <w:rPr>
                <w:rFonts w:cs="Calibri"/>
                <w:color w:val="000000"/>
                <w:sz w:val="20"/>
                <w:lang w:eastAsia="zh-CN"/>
              </w:rPr>
              <w:t>CANTO</w:t>
            </w:r>
            <w:r>
              <w:rPr>
                <w:rFonts w:cs="Calibri" w:hint="eastAsia"/>
                <w:color w:val="000000"/>
                <w:sz w:val="20"/>
                <w:lang w:eastAsia="zh-CN"/>
              </w:rPr>
              <w:t>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BA07C9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6CC97ED6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D</w:t>
            </w:r>
          </w:p>
        </w:tc>
      </w:tr>
      <w:tr w:rsidR="00DD3674" w:rsidRPr="006214B8" w14:paraId="282235C1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71CCA02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19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067E9130" w14:textId="44BC4437" w:rsidR="00DD3674" w:rsidRPr="006214B8" w:rsidRDefault="00075B81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color w:val="000000"/>
                <w:sz w:val="20"/>
                <w:lang w:eastAsia="zh-CN"/>
              </w:rPr>
              <w:t>加勒比广播联盟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94857A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1CD16526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RD</w:t>
            </w:r>
          </w:p>
        </w:tc>
      </w:tr>
      <w:tr w:rsidR="00DD3674" w:rsidRPr="006214B8" w14:paraId="41FD3A5E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374E383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20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7648ED7B" w14:textId="4A0DEC01" w:rsidR="00DD3674" w:rsidRPr="006214B8" w:rsidRDefault="00075B81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color w:val="000000"/>
                <w:sz w:val="20"/>
                <w:lang w:eastAsia="zh-CN"/>
              </w:rPr>
              <w:t>加勒比电信联盟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CB802B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2800CE76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RTD</w:t>
            </w:r>
          </w:p>
        </w:tc>
      </w:tr>
      <w:tr w:rsidR="00DD3674" w:rsidRPr="006214B8" w14:paraId="30C5ACD2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AB4F627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21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7B53ED03" w14:textId="4C12ED7A" w:rsidR="00DD3674" w:rsidRPr="006214B8" w:rsidRDefault="00075B81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color w:val="000000"/>
                <w:sz w:val="20"/>
                <w:lang w:eastAsia="zh-CN"/>
              </w:rPr>
              <w:t>国际儿童帮助热线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B88ACB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0BB16D95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TD</w:t>
            </w:r>
          </w:p>
        </w:tc>
      </w:tr>
      <w:tr w:rsidR="00DD3674" w:rsidRPr="006214B8" w14:paraId="43BA1267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A83B6E7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22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1A0C81C1" w14:textId="1F9CAF41" w:rsidR="00DD3674" w:rsidRPr="006214B8" w:rsidRDefault="00075B81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proofErr w:type="spellStart"/>
            <w:r w:rsidRPr="00075B81">
              <w:rPr>
                <w:rFonts w:cs="Calibri" w:hint="eastAsia"/>
                <w:color w:val="000000"/>
                <w:sz w:val="20"/>
              </w:rPr>
              <w:t>射电天文频率委员会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DA87AD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1693EB64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</w:t>
            </w:r>
          </w:p>
        </w:tc>
      </w:tr>
      <w:tr w:rsidR="00DD3674" w:rsidRPr="006214B8" w14:paraId="24AB7D4D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460C04D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23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1EBE1D5F" w14:textId="0CFC53B9" w:rsidR="00DD3674" w:rsidRPr="006214B8" w:rsidRDefault="00075B81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zh-CN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空间研究委员会（</w:t>
            </w:r>
            <w:r w:rsidR="00DD3674" w:rsidRPr="006214B8">
              <w:rPr>
                <w:rFonts w:cs="Calibri"/>
                <w:color w:val="000000"/>
                <w:sz w:val="20"/>
                <w:lang w:eastAsia="zh-CN"/>
              </w:rPr>
              <w:t>COSPAR</w:t>
            </w:r>
            <w:r>
              <w:rPr>
                <w:rFonts w:cs="Calibri" w:hint="eastAsia"/>
                <w:color w:val="000000"/>
                <w:sz w:val="20"/>
                <w:lang w:eastAsia="zh-CN"/>
              </w:rPr>
              <w:t>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797F5A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1617A898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</w:t>
            </w:r>
          </w:p>
        </w:tc>
      </w:tr>
      <w:tr w:rsidR="00DD3674" w:rsidRPr="006214B8" w14:paraId="6E57DA87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1F2C1A5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24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38FBCC81" w14:textId="428C04B8" w:rsidR="00DD3674" w:rsidRPr="006214B8" w:rsidRDefault="000F0E89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zh-CN"/>
              </w:rPr>
            </w:pPr>
            <w:r w:rsidRPr="000F0E89">
              <w:rPr>
                <w:rFonts w:cs="Calibri" w:hint="eastAsia"/>
                <w:color w:val="000000"/>
                <w:sz w:val="20"/>
                <w:lang w:eastAsia="zh-CN"/>
              </w:rPr>
              <w:t>东部</w:t>
            </w:r>
            <w:r>
              <w:rPr>
                <w:rFonts w:cs="Calibri" w:hint="eastAsia"/>
                <w:color w:val="000000"/>
                <w:sz w:val="20"/>
                <w:lang w:eastAsia="zh-CN"/>
              </w:rPr>
              <w:t>和</w:t>
            </w:r>
            <w:r w:rsidRPr="000F0E89">
              <w:rPr>
                <w:rFonts w:cs="Calibri" w:hint="eastAsia"/>
                <w:color w:val="000000"/>
                <w:sz w:val="20"/>
                <w:lang w:eastAsia="zh-CN"/>
              </w:rPr>
              <w:t>南部非洲共同市场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E14A7B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13F30D74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RTD</w:t>
            </w:r>
          </w:p>
        </w:tc>
      </w:tr>
      <w:tr w:rsidR="00DD3674" w:rsidRPr="006214B8" w14:paraId="0896239C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3B676082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25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07EE319F" w14:textId="31206126" w:rsidR="00DD3674" w:rsidRPr="006214B8" w:rsidRDefault="000F0E89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color w:val="000000"/>
                <w:sz w:val="20"/>
                <w:lang w:eastAsia="zh-CN"/>
              </w:rPr>
              <w:t>英联邦电信组织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F264CC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0911BD41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RTD</w:t>
            </w:r>
          </w:p>
        </w:tc>
      </w:tr>
      <w:tr w:rsidR="00DD3674" w:rsidRPr="006214B8" w14:paraId="0C4A4DC7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2E0C59B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26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04098C0D" w14:textId="449DF4FA" w:rsidR="00DD3674" w:rsidRPr="006214B8" w:rsidRDefault="000F0E89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color w:val="000000"/>
                <w:sz w:val="20"/>
                <w:lang w:eastAsia="zh-CN"/>
              </w:rPr>
              <w:t>国际消费者协会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4E7FCD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4789CB55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TD</w:t>
            </w:r>
          </w:p>
        </w:tc>
      </w:tr>
      <w:tr w:rsidR="00DD3674" w:rsidRPr="006214B8" w14:paraId="55D8BC44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1996933A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27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409AD9EF" w14:textId="58D39873" w:rsidR="00DD3674" w:rsidRPr="006214B8" w:rsidRDefault="000F0E89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zh-CN"/>
              </w:rPr>
            </w:pPr>
            <w:r w:rsidRPr="000F0E89">
              <w:rPr>
                <w:rFonts w:cs="Calibri" w:hint="eastAsia"/>
                <w:color w:val="000000"/>
                <w:sz w:val="20"/>
                <w:lang w:eastAsia="zh-CN"/>
              </w:rPr>
              <w:t>海湾阿拉伯国家合作委员会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A772B4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25E824CE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RTD</w:t>
            </w:r>
          </w:p>
        </w:tc>
      </w:tr>
      <w:tr w:rsidR="00DD3674" w:rsidRPr="006214B8" w14:paraId="05081471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6BB56D7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28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0BFF63A7" w14:textId="321B0F8F" w:rsidR="00DD3674" w:rsidRPr="006214B8" w:rsidRDefault="000F0E89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color w:val="000000"/>
                <w:sz w:val="20"/>
                <w:lang w:eastAsia="zh-CN"/>
              </w:rPr>
              <w:t>数字合作组织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9EC6B9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693A84DD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D</w:t>
            </w:r>
          </w:p>
        </w:tc>
      </w:tr>
      <w:tr w:rsidR="00DD3674" w:rsidRPr="006214B8" w14:paraId="1BC1AA4C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204D3B9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29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2E3B1B2D" w14:textId="35B6E1C5" w:rsidR="00DD3674" w:rsidRPr="006214B8" w:rsidRDefault="000F0E89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color w:val="000000"/>
                <w:sz w:val="20"/>
                <w:lang w:eastAsia="zh-CN"/>
              </w:rPr>
              <w:t>世界数字广播联盟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8E6551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6DD19157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RD</w:t>
            </w:r>
          </w:p>
        </w:tc>
      </w:tr>
      <w:tr w:rsidR="00DD3674" w:rsidRPr="006214B8" w14:paraId="437B6532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FAEEA77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30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2465D4AA" w14:textId="2352D46F" w:rsidR="00DD3674" w:rsidRPr="006214B8" w:rsidRDefault="000F0E89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val="fr-BE" w:eastAsia="en-GB"/>
              </w:rPr>
            </w:pPr>
            <w:r>
              <w:rPr>
                <w:rFonts w:ascii="SimSun" w:hAnsi="SimSun" w:cs="SimSun" w:hint="eastAsia"/>
                <w:color w:val="000000"/>
                <w:sz w:val="20"/>
                <w:lang w:val="fr-BE" w:eastAsia="zh-CN"/>
              </w:rPr>
              <w:t>东非共同体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9C33EE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108117D1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D</w:t>
            </w:r>
          </w:p>
        </w:tc>
      </w:tr>
      <w:tr w:rsidR="00DD3674" w:rsidRPr="006214B8" w14:paraId="2638FC44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FE618CF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31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6952C1BF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val="fr-BE" w:eastAsia="en-GB"/>
              </w:rPr>
            </w:pPr>
            <w:r w:rsidRPr="006214B8">
              <w:rPr>
                <w:rFonts w:cs="Calibri"/>
                <w:color w:val="000000"/>
                <w:sz w:val="20"/>
                <w:lang w:val="fr-BE"/>
              </w:rPr>
              <w:t>Ecole Supérieure Multinationale des Télécommunications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DFA2AA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6C702B46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RTD</w:t>
            </w:r>
          </w:p>
        </w:tc>
      </w:tr>
      <w:tr w:rsidR="00DD3674" w:rsidRPr="006214B8" w14:paraId="7FFE126B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3327C77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32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72DDD12C" w14:textId="62B18F7C" w:rsidR="00DD3674" w:rsidRPr="006214B8" w:rsidRDefault="000F0E89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color w:val="000000"/>
                <w:sz w:val="20"/>
                <w:lang w:eastAsia="zh-CN"/>
              </w:rPr>
              <w:t>西非国家经济共同体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AE6D36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38A07D92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RTD</w:t>
            </w:r>
          </w:p>
        </w:tc>
      </w:tr>
      <w:tr w:rsidR="00DD3674" w:rsidRPr="006214B8" w14:paraId="2023D350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1157E8B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33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40A47516" w14:textId="68908339" w:rsidR="00DD3674" w:rsidRPr="006214B8" w:rsidRDefault="000F0E89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proofErr w:type="spellStart"/>
            <w:r w:rsidRPr="000F0E89">
              <w:rPr>
                <w:rFonts w:cs="Calibri" w:hint="eastAsia"/>
                <w:color w:val="000000"/>
                <w:sz w:val="20"/>
              </w:rPr>
              <w:t>国际终止童妓组织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2C97A0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49C1854E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D</w:t>
            </w:r>
          </w:p>
        </w:tc>
      </w:tr>
      <w:tr w:rsidR="00DD3674" w:rsidRPr="006214B8" w14:paraId="1FC8FF57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196E5AFD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34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39A554DB" w14:textId="39244E62" w:rsidR="00DD3674" w:rsidRPr="006214B8" w:rsidRDefault="000F0E89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color w:val="000000"/>
                <w:sz w:val="20"/>
                <w:lang w:eastAsia="zh-CN"/>
              </w:rPr>
              <w:t>欧洲广播联盟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B53133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402D2A9F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RTD</w:t>
            </w:r>
          </w:p>
        </w:tc>
      </w:tr>
      <w:tr w:rsidR="00DD3674" w:rsidRPr="006214B8" w14:paraId="212C2AD2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CF85D75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35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5F263BD3" w14:textId="1E6E50CB" w:rsidR="00DD3674" w:rsidRPr="006214B8" w:rsidRDefault="000F0E89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color w:val="000000"/>
                <w:sz w:val="20"/>
                <w:lang w:eastAsia="zh-CN"/>
              </w:rPr>
              <w:t>欧洲通信办公室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D20443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0BFA6CCA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RTD</w:t>
            </w:r>
          </w:p>
        </w:tc>
      </w:tr>
      <w:tr w:rsidR="00DD3674" w:rsidRPr="006214B8" w14:paraId="6E1B6F36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36737EED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36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07D90C43" w14:textId="7909A952" w:rsidR="00DD3674" w:rsidRPr="000C6442" w:rsidRDefault="000C6442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val="en-US" w:eastAsia="zh-CN"/>
              </w:rPr>
            </w:pPr>
            <w:r w:rsidRPr="000C6442">
              <w:rPr>
                <w:rFonts w:cs="Calibri" w:hint="eastAsia"/>
                <w:color w:val="000000"/>
                <w:sz w:val="20"/>
                <w:lang w:eastAsia="zh-CN"/>
              </w:rPr>
              <w:t>欧洲邮政和电信主管部门大会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B828BA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2FFF3EDD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RTD</w:t>
            </w:r>
          </w:p>
        </w:tc>
      </w:tr>
      <w:tr w:rsidR="00DD3674" w:rsidRPr="006214B8" w14:paraId="12FD8674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D865D09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37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16ABE3D6" w14:textId="710154F5" w:rsidR="00DD3674" w:rsidRPr="006214B8" w:rsidRDefault="00750D86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zh-CN"/>
              </w:rPr>
            </w:pPr>
            <w:r w:rsidRPr="00750D86">
              <w:rPr>
                <w:rFonts w:cs="Calibri" w:hint="eastAsia"/>
                <w:color w:val="000000"/>
                <w:sz w:val="20"/>
                <w:lang w:eastAsia="zh-CN"/>
              </w:rPr>
              <w:t>欧洲业余无线电爱好者组织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5039BE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2FC42649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</w:t>
            </w:r>
          </w:p>
        </w:tc>
      </w:tr>
      <w:tr w:rsidR="00DD3674" w:rsidRPr="006214B8" w14:paraId="0117FB69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31BD201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38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7D543D3C" w14:textId="6C83D882" w:rsidR="00DD3674" w:rsidRPr="006214B8" w:rsidRDefault="00750D86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color w:val="000000"/>
                <w:sz w:val="20"/>
                <w:lang w:eastAsia="zh-CN"/>
              </w:rPr>
              <w:t>欧洲通信卫星组织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BE34F0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SATORG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5301A4B1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RTD</w:t>
            </w:r>
          </w:p>
        </w:tc>
      </w:tr>
      <w:tr w:rsidR="00DD3674" w:rsidRPr="006214B8" w14:paraId="1A434271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1014AE35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39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046BF08A" w14:textId="6E8F4F3B" w:rsidR="00DD3674" w:rsidRPr="006214B8" w:rsidRDefault="00750D86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color w:val="000000"/>
                <w:sz w:val="20"/>
                <w:lang w:eastAsia="zh-CN"/>
              </w:rPr>
              <w:t>欧洲电信标准协会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F78F79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2347F308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RTD</w:t>
            </w:r>
          </w:p>
        </w:tc>
      </w:tr>
      <w:tr w:rsidR="00DD3674" w:rsidRPr="006214B8" w14:paraId="35BC6171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15895EF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40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5E7CC418" w14:textId="2F1097A5" w:rsidR="00DD3674" w:rsidRPr="006214B8" w:rsidRDefault="00883457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zh-CN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事件响应和安全组织论坛（</w:t>
            </w:r>
            <w:r w:rsidR="00DD3674" w:rsidRPr="006214B8">
              <w:rPr>
                <w:rFonts w:cs="Calibri"/>
                <w:color w:val="000000"/>
                <w:sz w:val="20"/>
                <w:lang w:eastAsia="zh-CN"/>
              </w:rPr>
              <w:t>FIRST</w:t>
            </w:r>
            <w:r>
              <w:rPr>
                <w:rFonts w:cs="Calibri" w:hint="eastAsia"/>
                <w:color w:val="000000"/>
                <w:sz w:val="20"/>
                <w:lang w:eastAsia="zh-CN"/>
              </w:rPr>
              <w:t>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7BB77D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6C3B3064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TD</w:t>
            </w:r>
          </w:p>
        </w:tc>
      </w:tr>
      <w:tr w:rsidR="00DD3674" w:rsidRPr="006214B8" w14:paraId="74727820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16F3024C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lastRenderedPageBreak/>
              <w:t>41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03ABD3B6" w14:textId="06BEDF3D" w:rsidR="00DD3674" w:rsidRPr="006214B8" w:rsidRDefault="005B4CB2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zh-CN"/>
              </w:rPr>
            </w:pPr>
            <w:r>
              <w:rPr>
                <w:rFonts w:cs="Calibri"/>
                <w:color w:val="000000"/>
                <w:sz w:val="20"/>
                <w:lang w:eastAsia="zh-CN"/>
              </w:rPr>
              <w:t xml:space="preserve">G3ict </w:t>
            </w:r>
            <w:r w:rsidRPr="005B4CB2">
              <w:rPr>
                <w:rFonts w:cs="Calibri"/>
                <w:color w:val="000000"/>
                <w:sz w:val="20"/>
                <w:lang w:eastAsia="zh-CN"/>
              </w:rPr>
              <w:t>–</w:t>
            </w:r>
            <w:r w:rsidR="00883457">
              <w:rPr>
                <w:rFonts w:cs="Calibri"/>
                <w:color w:val="000000"/>
                <w:sz w:val="20"/>
                <w:lang w:eastAsia="zh-CN"/>
              </w:rPr>
              <w:t xml:space="preserve"> </w:t>
            </w:r>
            <w:r w:rsidR="00883457" w:rsidRPr="00883457">
              <w:rPr>
                <w:rFonts w:cs="Calibri" w:hint="eastAsia"/>
                <w:color w:val="000000"/>
                <w:sz w:val="20"/>
                <w:lang w:eastAsia="zh-CN"/>
              </w:rPr>
              <w:t>全球包容性信息通信技术举措组织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E5A623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12236F53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RTD</w:t>
            </w:r>
          </w:p>
        </w:tc>
      </w:tr>
      <w:tr w:rsidR="00DD3674" w:rsidRPr="006214B8" w14:paraId="6B75DE96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6774D92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42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09E7D440" w14:textId="43EED4D5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zh-CN"/>
              </w:rPr>
            </w:pPr>
            <w:r w:rsidRPr="006214B8">
              <w:rPr>
                <w:rFonts w:cs="Calibri"/>
                <w:color w:val="000000"/>
                <w:sz w:val="20"/>
                <w:lang w:eastAsia="zh-CN"/>
              </w:rPr>
              <w:t>GCC</w:t>
            </w:r>
            <w:r w:rsidR="00883457">
              <w:rPr>
                <w:rFonts w:cs="Calibri" w:hint="eastAsia"/>
                <w:color w:val="000000"/>
                <w:sz w:val="20"/>
                <w:lang w:eastAsia="zh-CN"/>
              </w:rPr>
              <w:t>标准化组织（</w:t>
            </w:r>
            <w:r w:rsidRPr="006214B8">
              <w:rPr>
                <w:rFonts w:cs="Calibri"/>
                <w:color w:val="000000"/>
                <w:sz w:val="20"/>
                <w:lang w:eastAsia="zh-CN"/>
              </w:rPr>
              <w:t>GSO</w:t>
            </w:r>
            <w:r w:rsidR="00883457">
              <w:rPr>
                <w:rFonts w:cs="Calibri" w:hint="eastAsia"/>
                <w:color w:val="000000"/>
                <w:sz w:val="20"/>
                <w:lang w:eastAsia="zh-CN"/>
              </w:rPr>
              <w:t>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C6588B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5D3F964D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T</w:t>
            </w:r>
          </w:p>
        </w:tc>
      </w:tr>
      <w:tr w:rsidR="00DD3674" w:rsidRPr="006214B8" w14:paraId="10D1D5CC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3E91FCC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43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41759FF7" w14:textId="53C242F1" w:rsidR="00DD3674" w:rsidRPr="006214B8" w:rsidRDefault="005C25D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zh-CN"/>
              </w:rPr>
            </w:pPr>
            <w:r>
              <w:rPr>
                <w:rFonts w:cs="Calibri"/>
                <w:color w:val="000000"/>
                <w:sz w:val="20"/>
                <w:lang w:eastAsia="zh-CN"/>
              </w:rPr>
              <w:t xml:space="preserve">HFCC </w:t>
            </w:r>
            <w:r w:rsidRPr="005C25D4">
              <w:rPr>
                <w:rFonts w:cs="Calibri"/>
                <w:color w:val="000000"/>
                <w:sz w:val="20"/>
                <w:lang w:eastAsia="zh-CN"/>
              </w:rPr>
              <w:t>–</w:t>
            </w:r>
            <w:r>
              <w:rPr>
                <w:rFonts w:cs="Calibri"/>
                <w:color w:val="000000"/>
                <w:sz w:val="20"/>
                <w:lang w:eastAsia="zh-CN"/>
              </w:rPr>
              <w:t xml:space="preserve"> </w:t>
            </w:r>
            <w:r w:rsidR="00BC38FC">
              <w:rPr>
                <w:rFonts w:cs="Calibri" w:hint="eastAsia"/>
                <w:color w:val="000000"/>
                <w:sz w:val="20"/>
                <w:lang w:eastAsia="zh-CN"/>
              </w:rPr>
              <w:t>国际广播传输协会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868BD0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3CAE9689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</w:t>
            </w:r>
          </w:p>
        </w:tc>
      </w:tr>
      <w:tr w:rsidR="00DD3674" w:rsidRPr="006214B8" w14:paraId="1B952B8E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D03A649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44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700F1AAE" w14:textId="0E5E4FE2" w:rsidR="00DD3674" w:rsidRPr="006214B8" w:rsidRDefault="005C25D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zh-CN"/>
              </w:rPr>
            </w:pPr>
            <w:r>
              <w:rPr>
                <w:rFonts w:cs="Calibri"/>
                <w:color w:val="000000"/>
                <w:sz w:val="20"/>
                <w:lang w:eastAsia="zh-CN"/>
              </w:rPr>
              <w:t xml:space="preserve">IJMA3 </w:t>
            </w:r>
            <w:r w:rsidRPr="005C25D4">
              <w:rPr>
                <w:rFonts w:cs="Calibri"/>
                <w:color w:val="000000"/>
                <w:sz w:val="20"/>
                <w:lang w:eastAsia="zh-CN"/>
              </w:rPr>
              <w:t>–</w:t>
            </w:r>
            <w:r>
              <w:rPr>
                <w:rFonts w:cs="Calibri"/>
                <w:color w:val="000000"/>
                <w:sz w:val="20"/>
                <w:lang w:eastAsia="zh-CN"/>
              </w:rPr>
              <w:t xml:space="preserve"> </w:t>
            </w:r>
            <w:r w:rsidR="00BC38FC">
              <w:rPr>
                <w:rFonts w:cs="Calibri" w:hint="eastAsia"/>
                <w:color w:val="000000"/>
                <w:sz w:val="20"/>
                <w:lang w:eastAsia="zh-CN"/>
              </w:rPr>
              <w:t>阿拉伯</w:t>
            </w:r>
            <w:r w:rsidR="00DD3674" w:rsidRPr="006214B8">
              <w:rPr>
                <w:rFonts w:cs="Calibri"/>
                <w:color w:val="000000"/>
                <w:sz w:val="20"/>
                <w:lang w:eastAsia="zh-CN"/>
              </w:rPr>
              <w:t>ICT</w:t>
            </w:r>
            <w:r w:rsidR="00BC38FC">
              <w:rPr>
                <w:rFonts w:cs="Calibri" w:hint="eastAsia"/>
                <w:color w:val="000000"/>
                <w:sz w:val="20"/>
                <w:lang w:eastAsia="zh-CN"/>
              </w:rPr>
              <w:t>组织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7F6F17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49D56BCB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TD</w:t>
            </w:r>
          </w:p>
        </w:tc>
      </w:tr>
      <w:tr w:rsidR="00DD3674" w:rsidRPr="006214B8" w14:paraId="2E674A2C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4B4B423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45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636F7C7A" w14:textId="41F5839D" w:rsidR="00DD3674" w:rsidRPr="006214B8" w:rsidRDefault="00BC38FC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zh-CN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电气和电子工程师学会（</w:t>
            </w:r>
            <w:r w:rsidR="00DD3674" w:rsidRPr="006214B8">
              <w:rPr>
                <w:rFonts w:cs="Calibri"/>
                <w:color w:val="000000"/>
                <w:sz w:val="20"/>
                <w:lang w:eastAsia="zh-CN"/>
              </w:rPr>
              <w:t>IEEE</w:t>
            </w:r>
            <w:r>
              <w:rPr>
                <w:rFonts w:cs="Calibri" w:hint="eastAsia"/>
                <w:color w:val="000000"/>
                <w:sz w:val="20"/>
                <w:lang w:eastAsia="zh-CN"/>
              </w:rPr>
              <w:t>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074563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7CFDC479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RTD</w:t>
            </w:r>
          </w:p>
        </w:tc>
      </w:tr>
      <w:tr w:rsidR="00DD3674" w:rsidRPr="006214B8" w14:paraId="75E1DB4C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B954955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46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392B296E" w14:textId="61C8DCEB" w:rsidR="00DD3674" w:rsidRPr="006214B8" w:rsidRDefault="00BC38FC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zh-CN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美洲国家电信委员会（</w:t>
            </w:r>
            <w:r w:rsidR="00DD3674" w:rsidRPr="006214B8">
              <w:rPr>
                <w:rFonts w:cs="Calibri"/>
                <w:color w:val="000000"/>
                <w:sz w:val="20"/>
                <w:lang w:eastAsia="zh-CN"/>
              </w:rPr>
              <w:t>CITEL</w:t>
            </w:r>
            <w:r>
              <w:rPr>
                <w:rFonts w:cs="Calibri" w:hint="eastAsia"/>
                <w:color w:val="000000"/>
                <w:sz w:val="20"/>
                <w:lang w:eastAsia="zh-CN"/>
              </w:rPr>
              <w:t>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E13BD9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26C1DA56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RTD</w:t>
            </w:r>
          </w:p>
        </w:tc>
      </w:tr>
      <w:tr w:rsidR="00DD3674" w:rsidRPr="006214B8" w14:paraId="0BC9C272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4A6EC71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47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42C99261" w14:textId="4A2F3279" w:rsidR="00DD3674" w:rsidRPr="006214B8" w:rsidRDefault="00BC38FC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proofErr w:type="spellStart"/>
            <w:r w:rsidRPr="00BC38FC">
              <w:rPr>
                <w:rFonts w:cs="Calibri" w:hint="eastAsia"/>
                <w:color w:val="000000"/>
                <w:sz w:val="20"/>
              </w:rPr>
              <w:t>国际业余无线电联盟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01594C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30CB8C15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RD</w:t>
            </w:r>
          </w:p>
        </w:tc>
      </w:tr>
      <w:tr w:rsidR="00DD3674" w:rsidRPr="006214B8" w14:paraId="328CF86C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6354776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48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55034E9C" w14:textId="311CC42E" w:rsidR="00DD3674" w:rsidRPr="006214B8" w:rsidRDefault="00BC38FC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color w:val="000000"/>
                <w:sz w:val="20"/>
                <w:lang w:eastAsia="zh-CN"/>
              </w:rPr>
              <w:t>国际广播协会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EBA137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3C94C66C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</w:t>
            </w:r>
          </w:p>
        </w:tc>
      </w:tr>
      <w:tr w:rsidR="00DD3674" w:rsidRPr="006214B8" w14:paraId="086959EA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523233F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49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100C03D4" w14:textId="413F08DE" w:rsidR="00DD3674" w:rsidRPr="006214B8" w:rsidRDefault="00BC38FC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proofErr w:type="spellStart"/>
            <w:r w:rsidRPr="00BC38FC">
              <w:rPr>
                <w:rFonts w:cs="Calibri" w:hint="eastAsia"/>
                <w:color w:val="000000"/>
                <w:sz w:val="20"/>
              </w:rPr>
              <w:t>国际航标协会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FB8A9F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4801CEDA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</w:t>
            </w:r>
          </w:p>
        </w:tc>
      </w:tr>
      <w:tr w:rsidR="00DD3674" w:rsidRPr="006214B8" w14:paraId="70DFECBD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CAB1BE1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50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5B597794" w14:textId="7681008D" w:rsidR="00DD3674" w:rsidRPr="006214B8" w:rsidRDefault="00355563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zh-CN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国际宇航联合会（</w:t>
            </w:r>
            <w:r w:rsidR="00DD3674" w:rsidRPr="006214B8">
              <w:rPr>
                <w:rFonts w:cs="Calibri"/>
                <w:color w:val="000000"/>
                <w:sz w:val="20"/>
                <w:lang w:eastAsia="zh-CN"/>
              </w:rPr>
              <w:t>IAF</w:t>
            </w:r>
            <w:r>
              <w:rPr>
                <w:rFonts w:cs="Calibri" w:hint="eastAsia"/>
                <w:color w:val="000000"/>
                <w:sz w:val="20"/>
                <w:lang w:eastAsia="zh-CN"/>
              </w:rPr>
              <w:t>）秘书处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4D57BD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3C2BA183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</w:t>
            </w:r>
          </w:p>
        </w:tc>
      </w:tr>
      <w:tr w:rsidR="00DD3674" w:rsidRPr="006214B8" w14:paraId="083195EC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989F9CE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51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1D414A73" w14:textId="67A992FB" w:rsidR="00DD3674" w:rsidRPr="006214B8" w:rsidRDefault="00355563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0"/>
                <w:lang w:eastAsia="zh-CN"/>
              </w:rPr>
              <w:t>国际天文联盟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D1E5DB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4B6BF8B8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</w:t>
            </w:r>
          </w:p>
        </w:tc>
      </w:tr>
      <w:tr w:rsidR="00DD3674" w:rsidRPr="006214B8" w14:paraId="68BCD563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1512180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52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507F1021" w14:textId="387C5D00" w:rsidR="00DD3674" w:rsidRPr="006214B8" w:rsidRDefault="00355563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color w:val="000000"/>
                <w:sz w:val="20"/>
                <w:lang w:eastAsia="zh-CN"/>
              </w:rPr>
              <w:t>国际度量衡局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9A99BB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07086950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</w:t>
            </w:r>
          </w:p>
        </w:tc>
      </w:tr>
      <w:tr w:rsidR="00DD3674" w:rsidRPr="006214B8" w14:paraId="1DFE77F4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F532111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53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23284472" w14:textId="273934CB" w:rsidR="00DD3674" w:rsidRPr="006214B8" w:rsidRDefault="00355563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color w:val="000000"/>
                <w:sz w:val="20"/>
                <w:lang w:eastAsia="zh-CN"/>
              </w:rPr>
              <w:t>国际企业促进中心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D696E3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75677B9F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D</w:t>
            </w:r>
          </w:p>
        </w:tc>
      </w:tr>
      <w:tr w:rsidR="00DD3674" w:rsidRPr="006214B8" w14:paraId="32523AD0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64C826A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54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0033EDE2" w14:textId="3E70BA00" w:rsidR="00DD3674" w:rsidRPr="006214B8" w:rsidRDefault="00355563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color w:val="000000"/>
                <w:sz w:val="20"/>
                <w:lang w:eastAsia="zh-CN"/>
              </w:rPr>
              <w:t>红十字国际委员会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39B49E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37D2F01C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RTD</w:t>
            </w:r>
          </w:p>
        </w:tc>
      </w:tr>
      <w:tr w:rsidR="00DD3674" w:rsidRPr="006214B8" w14:paraId="5E35895A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17A712D5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55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7F8A43FA" w14:textId="00110600" w:rsidR="00DD3674" w:rsidRPr="006214B8" w:rsidRDefault="00A134CA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color w:val="000000"/>
                <w:sz w:val="20"/>
                <w:lang w:eastAsia="zh-CN"/>
              </w:rPr>
              <w:t>国际科学理事会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5EBC69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2B6F0C3F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</w:t>
            </w:r>
          </w:p>
        </w:tc>
      </w:tr>
      <w:tr w:rsidR="00DD3674" w:rsidRPr="006214B8" w14:paraId="2B4D73E0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6E331F0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56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14FFA1C7" w14:textId="5014F070" w:rsidR="00DD3674" w:rsidRPr="006214B8" w:rsidRDefault="00A134CA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color w:val="000000"/>
                <w:sz w:val="20"/>
                <w:lang w:eastAsia="zh-CN"/>
              </w:rPr>
              <w:t>国际电工委员会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EDFDC0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1E2C79E8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RTD</w:t>
            </w:r>
          </w:p>
        </w:tc>
      </w:tr>
      <w:tr w:rsidR="00DD3674" w:rsidRPr="006214B8" w14:paraId="5BB6F0B7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56333DD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57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59C976CE" w14:textId="1AF872F6" w:rsidR="00DD3674" w:rsidRPr="006214B8" w:rsidRDefault="00A134CA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zh-CN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国际信息处理联合会（</w:t>
            </w:r>
            <w:r w:rsidR="00DD3674" w:rsidRPr="006214B8">
              <w:rPr>
                <w:rFonts w:cs="Calibri"/>
                <w:color w:val="000000"/>
                <w:sz w:val="20"/>
                <w:lang w:eastAsia="zh-CN"/>
              </w:rPr>
              <w:t>IFIP</w:t>
            </w:r>
            <w:r>
              <w:rPr>
                <w:rFonts w:cs="Calibri" w:hint="eastAsia"/>
                <w:color w:val="000000"/>
                <w:sz w:val="20"/>
                <w:lang w:eastAsia="zh-CN"/>
              </w:rPr>
              <w:t>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DFAEA7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403C1323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TD</w:t>
            </w:r>
          </w:p>
        </w:tc>
      </w:tr>
      <w:tr w:rsidR="00DD3674" w:rsidRPr="006214B8" w14:paraId="6ADF13FD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143D95DE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58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19AB2304" w14:textId="5C815D17" w:rsidR="00DD3674" w:rsidRPr="006214B8" w:rsidRDefault="00A134CA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zh-CN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国际移动卫星组织（</w:t>
            </w:r>
            <w:r w:rsidR="00DD3674" w:rsidRPr="006214B8">
              <w:rPr>
                <w:rFonts w:cs="Calibri"/>
                <w:color w:val="000000"/>
                <w:sz w:val="20"/>
                <w:lang w:eastAsia="zh-CN"/>
              </w:rPr>
              <w:t>IMSO</w:t>
            </w:r>
            <w:r>
              <w:rPr>
                <w:rFonts w:cs="Calibri" w:hint="eastAsia"/>
                <w:color w:val="000000"/>
                <w:sz w:val="20"/>
                <w:lang w:eastAsia="zh-CN"/>
              </w:rPr>
              <w:t>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6B213A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09E68092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RTD</w:t>
            </w:r>
          </w:p>
        </w:tc>
      </w:tr>
      <w:tr w:rsidR="00DD3674" w:rsidRPr="006214B8" w14:paraId="1F2B5F11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B0EBE89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59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4FB0375B" w14:textId="2CA485E6" w:rsidR="00DD3674" w:rsidRPr="006214B8" w:rsidRDefault="00A134CA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color w:val="000000"/>
                <w:sz w:val="20"/>
                <w:lang w:eastAsia="zh-CN"/>
              </w:rPr>
              <w:t>国际标准化组织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4870A1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1415B0C6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RTD</w:t>
            </w:r>
          </w:p>
        </w:tc>
      </w:tr>
      <w:tr w:rsidR="00DD3674" w:rsidRPr="006214B8" w14:paraId="02F177BC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DEADF6C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60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168A20AE" w14:textId="609044C9" w:rsidR="00DD3674" w:rsidRPr="006214B8" w:rsidRDefault="00A134CA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zh-CN"/>
              </w:rPr>
            </w:pPr>
            <w:r w:rsidRPr="00A134CA">
              <w:rPr>
                <w:rFonts w:cs="Calibri" w:hint="eastAsia"/>
                <w:color w:val="000000"/>
                <w:sz w:val="20"/>
                <w:lang w:eastAsia="zh-CN"/>
              </w:rPr>
              <w:t>国际卫星搜索和救援系统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148302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SATORG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49F2CEB9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</w:t>
            </w:r>
          </w:p>
        </w:tc>
      </w:tr>
      <w:tr w:rsidR="00DD3674" w:rsidRPr="006214B8" w14:paraId="71195A05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48B29B0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61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69CAF5DE" w14:textId="151ECA47" w:rsidR="00DD3674" w:rsidRPr="006214B8" w:rsidRDefault="00A134CA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color w:val="000000"/>
                <w:sz w:val="20"/>
                <w:lang w:eastAsia="zh-CN"/>
              </w:rPr>
              <w:t>国际电信学院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472792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06C5E61B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TD</w:t>
            </w:r>
          </w:p>
        </w:tc>
      </w:tr>
      <w:tr w:rsidR="00DD3674" w:rsidRPr="006214B8" w14:paraId="3956F593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49F6534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62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21FA719B" w14:textId="1248FED0" w:rsidR="00DD3674" w:rsidRPr="006214B8" w:rsidRDefault="00A134CA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proofErr w:type="spellStart"/>
            <w:r w:rsidRPr="00A134CA">
              <w:rPr>
                <w:rFonts w:cs="Calibri" w:hint="eastAsia"/>
                <w:color w:val="000000"/>
                <w:sz w:val="20"/>
              </w:rPr>
              <w:t>国际通信卫星组织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E50893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3086AAE6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RTD</w:t>
            </w:r>
          </w:p>
        </w:tc>
      </w:tr>
      <w:tr w:rsidR="00DD3674" w:rsidRPr="006214B8" w14:paraId="29E110BF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817CED5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63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2466B7B1" w14:textId="0ECA2874" w:rsidR="00DD3674" w:rsidRPr="006214B8" w:rsidRDefault="00A134CA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proofErr w:type="spellStart"/>
            <w:r w:rsidRPr="00A134CA">
              <w:rPr>
                <w:rFonts w:cs="Calibri" w:hint="eastAsia"/>
                <w:color w:val="000000"/>
                <w:sz w:val="20"/>
              </w:rPr>
              <w:t>国际无线电科学联盟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A1D3E0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4249F24B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RTD</w:t>
            </w:r>
          </w:p>
        </w:tc>
      </w:tr>
      <w:tr w:rsidR="00DD3674" w:rsidRPr="006214B8" w14:paraId="4DE6BDD1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3A4C3FA3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64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1A32184C" w14:textId="1845E185" w:rsidR="00DD3674" w:rsidRPr="006214B8" w:rsidRDefault="009F50DD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zh-CN"/>
              </w:rPr>
            </w:pPr>
            <w:r w:rsidRPr="009F50DD">
              <w:rPr>
                <w:rFonts w:cs="Calibri" w:hint="eastAsia"/>
                <w:color w:val="000000"/>
                <w:sz w:val="20"/>
                <w:lang w:eastAsia="zh-CN"/>
              </w:rPr>
              <w:t>互联网域名和号码分配机构</w:t>
            </w:r>
            <w:r>
              <w:rPr>
                <w:rFonts w:cs="Calibri" w:hint="eastAsia"/>
                <w:color w:val="000000"/>
                <w:sz w:val="20"/>
                <w:lang w:eastAsia="zh-CN"/>
              </w:rPr>
              <w:t>（</w:t>
            </w:r>
            <w:r w:rsidR="00DD3674" w:rsidRPr="006214B8">
              <w:rPr>
                <w:rFonts w:cs="Calibri"/>
                <w:color w:val="000000"/>
                <w:sz w:val="20"/>
                <w:lang w:eastAsia="zh-CN"/>
              </w:rPr>
              <w:t>ICANN</w:t>
            </w:r>
            <w:r>
              <w:rPr>
                <w:rFonts w:cs="Calibri" w:hint="eastAsia"/>
                <w:color w:val="000000"/>
                <w:sz w:val="20"/>
                <w:lang w:eastAsia="zh-CN"/>
              </w:rPr>
              <w:t>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DAEB69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7F85DFC6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D</w:t>
            </w:r>
          </w:p>
        </w:tc>
      </w:tr>
      <w:tr w:rsidR="00DD3674" w:rsidRPr="006214B8" w14:paraId="04912084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80CE3C1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65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118A1B03" w14:textId="5D0584DE" w:rsidR="00DD3674" w:rsidRPr="003E6E09" w:rsidRDefault="009F50DD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SimSun" w:hAnsi="SimSun" w:cs="Calibri"/>
                <w:color w:val="000000"/>
                <w:sz w:val="20"/>
                <w:lang w:eastAsia="en-GB"/>
              </w:rPr>
            </w:pPr>
            <w:proofErr w:type="spellStart"/>
            <w:r w:rsidRPr="003E6E09">
              <w:rPr>
                <w:rFonts w:ascii="SimSun" w:hAnsi="SimSun" w:cs="Microsoft YaHei" w:hint="eastAsia"/>
                <w:color w:val="000000"/>
                <w:sz w:val="20"/>
                <w:lang w:eastAsia="en-GB"/>
              </w:rPr>
              <w:t>互联网协会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3B08E5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45D12BFB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TD</w:t>
            </w:r>
          </w:p>
        </w:tc>
      </w:tr>
      <w:tr w:rsidR="00DD3674" w:rsidRPr="006214B8" w14:paraId="39DA5777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E9923BF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66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63FD2E47" w14:textId="1B0E88A5" w:rsidR="00DD3674" w:rsidRPr="006214B8" w:rsidRDefault="000F52A8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proofErr w:type="spellStart"/>
            <w:r w:rsidRPr="000F52A8">
              <w:rPr>
                <w:rFonts w:cs="Calibri" w:hint="eastAsia"/>
                <w:color w:val="000000"/>
                <w:sz w:val="20"/>
              </w:rPr>
              <w:t>阿拉伯国家联盟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E5361C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2E597B42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RTD</w:t>
            </w:r>
          </w:p>
        </w:tc>
      </w:tr>
      <w:tr w:rsidR="00DD3674" w:rsidRPr="006214B8" w14:paraId="3493F871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85A3B76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67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08A7DF6F" w14:textId="4564A153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NetHope</w:t>
            </w:r>
            <w:r w:rsidR="000F52A8">
              <w:rPr>
                <w:rFonts w:cs="Calibri" w:hint="eastAsia"/>
                <w:color w:val="000000"/>
                <w:sz w:val="20"/>
                <w:lang w:eastAsia="zh-CN"/>
              </w:rPr>
              <w:t>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335654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6B83A669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D</w:t>
            </w:r>
          </w:p>
        </w:tc>
      </w:tr>
      <w:tr w:rsidR="00DD3674" w:rsidRPr="006214B8" w14:paraId="4C0B4EA1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BAEC8EA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68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6B5E85E2" w14:textId="295C9B9A" w:rsidR="00DD3674" w:rsidRPr="006214B8" w:rsidRDefault="000F52A8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val="fr-BE" w:eastAsia="en-GB"/>
              </w:rPr>
            </w:pPr>
            <w:r>
              <w:rPr>
                <w:rFonts w:ascii="SimSun" w:hAnsi="SimSun" w:cs="SimSun" w:hint="eastAsia"/>
                <w:color w:val="000000"/>
                <w:sz w:val="20"/>
                <w:lang w:val="fr-BE" w:eastAsia="zh-CN"/>
              </w:rPr>
              <w:t>开放地理空间联盟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4316E1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3CD17F3E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RTD</w:t>
            </w:r>
          </w:p>
        </w:tc>
      </w:tr>
      <w:tr w:rsidR="00DD3674" w:rsidRPr="006214B8" w14:paraId="192AAC08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8D45FE9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69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36705D4A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val="fr-BE" w:eastAsia="en-GB"/>
              </w:rPr>
            </w:pPr>
            <w:r w:rsidRPr="006214B8">
              <w:rPr>
                <w:rFonts w:cs="Calibri"/>
                <w:color w:val="000000"/>
                <w:sz w:val="20"/>
                <w:lang w:val="fr-BE"/>
              </w:rPr>
              <w:t>Organisation Internationale de la Francophonie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B7AC17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1451976B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RTD</w:t>
            </w:r>
          </w:p>
        </w:tc>
      </w:tr>
      <w:tr w:rsidR="00DD3674" w:rsidRPr="006214B8" w14:paraId="76AD9093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15165F50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70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16534094" w14:textId="674B78C7" w:rsidR="00DD3674" w:rsidRPr="006214B8" w:rsidRDefault="000F52A8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proofErr w:type="spellStart"/>
            <w:r w:rsidRPr="000F52A8">
              <w:rPr>
                <w:rFonts w:cs="Calibri" w:hint="eastAsia"/>
                <w:color w:val="000000"/>
                <w:sz w:val="20"/>
              </w:rPr>
              <w:t>太平洋岛屿电信联盟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E1304E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6406DF33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RTD</w:t>
            </w:r>
          </w:p>
        </w:tc>
      </w:tr>
      <w:tr w:rsidR="00DD3674" w:rsidRPr="006214B8" w14:paraId="4D8B8921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B904A90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71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69897D8E" w14:textId="1B5094D0" w:rsidR="00DD3674" w:rsidRPr="006214B8" w:rsidRDefault="000F52A8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color w:val="000000"/>
                <w:sz w:val="20"/>
                <w:lang w:eastAsia="zh-CN"/>
              </w:rPr>
              <w:t>个人互连健康联盟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A2AB8B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2D9BD01C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RTD</w:t>
            </w:r>
          </w:p>
        </w:tc>
      </w:tr>
      <w:tr w:rsidR="00DD3674" w:rsidRPr="006214B8" w14:paraId="24D42540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D189159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72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328D05C9" w14:textId="2AAF46BA" w:rsidR="00DD3674" w:rsidRPr="006214B8" w:rsidRDefault="000F52A8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zh-CN"/>
              </w:rPr>
            </w:pPr>
            <w:r w:rsidRPr="000F52A8">
              <w:rPr>
                <w:rFonts w:cs="Calibri" w:hint="eastAsia"/>
                <w:color w:val="000000"/>
                <w:sz w:val="20"/>
                <w:lang w:eastAsia="zh-CN"/>
              </w:rPr>
              <w:t>非洲区域卫星通信组织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23ACA2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SATORG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5EA2C107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RD</w:t>
            </w:r>
          </w:p>
        </w:tc>
      </w:tr>
      <w:tr w:rsidR="00DD3674" w:rsidRPr="006214B8" w14:paraId="19927A35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9A5DDD1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73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6B3B8566" w14:textId="6FB7A045" w:rsidR="00DD3674" w:rsidRPr="006214B8" w:rsidRDefault="000F52A8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color w:val="000000"/>
                <w:sz w:val="20"/>
                <w:lang w:eastAsia="zh-CN"/>
              </w:rPr>
              <w:t>区域通信联合体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79783D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0006A271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RTD</w:t>
            </w:r>
          </w:p>
        </w:tc>
      </w:tr>
      <w:tr w:rsidR="00DD3674" w:rsidRPr="006214B8" w14:paraId="214EC65F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366FCBA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74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40FA38EA" w14:textId="661D8848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val="es-MX" w:eastAsia="en-GB"/>
              </w:rPr>
            </w:pPr>
            <w:r w:rsidRPr="006214B8">
              <w:rPr>
                <w:rFonts w:cs="Calibri"/>
                <w:color w:val="000000"/>
                <w:sz w:val="20"/>
                <w:lang w:val="es-MX"/>
              </w:rPr>
              <w:t>Registro de Direcciones de Interne</w:t>
            </w:r>
            <w:r w:rsidR="00E01AA3">
              <w:rPr>
                <w:rFonts w:cs="Calibri"/>
                <w:color w:val="000000"/>
                <w:sz w:val="20"/>
                <w:lang w:val="es-MX"/>
              </w:rPr>
              <w:t xml:space="preserve">t para América Latina y Caribe </w:t>
            </w:r>
            <w:r w:rsidR="00E01AA3" w:rsidRPr="00E01AA3">
              <w:rPr>
                <w:rFonts w:cs="Calibri"/>
                <w:color w:val="000000"/>
                <w:sz w:val="20"/>
                <w:lang w:val="es-MX"/>
              </w:rPr>
              <w:t>–</w:t>
            </w:r>
            <w:r w:rsidRPr="006214B8">
              <w:rPr>
                <w:rFonts w:cs="Calibri"/>
                <w:color w:val="000000"/>
                <w:sz w:val="20"/>
                <w:lang w:val="es-MX"/>
              </w:rPr>
              <w:t xml:space="preserve"> LACNIC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664C5D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218C6015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TD</w:t>
            </w:r>
          </w:p>
        </w:tc>
      </w:tr>
      <w:tr w:rsidR="00DD3674" w:rsidRPr="006214B8" w14:paraId="3D3E4950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61CDB96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75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7C2108B8" w14:textId="3B2D545F" w:rsidR="00DD3674" w:rsidRPr="006214B8" w:rsidRDefault="003E6E09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proofErr w:type="spellStart"/>
            <w:r w:rsidRPr="003E6E09">
              <w:rPr>
                <w:rFonts w:cs="Calibri" w:hint="eastAsia"/>
                <w:color w:val="000000"/>
                <w:sz w:val="20"/>
              </w:rPr>
              <w:t>电影电视工程师协会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586505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4C283321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</w:t>
            </w:r>
          </w:p>
        </w:tc>
      </w:tr>
      <w:tr w:rsidR="00DD3674" w:rsidRPr="006214B8" w14:paraId="0A3F2228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198F511D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76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2A279137" w14:textId="009423A0" w:rsidR="00DD3674" w:rsidRPr="006214B8" w:rsidRDefault="003E6E09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color w:val="000000"/>
                <w:sz w:val="20"/>
                <w:lang w:eastAsia="zh-CN"/>
              </w:rPr>
              <w:t>南非电信中心网络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FAAFFD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0E3E61EB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RTD</w:t>
            </w:r>
          </w:p>
        </w:tc>
      </w:tr>
      <w:tr w:rsidR="00DD3674" w:rsidRPr="006214B8" w14:paraId="6B395802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330E0B55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77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3CD59B90" w14:textId="5A54AE89" w:rsidR="00DD3674" w:rsidRPr="006214B8" w:rsidRDefault="003E6E09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proofErr w:type="spellStart"/>
            <w:r w:rsidRPr="003E6E09">
              <w:rPr>
                <w:rFonts w:cs="Calibri" w:hint="eastAsia"/>
                <w:color w:val="000000"/>
                <w:sz w:val="20"/>
              </w:rPr>
              <w:t>南部非洲发展共同体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BDBB6D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2ECC35D1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RTD</w:t>
            </w:r>
          </w:p>
        </w:tc>
      </w:tr>
      <w:tr w:rsidR="00DD3674" w:rsidRPr="006214B8" w14:paraId="2B438194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11F230B4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78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13431321" w14:textId="7280E078" w:rsidR="00DD3674" w:rsidRPr="006214B8" w:rsidRDefault="003E6E09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zh-CN"/>
              </w:rPr>
            </w:pPr>
            <w:r w:rsidRPr="003E6E09">
              <w:rPr>
                <w:rFonts w:cs="Calibri" w:hint="eastAsia"/>
                <w:color w:val="000000"/>
                <w:sz w:val="20"/>
                <w:lang w:eastAsia="zh-CN"/>
              </w:rPr>
              <w:t>中美洲区域电信技术委员会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419323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61B65764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RTD</w:t>
            </w:r>
          </w:p>
        </w:tc>
      </w:tr>
      <w:tr w:rsidR="00DD3674" w:rsidRPr="006214B8" w14:paraId="379C8A79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7CED3F8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79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34A6BCB1" w14:textId="6A70EDA1" w:rsidR="00DD3674" w:rsidRPr="006214B8" w:rsidRDefault="003E6E09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proofErr w:type="spellStart"/>
            <w:r w:rsidRPr="003E6E09">
              <w:rPr>
                <w:rFonts w:cs="Calibri" w:hint="eastAsia"/>
                <w:color w:val="000000"/>
                <w:sz w:val="20"/>
              </w:rPr>
              <w:t>亚太卫星通信理事会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A1A5D8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03643D9E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</w:t>
            </w:r>
          </w:p>
        </w:tc>
      </w:tr>
      <w:tr w:rsidR="00DD3674" w:rsidRPr="006214B8" w14:paraId="27FA30B5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B792704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80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41DA7CE0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val="fr-BE" w:eastAsia="en-GB"/>
              </w:rPr>
            </w:pPr>
            <w:r w:rsidRPr="006214B8">
              <w:rPr>
                <w:rFonts w:cs="Calibri"/>
                <w:color w:val="000000"/>
                <w:sz w:val="20"/>
                <w:lang w:val="fr-BE"/>
              </w:rPr>
              <w:t>Union Economique et Monétaire Ouest Africaine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F56E98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63A0B986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TD</w:t>
            </w:r>
          </w:p>
        </w:tc>
      </w:tr>
      <w:tr w:rsidR="00DD3674" w:rsidRPr="006214B8" w14:paraId="41B882AB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42B603A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81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4F176E0E" w14:textId="35810C37" w:rsidR="00DD3674" w:rsidRPr="006214B8" w:rsidRDefault="003E6E09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zh-CN"/>
              </w:rPr>
            </w:pPr>
            <w:r w:rsidRPr="003E6E09">
              <w:rPr>
                <w:rFonts w:cs="Calibri" w:hint="eastAsia"/>
                <w:color w:val="000000"/>
                <w:sz w:val="20"/>
                <w:lang w:eastAsia="zh-CN"/>
              </w:rPr>
              <w:t>西非电信监管机构全会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E5F8E2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2189E23A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RTD</w:t>
            </w:r>
          </w:p>
        </w:tc>
      </w:tr>
      <w:tr w:rsidR="00DD3674" w:rsidRPr="006214B8" w14:paraId="4F3B2C57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E79AB6B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82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7CB204C7" w14:textId="32C36B7D" w:rsidR="00DD3674" w:rsidRPr="006214B8" w:rsidRDefault="003E6E09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proofErr w:type="spellStart"/>
            <w:r w:rsidRPr="003E6E09">
              <w:rPr>
                <w:rFonts w:cs="Calibri" w:hint="eastAsia"/>
                <w:color w:val="000000"/>
                <w:sz w:val="20"/>
              </w:rPr>
              <w:t>无线世界研究论坛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6E4F7C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26EC385E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RTD</w:t>
            </w:r>
          </w:p>
        </w:tc>
      </w:tr>
      <w:tr w:rsidR="00DD3674" w:rsidRPr="006214B8" w14:paraId="0FAB0CC2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C20D64E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83</w:t>
            </w:r>
          </w:p>
        </w:tc>
        <w:tc>
          <w:tcPr>
            <w:tcW w:w="5836" w:type="dxa"/>
            <w:shd w:val="clear" w:color="auto" w:fill="auto"/>
            <w:noWrap/>
            <w:vAlign w:val="center"/>
            <w:hideMark/>
          </w:tcPr>
          <w:p w14:paraId="02CA39DE" w14:textId="45742E4B" w:rsidR="00DD3674" w:rsidRPr="006214B8" w:rsidRDefault="003E6E09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zh-CN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世界广播联盟</w:t>
            </w:r>
            <w:r w:rsidR="00DD3674" w:rsidRPr="006214B8">
              <w:rPr>
                <w:rFonts w:cs="Calibri"/>
                <w:color w:val="000000"/>
                <w:sz w:val="20"/>
                <w:lang w:eastAsia="zh-CN"/>
              </w:rPr>
              <w:t xml:space="preserve"> </w:t>
            </w:r>
            <w:r w:rsidR="00672CF6" w:rsidRPr="00672CF6">
              <w:rPr>
                <w:rFonts w:cs="Calibri"/>
                <w:color w:val="000000"/>
                <w:sz w:val="20"/>
                <w:lang w:eastAsia="zh-CN"/>
              </w:rPr>
              <w:t>–</w:t>
            </w:r>
            <w:r w:rsidR="00DD3674" w:rsidRPr="006214B8">
              <w:rPr>
                <w:rFonts w:cs="Calibri"/>
                <w:color w:val="000000"/>
                <w:sz w:val="20"/>
                <w:lang w:eastAsia="zh-CN"/>
              </w:rPr>
              <w:t xml:space="preserve"> </w:t>
            </w:r>
            <w:r>
              <w:rPr>
                <w:rFonts w:cs="Calibri" w:hint="eastAsia"/>
                <w:color w:val="000000"/>
                <w:sz w:val="20"/>
                <w:lang w:eastAsia="zh-CN"/>
              </w:rPr>
              <w:t>技术委员会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1AB0B9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51FA7017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</w:t>
            </w:r>
          </w:p>
        </w:tc>
      </w:tr>
      <w:tr w:rsidR="00DD3674" w:rsidRPr="006214B8" w14:paraId="0C1FE99F" w14:textId="77777777" w:rsidTr="00443251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</w:tcPr>
          <w:p w14:paraId="30151F42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84</w:t>
            </w:r>
          </w:p>
        </w:tc>
        <w:tc>
          <w:tcPr>
            <w:tcW w:w="5836" w:type="dxa"/>
            <w:shd w:val="clear" w:color="auto" w:fill="auto"/>
            <w:noWrap/>
            <w:vAlign w:val="center"/>
          </w:tcPr>
          <w:p w14:paraId="355CE3F8" w14:textId="1F3D7154" w:rsidR="00DD3674" w:rsidRPr="006214B8" w:rsidRDefault="006E7AAF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 w:themeColor="text1"/>
                <w:sz w:val="20"/>
                <w:lang w:eastAsia="zh-CN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世界数字声音广播</w:t>
            </w:r>
            <w:r w:rsidR="003E6E09">
              <w:rPr>
                <w:rFonts w:cs="Calibri" w:hint="eastAsia"/>
                <w:color w:val="000000"/>
                <w:sz w:val="20"/>
                <w:lang w:eastAsia="zh-CN"/>
              </w:rPr>
              <w:t>论坛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A27563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3E7E3E11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</w:t>
            </w:r>
          </w:p>
        </w:tc>
      </w:tr>
    </w:tbl>
    <w:p w14:paraId="3F522B44" w14:textId="6BFC2459" w:rsidR="00DD3674" w:rsidRPr="006214B8" w:rsidRDefault="00C45335" w:rsidP="00DD3674">
      <w:pPr>
        <w:pStyle w:val="Annextitle"/>
        <w:rPr>
          <w:bCs/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 w:rsidR="00DD3674" w:rsidRPr="006214B8">
        <w:rPr>
          <w:lang w:eastAsia="zh-CN"/>
        </w:rPr>
        <w:t>3</w:t>
      </w:r>
      <w:r>
        <w:rPr>
          <w:rFonts w:hint="eastAsia"/>
          <w:lang w:eastAsia="zh-CN"/>
        </w:rPr>
        <w:t>：</w:t>
      </w:r>
      <w:r w:rsidRPr="00C45335">
        <w:rPr>
          <w:rFonts w:hint="eastAsia"/>
          <w:lang w:eastAsia="zh-CN"/>
        </w:rPr>
        <w:t>请求延长豁免期限并提供所需信息但被认为</w:t>
      </w:r>
      <w:r w:rsidR="007470F1">
        <w:rPr>
          <w:lang w:eastAsia="zh-CN"/>
        </w:rPr>
        <w:br/>
      </w:r>
      <w:r w:rsidRPr="00C45335">
        <w:rPr>
          <w:rFonts w:hint="eastAsia"/>
          <w:lang w:eastAsia="zh-CN"/>
        </w:rPr>
        <w:t>不符合一项或多项标准的组织名单</w:t>
      </w: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621"/>
        <w:gridCol w:w="1480"/>
        <w:gridCol w:w="945"/>
        <w:gridCol w:w="988"/>
        <w:gridCol w:w="1740"/>
      </w:tblGrid>
      <w:tr w:rsidR="00DD3674" w:rsidRPr="006214B8" w14:paraId="242203E6" w14:textId="77777777" w:rsidTr="00A2740D">
        <w:trPr>
          <w:trHeight w:val="298"/>
        </w:trPr>
        <w:tc>
          <w:tcPr>
            <w:tcW w:w="704" w:type="dxa"/>
            <w:shd w:val="clear" w:color="auto" w:fill="A6A6A6" w:themeFill="background1" w:themeFillShade="A6"/>
            <w:noWrap/>
            <w:vAlign w:val="center"/>
            <w:hideMark/>
          </w:tcPr>
          <w:p w14:paraId="4E529383" w14:textId="652E6DE8" w:rsidR="00DD3674" w:rsidRPr="006214B8" w:rsidRDefault="00C45335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b/>
                <w:bCs/>
                <w:color w:val="000000" w:themeColor="text1"/>
                <w:sz w:val="20"/>
                <w:lang w:eastAsia="zh-CN"/>
              </w:rPr>
              <w:t>编号</w:t>
            </w:r>
          </w:p>
        </w:tc>
        <w:tc>
          <w:tcPr>
            <w:tcW w:w="3621" w:type="dxa"/>
            <w:shd w:val="clear" w:color="auto" w:fill="A6A6A6" w:themeFill="background1" w:themeFillShade="A6"/>
            <w:noWrap/>
            <w:vAlign w:val="center"/>
            <w:hideMark/>
          </w:tcPr>
          <w:p w14:paraId="50F1F130" w14:textId="63BE2381" w:rsidR="00DD3674" w:rsidRPr="006214B8" w:rsidRDefault="00C45335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b/>
                <w:color w:val="000000" w:themeColor="text1"/>
                <w:sz w:val="20"/>
                <w:lang w:eastAsia="zh-CN"/>
              </w:rPr>
              <w:t>实体名称</w:t>
            </w:r>
          </w:p>
        </w:tc>
        <w:tc>
          <w:tcPr>
            <w:tcW w:w="1480" w:type="dxa"/>
            <w:shd w:val="clear" w:color="auto" w:fill="A6A6A6" w:themeFill="background1" w:themeFillShade="A6"/>
            <w:noWrap/>
            <w:vAlign w:val="center"/>
            <w:hideMark/>
          </w:tcPr>
          <w:p w14:paraId="6CBEAE27" w14:textId="323C41E4" w:rsidR="00DD3674" w:rsidRPr="006214B8" w:rsidRDefault="00C45335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b/>
                <w:color w:val="000000" w:themeColor="text1"/>
                <w:sz w:val="20"/>
                <w:lang w:eastAsia="zh-CN"/>
              </w:rPr>
              <w:t>主要</w:t>
            </w:r>
          </w:p>
          <w:p w14:paraId="6A2C07B3" w14:textId="0057F3B8" w:rsidR="00DD3674" w:rsidRPr="006214B8" w:rsidRDefault="00C45335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b/>
                <w:color w:val="000000" w:themeColor="text1"/>
                <w:sz w:val="20"/>
                <w:lang w:eastAsia="zh-CN"/>
              </w:rPr>
              <w:t>类别</w:t>
            </w:r>
          </w:p>
        </w:tc>
        <w:tc>
          <w:tcPr>
            <w:tcW w:w="945" w:type="dxa"/>
            <w:shd w:val="clear" w:color="auto" w:fill="A6A6A6" w:themeFill="background1" w:themeFillShade="A6"/>
            <w:noWrap/>
            <w:vAlign w:val="center"/>
            <w:hideMark/>
          </w:tcPr>
          <w:p w14:paraId="36304FD8" w14:textId="758E0D90" w:rsidR="00DD3674" w:rsidRPr="006214B8" w:rsidRDefault="00C45335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b/>
                <w:color w:val="000000" w:themeColor="text1"/>
                <w:sz w:val="20"/>
                <w:lang w:eastAsia="zh-CN"/>
              </w:rPr>
              <w:t>部门</w:t>
            </w:r>
          </w:p>
        </w:tc>
        <w:tc>
          <w:tcPr>
            <w:tcW w:w="988" w:type="dxa"/>
            <w:shd w:val="clear" w:color="auto" w:fill="A6A6A6" w:themeFill="background1" w:themeFillShade="A6"/>
          </w:tcPr>
          <w:p w14:paraId="7673E7EF" w14:textId="3D608F60" w:rsidR="00DD3674" w:rsidRPr="006214B8" w:rsidRDefault="00C45335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b/>
                <w:bCs/>
                <w:color w:val="000000" w:themeColor="text1"/>
                <w:sz w:val="20"/>
                <w:lang w:eastAsia="zh-CN"/>
              </w:rPr>
              <w:t>不符合标准</w:t>
            </w:r>
          </w:p>
        </w:tc>
        <w:tc>
          <w:tcPr>
            <w:tcW w:w="1740" w:type="dxa"/>
            <w:shd w:val="clear" w:color="auto" w:fill="A6A6A6" w:themeFill="background1" w:themeFillShade="A6"/>
          </w:tcPr>
          <w:p w14:paraId="5795AD31" w14:textId="1105D79A" w:rsidR="00DD3674" w:rsidRPr="006214B8" w:rsidRDefault="00C45335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b/>
                <w:color w:val="000000" w:themeColor="text1"/>
                <w:sz w:val="20"/>
                <w:lang w:eastAsia="zh-CN"/>
              </w:rPr>
              <w:t>补充说明</w:t>
            </w:r>
          </w:p>
        </w:tc>
      </w:tr>
      <w:tr w:rsidR="00DD3674" w:rsidRPr="006214B8" w14:paraId="72C747AB" w14:textId="77777777" w:rsidTr="00A2740D">
        <w:trPr>
          <w:trHeight w:val="298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7FC52E4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3621" w:type="dxa"/>
            <w:shd w:val="clear" w:color="auto" w:fill="auto"/>
            <w:noWrap/>
            <w:vAlign w:val="center"/>
            <w:hideMark/>
          </w:tcPr>
          <w:p w14:paraId="3604C17B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val="es-MX" w:eastAsia="en-GB"/>
              </w:rPr>
            </w:pPr>
            <w:r w:rsidRPr="006214B8">
              <w:rPr>
                <w:rFonts w:cs="Calibri"/>
                <w:color w:val="000000"/>
                <w:sz w:val="20"/>
                <w:lang w:val="es-MX"/>
              </w:rPr>
              <w:t>Asociación Interamericana de Empresas de Telecomunicaciones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6F7F5E8D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45B4362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RTD</w:t>
            </w:r>
          </w:p>
        </w:tc>
        <w:tc>
          <w:tcPr>
            <w:tcW w:w="988" w:type="dxa"/>
            <w:vAlign w:val="center"/>
          </w:tcPr>
          <w:p w14:paraId="3C34B954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1740" w:type="dxa"/>
            <w:vAlign w:val="center"/>
          </w:tcPr>
          <w:p w14:paraId="4DB6A43B" w14:textId="78C267BF" w:rsidR="00DD3674" w:rsidRPr="006214B8" w:rsidRDefault="004000A0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商业协会</w:t>
            </w:r>
          </w:p>
        </w:tc>
      </w:tr>
      <w:tr w:rsidR="00DD3674" w:rsidRPr="006214B8" w14:paraId="0E6B9981" w14:textId="77777777" w:rsidTr="00A2740D">
        <w:trPr>
          <w:trHeight w:val="298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2155BF6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3621" w:type="dxa"/>
            <w:shd w:val="clear" w:color="auto" w:fill="auto"/>
            <w:noWrap/>
            <w:vAlign w:val="center"/>
            <w:hideMark/>
          </w:tcPr>
          <w:p w14:paraId="6875DB7C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val="es-MX" w:eastAsia="en-GB"/>
              </w:rPr>
            </w:pPr>
            <w:proofErr w:type="spellStart"/>
            <w:r w:rsidRPr="006214B8">
              <w:rPr>
                <w:rFonts w:cs="Calibri"/>
                <w:color w:val="000000"/>
                <w:sz w:val="20"/>
                <w:lang w:val="es-MX"/>
              </w:rPr>
              <w:t>Associação</w:t>
            </w:r>
            <w:proofErr w:type="spellEnd"/>
            <w:r w:rsidRPr="006214B8">
              <w:rPr>
                <w:rFonts w:cs="Calibri"/>
                <w:color w:val="000000"/>
                <w:sz w:val="20"/>
                <w:lang w:val="es-MX"/>
              </w:rPr>
              <w:t xml:space="preserve"> Empresarial de </w:t>
            </w:r>
            <w:proofErr w:type="spellStart"/>
            <w:r w:rsidRPr="006214B8">
              <w:rPr>
                <w:rFonts w:cs="Calibri"/>
                <w:color w:val="000000"/>
                <w:sz w:val="20"/>
                <w:lang w:val="es-MX"/>
              </w:rPr>
              <w:t>Comunicações</w:t>
            </w:r>
            <w:proofErr w:type="spellEnd"/>
            <w:r w:rsidRPr="006214B8">
              <w:rPr>
                <w:rFonts w:cs="Calibri"/>
                <w:color w:val="000000"/>
                <w:sz w:val="20"/>
                <w:lang w:val="es-MX"/>
              </w:rPr>
              <w:t xml:space="preserve"> de Portugal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C720C33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E4AC670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D</w:t>
            </w:r>
          </w:p>
        </w:tc>
        <w:tc>
          <w:tcPr>
            <w:tcW w:w="988" w:type="dxa"/>
            <w:vAlign w:val="center"/>
          </w:tcPr>
          <w:p w14:paraId="65AB7C38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1740" w:type="dxa"/>
            <w:vAlign w:val="center"/>
          </w:tcPr>
          <w:p w14:paraId="7EC95FC2" w14:textId="51607786" w:rsidR="00DD3674" w:rsidRPr="006214B8" w:rsidRDefault="004000A0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商业协会</w:t>
            </w:r>
          </w:p>
        </w:tc>
      </w:tr>
      <w:tr w:rsidR="00DD3674" w:rsidRPr="006214B8" w14:paraId="5B3D1A11" w14:textId="77777777" w:rsidTr="00A2740D">
        <w:trPr>
          <w:trHeight w:val="298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0EC9F70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3</w:t>
            </w:r>
          </w:p>
        </w:tc>
        <w:tc>
          <w:tcPr>
            <w:tcW w:w="3621" w:type="dxa"/>
            <w:shd w:val="clear" w:color="auto" w:fill="auto"/>
            <w:noWrap/>
            <w:vAlign w:val="center"/>
            <w:hideMark/>
          </w:tcPr>
          <w:p w14:paraId="20AD60A9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val="es-MX" w:eastAsia="en-GB"/>
              </w:rPr>
            </w:pPr>
            <w:proofErr w:type="spellStart"/>
            <w:r w:rsidRPr="006214B8">
              <w:rPr>
                <w:rFonts w:cs="Calibri"/>
                <w:color w:val="000000"/>
                <w:sz w:val="20"/>
                <w:lang w:val="es-MX"/>
              </w:rPr>
              <w:t>Associação</w:t>
            </w:r>
            <w:proofErr w:type="spellEnd"/>
            <w:r w:rsidRPr="006214B8">
              <w:rPr>
                <w:rFonts w:cs="Calibri"/>
                <w:color w:val="000000"/>
                <w:sz w:val="20"/>
                <w:lang w:val="es-MX"/>
              </w:rPr>
              <w:t xml:space="preserve"> Internacional das </w:t>
            </w:r>
            <w:proofErr w:type="spellStart"/>
            <w:r w:rsidRPr="006214B8">
              <w:rPr>
                <w:rFonts w:cs="Calibri"/>
                <w:color w:val="000000"/>
                <w:sz w:val="20"/>
                <w:lang w:val="es-MX"/>
              </w:rPr>
              <w:t>Comunicações</w:t>
            </w:r>
            <w:proofErr w:type="spellEnd"/>
            <w:r w:rsidRPr="006214B8">
              <w:rPr>
                <w:rFonts w:cs="Calibri"/>
                <w:color w:val="000000"/>
                <w:sz w:val="20"/>
                <w:lang w:val="es-MX"/>
              </w:rPr>
              <w:t xml:space="preserve"> de </w:t>
            </w:r>
            <w:proofErr w:type="spellStart"/>
            <w:r w:rsidRPr="006214B8">
              <w:rPr>
                <w:rFonts w:cs="Calibri"/>
                <w:color w:val="000000"/>
                <w:sz w:val="20"/>
                <w:lang w:val="es-MX"/>
              </w:rPr>
              <w:t>Expressão</w:t>
            </w:r>
            <w:proofErr w:type="spellEnd"/>
            <w:r w:rsidRPr="006214B8">
              <w:rPr>
                <w:rFonts w:cs="Calibri"/>
                <w:color w:val="000000"/>
                <w:sz w:val="20"/>
                <w:lang w:val="es-MX"/>
              </w:rPr>
              <w:t xml:space="preserve"> Portuguesa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661E61F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4C60BFA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TD</w:t>
            </w:r>
          </w:p>
        </w:tc>
        <w:tc>
          <w:tcPr>
            <w:tcW w:w="988" w:type="dxa"/>
            <w:vAlign w:val="center"/>
          </w:tcPr>
          <w:p w14:paraId="1CC6520F" w14:textId="5C3082DE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>2</w:t>
            </w:r>
            <w:r w:rsidR="004000A0">
              <w:rPr>
                <w:rFonts w:cs="Calibri" w:hint="eastAsia"/>
                <w:color w:val="000000"/>
                <w:sz w:val="20"/>
                <w:lang w:eastAsia="zh-CN"/>
              </w:rPr>
              <w:t>、</w:t>
            </w:r>
            <w:r w:rsidRPr="006214B8">
              <w:rPr>
                <w:rFonts w:cs="Calibri"/>
                <w:color w:val="000000"/>
                <w:sz w:val="20"/>
              </w:rPr>
              <w:t>3</w:t>
            </w:r>
          </w:p>
        </w:tc>
        <w:tc>
          <w:tcPr>
            <w:tcW w:w="1740" w:type="dxa"/>
            <w:vAlign w:val="center"/>
          </w:tcPr>
          <w:p w14:paraId="7F46D3ED" w14:textId="15DD1C64" w:rsidR="00DD3674" w:rsidRPr="006214B8" w:rsidRDefault="004000A0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商业协会</w:t>
            </w:r>
          </w:p>
        </w:tc>
      </w:tr>
      <w:tr w:rsidR="00DD3674" w:rsidRPr="006214B8" w14:paraId="3CD0E190" w14:textId="77777777" w:rsidTr="00A2740D">
        <w:trPr>
          <w:trHeight w:val="298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21DD877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4</w:t>
            </w:r>
          </w:p>
        </w:tc>
        <w:tc>
          <w:tcPr>
            <w:tcW w:w="3621" w:type="dxa"/>
            <w:shd w:val="clear" w:color="auto" w:fill="auto"/>
            <w:noWrap/>
            <w:vAlign w:val="center"/>
            <w:hideMark/>
          </w:tcPr>
          <w:p w14:paraId="5E062259" w14:textId="10AC21B9" w:rsidR="00DD3674" w:rsidRPr="006214B8" w:rsidRDefault="00CD46CA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color w:val="000000"/>
                <w:sz w:val="20"/>
                <w:lang w:eastAsia="zh-CN"/>
              </w:rPr>
              <w:t>欧洲广播网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2C60975C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09B74E6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</w:t>
            </w:r>
          </w:p>
        </w:tc>
        <w:tc>
          <w:tcPr>
            <w:tcW w:w="988" w:type="dxa"/>
            <w:vAlign w:val="center"/>
          </w:tcPr>
          <w:p w14:paraId="36E0522E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1740" w:type="dxa"/>
            <w:vAlign w:val="center"/>
          </w:tcPr>
          <w:p w14:paraId="56BD7225" w14:textId="6156F7D4" w:rsidR="00DD3674" w:rsidRPr="006214B8" w:rsidRDefault="004000A0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商业协会</w:t>
            </w:r>
          </w:p>
        </w:tc>
      </w:tr>
      <w:tr w:rsidR="00DD3674" w:rsidRPr="006214B8" w14:paraId="7DF9378C" w14:textId="77777777" w:rsidTr="00A2740D">
        <w:trPr>
          <w:trHeight w:val="298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46A2F46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5</w:t>
            </w:r>
          </w:p>
        </w:tc>
        <w:tc>
          <w:tcPr>
            <w:tcW w:w="3621" w:type="dxa"/>
            <w:shd w:val="clear" w:color="auto" w:fill="auto"/>
            <w:noWrap/>
            <w:vAlign w:val="center"/>
            <w:hideMark/>
          </w:tcPr>
          <w:p w14:paraId="68A461BA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val="fr-BE" w:eastAsia="en-GB"/>
              </w:rPr>
            </w:pPr>
            <w:r w:rsidRPr="006214B8">
              <w:rPr>
                <w:rFonts w:cs="Calibri"/>
                <w:color w:val="000000"/>
                <w:sz w:val="20"/>
                <w:lang w:val="fr-BE"/>
              </w:rPr>
              <w:t>Consortium d'Appui aux Actions pour la Promotion et le Développement de l'Afrique (CAPDA)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545F97C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880C683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D</w:t>
            </w:r>
          </w:p>
        </w:tc>
        <w:tc>
          <w:tcPr>
            <w:tcW w:w="988" w:type="dxa"/>
            <w:vAlign w:val="center"/>
          </w:tcPr>
          <w:p w14:paraId="2F4C7FD5" w14:textId="6CBC31DF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>2</w:t>
            </w:r>
            <w:r w:rsidR="004000A0">
              <w:rPr>
                <w:rFonts w:cs="Calibri" w:hint="eastAsia"/>
                <w:color w:val="000000"/>
                <w:sz w:val="20"/>
                <w:lang w:eastAsia="zh-CN"/>
              </w:rPr>
              <w:t>、</w:t>
            </w:r>
            <w:r w:rsidRPr="006214B8">
              <w:rPr>
                <w:rFonts w:cs="Calibri"/>
                <w:color w:val="000000"/>
                <w:sz w:val="20"/>
              </w:rPr>
              <w:t>3</w:t>
            </w:r>
          </w:p>
        </w:tc>
        <w:tc>
          <w:tcPr>
            <w:tcW w:w="1740" w:type="dxa"/>
            <w:vAlign w:val="center"/>
          </w:tcPr>
          <w:p w14:paraId="24D0EBF7" w14:textId="06D108FC" w:rsidR="00DD3674" w:rsidRPr="006214B8" w:rsidRDefault="004000A0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非成员组织</w:t>
            </w:r>
          </w:p>
        </w:tc>
      </w:tr>
      <w:tr w:rsidR="00DD3674" w:rsidRPr="006214B8" w14:paraId="6DFD9496" w14:textId="77777777" w:rsidTr="00A2740D">
        <w:trPr>
          <w:trHeight w:val="298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CD4E760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6</w:t>
            </w:r>
          </w:p>
        </w:tc>
        <w:tc>
          <w:tcPr>
            <w:tcW w:w="3621" w:type="dxa"/>
            <w:shd w:val="clear" w:color="auto" w:fill="auto"/>
            <w:noWrap/>
            <w:vAlign w:val="center"/>
            <w:hideMark/>
          </w:tcPr>
          <w:p w14:paraId="6EBD2EE8" w14:textId="5F5F0B6C" w:rsidR="00DD3674" w:rsidRPr="006214B8" w:rsidRDefault="00CD46CA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val="fr-BE" w:eastAsia="en-GB"/>
              </w:rPr>
            </w:pPr>
            <w:r>
              <w:rPr>
                <w:rFonts w:ascii="SimSun" w:hAnsi="SimSun" w:cs="SimSun" w:hint="eastAsia"/>
                <w:color w:val="000000"/>
                <w:sz w:val="20"/>
                <w:lang w:val="fr-BE" w:eastAsia="zh-CN"/>
              </w:rPr>
              <w:t>数字机会信托组织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6ABD5CBC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D9B8C35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D</w:t>
            </w:r>
          </w:p>
        </w:tc>
        <w:tc>
          <w:tcPr>
            <w:tcW w:w="988" w:type="dxa"/>
            <w:vAlign w:val="center"/>
          </w:tcPr>
          <w:p w14:paraId="535ECD61" w14:textId="3A833D21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>2</w:t>
            </w:r>
            <w:r w:rsidR="004000A0">
              <w:rPr>
                <w:rFonts w:cs="Calibri" w:hint="eastAsia"/>
                <w:color w:val="000000"/>
                <w:sz w:val="20"/>
                <w:lang w:eastAsia="zh-CN"/>
              </w:rPr>
              <w:t>、</w:t>
            </w:r>
            <w:r w:rsidRPr="006214B8">
              <w:rPr>
                <w:rFonts w:cs="Calibri"/>
                <w:color w:val="000000"/>
                <w:sz w:val="20"/>
              </w:rPr>
              <w:t>3</w:t>
            </w:r>
          </w:p>
        </w:tc>
        <w:tc>
          <w:tcPr>
            <w:tcW w:w="1740" w:type="dxa"/>
            <w:vAlign w:val="center"/>
          </w:tcPr>
          <w:p w14:paraId="76F9F374" w14:textId="400D2691" w:rsidR="00DD3674" w:rsidRPr="006214B8" w:rsidRDefault="004000A0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非成员组织</w:t>
            </w:r>
          </w:p>
        </w:tc>
      </w:tr>
      <w:tr w:rsidR="00DD3674" w:rsidRPr="006214B8" w14:paraId="719AE123" w14:textId="77777777" w:rsidTr="00A2740D">
        <w:trPr>
          <w:trHeight w:val="298"/>
        </w:trPr>
        <w:tc>
          <w:tcPr>
            <w:tcW w:w="704" w:type="dxa"/>
            <w:shd w:val="clear" w:color="auto" w:fill="auto"/>
            <w:noWrap/>
            <w:vAlign w:val="center"/>
          </w:tcPr>
          <w:p w14:paraId="343A2A9D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7</w:t>
            </w:r>
          </w:p>
        </w:tc>
        <w:tc>
          <w:tcPr>
            <w:tcW w:w="3621" w:type="dxa"/>
            <w:shd w:val="clear" w:color="auto" w:fill="auto"/>
            <w:noWrap/>
            <w:vAlign w:val="center"/>
          </w:tcPr>
          <w:p w14:paraId="3681A712" w14:textId="6E32A525" w:rsidR="00DD3674" w:rsidRPr="006214B8" w:rsidRDefault="00CD46CA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proofErr w:type="spellStart"/>
            <w:r w:rsidRPr="00CD46CA">
              <w:rPr>
                <w:rFonts w:cs="Calibri" w:hint="eastAsia"/>
                <w:color w:val="000000"/>
                <w:sz w:val="20"/>
              </w:rPr>
              <w:t>欧洲电信竞争协会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26F335CE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5B63F8A0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>RTD</w:t>
            </w:r>
          </w:p>
        </w:tc>
        <w:tc>
          <w:tcPr>
            <w:tcW w:w="988" w:type="dxa"/>
            <w:vAlign w:val="center"/>
          </w:tcPr>
          <w:p w14:paraId="2545F555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1740" w:type="dxa"/>
            <w:vAlign w:val="center"/>
          </w:tcPr>
          <w:p w14:paraId="07E1843E" w14:textId="114B2A62" w:rsidR="00DD3674" w:rsidRPr="006214B8" w:rsidRDefault="004000A0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商业协会</w:t>
            </w:r>
          </w:p>
        </w:tc>
      </w:tr>
      <w:tr w:rsidR="00DD3674" w:rsidRPr="006214B8" w14:paraId="4BF34E9D" w14:textId="77777777" w:rsidTr="00A2740D">
        <w:trPr>
          <w:trHeight w:val="298"/>
        </w:trPr>
        <w:tc>
          <w:tcPr>
            <w:tcW w:w="704" w:type="dxa"/>
            <w:shd w:val="clear" w:color="auto" w:fill="auto"/>
            <w:noWrap/>
            <w:vAlign w:val="center"/>
          </w:tcPr>
          <w:p w14:paraId="5DBBF8C5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8</w:t>
            </w:r>
          </w:p>
        </w:tc>
        <w:tc>
          <w:tcPr>
            <w:tcW w:w="3621" w:type="dxa"/>
            <w:shd w:val="clear" w:color="auto" w:fill="auto"/>
            <w:noWrap/>
            <w:vAlign w:val="center"/>
          </w:tcPr>
          <w:p w14:paraId="0F437D8E" w14:textId="7A8AA48E" w:rsidR="00DD3674" w:rsidRPr="006214B8" w:rsidRDefault="00CD46CA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欧洲电信网络运营商协会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2B3457DA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121B0091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>RTD</w:t>
            </w:r>
          </w:p>
        </w:tc>
        <w:tc>
          <w:tcPr>
            <w:tcW w:w="988" w:type="dxa"/>
            <w:vAlign w:val="center"/>
          </w:tcPr>
          <w:p w14:paraId="30F18142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1740" w:type="dxa"/>
            <w:vAlign w:val="center"/>
          </w:tcPr>
          <w:p w14:paraId="3BF89EDD" w14:textId="20C166CE" w:rsidR="00DD3674" w:rsidRPr="006214B8" w:rsidRDefault="004000A0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商业协会</w:t>
            </w:r>
          </w:p>
        </w:tc>
      </w:tr>
      <w:tr w:rsidR="00DD3674" w:rsidRPr="006214B8" w14:paraId="2D45F31A" w14:textId="77777777" w:rsidTr="00A2740D">
        <w:trPr>
          <w:trHeight w:val="298"/>
        </w:trPr>
        <w:tc>
          <w:tcPr>
            <w:tcW w:w="704" w:type="dxa"/>
            <w:shd w:val="clear" w:color="auto" w:fill="auto"/>
            <w:noWrap/>
            <w:vAlign w:val="center"/>
          </w:tcPr>
          <w:p w14:paraId="501BBE11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9</w:t>
            </w:r>
          </w:p>
        </w:tc>
        <w:tc>
          <w:tcPr>
            <w:tcW w:w="3621" w:type="dxa"/>
            <w:shd w:val="clear" w:color="auto" w:fill="auto"/>
            <w:noWrap/>
            <w:vAlign w:val="center"/>
          </w:tcPr>
          <w:p w14:paraId="535774A1" w14:textId="5F3EE39F" w:rsidR="00DD3674" w:rsidRPr="006214B8" w:rsidRDefault="00CB255E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光连接理事会中东和北非地区分会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D223840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04D4E172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>D</w:t>
            </w:r>
          </w:p>
        </w:tc>
        <w:tc>
          <w:tcPr>
            <w:tcW w:w="988" w:type="dxa"/>
            <w:vAlign w:val="center"/>
          </w:tcPr>
          <w:p w14:paraId="75D97EFE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1740" w:type="dxa"/>
            <w:vAlign w:val="center"/>
          </w:tcPr>
          <w:p w14:paraId="33E9D966" w14:textId="700DBDE0" w:rsidR="00DD3674" w:rsidRPr="006214B8" w:rsidRDefault="004000A0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商业协会</w:t>
            </w:r>
          </w:p>
        </w:tc>
      </w:tr>
      <w:tr w:rsidR="00DD3674" w:rsidRPr="006214B8" w14:paraId="0A65AA5B" w14:textId="77777777" w:rsidTr="00A2740D">
        <w:trPr>
          <w:trHeight w:val="298"/>
        </w:trPr>
        <w:tc>
          <w:tcPr>
            <w:tcW w:w="704" w:type="dxa"/>
            <w:shd w:val="clear" w:color="auto" w:fill="auto"/>
            <w:noWrap/>
            <w:vAlign w:val="center"/>
          </w:tcPr>
          <w:p w14:paraId="6F8BE623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10</w:t>
            </w:r>
          </w:p>
        </w:tc>
        <w:tc>
          <w:tcPr>
            <w:tcW w:w="3621" w:type="dxa"/>
            <w:shd w:val="clear" w:color="auto" w:fill="auto"/>
            <w:noWrap/>
            <w:vAlign w:val="center"/>
          </w:tcPr>
          <w:p w14:paraId="6508C7AC" w14:textId="4F2F0FB4" w:rsidR="00DD3674" w:rsidRPr="006214B8" w:rsidRDefault="00CB255E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全球</w:t>
            </w:r>
            <w:r w:rsidR="00DD3674" w:rsidRPr="006214B8">
              <w:rPr>
                <w:rFonts w:cs="Calibri"/>
                <w:color w:val="000000"/>
                <w:sz w:val="20"/>
              </w:rPr>
              <w:t>VSAT</w:t>
            </w:r>
            <w:r>
              <w:rPr>
                <w:rFonts w:cs="Calibri" w:hint="eastAsia"/>
                <w:color w:val="000000"/>
                <w:sz w:val="20"/>
                <w:lang w:eastAsia="zh-CN"/>
              </w:rPr>
              <w:t>论坛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CE0EE2C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7C1DDBE8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>D</w:t>
            </w:r>
          </w:p>
        </w:tc>
        <w:tc>
          <w:tcPr>
            <w:tcW w:w="988" w:type="dxa"/>
            <w:vAlign w:val="center"/>
          </w:tcPr>
          <w:p w14:paraId="208A4FE4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1740" w:type="dxa"/>
            <w:vAlign w:val="center"/>
          </w:tcPr>
          <w:p w14:paraId="75279400" w14:textId="7215BC43" w:rsidR="00DD3674" w:rsidRPr="006214B8" w:rsidRDefault="004000A0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商业协会</w:t>
            </w:r>
          </w:p>
        </w:tc>
      </w:tr>
      <w:tr w:rsidR="00DD3674" w:rsidRPr="006214B8" w14:paraId="686CC673" w14:textId="77777777" w:rsidTr="00A2740D">
        <w:trPr>
          <w:trHeight w:val="298"/>
        </w:trPr>
        <w:tc>
          <w:tcPr>
            <w:tcW w:w="704" w:type="dxa"/>
            <w:shd w:val="clear" w:color="auto" w:fill="auto"/>
            <w:noWrap/>
            <w:vAlign w:val="center"/>
          </w:tcPr>
          <w:p w14:paraId="79451D54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11</w:t>
            </w:r>
          </w:p>
        </w:tc>
        <w:tc>
          <w:tcPr>
            <w:tcW w:w="3621" w:type="dxa"/>
            <w:shd w:val="clear" w:color="auto" w:fill="auto"/>
            <w:noWrap/>
            <w:vAlign w:val="center"/>
          </w:tcPr>
          <w:p w14:paraId="6B83092A" w14:textId="79F6A988" w:rsidR="00DD3674" w:rsidRPr="006214B8" w:rsidRDefault="00CB255E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CB255E">
              <w:rPr>
                <w:rFonts w:cs="Calibri" w:hint="eastAsia"/>
                <w:color w:val="000000"/>
                <w:sz w:val="20"/>
                <w:lang w:eastAsia="zh-CN"/>
              </w:rPr>
              <w:t>国际海事无线电委员会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D036E98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27B68B12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>RT</w:t>
            </w:r>
          </w:p>
        </w:tc>
        <w:tc>
          <w:tcPr>
            <w:tcW w:w="988" w:type="dxa"/>
            <w:vAlign w:val="center"/>
          </w:tcPr>
          <w:p w14:paraId="210200D1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1740" w:type="dxa"/>
            <w:vAlign w:val="center"/>
          </w:tcPr>
          <w:p w14:paraId="64E60C25" w14:textId="496BC8C9" w:rsidR="00DD3674" w:rsidRPr="006214B8" w:rsidRDefault="004000A0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商业协会</w:t>
            </w:r>
          </w:p>
        </w:tc>
      </w:tr>
      <w:tr w:rsidR="00DD3674" w:rsidRPr="006214B8" w14:paraId="65072C35" w14:textId="77777777" w:rsidTr="00A2740D">
        <w:trPr>
          <w:trHeight w:val="298"/>
        </w:trPr>
        <w:tc>
          <w:tcPr>
            <w:tcW w:w="704" w:type="dxa"/>
            <w:shd w:val="clear" w:color="auto" w:fill="auto"/>
            <w:noWrap/>
            <w:vAlign w:val="center"/>
          </w:tcPr>
          <w:p w14:paraId="30060FE8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12</w:t>
            </w:r>
          </w:p>
        </w:tc>
        <w:tc>
          <w:tcPr>
            <w:tcW w:w="3621" w:type="dxa"/>
            <w:shd w:val="clear" w:color="auto" w:fill="auto"/>
            <w:noWrap/>
            <w:vAlign w:val="center"/>
          </w:tcPr>
          <w:p w14:paraId="739D00DC" w14:textId="178DE98C" w:rsidR="00DD3674" w:rsidRPr="006214B8" w:rsidRDefault="00CB255E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互联网系统联合会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936DFFF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793C1F03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>TD</w:t>
            </w:r>
          </w:p>
        </w:tc>
        <w:tc>
          <w:tcPr>
            <w:tcW w:w="988" w:type="dxa"/>
            <w:vAlign w:val="center"/>
          </w:tcPr>
          <w:p w14:paraId="127EAD14" w14:textId="75228B5D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>2</w:t>
            </w:r>
            <w:r w:rsidR="00095864">
              <w:rPr>
                <w:rFonts w:cs="Calibri" w:hint="eastAsia"/>
                <w:color w:val="000000"/>
                <w:sz w:val="20"/>
                <w:lang w:eastAsia="zh-CN"/>
              </w:rPr>
              <w:t>、</w:t>
            </w:r>
            <w:r w:rsidRPr="006214B8">
              <w:rPr>
                <w:rFonts w:cs="Calibri"/>
                <w:color w:val="000000"/>
                <w:sz w:val="20"/>
              </w:rPr>
              <w:t>3</w:t>
            </w:r>
          </w:p>
        </w:tc>
        <w:tc>
          <w:tcPr>
            <w:tcW w:w="1740" w:type="dxa"/>
            <w:vAlign w:val="center"/>
          </w:tcPr>
          <w:p w14:paraId="20C29CD4" w14:textId="56CB15DA" w:rsidR="00DD3674" w:rsidRPr="006214B8" w:rsidRDefault="004000A0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非成员组织</w:t>
            </w:r>
          </w:p>
        </w:tc>
      </w:tr>
      <w:tr w:rsidR="00DD3674" w:rsidRPr="006214B8" w14:paraId="7B63F105" w14:textId="77777777" w:rsidTr="00A2740D">
        <w:trPr>
          <w:trHeight w:val="298"/>
        </w:trPr>
        <w:tc>
          <w:tcPr>
            <w:tcW w:w="704" w:type="dxa"/>
            <w:shd w:val="clear" w:color="auto" w:fill="auto"/>
            <w:noWrap/>
            <w:vAlign w:val="center"/>
          </w:tcPr>
          <w:p w14:paraId="5F37DA20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13</w:t>
            </w:r>
          </w:p>
        </w:tc>
        <w:tc>
          <w:tcPr>
            <w:tcW w:w="3621" w:type="dxa"/>
            <w:shd w:val="clear" w:color="auto" w:fill="auto"/>
            <w:noWrap/>
            <w:vAlign w:val="center"/>
          </w:tcPr>
          <w:p w14:paraId="7CB7D48A" w14:textId="041C3701" w:rsidR="00DD3674" w:rsidRPr="006214B8" w:rsidRDefault="00CB255E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CB255E">
              <w:rPr>
                <w:rFonts w:cs="Calibri" w:hint="eastAsia"/>
                <w:color w:val="000000"/>
                <w:sz w:val="20"/>
                <w:lang w:eastAsia="zh-CN"/>
              </w:rPr>
              <w:t>国际电联</w:t>
            </w:r>
            <w:r w:rsidR="00AF2A82">
              <w:rPr>
                <w:rFonts w:cs="Calibri" w:hint="eastAsia"/>
                <w:color w:val="000000"/>
                <w:sz w:val="20"/>
                <w:lang w:eastAsia="zh-CN"/>
              </w:rPr>
              <w:t xml:space="preserve"> </w:t>
            </w:r>
            <w:r w:rsidR="00AF2A82" w:rsidRPr="00AF2A82">
              <w:rPr>
                <w:rFonts w:cs="Calibri"/>
                <w:color w:val="000000"/>
                <w:sz w:val="20"/>
                <w:lang w:eastAsia="zh-CN"/>
              </w:rPr>
              <w:t>–</w:t>
            </w:r>
            <w:r w:rsidR="00AF2A82">
              <w:rPr>
                <w:rFonts w:cs="Calibri"/>
                <w:color w:val="000000"/>
                <w:sz w:val="20"/>
                <w:lang w:eastAsia="zh-CN"/>
              </w:rPr>
              <w:t xml:space="preserve"> </w:t>
            </w:r>
            <w:r w:rsidRPr="00CB255E">
              <w:rPr>
                <w:rFonts w:cs="Calibri" w:hint="eastAsia"/>
                <w:color w:val="000000"/>
                <w:sz w:val="20"/>
                <w:lang w:eastAsia="zh-CN"/>
              </w:rPr>
              <w:t>亚太电信组织印度基金会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361A6F2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444E72A6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>RTD</w:t>
            </w:r>
          </w:p>
        </w:tc>
        <w:tc>
          <w:tcPr>
            <w:tcW w:w="988" w:type="dxa"/>
            <w:vAlign w:val="center"/>
          </w:tcPr>
          <w:p w14:paraId="109110E4" w14:textId="1D2BC003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>1</w:t>
            </w:r>
            <w:r w:rsidR="00095864">
              <w:rPr>
                <w:rFonts w:cs="Calibri" w:hint="eastAsia"/>
                <w:color w:val="000000"/>
                <w:sz w:val="20"/>
                <w:lang w:eastAsia="zh-CN"/>
              </w:rPr>
              <w:t>、</w:t>
            </w:r>
            <w:r w:rsidRPr="006214B8">
              <w:rPr>
                <w:rFonts w:cs="Calibri"/>
                <w:color w:val="000000"/>
                <w:sz w:val="20"/>
              </w:rPr>
              <w:t>3</w:t>
            </w:r>
          </w:p>
        </w:tc>
        <w:tc>
          <w:tcPr>
            <w:tcW w:w="1740" w:type="dxa"/>
            <w:vAlign w:val="center"/>
          </w:tcPr>
          <w:p w14:paraId="2841B25A" w14:textId="4C91CA28" w:rsidR="00DD3674" w:rsidRPr="006214B8" w:rsidRDefault="004000A0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4000A0">
              <w:rPr>
                <w:rFonts w:cs="Calibri" w:hint="eastAsia"/>
                <w:color w:val="000000"/>
                <w:sz w:val="20"/>
                <w:lang w:eastAsia="zh-CN"/>
              </w:rPr>
              <w:t>国家机构，</w:t>
            </w:r>
            <w:r w:rsidR="00980E77">
              <w:rPr>
                <w:rFonts w:cs="Calibri"/>
                <w:color w:val="000000"/>
                <w:sz w:val="20"/>
                <w:lang w:eastAsia="zh-CN"/>
              </w:rPr>
              <w:br/>
            </w:r>
            <w:r w:rsidRPr="004000A0">
              <w:rPr>
                <w:rFonts w:cs="Calibri" w:hint="eastAsia"/>
                <w:color w:val="000000"/>
                <w:sz w:val="20"/>
                <w:lang w:eastAsia="zh-CN"/>
              </w:rPr>
              <w:t>国际成员不足</w:t>
            </w:r>
          </w:p>
        </w:tc>
      </w:tr>
      <w:tr w:rsidR="00DD3674" w:rsidRPr="006214B8" w14:paraId="28208FE0" w14:textId="77777777" w:rsidTr="00A2740D">
        <w:trPr>
          <w:trHeight w:val="298"/>
        </w:trPr>
        <w:tc>
          <w:tcPr>
            <w:tcW w:w="704" w:type="dxa"/>
            <w:shd w:val="clear" w:color="auto" w:fill="auto"/>
            <w:noWrap/>
            <w:vAlign w:val="center"/>
          </w:tcPr>
          <w:p w14:paraId="44225436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14</w:t>
            </w:r>
          </w:p>
        </w:tc>
        <w:tc>
          <w:tcPr>
            <w:tcW w:w="3621" w:type="dxa"/>
            <w:shd w:val="clear" w:color="auto" w:fill="auto"/>
            <w:noWrap/>
            <w:vAlign w:val="center"/>
          </w:tcPr>
          <w:p w14:paraId="74057E25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proofErr w:type="spellStart"/>
            <w:r w:rsidRPr="006214B8">
              <w:rPr>
                <w:rFonts w:cs="Calibri"/>
                <w:color w:val="000000"/>
                <w:sz w:val="20"/>
              </w:rPr>
              <w:t>Mandat</w:t>
            </w:r>
            <w:proofErr w:type="spellEnd"/>
            <w:r w:rsidRPr="006214B8">
              <w:rPr>
                <w:rFonts w:cs="Calibri"/>
                <w:color w:val="000000"/>
                <w:sz w:val="20"/>
              </w:rPr>
              <w:t xml:space="preserve"> International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1C54C2D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59082234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>T</w:t>
            </w:r>
          </w:p>
        </w:tc>
        <w:tc>
          <w:tcPr>
            <w:tcW w:w="988" w:type="dxa"/>
            <w:vAlign w:val="center"/>
          </w:tcPr>
          <w:p w14:paraId="28150626" w14:textId="59D495BF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>2</w:t>
            </w:r>
            <w:r w:rsidR="00095864">
              <w:rPr>
                <w:rFonts w:cs="Calibri" w:hint="eastAsia"/>
                <w:color w:val="000000"/>
                <w:sz w:val="20"/>
                <w:lang w:eastAsia="zh-CN"/>
              </w:rPr>
              <w:t>、</w:t>
            </w:r>
            <w:r w:rsidRPr="006214B8">
              <w:rPr>
                <w:rFonts w:cs="Calibri"/>
                <w:color w:val="000000"/>
                <w:sz w:val="20"/>
              </w:rPr>
              <w:t>3</w:t>
            </w:r>
          </w:p>
        </w:tc>
        <w:tc>
          <w:tcPr>
            <w:tcW w:w="1740" w:type="dxa"/>
            <w:vAlign w:val="center"/>
          </w:tcPr>
          <w:p w14:paraId="4999B0CD" w14:textId="146EE0B8" w:rsidR="00DD3674" w:rsidRPr="006214B8" w:rsidRDefault="004000A0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非成员组织</w:t>
            </w:r>
          </w:p>
        </w:tc>
      </w:tr>
      <w:tr w:rsidR="00DD3674" w:rsidRPr="006214B8" w14:paraId="38A00D3D" w14:textId="77777777" w:rsidTr="00A2740D">
        <w:trPr>
          <w:trHeight w:val="298"/>
        </w:trPr>
        <w:tc>
          <w:tcPr>
            <w:tcW w:w="704" w:type="dxa"/>
            <w:shd w:val="clear" w:color="auto" w:fill="auto"/>
            <w:noWrap/>
            <w:vAlign w:val="center"/>
          </w:tcPr>
          <w:p w14:paraId="043C5155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15</w:t>
            </w:r>
          </w:p>
        </w:tc>
        <w:tc>
          <w:tcPr>
            <w:tcW w:w="3621" w:type="dxa"/>
            <w:shd w:val="clear" w:color="auto" w:fill="auto"/>
            <w:noWrap/>
            <w:vAlign w:val="center"/>
          </w:tcPr>
          <w:p w14:paraId="1908CBE6" w14:textId="75214407" w:rsidR="00DD3674" w:rsidRPr="006214B8" w:rsidRDefault="0009586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北美广播协会（</w:t>
            </w:r>
            <w:r w:rsidR="00DD3674" w:rsidRPr="006214B8">
              <w:rPr>
                <w:rFonts w:cs="Calibri"/>
                <w:color w:val="000000"/>
                <w:sz w:val="20"/>
                <w:lang w:eastAsia="zh-CN"/>
              </w:rPr>
              <w:t>NABA</w:t>
            </w:r>
            <w:r>
              <w:rPr>
                <w:rFonts w:cs="Calibri" w:hint="eastAsia"/>
                <w:color w:val="000000"/>
                <w:sz w:val="20"/>
                <w:lang w:eastAsia="zh-CN"/>
              </w:rPr>
              <w:t>）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182FBDE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190527CD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>R</w:t>
            </w:r>
          </w:p>
        </w:tc>
        <w:tc>
          <w:tcPr>
            <w:tcW w:w="988" w:type="dxa"/>
            <w:vAlign w:val="center"/>
          </w:tcPr>
          <w:p w14:paraId="75D4A722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1740" w:type="dxa"/>
            <w:vAlign w:val="center"/>
          </w:tcPr>
          <w:p w14:paraId="7A1CA983" w14:textId="396C55B5" w:rsidR="00DD3674" w:rsidRPr="006214B8" w:rsidRDefault="004000A0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eastAsia="zh-CN"/>
              </w:rPr>
              <w:t>商业协会</w:t>
            </w:r>
          </w:p>
        </w:tc>
      </w:tr>
      <w:tr w:rsidR="00DD3674" w:rsidRPr="006214B8" w14:paraId="7C023899" w14:textId="77777777" w:rsidTr="00A2740D">
        <w:trPr>
          <w:trHeight w:val="298"/>
        </w:trPr>
        <w:tc>
          <w:tcPr>
            <w:tcW w:w="704" w:type="dxa"/>
            <w:shd w:val="clear" w:color="auto" w:fill="auto"/>
            <w:noWrap/>
            <w:vAlign w:val="center"/>
          </w:tcPr>
          <w:p w14:paraId="6F28A05E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16</w:t>
            </w:r>
          </w:p>
        </w:tc>
        <w:tc>
          <w:tcPr>
            <w:tcW w:w="3621" w:type="dxa"/>
            <w:shd w:val="clear" w:color="auto" w:fill="auto"/>
            <w:noWrap/>
            <w:vAlign w:val="center"/>
          </w:tcPr>
          <w:p w14:paraId="049D33BB" w14:textId="41A8C07D" w:rsidR="00DD3674" w:rsidRPr="006214B8" w:rsidRDefault="0009586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095864">
              <w:rPr>
                <w:rFonts w:cs="Calibri" w:hint="eastAsia"/>
                <w:color w:val="000000"/>
                <w:sz w:val="20"/>
                <w:lang w:eastAsia="zh-CN"/>
              </w:rPr>
              <w:t>射电天文与空间科学频率划分科学委员会</w:t>
            </w:r>
            <w:r>
              <w:rPr>
                <w:rFonts w:cs="Calibri" w:hint="eastAsia"/>
                <w:color w:val="000000"/>
                <w:sz w:val="20"/>
                <w:lang w:eastAsia="zh-CN"/>
              </w:rPr>
              <w:t>（</w:t>
            </w:r>
            <w:r w:rsidR="00DD3674" w:rsidRPr="006214B8">
              <w:rPr>
                <w:rFonts w:cs="Calibri"/>
                <w:color w:val="000000"/>
                <w:sz w:val="20"/>
                <w:lang w:eastAsia="zh-CN"/>
              </w:rPr>
              <w:t>IUCAF</w:t>
            </w:r>
            <w:r>
              <w:rPr>
                <w:rFonts w:cs="Calibri" w:hint="eastAsia"/>
                <w:color w:val="000000"/>
                <w:sz w:val="20"/>
                <w:lang w:eastAsia="zh-CN"/>
              </w:rPr>
              <w:t>）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DD650E5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41EA315D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>R</w:t>
            </w:r>
          </w:p>
        </w:tc>
        <w:tc>
          <w:tcPr>
            <w:tcW w:w="988" w:type="dxa"/>
            <w:vAlign w:val="center"/>
          </w:tcPr>
          <w:p w14:paraId="5074A443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1740" w:type="dxa"/>
            <w:vAlign w:val="center"/>
          </w:tcPr>
          <w:p w14:paraId="25CE7243" w14:textId="23F4E604" w:rsidR="00DD3674" w:rsidRPr="006214B8" w:rsidRDefault="00166E40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166E40">
              <w:rPr>
                <w:rFonts w:cs="Calibri" w:hint="eastAsia"/>
                <w:color w:val="000000"/>
                <w:sz w:val="20"/>
                <w:lang w:eastAsia="zh-CN"/>
              </w:rPr>
              <w:t>非法律实体。</w:t>
            </w:r>
            <w:r w:rsidR="00980E77">
              <w:rPr>
                <w:rFonts w:cs="Calibri"/>
                <w:color w:val="000000"/>
                <w:sz w:val="20"/>
                <w:lang w:eastAsia="zh-CN"/>
              </w:rPr>
              <w:br/>
            </w:r>
            <w:r w:rsidRPr="00166E40">
              <w:rPr>
                <w:rFonts w:cs="Calibri" w:hint="eastAsia"/>
                <w:color w:val="000000"/>
                <w:sz w:val="20"/>
                <w:lang w:eastAsia="zh-CN"/>
              </w:rPr>
              <w:t>ISC</w:t>
            </w:r>
            <w:r w:rsidRPr="00166E40">
              <w:rPr>
                <w:rFonts w:cs="Calibri" w:hint="eastAsia"/>
                <w:color w:val="000000"/>
                <w:sz w:val="20"/>
                <w:lang w:eastAsia="zh-CN"/>
              </w:rPr>
              <w:t>附属机构</w:t>
            </w:r>
          </w:p>
        </w:tc>
      </w:tr>
      <w:tr w:rsidR="00DD3674" w:rsidRPr="006214B8" w14:paraId="3398704A" w14:textId="77777777" w:rsidTr="00A2740D">
        <w:trPr>
          <w:trHeight w:val="298"/>
        </w:trPr>
        <w:tc>
          <w:tcPr>
            <w:tcW w:w="704" w:type="dxa"/>
            <w:shd w:val="clear" w:color="auto" w:fill="auto"/>
            <w:noWrap/>
            <w:vAlign w:val="center"/>
          </w:tcPr>
          <w:p w14:paraId="7C4231A0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17</w:t>
            </w:r>
          </w:p>
        </w:tc>
        <w:tc>
          <w:tcPr>
            <w:tcW w:w="3621" w:type="dxa"/>
            <w:shd w:val="clear" w:color="auto" w:fill="auto"/>
            <w:noWrap/>
            <w:vAlign w:val="center"/>
          </w:tcPr>
          <w:p w14:paraId="1276C4A2" w14:textId="5A03A4C9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proofErr w:type="spellStart"/>
            <w:r w:rsidRPr="006214B8">
              <w:rPr>
                <w:rFonts w:cs="Calibri"/>
                <w:color w:val="000000"/>
                <w:sz w:val="20"/>
              </w:rPr>
              <w:t>Sintesio</w:t>
            </w:r>
            <w:proofErr w:type="spellEnd"/>
            <w:r w:rsidR="00095864">
              <w:rPr>
                <w:rFonts w:cs="Calibri" w:hint="eastAsia"/>
                <w:color w:val="000000"/>
                <w:sz w:val="20"/>
                <w:lang w:eastAsia="zh-CN"/>
              </w:rPr>
              <w:t>基金会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16237EA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 xml:space="preserve">REGINTORG 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60080DA2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>D</w:t>
            </w:r>
          </w:p>
        </w:tc>
        <w:tc>
          <w:tcPr>
            <w:tcW w:w="988" w:type="dxa"/>
            <w:vAlign w:val="center"/>
          </w:tcPr>
          <w:p w14:paraId="2FFFE2FC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>3</w:t>
            </w:r>
          </w:p>
        </w:tc>
        <w:tc>
          <w:tcPr>
            <w:tcW w:w="1740" w:type="dxa"/>
            <w:vAlign w:val="center"/>
          </w:tcPr>
          <w:p w14:paraId="06B39CF1" w14:textId="5774B323" w:rsidR="00DD3674" w:rsidRPr="006214B8" w:rsidRDefault="00166E40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国际成员不足</w:t>
            </w:r>
          </w:p>
        </w:tc>
      </w:tr>
      <w:tr w:rsidR="00DD3674" w:rsidRPr="006214B8" w14:paraId="74C27A4A" w14:textId="77777777" w:rsidTr="00A2740D">
        <w:trPr>
          <w:trHeight w:val="327"/>
        </w:trPr>
        <w:tc>
          <w:tcPr>
            <w:tcW w:w="704" w:type="dxa"/>
            <w:shd w:val="clear" w:color="auto" w:fill="auto"/>
            <w:noWrap/>
            <w:vAlign w:val="center"/>
          </w:tcPr>
          <w:p w14:paraId="7A189D32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18</w:t>
            </w:r>
          </w:p>
        </w:tc>
        <w:tc>
          <w:tcPr>
            <w:tcW w:w="3621" w:type="dxa"/>
            <w:shd w:val="clear" w:color="auto" w:fill="auto"/>
            <w:noWrap/>
            <w:vAlign w:val="center"/>
          </w:tcPr>
          <w:p w14:paraId="1D5390F6" w14:textId="12492D3C" w:rsidR="00DD3674" w:rsidRPr="006214B8" w:rsidRDefault="0009586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proofErr w:type="gramStart"/>
            <w:r>
              <w:rPr>
                <w:rFonts w:cs="Calibri" w:hint="eastAsia"/>
                <w:color w:val="000000"/>
                <w:sz w:val="20"/>
                <w:lang w:eastAsia="zh-CN"/>
              </w:rPr>
              <w:t>技术难民</w:t>
            </w:r>
            <w:proofErr w:type="gramEnd"/>
            <w:r>
              <w:rPr>
                <w:rFonts w:cs="Calibri" w:hint="eastAsia"/>
                <w:color w:val="000000"/>
                <w:sz w:val="20"/>
                <w:lang w:eastAsia="zh-CN"/>
              </w:rPr>
              <w:t>基金会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29ECE258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7FB40D8D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>D</w:t>
            </w:r>
          </w:p>
        </w:tc>
        <w:tc>
          <w:tcPr>
            <w:tcW w:w="988" w:type="dxa"/>
            <w:vAlign w:val="center"/>
          </w:tcPr>
          <w:p w14:paraId="3978D448" w14:textId="4967ADD1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>2</w:t>
            </w:r>
            <w:r w:rsidR="00095864">
              <w:rPr>
                <w:rFonts w:cs="Calibri" w:hint="eastAsia"/>
                <w:color w:val="000000"/>
                <w:sz w:val="20"/>
                <w:lang w:eastAsia="zh-CN"/>
              </w:rPr>
              <w:t>、</w:t>
            </w:r>
            <w:r w:rsidRPr="006214B8">
              <w:rPr>
                <w:rFonts w:cs="Calibri"/>
                <w:color w:val="000000"/>
                <w:sz w:val="20"/>
              </w:rPr>
              <w:t>3</w:t>
            </w:r>
          </w:p>
        </w:tc>
        <w:tc>
          <w:tcPr>
            <w:tcW w:w="1740" w:type="dxa"/>
            <w:vAlign w:val="center"/>
          </w:tcPr>
          <w:p w14:paraId="6B74A3F2" w14:textId="062E613F" w:rsidR="00DD3674" w:rsidRPr="006214B8" w:rsidRDefault="00166E40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eastAsia="zh-CN"/>
              </w:rPr>
              <w:t>非成员组织</w:t>
            </w:r>
          </w:p>
        </w:tc>
      </w:tr>
      <w:tr w:rsidR="00DD3674" w:rsidRPr="006214B8" w14:paraId="5D9C5DB1" w14:textId="77777777" w:rsidTr="00A2740D">
        <w:trPr>
          <w:trHeight w:val="298"/>
        </w:trPr>
        <w:tc>
          <w:tcPr>
            <w:tcW w:w="704" w:type="dxa"/>
            <w:shd w:val="clear" w:color="auto" w:fill="auto"/>
            <w:noWrap/>
            <w:vAlign w:val="center"/>
          </w:tcPr>
          <w:p w14:paraId="63DA60FE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/>
                <w:sz w:val="20"/>
              </w:rPr>
              <w:t>19</w:t>
            </w:r>
          </w:p>
        </w:tc>
        <w:tc>
          <w:tcPr>
            <w:tcW w:w="3621" w:type="dxa"/>
            <w:shd w:val="clear" w:color="auto" w:fill="auto"/>
            <w:noWrap/>
            <w:vAlign w:val="center"/>
          </w:tcPr>
          <w:p w14:paraId="4BC7D0B5" w14:textId="6AC6C666" w:rsidR="00DD3674" w:rsidRPr="006214B8" w:rsidRDefault="0009586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万维网基金会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B9E80D3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>REGINTORG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1AC10D06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>D</w:t>
            </w:r>
          </w:p>
        </w:tc>
        <w:tc>
          <w:tcPr>
            <w:tcW w:w="988" w:type="dxa"/>
            <w:vAlign w:val="center"/>
          </w:tcPr>
          <w:p w14:paraId="7B1D6802" w14:textId="46BADBC4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/>
                <w:sz w:val="20"/>
              </w:rPr>
              <w:t>2</w:t>
            </w:r>
            <w:r w:rsidR="00095864">
              <w:rPr>
                <w:rFonts w:cs="Calibri" w:hint="eastAsia"/>
                <w:color w:val="000000"/>
                <w:sz w:val="20"/>
                <w:lang w:eastAsia="zh-CN"/>
              </w:rPr>
              <w:t>、</w:t>
            </w:r>
            <w:r w:rsidRPr="006214B8">
              <w:rPr>
                <w:rFonts w:cs="Calibri"/>
                <w:color w:val="000000"/>
                <w:sz w:val="20"/>
              </w:rPr>
              <w:t>3</w:t>
            </w:r>
          </w:p>
        </w:tc>
        <w:tc>
          <w:tcPr>
            <w:tcW w:w="1740" w:type="dxa"/>
            <w:vAlign w:val="center"/>
          </w:tcPr>
          <w:p w14:paraId="322C03D9" w14:textId="6353C2DA" w:rsidR="00DD3674" w:rsidRPr="006214B8" w:rsidRDefault="00166E40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eastAsia="zh-CN"/>
              </w:rPr>
              <w:t>非成员组织</w:t>
            </w:r>
          </w:p>
        </w:tc>
      </w:tr>
    </w:tbl>
    <w:p w14:paraId="52C3428A" w14:textId="72593E40" w:rsidR="00DD3674" w:rsidRPr="006214B8" w:rsidRDefault="00C45335" w:rsidP="003923A4">
      <w:pPr>
        <w:pStyle w:val="Annextitle"/>
        <w:pageBreakBefore/>
        <w:rPr>
          <w:bCs/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 w:rsidR="00DD3674" w:rsidRPr="006214B8">
        <w:rPr>
          <w:bCs/>
          <w:lang w:eastAsia="zh-CN"/>
        </w:rPr>
        <w:t>4</w:t>
      </w:r>
      <w:r>
        <w:rPr>
          <w:rFonts w:hint="eastAsia"/>
          <w:bCs/>
          <w:lang w:eastAsia="zh-CN"/>
        </w:rPr>
        <w:t>：</w:t>
      </w:r>
      <w:r w:rsidRPr="00C45335">
        <w:rPr>
          <w:rFonts w:hint="eastAsia"/>
          <w:lang w:eastAsia="zh-CN"/>
        </w:rPr>
        <w:t>未提交延长豁免</w:t>
      </w:r>
      <w:r w:rsidR="003547C1">
        <w:rPr>
          <w:rFonts w:hint="eastAsia"/>
          <w:lang w:eastAsia="zh-CN"/>
        </w:rPr>
        <w:t>状态</w:t>
      </w:r>
      <w:r w:rsidRPr="00C45335">
        <w:rPr>
          <w:rFonts w:hint="eastAsia"/>
          <w:lang w:eastAsia="zh-CN"/>
        </w:rPr>
        <w:t>正式申请的组织名单</w:t>
      </w: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6545"/>
        <w:gridCol w:w="1355"/>
        <w:gridCol w:w="1032"/>
      </w:tblGrid>
      <w:tr w:rsidR="00DD3674" w:rsidRPr="006214B8" w14:paraId="4822149E" w14:textId="77777777" w:rsidTr="00443251">
        <w:trPr>
          <w:trHeight w:val="294"/>
        </w:trPr>
        <w:tc>
          <w:tcPr>
            <w:tcW w:w="535" w:type="dxa"/>
            <w:shd w:val="clear" w:color="auto" w:fill="A6A6A6" w:themeFill="background1" w:themeFillShade="A6"/>
            <w:noWrap/>
            <w:vAlign w:val="center"/>
            <w:hideMark/>
          </w:tcPr>
          <w:p w14:paraId="27DC8FE9" w14:textId="08984649" w:rsidR="00DD3674" w:rsidRPr="006214B8" w:rsidRDefault="00C45335" w:rsidP="00443251">
            <w:pPr>
              <w:spacing w:before="0" w:line="259" w:lineRule="auto"/>
              <w:rPr>
                <w:b/>
                <w:color w:val="000000" w:themeColor="text1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b/>
                <w:bCs/>
                <w:color w:val="000000" w:themeColor="text1"/>
                <w:sz w:val="20"/>
                <w:lang w:eastAsia="zh-CN"/>
              </w:rPr>
              <w:t>编号</w:t>
            </w:r>
          </w:p>
        </w:tc>
        <w:tc>
          <w:tcPr>
            <w:tcW w:w="6545" w:type="dxa"/>
            <w:shd w:val="clear" w:color="auto" w:fill="A6A6A6" w:themeFill="background1" w:themeFillShade="A6"/>
            <w:noWrap/>
            <w:vAlign w:val="center"/>
            <w:hideMark/>
          </w:tcPr>
          <w:p w14:paraId="5389A713" w14:textId="458C7C1F" w:rsidR="00DD3674" w:rsidRPr="006214B8" w:rsidRDefault="00C45335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b/>
                <w:color w:val="000000" w:themeColor="text1"/>
                <w:sz w:val="20"/>
                <w:lang w:eastAsia="zh-CN"/>
              </w:rPr>
              <w:t>实体名称</w:t>
            </w:r>
          </w:p>
        </w:tc>
        <w:tc>
          <w:tcPr>
            <w:tcW w:w="1355" w:type="dxa"/>
            <w:shd w:val="clear" w:color="auto" w:fill="A6A6A6" w:themeFill="background1" w:themeFillShade="A6"/>
            <w:noWrap/>
            <w:vAlign w:val="center"/>
            <w:hideMark/>
          </w:tcPr>
          <w:p w14:paraId="62DB5E0A" w14:textId="4B3593A1" w:rsidR="00DD3674" w:rsidRPr="006214B8" w:rsidRDefault="00C45335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b/>
                <w:color w:val="000000" w:themeColor="text1"/>
                <w:sz w:val="20"/>
                <w:lang w:eastAsia="zh-CN"/>
              </w:rPr>
              <w:t>主要类别</w:t>
            </w:r>
          </w:p>
        </w:tc>
        <w:tc>
          <w:tcPr>
            <w:tcW w:w="1032" w:type="dxa"/>
            <w:shd w:val="clear" w:color="auto" w:fill="A6A6A6" w:themeFill="background1" w:themeFillShade="A6"/>
            <w:noWrap/>
            <w:vAlign w:val="center"/>
            <w:hideMark/>
          </w:tcPr>
          <w:p w14:paraId="14B3932E" w14:textId="4B77B46B" w:rsidR="00DD3674" w:rsidRPr="006214B8" w:rsidRDefault="00C45335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b/>
                <w:color w:val="000000" w:themeColor="text1"/>
                <w:sz w:val="20"/>
                <w:lang w:eastAsia="zh-CN"/>
              </w:rPr>
              <w:t>部门</w:t>
            </w:r>
          </w:p>
        </w:tc>
      </w:tr>
      <w:tr w:rsidR="00DD3674" w:rsidRPr="006214B8" w14:paraId="211B33B0" w14:textId="77777777" w:rsidTr="00443251">
        <w:trPr>
          <w:trHeight w:val="29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C11F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eastAsia="Times New Roman" w:cs="Calibri"/>
                <w:color w:val="000000" w:themeColor="text1"/>
                <w:sz w:val="20"/>
                <w:lang w:eastAsia="en-GB"/>
              </w:rPr>
              <w:t>1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A64B" w14:textId="49084E67" w:rsidR="00DD3674" w:rsidRPr="006214B8" w:rsidRDefault="009C441C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zh-CN"/>
              </w:rPr>
            </w:pPr>
            <w:r>
              <w:rPr>
                <w:rFonts w:cs="Calibri" w:hint="eastAsia"/>
                <w:color w:val="000000" w:themeColor="text1"/>
                <w:sz w:val="20"/>
                <w:lang w:eastAsia="zh-CN"/>
              </w:rPr>
              <w:t>非洲</w:t>
            </w:r>
            <w:r>
              <w:rPr>
                <w:rFonts w:cs="Calibri" w:hint="eastAsia"/>
                <w:color w:val="000000" w:themeColor="text1"/>
                <w:sz w:val="20"/>
                <w:lang w:eastAsia="zh-CN"/>
              </w:rPr>
              <w:t>ICT</w:t>
            </w:r>
            <w:r>
              <w:rPr>
                <w:rFonts w:cs="Calibri" w:hint="eastAsia"/>
                <w:color w:val="000000" w:themeColor="text1"/>
                <w:sz w:val="20"/>
                <w:lang w:eastAsia="zh-CN"/>
              </w:rPr>
              <w:t>消费者网络（</w:t>
            </w:r>
            <w:r w:rsidR="00DD3674" w:rsidRPr="006214B8">
              <w:rPr>
                <w:rFonts w:cs="Calibri"/>
                <w:color w:val="000000" w:themeColor="text1"/>
                <w:sz w:val="20"/>
                <w:lang w:eastAsia="zh-CN"/>
              </w:rPr>
              <w:t>AICN</w:t>
            </w:r>
            <w:r>
              <w:rPr>
                <w:rFonts w:cs="Calibri" w:hint="eastAsia"/>
                <w:color w:val="000000" w:themeColor="text1"/>
                <w:sz w:val="20"/>
                <w:lang w:eastAsia="zh-CN"/>
              </w:rPr>
              <w:t>）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5188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REGINTORG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906C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TD</w:t>
            </w:r>
          </w:p>
        </w:tc>
      </w:tr>
      <w:tr w:rsidR="00DD3674" w:rsidRPr="006214B8" w14:paraId="57ACF548" w14:textId="77777777" w:rsidTr="00443251">
        <w:trPr>
          <w:trHeight w:val="29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A01C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eastAsia="Times New Roman" w:cs="Calibri"/>
                <w:color w:val="000000" w:themeColor="text1"/>
                <w:sz w:val="20"/>
                <w:lang w:eastAsia="en-GB"/>
              </w:rPr>
              <w:t>2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1C59" w14:textId="3FBEF786" w:rsidR="00DD3674" w:rsidRPr="006214B8" w:rsidRDefault="009C441C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color w:val="000000"/>
                <w:sz w:val="20"/>
                <w:lang w:eastAsia="zh-CN"/>
              </w:rPr>
              <w:t>非洲广播联盟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7BCB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REGINTORG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DF15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RTD</w:t>
            </w:r>
          </w:p>
        </w:tc>
      </w:tr>
      <w:tr w:rsidR="00DD3674" w:rsidRPr="006214B8" w14:paraId="75995E90" w14:textId="77777777" w:rsidTr="00443251">
        <w:trPr>
          <w:trHeight w:val="29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9E07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eastAsia="Times New Roman" w:cs="Calibri"/>
                <w:color w:val="000000" w:themeColor="text1"/>
                <w:sz w:val="20"/>
                <w:lang w:eastAsia="en-GB"/>
              </w:rPr>
              <w:t>3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4856" w14:textId="7E2FB4FA" w:rsidR="00DD3674" w:rsidRPr="006214B8" w:rsidRDefault="009C441C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zh-CN"/>
              </w:rPr>
            </w:pPr>
            <w:r w:rsidRPr="009C441C">
              <w:rPr>
                <w:rFonts w:cs="Calibri" w:hint="eastAsia"/>
                <w:color w:val="000000" w:themeColor="text1"/>
                <w:sz w:val="20"/>
                <w:lang w:eastAsia="zh-CN"/>
              </w:rPr>
              <w:t>阿拉伯信息通信技术企业论坛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E442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REGINTORG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89BA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D</w:t>
            </w:r>
          </w:p>
        </w:tc>
      </w:tr>
      <w:tr w:rsidR="00DD3674" w:rsidRPr="006214B8" w14:paraId="5B30552D" w14:textId="77777777" w:rsidTr="00443251">
        <w:trPr>
          <w:trHeight w:val="29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AAC8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eastAsia="Times New Roman" w:cs="Calibri"/>
                <w:color w:val="000000" w:themeColor="text1"/>
                <w:sz w:val="20"/>
                <w:lang w:eastAsia="en-GB"/>
              </w:rPr>
              <w:t>4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86DC" w14:textId="13A74806" w:rsidR="00DD3674" w:rsidRPr="009C441C" w:rsidRDefault="009C441C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SimSun" w:hAnsi="SimSun" w:cs="Calibri"/>
                <w:color w:val="000000"/>
                <w:sz w:val="20"/>
                <w:lang w:eastAsia="en-GB"/>
              </w:rPr>
            </w:pPr>
            <w:proofErr w:type="spellStart"/>
            <w:r w:rsidRPr="009C441C">
              <w:rPr>
                <w:rFonts w:ascii="SimSun" w:hAnsi="SimSun" w:cs="Microsoft YaHei" w:hint="eastAsia"/>
                <w:color w:val="000000"/>
                <w:sz w:val="20"/>
                <w:lang w:eastAsia="en-GB"/>
              </w:rPr>
              <w:t>阿拉伯私营广播联盟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7559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REGINTORG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9F7D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RTD</w:t>
            </w:r>
          </w:p>
        </w:tc>
      </w:tr>
      <w:tr w:rsidR="00DD3674" w:rsidRPr="006214B8" w14:paraId="6D0BF117" w14:textId="77777777" w:rsidTr="00443251">
        <w:trPr>
          <w:trHeight w:val="29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8639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eastAsia="Times New Roman" w:cs="Calibri"/>
                <w:color w:val="000000" w:themeColor="text1"/>
                <w:sz w:val="20"/>
                <w:lang w:eastAsia="en-GB"/>
              </w:rPr>
              <w:t>5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219C" w14:textId="5F8A8A78" w:rsidR="00DD3674" w:rsidRPr="006214B8" w:rsidRDefault="009C441C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>
              <w:rPr>
                <w:rFonts w:ascii="SimSun" w:hAnsi="SimSun" w:cs="SimSun" w:hint="eastAsia"/>
                <w:color w:val="000000"/>
                <w:sz w:val="20"/>
                <w:lang w:eastAsia="zh-CN"/>
              </w:rPr>
              <w:t>阿拉伯国家广播联盟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1C8A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REGINTORG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9CD2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RD</w:t>
            </w:r>
          </w:p>
        </w:tc>
      </w:tr>
      <w:tr w:rsidR="00DD3674" w:rsidRPr="006214B8" w14:paraId="744965B9" w14:textId="77777777" w:rsidTr="00443251">
        <w:trPr>
          <w:trHeight w:val="29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E029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eastAsia="Times New Roman" w:cs="Calibri"/>
                <w:color w:val="000000" w:themeColor="text1"/>
                <w:sz w:val="20"/>
                <w:lang w:eastAsia="en-GB"/>
              </w:rPr>
              <w:t>6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78D0" w14:textId="206983F8" w:rsidR="00DD3674" w:rsidRPr="009C441C" w:rsidRDefault="009C441C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SimSun" w:hAnsi="SimSun" w:cs="Calibri"/>
                <w:color w:val="000000"/>
                <w:sz w:val="20"/>
                <w:lang w:eastAsia="zh-CN"/>
              </w:rPr>
            </w:pPr>
            <w:r w:rsidRPr="009C441C">
              <w:rPr>
                <w:rFonts w:ascii="SimSun" w:hAnsi="SimSun" w:cs="Microsoft YaHei" w:hint="eastAsia"/>
                <w:color w:val="000000"/>
                <w:sz w:val="20"/>
                <w:lang w:eastAsia="zh-CN"/>
              </w:rPr>
              <w:t>安第斯共同体电信企业协会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770A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REGINTORG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8C4D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RTD</w:t>
            </w:r>
          </w:p>
        </w:tc>
      </w:tr>
      <w:tr w:rsidR="00DD3674" w:rsidRPr="006214B8" w14:paraId="1989073B" w14:textId="77777777" w:rsidTr="00443251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3ED05ECC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eastAsia="Times New Roman" w:cs="Calibri"/>
                <w:color w:val="000000" w:themeColor="text1"/>
                <w:sz w:val="20"/>
                <w:lang w:eastAsia="en-GB"/>
              </w:rPr>
              <w:t>7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5AD183DC" w14:textId="37862E63" w:rsidR="00DD3674" w:rsidRPr="006214B8" w:rsidRDefault="000C1BF2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0C1BF2">
              <w:rPr>
                <w:rFonts w:cs="Calibri" w:hint="eastAsia"/>
                <w:color w:val="000000" w:themeColor="text1"/>
                <w:sz w:val="20"/>
                <w:lang w:eastAsia="zh-CN"/>
              </w:rPr>
              <w:t>阿拉伯区域和欧洲环境与发展中心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32BC8143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REGINTORG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04B7C83A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TD</w:t>
            </w:r>
          </w:p>
        </w:tc>
      </w:tr>
      <w:tr w:rsidR="00DD3674" w:rsidRPr="006214B8" w14:paraId="253ED442" w14:textId="77777777" w:rsidTr="00443251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38E711B7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eastAsia="Times New Roman" w:cs="Calibri"/>
                <w:color w:val="000000" w:themeColor="text1"/>
                <w:sz w:val="20"/>
                <w:lang w:eastAsia="en-GB"/>
              </w:rPr>
              <w:t>8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139F6490" w14:textId="2A902783" w:rsidR="00DD3674" w:rsidRPr="006214B8" w:rsidRDefault="000C1BF2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proofErr w:type="spellStart"/>
            <w:r w:rsidRPr="000C1BF2">
              <w:rPr>
                <w:rFonts w:cs="Calibri" w:hint="eastAsia"/>
                <w:color w:val="000000" w:themeColor="text1"/>
                <w:sz w:val="20"/>
              </w:rPr>
              <w:t>英联邦国际电联集团</w:t>
            </w:r>
            <w:proofErr w:type="spellEnd"/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64E19BF0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REGINTORG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E2825CC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RTD</w:t>
            </w:r>
          </w:p>
        </w:tc>
      </w:tr>
      <w:tr w:rsidR="00DD3674" w:rsidRPr="006214B8" w14:paraId="02EB0EB8" w14:textId="77777777" w:rsidTr="00443251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7661B6F3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eastAsia="Times New Roman" w:cs="Calibri"/>
                <w:color w:val="000000" w:themeColor="text1"/>
                <w:sz w:val="20"/>
                <w:lang w:eastAsia="en-GB"/>
              </w:rPr>
              <w:t>9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1DB4735A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val="fr-BE"/>
              </w:rPr>
            </w:pPr>
            <w:r w:rsidRPr="006214B8">
              <w:rPr>
                <w:rFonts w:cs="Calibri"/>
                <w:color w:val="000000" w:themeColor="text1"/>
                <w:sz w:val="20"/>
                <w:lang w:val="fr-BE"/>
              </w:rPr>
              <w:t>Communauté économique des Etats de l'Afrique centrale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2EBA0CE7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REGINTORG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28DBF27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RTD</w:t>
            </w:r>
          </w:p>
        </w:tc>
      </w:tr>
      <w:tr w:rsidR="00DD3674" w:rsidRPr="006214B8" w14:paraId="7AAAE825" w14:textId="77777777" w:rsidTr="00443251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0EA04A44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eastAsia="Times New Roman" w:cs="Calibri"/>
                <w:color w:val="000000" w:themeColor="text1"/>
                <w:sz w:val="20"/>
                <w:lang w:eastAsia="en-GB"/>
              </w:rPr>
              <w:t>10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364DC6A2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val="fr-BE"/>
              </w:rPr>
            </w:pPr>
            <w:r w:rsidRPr="006214B8">
              <w:rPr>
                <w:rFonts w:cs="Calibri"/>
                <w:color w:val="000000" w:themeColor="text1"/>
                <w:sz w:val="20"/>
                <w:lang w:val="fr-BE"/>
              </w:rPr>
              <w:t>Diaspora africaine pour la société de l'information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60C9FA9C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REGINTORG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FA010A2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D</w:t>
            </w:r>
          </w:p>
        </w:tc>
      </w:tr>
      <w:tr w:rsidR="00DD3674" w:rsidRPr="006214B8" w14:paraId="4222F99C" w14:textId="77777777" w:rsidTr="00443251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0998D6B8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eastAsia="Times New Roman" w:cs="Calibri"/>
                <w:color w:val="000000" w:themeColor="text1"/>
                <w:sz w:val="20"/>
                <w:lang w:eastAsia="en-GB"/>
              </w:rPr>
              <w:t>11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47720D50" w14:textId="5C84CD42" w:rsidR="00DD3674" w:rsidRPr="006214B8" w:rsidRDefault="000C1BF2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多米尼克基金会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7D757FF0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REGINTORG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1FBA1E23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TD</w:t>
            </w:r>
          </w:p>
        </w:tc>
      </w:tr>
      <w:tr w:rsidR="00DD3674" w:rsidRPr="006214B8" w14:paraId="32D8A6A4" w14:textId="77777777" w:rsidTr="00443251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52CEA7CB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eastAsia="Times New Roman" w:cs="Calibri"/>
                <w:color w:val="000000" w:themeColor="text1"/>
                <w:sz w:val="20"/>
                <w:lang w:eastAsia="en-GB"/>
              </w:rPr>
              <w:t>12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5D07F395" w14:textId="13500DE8" w:rsidR="00DD3674" w:rsidRPr="006214B8" w:rsidRDefault="000C1BF2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东非通信组织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151876FE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REGINTORG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699BC46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RTD</w:t>
            </w:r>
          </w:p>
        </w:tc>
      </w:tr>
      <w:tr w:rsidR="00DD3674" w:rsidRPr="006214B8" w14:paraId="3FB18AAC" w14:textId="77777777" w:rsidTr="00443251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3C7DB9EB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eastAsia="Times New Roman" w:cs="Calibri"/>
                <w:color w:val="000000" w:themeColor="text1"/>
                <w:sz w:val="20"/>
                <w:lang w:eastAsia="en-GB"/>
              </w:rPr>
              <w:t>13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3E524C21" w14:textId="19318E32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6214B8">
              <w:rPr>
                <w:rFonts w:cs="Calibri"/>
                <w:color w:val="000000" w:themeColor="text1"/>
                <w:sz w:val="20"/>
                <w:lang w:eastAsia="zh-CN"/>
              </w:rPr>
              <w:t>EIDQ</w:t>
            </w:r>
            <w:r w:rsidR="000C1BF2">
              <w:rPr>
                <w:rFonts w:cs="Calibri" w:hint="eastAsia"/>
                <w:color w:val="000000" w:themeColor="text1"/>
                <w:sz w:val="20"/>
                <w:lang w:eastAsia="zh-CN"/>
              </w:rPr>
              <w:t>协会</w:t>
            </w:r>
            <w:r w:rsidR="00BA61EB">
              <w:rPr>
                <w:rFonts w:cs="Calibri"/>
                <w:color w:val="000000" w:themeColor="text1"/>
                <w:sz w:val="20"/>
                <w:lang w:eastAsia="zh-CN"/>
              </w:rPr>
              <w:t xml:space="preserve"> </w:t>
            </w:r>
            <w:r w:rsidR="00BA61EB" w:rsidRPr="00BA61EB">
              <w:rPr>
                <w:rFonts w:cs="Calibri"/>
                <w:color w:val="000000" w:themeColor="text1"/>
                <w:sz w:val="20"/>
                <w:lang w:eastAsia="zh-CN"/>
              </w:rPr>
              <w:t>–</w:t>
            </w:r>
            <w:r w:rsidR="000C1BF2">
              <w:rPr>
                <w:rFonts w:cs="Calibri"/>
                <w:color w:val="000000" w:themeColor="text1"/>
                <w:sz w:val="20"/>
                <w:lang w:eastAsia="zh-CN"/>
              </w:rPr>
              <w:t xml:space="preserve"> </w:t>
            </w:r>
            <w:r w:rsidR="000C1BF2" w:rsidRPr="000C1BF2">
              <w:rPr>
                <w:rFonts w:cs="Calibri" w:hint="eastAsia"/>
                <w:color w:val="000000" w:themeColor="text1"/>
                <w:sz w:val="20"/>
                <w:lang w:eastAsia="zh-CN"/>
              </w:rPr>
              <w:t>目录信息和相关研究行业协会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763F6D12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REGINTORG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7A4838A2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T</w:t>
            </w:r>
          </w:p>
        </w:tc>
      </w:tr>
      <w:tr w:rsidR="00DD3674" w:rsidRPr="006214B8" w14:paraId="09183DC9" w14:textId="77777777" w:rsidTr="00443251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1921D103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eastAsia="Times New Roman" w:cs="Calibri"/>
                <w:color w:val="000000" w:themeColor="text1"/>
                <w:sz w:val="20"/>
                <w:lang w:eastAsia="en-GB"/>
              </w:rPr>
              <w:t>14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415C227A" w14:textId="58781EA5" w:rsidR="00DD3674" w:rsidRPr="006214B8" w:rsidRDefault="000C1BF2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proofErr w:type="spellStart"/>
            <w:r w:rsidRPr="000C1BF2">
              <w:rPr>
                <w:rFonts w:cs="Calibri" w:hint="eastAsia"/>
                <w:color w:val="000000" w:themeColor="text1"/>
                <w:sz w:val="20"/>
              </w:rPr>
              <w:t>光纤到户亚太理事会</w:t>
            </w:r>
            <w:proofErr w:type="spellEnd"/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06A3799E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REGINTORG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487D46F7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D</w:t>
            </w:r>
          </w:p>
        </w:tc>
      </w:tr>
      <w:tr w:rsidR="00DD3674" w:rsidRPr="006214B8" w14:paraId="098784AF" w14:textId="77777777" w:rsidTr="00443251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02070983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eastAsia="Times New Roman" w:cs="Calibri"/>
                <w:color w:val="000000" w:themeColor="text1"/>
                <w:sz w:val="20"/>
                <w:lang w:eastAsia="en-GB"/>
              </w:rPr>
              <w:t>15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6304909F" w14:textId="531583C7" w:rsidR="00DD3674" w:rsidRPr="006214B8" w:rsidRDefault="000C1BF2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0C1BF2">
              <w:rPr>
                <w:rFonts w:cs="Calibri" w:hint="eastAsia"/>
                <w:color w:val="000000" w:themeColor="text1"/>
                <w:sz w:val="20"/>
                <w:lang w:eastAsia="zh-CN"/>
              </w:rPr>
              <w:t>印度全球</w:t>
            </w:r>
            <w:r w:rsidRPr="000C1BF2">
              <w:rPr>
                <w:rFonts w:cs="Calibri" w:hint="eastAsia"/>
                <w:color w:val="000000" w:themeColor="text1"/>
                <w:sz w:val="20"/>
                <w:lang w:eastAsia="zh-CN"/>
              </w:rPr>
              <w:t>ICT</w:t>
            </w:r>
            <w:r w:rsidRPr="000C1BF2">
              <w:rPr>
                <w:rFonts w:cs="Calibri" w:hint="eastAsia"/>
                <w:color w:val="000000" w:themeColor="text1"/>
                <w:sz w:val="20"/>
                <w:lang w:eastAsia="zh-CN"/>
              </w:rPr>
              <w:t>标准化论坛</w:t>
            </w:r>
            <w:r>
              <w:rPr>
                <w:rFonts w:cs="Calibri" w:hint="eastAsia"/>
                <w:color w:val="000000" w:themeColor="text1"/>
                <w:sz w:val="20"/>
                <w:lang w:eastAsia="zh-CN"/>
              </w:rPr>
              <w:t>（</w:t>
            </w:r>
            <w:r w:rsidR="00DD3674" w:rsidRPr="006214B8">
              <w:rPr>
                <w:rFonts w:cs="Calibri"/>
                <w:color w:val="000000" w:themeColor="text1"/>
                <w:sz w:val="20"/>
                <w:lang w:eastAsia="zh-CN"/>
              </w:rPr>
              <w:t>GISFI</w:t>
            </w:r>
            <w:r>
              <w:rPr>
                <w:rFonts w:cs="Calibri" w:hint="eastAsia"/>
                <w:color w:val="000000" w:themeColor="text1"/>
                <w:sz w:val="20"/>
                <w:lang w:eastAsia="zh-CN"/>
              </w:rPr>
              <w:t>）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412D2025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REGINTORG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7B3709FF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T</w:t>
            </w:r>
          </w:p>
        </w:tc>
      </w:tr>
      <w:tr w:rsidR="00DD3674" w:rsidRPr="006214B8" w14:paraId="57A12D86" w14:textId="77777777" w:rsidTr="00443251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2EF9E998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eastAsia="Times New Roman" w:cs="Calibri"/>
                <w:color w:val="000000" w:themeColor="text1"/>
                <w:sz w:val="20"/>
                <w:lang w:eastAsia="en-GB"/>
              </w:rPr>
              <w:t>16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448332A7" w14:textId="10F6FDDF" w:rsidR="00DD3674" w:rsidRPr="006214B8" w:rsidRDefault="000C1BF2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proofErr w:type="spellStart"/>
            <w:r w:rsidRPr="000C1BF2">
              <w:rPr>
                <w:rFonts w:cs="Calibri" w:hint="eastAsia"/>
                <w:color w:val="000000" w:themeColor="text1"/>
                <w:sz w:val="20"/>
              </w:rPr>
              <w:t>全球知识伙伴关系</w:t>
            </w:r>
            <w:proofErr w:type="spellEnd"/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783B009D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REGINTORG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0A937FF9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D</w:t>
            </w:r>
          </w:p>
        </w:tc>
      </w:tr>
      <w:tr w:rsidR="00DD3674" w:rsidRPr="006214B8" w14:paraId="5EBD8408" w14:textId="77777777" w:rsidTr="00443251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5D5C651D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eastAsia="Times New Roman" w:cs="Calibri"/>
                <w:color w:val="000000" w:themeColor="text1"/>
                <w:sz w:val="20"/>
                <w:lang w:eastAsia="en-GB"/>
              </w:rPr>
              <w:t>17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3C9FF7E8" w14:textId="7A5B2B88" w:rsidR="00DD3674" w:rsidRPr="006214B8" w:rsidRDefault="000C1BF2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原住民</w:t>
            </w:r>
            <w:r>
              <w:rPr>
                <w:rFonts w:cs="Calibri" w:hint="eastAsia"/>
                <w:color w:val="000000"/>
                <w:sz w:val="20"/>
                <w:lang w:eastAsia="zh-CN"/>
              </w:rPr>
              <w:t>ICT</w:t>
            </w:r>
            <w:r>
              <w:rPr>
                <w:rFonts w:cs="Calibri" w:hint="eastAsia"/>
                <w:color w:val="000000"/>
                <w:sz w:val="20"/>
                <w:lang w:eastAsia="zh-CN"/>
              </w:rPr>
              <w:t>任务组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5FF6481C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REGINTORG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0639494B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D</w:t>
            </w:r>
          </w:p>
        </w:tc>
      </w:tr>
      <w:tr w:rsidR="00DD3674" w:rsidRPr="006214B8" w14:paraId="363FB868" w14:textId="77777777" w:rsidTr="00443251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277F132E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eastAsia="Times New Roman" w:cs="Calibri"/>
                <w:color w:val="000000" w:themeColor="text1"/>
                <w:sz w:val="20"/>
                <w:lang w:eastAsia="en-GB"/>
              </w:rPr>
              <w:t>18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510F913E" w14:textId="4F8521B7" w:rsidR="00DD3674" w:rsidRPr="006214B8" w:rsidRDefault="00635050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proofErr w:type="spellStart"/>
            <w:r w:rsidRPr="00635050">
              <w:rPr>
                <w:rFonts w:cs="Calibri" w:hint="eastAsia"/>
                <w:color w:val="000000" w:themeColor="text1"/>
                <w:sz w:val="20"/>
              </w:rPr>
              <w:t>国际航空运输协会</w:t>
            </w:r>
            <w:proofErr w:type="spellEnd"/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5D43E6F1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REGINTORG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10FF8937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RTD</w:t>
            </w:r>
          </w:p>
        </w:tc>
      </w:tr>
      <w:tr w:rsidR="00DD3674" w:rsidRPr="006214B8" w14:paraId="733E96E3" w14:textId="77777777" w:rsidTr="00443251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459234D0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eastAsia="Times New Roman" w:cs="Calibri"/>
                <w:color w:val="000000" w:themeColor="text1"/>
                <w:sz w:val="20"/>
                <w:lang w:eastAsia="en-GB"/>
              </w:rPr>
              <w:t>19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1500F0E6" w14:textId="37CDDFD1" w:rsidR="00DD3674" w:rsidRPr="006214B8" w:rsidRDefault="00635050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635050">
              <w:rPr>
                <w:rFonts w:cs="Calibri" w:hint="eastAsia"/>
                <w:color w:val="000000" w:themeColor="text1"/>
                <w:sz w:val="20"/>
                <w:lang w:eastAsia="zh-CN"/>
              </w:rPr>
              <w:t>国际信息技术律师协会</w:t>
            </w:r>
            <w:r>
              <w:rPr>
                <w:rFonts w:cs="Calibri" w:hint="eastAsia"/>
                <w:color w:val="000000" w:themeColor="text1"/>
                <w:sz w:val="20"/>
                <w:lang w:eastAsia="zh-CN"/>
              </w:rPr>
              <w:t>（</w:t>
            </w:r>
            <w:r w:rsidR="00DD3674" w:rsidRPr="006214B8">
              <w:rPr>
                <w:rFonts w:cs="Calibri"/>
                <w:color w:val="000000" w:themeColor="text1"/>
                <w:sz w:val="20"/>
                <w:lang w:eastAsia="zh-CN"/>
              </w:rPr>
              <w:t>IAITL</w:t>
            </w:r>
            <w:r>
              <w:rPr>
                <w:rFonts w:cs="Calibri" w:hint="eastAsia"/>
                <w:color w:val="000000" w:themeColor="text1"/>
                <w:sz w:val="20"/>
                <w:lang w:eastAsia="zh-CN"/>
              </w:rPr>
              <w:t>）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60265928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REGINTORG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A3736D0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T</w:t>
            </w:r>
          </w:p>
        </w:tc>
      </w:tr>
      <w:tr w:rsidR="00DD3674" w:rsidRPr="006214B8" w14:paraId="0DF18A31" w14:textId="77777777" w:rsidTr="00443251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432F6DB0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eastAsia="Times New Roman" w:cs="Calibri"/>
                <w:color w:val="000000" w:themeColor="text1"/>
                <w:sz w:val="20"/>
                <w:lang w:eastAsia="en-GB"/>
              </w:rPr>
              <w:t>20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0D8FD015" w14:textId="023F9053" w:rsidR="00DD3674" w:rsidRPr="006214B8" w:rsidRDefault="00912B03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912B03">
              <w:rPr>
                <w:rFonts w:cs="Calibri" w:hint="eastAsia"/>
                <w:color w:val="000000" w:themeColor="text1"/>
                <w:sz w:val="20"/>
                <w:lang w:eastAsia="zh-CN"/>
              </w:rPr>
              <w:t>国际残疾人互联网资源中心</w:t>
            </w:r>
            <w:r>
              <w:rPr>
                <w:rFonts w:cs="Calibri" w:hint="eastAsia"/>
                <w:color w:val="000000" w:themeColor="text1"/>
                <w:sz w:val="20"/>
                <w:lang w:eastAsia="zh-CN"/>
              </w:rPr>
              <w:t>（</w:t>
            </w:r>
            <w:r w:rsidR="00DD3674" w:rsidRPr="006214B8">
              <w:rPr>
                <w:rFonts w:cs="Calibri"/>
                <w:color w:val="000000" w:themeColor="text1"/>
                <w:sz w:val="20"/>
                <w:lang w:eastAsia="zh-CN"/>
              </w:rPr>
              <w:t>ICDRI</w:t>
            </w:r>
            <w:r>
              <w:rPr>
                <w:rFonts w:cs="Calibri" w:hint="eastAsia"/>
                <w:color w:val="000000" w:themeColor="text1"/>
                <w:sz w:val="20"/>
                <w:lang w:eastAsia="zh-CN"/>
              </w:rPr>
              <w:t>）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612E729E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REGINTORG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4DF0120E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T</w:t>
            </w:r>
          </w:p>
        </w:tc>
      </w:tr>
      <w:tr w:rsidR="00DD3674" w:rsidRPr="006214B8" w14:paraId="4274EADB" w14:textId="77777777" w:rsidTr="00443251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064F2AE2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eastAsia="Times New Roman" w:cs="Calibri"/>
                <w:color w:val="000000" w:themeColor="text1"/>
                <w:sz w:val="20"/>
                <w:lang w:eastAsia="en-GB"/>
              </w:rPr>
              <w:t>21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262CD29B" w14:textId="4DD4407B" w:rsidR="00DD3674" w:rsidRPr="006214B8" w:rsidRDefault="00912B03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国际大电网委员会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2098481F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REGINTORG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0D138F80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R</w:t>
            </w:r>
          </w:p>
        </w:tc>
      </w:tr>
      <w:tr w:rsidR="00DD3674" w:rsidRPr="006214B8" w14:paraId="007D0936" w14:textId="77777777" w:rsidTr="00443251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1A62A6BB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eastAsia="Times New Roman" w:cs="Calibri"/>
                <w:color w:val="000000" w:themeColor="text1"/>
                <w:sz w:val="20"/>
                <w:lang w:eastAsia="en-GB"/>
              </w:rPr>
              <w:t>22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55A31F3C" w14:textId="774658BB" w:rsidR="00DD3674" w:rsidRPr="006214B8" w:rsidRDefault="00912B03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912B03">
              <w:rPr>
                <w:rFonts w:cs="Calibri" w:hint="eastAsia"/>
                <w:color w:val="000000" w:themeColor="text1"/>
                <w:sz w:val="20"/>
                <w:lang w:eastAsia="zh-CN"/>
              </w:rPr>
              <w:t>国际打击网络威胁多边伙伴关系</w:t>
            </w:r>
            <w:r>
              <w:rPr>
                <w:rFonts w:cs="Calibri" w:hint="eastAsia"/>
                <w:color w:val="000000" w:themeColor="text1"/>
                <w:sz w:val="20"/>
                <w:lang w:eastAsia="zh-CN"/>
              </w:rPr>
              <w:t>（</w:t>
            </w:r>
            <w:r w:rsidR="00DD3674" w:rsidRPr="006214B8">
              <w:rPr>
                <w:rFonts w:cs="Calibri"/>
                <w:color w:val="000000" w:themeColor="text1"/>
                <w:sz w:val="20"/>
                <w:lang w:eastAsia="zh-CN"/>
              </w:rPr>
              <w:t>IMPACT</w:t>
            </w:r>
            <w:r>
              <w:rPr>
                <w:rFonts w:cs="Calibri" w:hint="eastAsia"/>
                <w:color w:val="000000" w:themeColor="text1"/>
                <w:sz w:val="20"/>
                <w:lang w:eastAsia="zh-CN"/>
              </w:rPr>
              <w:t>）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6DF22FB0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REGINTORG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7F1C6C8B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T</w:t>
            </w:r>
          </w:p>
        </w:tc>
      </w:tr>
      <w:tr w:rsidR="00DD3674" w:rsidRPr="006214B8" w14:paraId="1CDB9C76" w14:textId="77777777" w:rsidTr="00443251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57D701B5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eastAsia="Times New Roman" w:cs="Calibri"/>
                <w:color w:val="000000" w:themeColor="text1"/>
                <w:sz w:val="20"/>
                <w:lang w:eastAsia="en-GB"/>
              </w:rPr>
              <w:t>23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6E695338" w14:textId="5F99CA81" w:rsidR="00DD3674" w:rsidRPr="006214B8" w:rsidRDefault="003C3D87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3C3D87">
              <w:rPr>
                <w:rFonts w:cs="Calibri" w:hint="eastAsia"/>
                <w:color w:val="000000" w:themeColor="text1"/>
                <w:sz w:val="20"/>
                <w:lang w:eastAsia="zh-CN"/>
              </w:rPr>
              <w:t>国际无线电干扰特别委员会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59AA882C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REGINTORG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7E36F17F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R</w:t>
            </w:r>
          </w:p>
        </w:tc>
      </w:tr>
      <w:tr w:rsidR="00DD3674" w:rsidRPr="006214B8" w14:paraId="59A79D65" w14:textId="77777777" w:rsidTr="00443251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300E1024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eastAsia="Times New Roman" w:cs="Calibri"/>
                <w:color w:val="000000" w:themeColor="text1"/>
                <w:sz w:val="20"/>
                <w:lang w:eastAsia="en-GB"/>
              </w:rPr>
              <w:t>24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268E148A" w14:textId="641FCFE2" w:rsidR="00DD3674" w:rsidRPr="006214B8" w:rsidRDefault="003C3D87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proofErr w:type="spellStart"/>
            <w:r w:rsidRPr="003C3D87">
              <w:rPr>
                <w:rFonts w:cs="Calibri" w:hint="eastAsia"/>
                <w:color w:val="000000" w:themeColor="text1"/>
                <w:sz w:val="20"/>
              </w:rPr>
              <w:t>国际电信用户群</w:t>
            </w:r>
            <w:proofErr w:type="spellEnd"/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33B6B558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REGINTORG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0357C830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TD</w:t>
            </w:r>
          </w:p>
        </w:tc>
      </w:tr>
      <w:tr w:rsidR="00DD3674" w:rsidRPr="006214B8" w14:paraId="51E2C121" w14:textId="77777777" w:rsidTr="00443251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0E4E223B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eastAsia="Times New Roman" w:cs="Calibri"/>
                <w:color w:val="000000" w:themeColor="text1"/>
                <w:sz w:val="20"/>
                <w:lang w:eastAsia="en-GB"/>
              </w:rPr>
              <w:t>25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6683F28B" w14:textId="03D02C6A" w:rsidR="00DD3674" w:rsidRPr="006214B8" w:rsidRDefault="003C3D87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3C3D87">
              <w:rPr>
                <w:rFonts w:cs="Calibri" w:hint="eastAsia"/>
                <w:color w:val="000000" w:themeColor="text1"/>
                <w:sz w:val="20"/>
                <w:lang w:eastAsia="zh-CN"/>
              </w:rPr>
              <w:t>电信中心知识网络基金会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6EFCB8C7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REGINTORG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704994EA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D</w:t>
            </w:r>
          </w:p>
        </w:tc>
      </w:tr>
      <w:tr w:rsidR="00DD3674" w:rsidRPr="006214B8" w14:paraId="20A844BD" w14:textId="77777777" w:rsidTr="00443251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0317ED07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eastAsia="Times New Roman" w:cs="Calibri"/>
                <w:color w:val="000000" w:themeColor="text1"/>
                <w:sz w:val="20"/>
                <w:lang w:eastAsia="en-GB"/>
              </w:rPr>
              <w:t>26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47ECD772" w14:textId="2960169D" w:rsidR="00DD3674" w:rsidRPr="006214B8" w:rsidRDefault="003C3D87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>
              <w:rPr>
                <w:rFonts w:cs="Calibri" w:hint="eastAsia"/>
                <w:color w:val="000000"/>
                <w:sz w:val="20"/>
                <w:lang w:eastAsia="zh-CN"/>
              </w:rPr>
              <w:t>国际理论物理中心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64120934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REGINTORG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22F80A1A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D</w:t>
            </w:r>
          </w:p>
        </w:tc>
      </w:tr>
      <w:tr w:rsidR="00DD3674" w:rsidRPr="006214B8" w14:paraId="291C0E3C" w14:textId="77777777" w:rsidTr="00443251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7261D076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eastAsia="Times New Roman" w:cs="Calibri"/>
                <w:color w:val="000000" w:themeColor="text1"/>
                <w:sz w:val="20"/>
                <w:lang w:eastAsia="en-GB"/>
              </w:rPr>
              <w:t>27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2D873BD9" w14:textId="61C56B58" w:rsidR="00DD3674" w:rsidRPr="006214B8" w:rsidRDefault="003C3D87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>
              <w:rPr>
                <w:rFonts w:cs="Calibri" w:hint="eastAsia"/>
                <w:color w:val="000000" w:themeColor="text1"/>
                <w:sz w:val="20"/>
                <w:lang w:eastAsia="zh-CN"/>
              </w:rPr>
              <w:t>英国电信研究院（</w:t>
            </w:r>
            <w:r w:rsidR="00DD3674" w:rsidRPr="006214B8">
              <w:rPr>
                <w:rFonts w:cs="Calibri"/>
                <w:color w:val="000000" w:themeColor="text1"/>
                <w:sz w:val="20"/>
                <w:lang w:eastAsia="zh-CN"/>
              </w:rPr>
              <w:t>UKTA</w:t>
            </w:r>
            <w:r>
              <w:rPr>
                <w:rFonts w:cs="Calibri" w:hint="eastAsia"/>
                <w:color w:val="000000" w:themeColor="text1"/>
                <w:sz w:val="20"/>
                <w:lang w:eastAsia="zh-CN"/>
              </w:rPr>
              <w:t>）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380FCCC6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REGINTORG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512F92B5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TD</w:t>
            </w:r>
          </w:p>
        </w:tc>
      </w:tr>
      <w:tr w:rsidR="00DD3674" w:rsidRPr="006214B8" w14:paraId="30F80584" w14:textId="77777777" w:rsidTr="00443251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345ADD87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eastAsia="Times New Roman" w:cs="Calibri"/>
                <w:color w:val="000000" w:themeColor="text1"/>
                <w:sz w:val="20"/>
                <w:lang w:eastAsia="en-GB"/>
              </w:rPr>
              <w:t>28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1CF153B2" w14:textId="5D45934C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proofErr w:type="spellStart"/>
            <w:r w:rsidRPr="006214B8">
              <w:rPr>
                <w:rFonts w:cs="Calibri"/>
                <w:color w:val="000000" w:themeColor="text1"/>
                <w:sz w:val="20"/>
              </w:rPr>
              <w:t>WebForce</w:t>
            </w:r>
            <w:proofErr w:type="spellEnd"/>
            <w:r w:rsidR="00BC5D1E">
              <w:rPr>
                <w:rFonts w:cs="Calibri" w:hint="eastAsia"/>
                <w:color w:val="000000" w:themeColor="text1"/>
                <w:sz w:val="20"/>
                <w:lang w:eastAsia="zh-CN"/>
              </w:rPr>
              <w:t>国际联盟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71248A5C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REGINTORG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21DCDC31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D</w:t>
            </w:r>
          </w:p>
        </w:tc>
      </w:tr>
      <w:tr w:rsidR="00DD3674" w:rsidRPr="006214B8" w14:paraId="21ABADF6" w14:textId="77777777" w:rsidTr="00443251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35F857E5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Calibri"/>
                <w:color w:val="000000"/>
                <w:sz w:val="20"/>
                <w:lang w:eastAsia="en-GB"/>
              </w:rPr>
            </w:pPr>
            <w:r w:rsidRPr="006214B8">
              <w:rPr>
                <w:rFonts w:eastAsia="Times New Roman" w:cs="Calibri"/>
                <w:color w:val="000000" w:themeColor="text1"/>
                <w:sz w:val="20"/>
                <w:lang w:eastAsia="en-GB"/>
              </w:rPr>
              <w:t>29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1350B5D9" w14:textId="1C19B55E" w:rsidR="00DD3674" w:rsidRPr="006214B8" w:rsidRDefault="00BC5D1E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BC5D1E">
              <w:rPr>
                <w:rFonts w:cs="Calibri" w:hint="eastAsia"/>
                <w:color w:val="000000" w:themeColor="text1"/>
                <w:sz w:val="20"/>
                <w:lang w:eastAsia="zh-CN"/>
              </w:rPr>
              <w:t>世界社区无线电广播业者协会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1A5D0E84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REGINTORG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7F0298C5" w14:textId="77777777" w:rsidR="00DD3674" w:rsidRPr="006214B8" w:rsidRDefault="00DD3674" w:rsidP="0044325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</w:rPr>
            </w:pPr>
            <w:r w:rsidRPr="006214B8">
              <w:rPr>
                <w:rFonts w:cs="Calibri"/>
                <w:color w:val="000000" w:themeColor="text1"/>
                <w:sz w:val="20"/>
              </w:rPr>
              <w:t>RD</w:t>
            </w:r>
          </w:p>
        </w:tc>
      </w:tr>
    </w:tbl>
    <w:p w14:paraId="1BB8B69F" w14:textId="77777777" w:rsidR="00DD3674" w:rsidRDefault="00DD3674" w:rsidP="00841336">
      <w:pPr>
        <w:spacing w:before="840"/>
        <w:jc w:val="center"/>
      </w:pPr>
      <w:r>
        <w:t>______________</w:t>
      </w:r>
    </w:p>
    <w:sectPr w:rsidR="00DD3674" w:rsidSect="006C36CD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533D0" w14:textId="77777777" w:rsidR="00CA00AD" w:rsidRDefault="00CA00AD">
      <w:r>
        <w:separator/>
      </w:r>
    </w:p>
  </w:endnote>
  <w:endnote w:type="continuationSeparator" w:id="0">
    <w:p w14:paraId="7C8FBDAD" w14:textId="77777777" w:rsidR="00CA00AD" w:rsidRDefault="00CA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FE3D" w14:textId="122C0528" w:rsidR="001F2AD9" w:rsidRPr="00841336" w:rsidRDefault="00C22A3C" w:rsidP="00CE5041">
    <w:pPr>
      <w:pStyle w:val="Footer"/>
      <w:rPr>
        <w:color w:val="F2F2F2" w:themeColor="background1" w:themeShade="F2"/>
      </w:rPr>
    </w:pPr>
    <w:r w:rsidRPr="00841336">
      <w:rPr>
        <w:color w:val="F2F2F2" w:themeColor="background1" w:themeShade="F2"/>
      </w:rPr>
      <w:fldChar w:fldCharType="begin"/>
    </w:r>
    <w:r w:rsidRPr="00841336">
      <w:rPr>
        <w:color w:val="F2F2F2" w:themeColor="background1" w:themeShade="F2"/>
      </w:rPr>
      <w:instrText xml:space="preserve"> FILENAME \p  \* MERGEFORMAT </w:instrText>
    </w:r>
    <w:r w:rsidRPr="00841336">
      <w:rPr>
        <w:color w:val="F2F2F2" w:themeColor="background1" w:themeShade="F2"/>
      </w:rPr>
      <w:fldChar w:fldCharType="separate"/>
    </w:r>
    <w:r w:rsidR="002675C9" w:rsidRPr="00841336">
      <w:rPr>
        <w:color w:val="F2F2F2" w:themeColor="background1" w:themeShade="F2"/>
      </w:rPr>
      <w:t>P:\CHI\SG\CONSEIL\C22\100\100C.docx</w:t>
    </w:r>
    <w:r w:rsidRPr="00841336">
      <w:rPr>
        <w:color w:val="F2F2F2" w:themeColor="background1" w:themeShade="F2"/>
      </w:rPr>
      <w:fldChar w:fldCharType="end"/>
    </w:r>
    <w:r w:rsidR="001F2AD9" w:rsidRPr="00841336">
      <w:rPr>
        <w:color w:val="F2F2F2" w:themeColor="background1" w:themeShade="F2"/>
      </w:rPr>
      <w:t xml:space="preserve"> (504802)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C1C6" w14:textId="77777777" w:rsidR="001F2AD9" w:rsidRDefault="001F2AD9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E2470" w14:textId="77777777" w:rsidR="00CA00AD" w:rsidRDefault="00CA00AD">
      <w:r>
        <w:t>____________________</w:t>
      </w:r>
    </w:p>
  </w:footnote>
  <w:footnote w:type="continuationSeparator" w:id="0">
    <w:p w14:paraId="7EA41E4E" w14:textId="77777777" w:rsidR="00CA00AD" w:rsidRDefault="00CA0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5221C" w14:textId="2E6F0D30" w:rsidR="001F2AD9" w:rsidRDefault="001F2AD9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C22A3C">
      <w:rPr>
        <w:noProof/>
      </w:rPr>
      <w:t>2</w:t>
    </w:r>
    <w:r>
      <w:rPr>
        <w:noProof/>
      </w:rPr>
      <w:fldChar w:fldCharType="end"/>
    </w:r>
  </w:p>
  <w:p w14:paraId="10FA7F6A" w14:textId="24E1514C" w:rsidR="001F2AD9" w:rsidRDefault="001F2AD9" w:rsidP="00D453EE">
    <w:pPr>
      <w:pStyle w:val="Header"/>
      <w:rPr>
        <w:lang w:eastAsia="zh-CN"/>
      </w:rPr>
    </w:pPr>
    <w:r>
      <w:t>C22/100-C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FA723"/>
    <w:multiLevelType w:val="hybridMultilevel"/>
    <w:tmpl w:val="FFFFFFFF"/>
    <w:lvl w:ilvl="0" w:tplc="01F69C1E">
      <w:start w:val="1"/>
      <w:numFmt w:val="decimal"/>
      <w:lvlText w:val="%1)"/>
      <w:lvlJc w:val="left"/>
      <w:pPr>
        <w:ind w:left="720" w:hanging="360"/>
      </w:pPr>
    </w:lvl>
    <w:lvl w:ilvl="1" w:tplc="C2386DD0">
      <w:start w:val="1"/>
      <w:numFmt w:val="lowerLetter"/>
      <w:lvlText w:val="%2."/>
      <w:lvlJc w:val="left"/>
      <w:pPr>
        <w:ind w:left="1440" w:hanging="360"/>
      </w:pPr>
    </w:lvl>
    <w:lvl w:ilvl="2" w:tplc="631CB3E0">
      <w:start w:val="1"/>
      <w:numFmt w:val="lowerRoman"/>
      <w:lvlText w:val="%3."/>
      <w:lvlJc w:val="right"/>
      <w:pPr>
        <w:ind w:left="2160" w:hanging="180"/>
      </w:pPr>
    </w:lvl>
    <w:lvl w:ilvl="3" w:tplc="1B7233B0">
      <w:start w:val="1"/>
      <w:numFmt w:val="decimal"/>
      <w:lvlText w:val="%4."/>
      <w:lvlJc w:val="left"/>
      <w:pPr>
        <w:ind w:left="2880" w:hanging="360"/>
      </w:pPr>
    </w:lvl>
    <w:lvl w:ilvl="4" w:tplc="3CEEE536">
      <w:start w:val="1"/>
      <w:numFmt w:val="lowerLetter"/>
      <w:lvlText w:val="%5."/>
      <w:lvlJc w:val="left"/>
      <w:pPr>
        <w:ind w:left="3600" w:hanging="360"/>
      </w:pPr>
    </w:lvl>
    <w:lvl w:ilvl="5" w:tplc="EDFEDF4C">
      <w:start w:val="1"/>
      <w:numFmt w:val="lowerRoman"/>
      <w:lvlText w:val="%6."/>
      <w:lvlJc w:val="right"/>
      <w:pPr>
        <w:ind w:left="4320" w:hanging="180"/>
      </w:pPr>
    </w:lvl>
    <w:lvl w:ilvl="6" w:tplc="23A4B10C">
      <w:start w:val="1"/>
      <w:numFmt w:val="decimal"/>
      <w:lvlText w:val="%7."/>
      <w:lvlJc w:val="left"/>
      <w:pPr>
        <w:ind w:left="5040" w:hanging="360"/>
      </w:pPr>
    </w:lvl>
    <w:lvl w:ilvl="7" w:tplc="916EAB26">
      <w:start w:val="1"/>
      <w:numFmt w:val="lowerLetter"/>
      <w:lvlText w:val="%8."/>
      <w:lvlJc w:val="left"/>
      <w:pPr>
        <w:ind w:left="5760" w:hanging="360"/>
      </w:pPr>
    </w:lvl>
    <w:lvl w:ilvl="8" w:tplc="3E4691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8CE4CAB"/>
    <w:multiLevelType w:val="hybridMultilevel"/>
    <w:tmpl w:val="14881B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7665332">
    <w:abstractNumId w:val="0"/>
  </w:num>
  <w:num w:numId="2" w16cid:durableId="1130976954">
    <w:abstractNumId w:val="3"/>
  </w:num>
  <w:num w:numId="3" w16cid:durableId="552280">
    <w:abstractNumId w:val="4"/>
  </w:num>
  <w:num w:numId="4" w16cid:durableId="806705291">
    <w:abstractNumId w:val="6"/>
  </w:num>
  <w:num w:numId="5" w16cid:durableId="361442967">
    <w:abstractNumId w:val="8"/>
  </w:num>
  <w:num w:numId="6" w16cid:durableId="2049717846">
    <w:abstractNumId w:val="7"/>
  </w:num>
  <w:num w:numId="7" w16cid:durableId="1929731064">
    <w:abstractNumId w:val="2"/>
  </w:num>
  <w:num w:numId="8" w16cid:durableId="1588614862">
    <w:abstractNumId w:val="1"/>
  </w:num>
  <w:num w:numId="9" w16cid:durableId="689840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MX" w:vendorID="64" w:dllVersion="6" w:nlCheck="1" w:checkStyle="0"/>
  <w:activeWritingStyle w:appName="MSWord" w:lang="fr-BE" w:vendorID="64" w:dllVersion="6" w:nlCheck="1" w:checkStyle="0"/>
  <w:activeWritingStyle w:appName="MSWord" w:lang="zh-CN" w:vendorID="64" w:dllVersion="0" w:nlCheck="1" w:checkStyle="1"/>
  <w:activeWritingStyle w:appName="MSWord" w:lang="es-MX" w:vendorID="64" w:dllVersion="0" w:nlCheck="1" w:checkStyle="0"/>
  <w:activeWritingStyle w:appName="MSWord" w:lang="fr-B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BC"/>
    <w:rsid w:val="00001B77"/>
    <w:rsid w:val="0000517A"/>
    <w:rsid w:val="00031E72"/>
    <w:rsid w:val="000404D2"/>
    <w:rsid w:val="00075B81"/>
    <w:rsid w:val="000853C0"/>
    <w:rsid w:val="0009409E"/>
    <w:rsid w:val="00095864"/>
    <w:rsid w:val="000A1C21"/>
    <w:rsid w:val="000C0BC5"/>
    <w:rsid w:val="000C1BF2"/>
    <w:rsid w:val="000C6442"/>
    <w:rsid w:val="000D15EA"/>
    <w:rsid w:val="000E010F"/>
    <w:rsid w:val="000F0E89"/>
    <w:rsid w:val="000F52A8"/>
    <w:rsid w:val="00100D84"/>
    <w:rsid w:val="00124C9D"/>
    <w:rsid w:val="0013317C"/>
    <w:rsid w:val="001518CF"/>
    <w:rsid w:val="00157773"/>
    <w:rsid w:val="00166BD9"/>
    <w:rsid w:val="00166E40"/>
    <w:rsid w:val="0018251A"/>
    <w:rsid w:val="00190272"/>
    <w:rsid w:val="00193244"/>
    <w:rsid w:val="00195C6C"/>
    <w:rsid w:val="00195FED"/>
    <w:rsid w:val="001A4BD6"/>
    <w:rsid w:val="001B6689"/>
    <w:rsid w:val="001B7573"/>
    <w:rsid w:val="001D5A18"/>
    <w:rsid w:val="001F18A8"/>
    <w:rsid w:val="001F2AD9"/>
    <w:rsid w:val="001F7108"/>
    <w:rsid w:val="00200D44"/>
    <w:rsid w:val="00244366"/>
    <w:rsid w:val="002675C9"/>
    <w:rsid w:val="00280EB8"/>
    <w:rsid w:val="00281035"/>
    <w:rsid w:val="002A6670"/>
    <w:rsid w:val="002B2582"/>
    <w:rsid w:val="00303502"/>
    <w:rsid w:val="00314CFE"/>
    <w:rsid w:val="00325C25"/>
    <w:rsid w:val="003547C1"/>
    <w:rsid w:val="00355563"/>
    <w:rsid w:val="00372C8F"/>
    <w:rsid w:val="00380ECE"/>
    <w:rsid w:val="003923A4"/>
    <w:rsid w:val="00393DDF"/>
    <w:rsid w:val="00397F55"/>
    <w:rsid w:val="003B4454"/>
    <w:rsid w:val="003C2E37"/>
    <w:rsid w:val="003C3D87"/>
    <w:rsid w:val="003C4304"/>
    <w:rsid w:val="003E6E09"/>
    <w:rsid w:val="003F1415"/>
    <w:rsid w:val="004000A0"/>
    <w:rsid w:val="0040144C"/>
    <w:rsid w:val="00403EB7"/>
    <w:rsid w:val="0042680C"/>
    <w:rsid w:val="0042712D"/>
    <w:rsid w:val="00430BF0"/>
    <w:rsid w:val="00443251"/>
    <w:rsid w:val="00443BEC"/>
    <w:rsid w:val="00446836"/>
    <w:rsid w:val="004672E6"/>
    <w:rsid w:val="00474ED1"/>
    <w:rsid w:val="00493085"/>
    <w:rsid w:val="00497C76"/>
    <w:rsid w:val="004A36EC"/>
    <w:rsid w:val="004B04F3"/>
    <w:rsid w:val="004D163F"/>
    <w:rsid w:val="004E4BFF"/>
    <w:rsid w:val="004F2598"/>
    <w:rsid w:val="005121CB"/>
    <w:rsid w:val="00513C32"/>
    <w:rsid w:val="005403F7"/>
    <w:rsid w:val="00540632"/>
    <w:rsid w:val="00541CF4"/>
    <w:rsid w:val="005451E8"/>
    <w:rsid w:val="005507F2"/>
    <w:rsid w:val="0056259C"/>
    <w:rsid w:val="005759CC"/>
    <w:rsid w:val="005A72E1"/>
    <w:rsid w:val="005B423F"/>
    <w:rsid w:val="005B4CB2"/>
    <w:rsid w:val="005C25D4"/>
    <w:rsid w:val="005C6632"/>
    <w:rsid w:val="005D1C9E"/>
    <w:rsid w:val="006038B9"/>
    <w:rsid w:val="006172BD"/>
    <w:rsid w:val="00635050"/>
    <w:rsid w:val="00654257"/>
    <w:rsid w:val="0065435A"/>
    <w:rsid w:val="00672CF6"/>
    <w:rsid w:val="006A2DD3"/>
    <w:rsid w:val="006A5AF8"/>
    <w:rsid w:val="006C36CD"/>
    <w:rsid w:val="006E7AAF"/>
    <w:rsid w:val="00700D1F"/>
    <w:rsid w:val="00701140"/>
    <w:rsid w:val="007205CB"/>
    <w:rsid w:val="00726073"/>
    <w:rsid w:val="00734FE8"/>
    <w:rsid w:val="007360CE"/>
    <w:rsid w:val="007470F1"/>
    <w:rsid w:val="00750D86"/>
    <w:rsid w:val="00771787"/>
    <w:rsid w:val="00772315"/>
    <w:rsid w:val="00775157"/>
    <w:rsid w:val="007813AE"/>
    <w:rsid w:val="007964C8"/>
    <w:rsid w:val="007A37DB"/>
    <w:rsid w:val="007E189D"/>
    <w:rsid w:val="00811259"/>
    <w:rsid w:val="00813AA2"/>
    <w:rsid w:val="008173A3"/>
    <w:rsid w:val="00833170"/>
    <w:rsid w:val="00834174"/>
    <w:rsid w:val="00841336"/>
    <w:rsid w:val="008418F5"/>
    <w:rsid w:val="0086059C"/>
    <w:rsid w:val="00864589"/>
    <w:rsid w:val="008778D5"/>
    <w:rsid w:val="00883457"/>
    <w:rsid w:val="00890AFB"/>
    <w:rsid w:val="00890FC4"/>
    <w:rsid w:val="00895905"/>
    <w:rsid w:val="008B5EBD"/>
    <w:rsid w:val="008C343C"/>
    <w:rsid w:val="008D56BB"/>
    <w:rsid w:val="008E322F"/>
    <w:rsid w:val="00911867"/>
    <w:rsid w:val="00912B03"/>
    <w:rsid w:val="009164A9"/>
    <w:rsid w:val="009256C2"/>
    <w:rsid w:val="009258CB"/>
    <w:rsid w:val="0093362E"/>
    <w:rsid w:val="0094242B"/>
    <w:rsid w:val="00944563"/>
    <w:rsid w:val="00953160"/>
    <w:rsid w:val="009625D8"/>
    <w:rsid w:val="00980E77"/>
    <w:rsid w:val="0098459B"/>
    <w:rsid w:val="00997185"/>
    <w:rsid w:val="009A6755"/>
    <w:rsid w:val="009B6B54"/>
    <w:rsid w:val="009C2458"/>
    <w:rsid w:val="009C441C"/>
    <w:rsid w:val="009C4A7B"/>
    <w:rsid w:val="009C6123"/>
    <w:rsid w:val="009F1E3E"/>
    <w:rsid w:val="009F50DD"/>
    <w:rsid w:val="00A1213C"/>
    <w:rsid w:val="00A134CA"/>
    <w:rsid w:val="00A22E1F"/>
    <w:rsid w:val="00A272FF"/>
    <w:rsid w:val="00A2740D"/>
    <w:rsid w:val="00A5354B"/>
    <w:rsid w:val="00A71B57"/>
    <w:rsid w:val="00A80A3F"/>
    <w:rsid w:val="00A868AD"/>
    <w:rsid w:val="00AB42C1"/>
    <w:rsid w:val="00AC516F"/>
    <w:rsid w:val="00AE195F"/>
    <w:rsid w:val="00AE2926"/>
    <w:rsid w:val="00AF2A82"/>
    <w:rsid w:val="00B0184B"/>
    <w:rsid w:val="00B035CD"/>
    <w:rsid w:val="00B0769D"/>
    <w:rsid w:val="00B217F8"/>
    <w:rsid w:val="00B332EA"/>
    <w:rsid w:val="00B40A53"/>
    <w:rsid w:val="00B45365"/>
    <w:rsid w:val="00B457C0"/>
    <w:rsid w:val="00B46A65"/>
    <w:rsid w:val="00B5446C"/>
    <w:rsid w:val="00B60184"/>
    <w:rsid w:val="00B62D20"/>
    <w:rsid w:val="00B81E75"/>
    <w:rsid w:val="00B96313"/>
    <w:rsid w:val="00BA5449"/>
    <w:rsid w:val="00BA61EB"/>
    <w:rsid w:val="00BC38FC"/>
    <w:rsid w:val="00BC5D1E"/>
    <w:rsid w:val="00BD1A5A"/>
    <w:rsid w:val="00BD7A9B"/>
    <w:rsid w:val="00BD7BE1"/>
    <w:rsid w:val="00BF416B"/>
    <w:rsid w:val="00C22A3C"/>
    <w:rsid w:val="00C45335"/>
    <w:rsid w:val="00C45D30"/>
    <w:rsid w:val="00C64E4E"/>
    <w:rsid w:val="00C66E64"/>
    <w:rsid w:val="00C761A0"/>
    <w:rsid w:val="00C85F7E"/>
    <w:rsid w:val="00C90D53"/>
    <w:rsid w:val="00CA00AD"/>
    <w:rsid w:val="00CA0B2E"/>
    <w:rsid w:val="00CA2BB8"/>
    <w:rsid w:val="00CB255E"/>
    <w:rsid w:val="00CD350E"/>
    <w:rsid w:val="00CD46CA"/>
    <w:rsid w:val="00CD47F0"/>
    <w:rsid w:val="00CD5566"/>
    <w:rsid w:val="00CD64D7"/>
    <w:rsid w:val="00CE5041"/>
    <w:rsid w:val="00CE6F22"/>
    <w:rsid w:val="00CF21FE"/>
    <w:rsid w:val="00CF41F6"/>
    <w:rsid w:val="00CF7D3E"/>
    <w:rsid w:val="00D00203"/>
    <w:rsid w:val="00D02B4E"/>
    <w:rsid w:val="00D21F11"/>
    <w:rsid w:val="00D36817"/>
    <w:rsid w:val="00D37346"/>
    <w:rsid w:val="00D453EE"/>
    <w:rsid w:val="00D5666C"/>
    <w:rsid w:val="00D666BC"/>
    <w:rsid w:val="00D83542"/>
    <w:rsid w:val="00D8529A"/>
    <w:rsid w:val="00D92F45"/>
    <w:rsid w:val="00D94637"/>
    <w:rsid w:val="00D9725C"/>
    <w:rsid w:val="00DA7006"/>
    <w:rsid w:val="00DC1C94"/>
    <w:rsid w:val="00DC6427"/>
    <w:rsid w:val="00DD3567"/>
    <w:rsid w:val="00DD3674"/>
    <w:rsid w:val="00DD66A1"/>
    <w:rsid w:val="00DE196D"/>
    <w:rsid w:val="00DE1CDC"/>
    <w:rsid w:val="00DF6B49"/>
    <w:rsid w:val="00E01AA3"/>
    <w:rsid w:val="00E067C5"/>
    <w:rsid w:val="00E265BF"/>
    <w:rsid w:val="00E27F2B"/>
    <w:rsid w:val="00E378D8"/>
    <w:rsid w:val="00E43A12"/>
    <w:rsid w:val="00E613DA"/>
    <w:rsid w:val="00E67C67"/>
    <w:rsid w:val="00E77476"/>
    <w:rsid w:val="00E8228B"/>
    <w:rsid w:val="00E920FD"/>
    <w:rsid w:val="00E9428E"/>
    <w:rsid w:val="00EA69BC"/>
    <w:rsid w:val="00EA6DCF"/>
    <w:rsid w:val="00EE5706"/>
    <w:rsid w:val="00EF373D"/>
    <w:rsid w:val="00F11595"/>
    <w:rsid w:val="00F13BC9"/>
    <w:rsid w:val="00F357B2"/>
    <w:rsid w:val="00F36556"/>
    <w:rsid w:val="00F442F7"/>
    <w:rsid w:val="00F705DF"/>
    <w:rsid w:val="00F70622"/>
    <w:rsid w:val="00F85624"/>
    <w:rsid w:val="00F87C05"/>
    <w:rsid w:val="00F93191"/>
    <w:rsid w:val="00F93A17"/>
    <w:rsid w:val="00F979C6"/>
    <w:rsid w:val="00FA2AF6"/>
    <w:rsid w:val="00FB073D"/>
    <w:rsid w:val="00FB21BC"/>
    <w:rsid w:val="00FB771F"/>
    <w:rsid w:val="00FC5386"/>
    <w:rsid w:val="00FE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9C882AD"/>
  <w15:docId w15:val="{6F977B32-087B-47A9-9457-357CB2A2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Style 58,超????,超?级链,超级链接,하이퍼링크2,하이퍼링크21"/>
    <w:basedOn w:val="DefaultParagraphFont"/>
    <w:uiPriority w:val="99"/>
    <w:qFormat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hub/membership/itu-family/organizations/exempted-entities/exemption-criteri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hub/membership/itu-family/organizations/exempted-entitie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hub/membership/our-members/exempted-entities/exemption-criter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141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C%20-%20ITU\PC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64BED-EBDE-4E5F-912D-1A3C0BDC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PC_C22.dotx</Template>
  <TotalTime>1</TotalTime>
  <Pages>8</Pages>
  <Words>3259</Words>
  <Characters>3663</Characters>
  <Application>Microsoft Office Word</Application>
  <DocSecurity>4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6909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the list of exempted organizations</dc:title>
  <dc:subject>Council 2022</dc:subject>
  <dc:creator>Zhao, Lanyi</dc:creator>
  <cp:keywords>C2022, C22, Council-22</cp:keywords>
  <dc:description/>
  <cp:lastModifiedBy>Brouard, Ricarda</cp:lastModifiedBy>
  <cp:revision>2</cp:revision>
  <cp:lastPrinted>2015-02-24T13:23:00Z</cp:lastPrinted>
  <dcterms:created xsi:type="dcterms:W3CDTF">2022-07-09T11:36:00Z</dcterms:created>
  <dcterms:modified xsi:type="dcterms:W3CDTF">2022-07-09T11:36:00Z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