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705DF" w:rsidRPr="00D26A35" w14:paraId="69361076" w14:textId="77777777" w:rsidTr="39C07AB1">
        <w:trPr>
          <w:cantSplit/>
          <w:trHeight w:val="1276"/>
        </w:trPr>
        <w:tc>
          <w:tcPr>
            <w:tcW w:w="6911" w:type="dxa"/>
          </w:tcPr>
          <w:p w14:paraId="5EE71C71" w14:textId="44DD4D35" w:rsidR="003705DF" w:rsidRPr="00D26A35" w:rsidRDefault="00D851FE" w:rsidP="003705DF">
            <w:pPr>
              <w:spacing w:before="360" w:after="48" w:line="240" w:lineRule="atLeast"/>
              <w:rPr>
                <w:position w:val="6"/>
              </w:rPr>
            </w:pPr>
            <w:r w:rsidRPr="00D26A35">
              <w:rPr>
                <w:b/>
                <w:bCs/>
                <w:position w:val="6"/>
                <w:sz w:val="30"/>
                <w:szCs w:val="30"/>
              </w:rPr>
              <w:t>Council 202</w:t>
            </w:r>
            <w:r w:rsidR="001568B1" w:rsidRPr="00D26A35">
              <w:rPr>
                <w:b/>
                <w:bCs/>
                <w:position w:val="6"/>
                <w:sz w:val="30"/>
                <w:szCs w:val="30"/>
              </w:rPr>
              <w:t>2</w:t>
            </w:r>
            <w:r w:rsidRPr="00D26A35">
              <w:rPr>
                <w:b/>
                <w:bCs/>
                <w:position w:val="6"/>
                <w:sz w:val="30"/>
                <w:szCs w:val="30"/>
              </w:rPr>
              <w:br/>
            </w:r>
            <w:r w:rsidR="002B7F24" w:rsidRPr="00D26A35">
              <w:rPr>
                <w:b/>
                <w:bCs/>
                <w:position w:val="6"/>
                <w:sz w:val="28"/>
                <w:szCs w:val="28"/>
              </w:rPr>
              <w:t>Geneva, 21-31 March 2022</w:t>
            </w:r>
          </w:p>
        </w:tc>
        <w:tc>
          <w:tcPr>
            <w:tcW w:w="3120" w:type="dxa"/>
            <w:vAlign w:val="center"/>
          </w:tcPr>
          <w:p w14:paraId="633AFE2E" w14:textId="39B4D2C2" w:rsidR="003705DF" w:rsidRPr="00D26A35" w:rsidRDefault="003705DF" w:rsidP="003705DF">
            <w:pPr>
              <w:spacing w:before="0" w:line="240" w:lineRule="atLeast"/>
            </w:pPr>
            <w:bookmarkStart w:id="0" w:name="ditulogo"/>
            <w:bookmarkEnd w:id="0"/>
            <w:r w:rsidRPr="00D26A35">
              <w:rPr>
                <w:noProof/>
                <w:lang w:val="en-US"/>
              </w:rPr>
              <w:drawing>
                <wp:inline distT="0" distB="0" distL="0" distR="0" wp14:anchorId="69063F3B" wp14:editId="2FB4A3B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D26A35" w14:paraId="00664A99" w14:textId="77777777" w:rsidTr="39C07AB1">
        <w:trPr>
          <w:cantSplit/>
        </w:trPr>
        <w:tc>
          <w:tcPr>
            <w:tcW w:w="6911" w:type="dxa"/>
            <w:tcBorders>
              <w:bottom w:val="single" w:sz="12" w:space="0" w:color="auto"/>
            </w:tcBorders>
          </w:tcPr>
          <w:p w14:paraId="5A227255" w14:textId="77777777" w:rsidR="002A2188" w:rsidRPr="00D26A35" w:rsidRDefault="002A2188" w:rsidP="007222FB">
            <w:pPr>
              <w:spacing w:before="0" w:after="48" w:line="240" w:lineRule="atLeast"/>
              <w:rPr>
                <w:b/>
                <w:smallCaps/>
                <w:szCs w:val="24"/>
              </w:rPr>
            </w:pPr>
          </w:p>
        </w:tc>
        <w:tc>
          <w:tcPr>
            <w:tcW w:w="3120" w:type="dxa"/>
            <w:tcBorders>
              <w:bottom w:val="single" w:sz="12" w:space="0" w:color="auto"/>
            </w:tcBorders>
          </w:tcPr>
          <w:p w14:paraId="7688FD31" w14:textId="77777777" w:rsidR="002A2188" w:rsidRPr="00D26A35" w:rsidRDefault="002A2188" w:rsidP="007222FB">
            <w:pPr>
              <w:spacing w:before="0" w:line="240" w:lineRule="atLeast"/>
              <w:rPr>
                <w:szCs w:val="24"/>
              </w:rPr>
            </w:pPr>
          </w:p>
        </w:tc>
      </w:tr>
      <w:tr w:rsidR="002A2188" w:rsidRPr="00D26A35" w14:paraId="6F36DAD9" w14:textId="77777777" w:rsidTr="39C07AB1">
        <w:trPr>
          <w:cantSplit/>
        </w:trPr>
        <w:tc>
          <w:tcPr>
            <w:tcW w:w="6911" w:type="dxa"/>
            <w:tcBorders>
              <w:top w:val="single" w:sz="12" w:space="0" w:color="auto"/>
            </w:tcBorders>
          </w:tcPr>
          <w:p w14:paraId="6F48848E" w14:textId="77777777" w:rsidR="002A2188" w:rsidRPr="00D26A35" w:rsidRDefault="002A2188" w:rsidP="007222FB">
            <w:pPr>
              <w:spacing w:before="0" w:after="48" w:line="240" w:lineRule="atLeast"/>
              <w:rPr>
                <w:b/>
                <w:smallCaps/>
                <w:szCs w:val="24"/>
              </w:rPr>
            </w:pPr>
          </w:p>
        </w:tc>
        <w:tc>
          <w:tcPr>
            <w:tcW w:w="3120" w:type="dxa"/>
            <w:tcBorders>
              <w:top w:val="single" w:sz="12" w:space="0" w:color="auto"/>
            </w:tcBorders>
          </w:tcPr>
          <w:p w14:paraId="4C122589" w14:textId="77777777" w:rsidR="002A2188" w:rsidRPr="00D26A35" w:rsidRDefault="002A2188" w:rsidP="007222FB">
            <w:pPr>
              <w:spacing w:before="0" w:line="240" w:lineRule="atLeast"/>
              <w:rPr>
                <w:szCs w:val="24"/>
              </w:rPr>
            </w:pPr>
          </w:p>
        </w:tc>
      </w:tr>
      <w:tr w:rsidR="002A2188" w:rsidRPr="00D26A35" w14:paraId="2827AEF4" w14:textId="77777777" w:rsidTr="39C07AB1">
        <w:trPr>
          <w:cantSplit/>
          <w:trHeight w:val="23"/>
        </w:trPr>
        <w:tc>
          <w:tcPr>
            <w:tcW w:w="6911" w:type="dxa"/>
            <w:vMerge w:val="restart"/>
          </w:tcPr>
          <w:p w14:paraId="2676AE1F" w14:textId="77777777" w:rsidR="002A2188" w:rsidRPr="00D26A35" w:rsidRDefault="002A2188" w:rsidP="007222FB">
            <w:pPr>
              <w:tabs>
                <w:tab w:val="left" w:pos="851"/>
              </w:tabs>
              <w:spacing w:line="240" w:lineRule="atLeast"/>
              <w:rPr>
                <w:b/>
              </w:rPr>
            </w:pPr>
            <w:bookmarkStart w:id="1" w:name="dmeeting" w:colFirst="0" w:colLast="0"/>
            <w:bookmarkStart w:id="2" w:name="dnum" w:colFirst="1" w:colLast="1"/>
          </w:p>
        </w:tc>
        <w:tc>
          <w:tcPr>
            <w:tcW w:w="3120" w:type="dxa"/>
          </w:tcPr>
          <w:p w14:paraId="32029555" w14:textId="1C33A415" w:rsidR="002A2188" w:rsidRPr="00D26A35" w:rsidRDefault="009F66A3" w:rsidP="009F66A3">
            <w:pPr>
              <w:tabs>
                <w:tab w:val="left" w:pos="851"/>
              </w:tabs>
              <w:spacing w:before="0" w:line="240" w:lineRule="atLeast"/>
              <w:rPr>
                <w:b/>
                <w:lang w:val="fr-CH"/>
              </w:rPr>
            </w:pPr>
            <w:r w:rsidRPr="00D26A35">
              <w:rPr>
                <w:b/>
                <w:lang w:val="fr-CH"/>
              </w:rPr>
              <w:t xml:space="preserve">Document </w:t>
            </w:r>
            <w:r w:rsidR="00D851FE" w:rsidRPr="00D26A35">
              <w:rPr>
                <w:b/>
                <w:lang w:val="fr-CH"/>
              </w:rPr>
              <w:t>C2</w:t>
            </w:r>
            <w:r w:rsidR="00FC26B7" w:rsidRPr="00D26A35">
              <w:rPr>
                <w:b/>
                <w:lang w:val="fr-CH"/>
              </w:rPr>
              <w:t>2</w:t>
            </w:r>
            <w:r w:rsidR="00D851FE" w:rsidRPr="00D26A35">
              <w:rPr>
                <w:b/>
                <w:lang w:val="fr-CH"/>
              </w:rPr>
              <w:t>/INF/</w:t>
            </w:r>
            <w:r w:rsidR="00BF3772">
              <w:rPr>
                <w:b/>
                <w:lang w:val="fr-CH"/>
              </w:rPr>
              <w:t>2</w:t>
            </w:r>
            <w:r w:rsidR="002B7F24" w:rsidRPr="00D26A35">
              <w:rPr>
                <w:b/>
                <w:lang w:val="fr-CH"/>
              </w:rPr>
              <w:t>-E</w:t>
            </w:r>
          </w:p>
        </w:tc>
      </w:tr>
      <w:tr w:rsidR="002A2188" w:rsidRPr="00D26A35" w14:paraId="3142EA79" w14:textId="77777777" w:rsidTr="39C07AB1">
        <w:trPr>
          <w:cantSplit/>
          <w:trHeight w:val="23"/>
        </w:trPr>
        <w:tc>
          <w:tcPr>
            <w:tcW w:w="6911" w:type="dxa"/>
            <w:vMerge/>
          </w:tcPr>
          <w:p w14:paraId="156F8EA6" w14:textId="77777777" w:rsidR="002A2188" w:rsidRPr="00D26A35" w:rsidRDefault="002A2188" w:rsidP="007222FB">
            <w:pPr>
              <w:tabs>
                <w:tab w:val="left" w:pos="851"/>
              </w:tabs>
              <w:spacing w:line="240" w:lineRule="atLeast"/>
              <w:rPr>
                <w:b/>
                <w:lang w:val="it-IT"/>
              </w:rPr>
            </w:pPr>
            <w:bookmarkStart w:id="3" w:name="ddate" w:colFirst="1" w:colLast="1"/>
            <w:bookmarkEnd w:id="1"/>
            <w:bookmarkEnd w:id="2"/>
          </w:p>
        </w:tc>
        <w:tc>
          <w:tcPr>
            <w:tcW w:w="3120" w:type="dxa"/>
          </w:tcPr>
          <w:p w14:paraId="73C03F22" w14:textId="3B50C123" w:rsidR="002A2188" w:rsidRPr="00D26A35" w:rsidRDefault="00BF3772" w:rsidP="009F66A3">
            <w:pPr>
              <w:tabs>
                <w:tab w:val="left" w:pos="993"/>
              </w:tabs>
              <w:spacing w:before="0"/>
              <w:rPr>
                <w:b/>
              </w:rPr>
            </w:pPr>
            <w:r>
              <w:rPr>
                <w:b/>
              </w:rPr>
              <w:t>7 February 2022</w:t>
            </w:r>
          </w:p>
        </w:tc>
      </w:tr>
      <w:tr w:rsidR="002A2188" w:rsidRPr="00D26A35" w14:paraId="1D5C1130" w14:textId="77777777" w:rsidTr="005F1AD9">
        <w:trPr>
          <w:cantSplit/>
          <w:trHeight w:val="80"/>
        </w:trPr>
        <w:tc>
          <w:tcPr>
            <w:tcW w:w="6911" w:type="dxa"/>
            <w:vMerge/>
          </w:tcPr>
          <w:p w14:paraId="6F29E5D1" w14:textId="77777777" w:rsidR="002A2188" w:rsidRPr="00D26A35" w:rsidRDefault="002A2188" w:rsidP="007222FB">
            <w:pPr>
              <w:tabs>
                <w:tab w:val="left" w:pos="851"/>
              </w:tabs>
              <w:spacing w:line="240" w:lineRule="atLeast"/>
              <w:rPr>
                <w:b/>
              </w:rPr>
            </w:pPr>
            <w:bookmarkStart w:id="4" w:name="dorlang" w:colFirst="1" w:colLast="1"/>
            <w:bookmarkEnd w:id="3"/>
          </w:p>
        </w:tc>
        <w:tc>
          <w:tcPr>
            <w:tcW w:w="3120" w:type="dxa"/>
          </w:tcPr>
          <w:p w14:paraId="3562762B" w14:textId="2B0695A3" w:rsidR="002A2188" w:rsidRPr="00D26A35" w:rsidRDefault="002A2188" w:rsidP="007222FB">
            <w:pPr>
              <w:tabs>
                <w:tab w:val="left" w:pos="993"/>
              </w:tabs>
              <w:spacing w:before="0"/>
              <w:rPr>
                <w:b/>
              </w:rPr>
            </w:pPr>
            <w:r w:rsidRPr="00D26A35">
              <w:rPr>
                <w:b/>
              </w:rPr>
              <w:t>English</w:t>
            </w:r>
            <w:r w:rsidR="005E19DB" w:rsidRPr="00D26A35">
              <w:rPr>
                <w:b/>
              </w:rPr>
              <w:t xml:space="preserve"> only</w:t>
            </w:r>
          </w:p>
        </w:tc>
      </w:tr>
      <w:tr w:rsidR="002A2188" w:rsidRPr="00D26A35" w14:paraId="19B933F3" w14:textId="77777777" w:rsidTr="39C07AB1">
        <w:trPr>
          <w:cantSplit/>
        </w:trPr>
        <w:tc>
          <w:tcPr>
            <w:tcW w:w="10031" w:type="dxa"/>
            <w:gridSpan w:val="2"/>
          </w:tcPr>
          <w:p w14:paraId="700C0F70" w14:textId="552B9007" w:rsidR="002A2188" w:rsidRPr="00D26A35" w:rsidRDefault="00DA4743" w:rsidP="007222FB">
            <w:pPr>
              <w:pStyle w:val="Source"/>
            </w:pPr>
            <w:bookmarkStart w:id="5" w:name="dsource" w:colFirst="0" w:colLast="0"/>
            <w:bookmarkEnd w:id="4"/>
            <w:r w:rsidRPr="00D26A35">
              <w:t>Report by the Secretary-General</w:t>
            </w:r>
          </w:p>
        </w:tc>
      </w:tr>
      <w:tr w:rsidR="002A2188" w:rsidRPr="00D26A35" w14:paraId="4372EE5A" w14:textId="77777777" w:rsidTr="39C07AB1">
        <w:trPr>
          <w:cantSplit/>
        </w:trPr>
        <w:tc>
          <w:tcPr>
            <w:tcW w:w="10031" w:type="dxa"/>
            <w:gridSpan w:val="2"/>
          </w:tcPr>
          <w:p w14:paraId="710AB948" w14:textId="3E5FEF1A" w:rsidR="002A2188" w:rsidRPr="00D26A35" w:rsidRDefault="00DA4743" w:rsidP="007222FB">
            <w:pPr>
              <w:pStyle w:val="Title1"/>
            </w:pPr>
            <w:bookmarkStart w:id="6" w:name="dtitle1" w:colFirst="0" w:colLast="0"/>
            <w:bookmarkEnd w:id="5"/>
            <w:r w:rsidRPr="00D26A35">
              <w:t>COLLABORATION WITH THE UNITED NATIONS SYSTEM</w:t>
            </w:r>
          </w:p>
        </w:tc>
      </w:tr>
      <w:bookmarkEnd w:id="6"/>
    </w:tbl>
    <w:p w14:paraId="2B2EBB74" w14:textId="77777777" w:rsidR="002A2188" w:rsidRPr="00D26A35"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D26A35" w14:paraId="55E30F95" w14:textId="77777777" w:rsidTr="007222FB">
        <w:trPr>
          <w:trHeight w:val="3372"/>
        </w:trPr>
        <w:tc>
          <w:tcPr>
            <w:tcW w:w="8080" w:type="dxa"/>
            <w:tcBorders>
              <w:top w:val="single" w:sz="12" w:space="0" w:color="auto"/>
              <w:left w:val="single" w:sz="12" w:space="0" w:color="auto"/>
              <w:bottom w:val="single" w:sz="12" w:space="0" w:color="auto"/>
              <w:right w:val="single" w:sz="12" w:space="0" w:color="auto"/>
            </w:tcBorders>
          </w:tcPr>
          <w:p w14:paraId="3ADA12EE" w14:textId="77777777" w:rsidR="002A2188" w:rsidRPr="00D26A35" w:rsidRDefault="002A2188" w:rsidP="00D851FE">
            <w:pPr>
              <w:pStyle w:val="Headingb"/>
              <w:numPr>
                <w:ilvl w:val="0"/>
                <w:numId w:val="0"/>
              </w:numPr>
              <w:ind w:left="720" w:hanging="720"/>
            </w:pPr>
            <w:r w:rsidRPr="00D26A35">
              <w:t>Summary</w:t>
            </w:r>
          </w:p>
          <w:p w14:paraId="066CF14D" w14:textId="4C9FBBAC" w:rsidR="00DA4743" w:rsidRPr="00D26A35" w:rsidRDefault="00DA4743" w:rsidP="00DA4743">
            <w:r w:rsidRPr="00D26A35">
              <w:t>This report presents an overview of ITU</w:t>
            </w:r>
            <w:r w:rsidR="007222FB" w:rsidRPr="00D26A35">
              <w:t>’</w:t>
            </w:r>
            <w:r w:rsidRPr="00D26A35">
              <w:t xml:space="preserve">s activities and relationship with the UN system since </w:t>
            </w:r>
            <w:r w:rsidR="00D05BE8" w:rsidRPr="00D26A35">
              <w:t xml:space="preserve">the </w:t>
            </w:r>
            <w:r w:rsidR="00DB0E45" w:rsidRPr="00D26A35">
              <w:t>2021</w:t>
            </w:r>
            <w:r w:rsidR="00DB4125" w:rsidRPr="00D26A35">
              <w:t xml:space="preserve"> </w:t>
            </w:r>
            <w:r w:rsidR="00D05BE8" w:rsidRPr="00D26A35">
              <w:t xml:space="preserve">virtual </w:t>
            </w:r>
            <w:r w:rsidR="00DB4125" w:rsidRPr="00D26A35">
              <w:t>consultations</w:t>
            </w:r>
            <w:r w:rsidR="00D05BE8" w:rsidRPr="00D26A35">
              <w:t xml:space="preserve"> of councillors</w:t>
            </w:r>
            <w:r w:rsidRPr="00D26A35">
              <w:t>.</w:t>
            </w:r>
          </w:p>
          <w:p w14:paraId="4ED5D40B" w14:textId="77777777" w:rsidR="002A2188" w:rsidRPr="00D26A35" w:rsidRDefault="002A2188" w:rsidP="00D851FE">
            <w:pPr>
              <w:pStyle w:val="Headingb"/>
              <w:numPr>
                <w:ilvl w:val="0"/>
                <w:numId w:val="0"/>
              </w:numPr>
              <w:ind w:left="720" w:hanging="720"/>
            </w:pPr>
            <w:r w:rsidRPr="00D26A35">
              <w:t>Action required</w:t>
            </w:r>
          </w:p>
          <w:p w14:paraId="11BEDF88" w14:textId="77777777" w:rsidR="005E19DB" w:rsidRPr="00D26A35" w:rsidRDefault="005E19DB" w:rsidP="005E19DB">
            <w:pPr>
              <w:spacing w:after="120"/>
            </w:pPr>
            <w:r w:rsidRPr="00D26A35">
              <w:rPr>
                <w:rFonts w:asciiTheme="minorHAnsi" w:hAnsiTheme="minorHAnsi"/>
                <w:szCs w:val="24"/>
              </w:rPr>
              <w:t xml:space="preserve">This report is transmitted to the Council </w:t>
            </w:r>
            <w:r w:rsidRPr="00D26A35">
              <w:rPr>
                <w:rFonts w:asciiTheme="minorHAnsi" w:hAnsiTheme="minorHAnsi"/>
                <w:b/>
                <w:bCs/>
                <w:szCs w:val="24"/>
              </w:rPr>
              <w:t>for information</w:t>
            </w:r>
            <w:r w:rsidRPr="00D26A35">
              <w:rPr>
                <w:rFonts w:asciiTheme="minorHAnsi" w:hAnsiTheme="minorHAnsi"/>
                <w:szCs w:val="24"/>
              </w:rPr>
              <w:t>.</w:t>
            </w:r>
          </w:p>
          <w:p w14:paraId="08EE552C" w14:textId="77777777" w:rsidR="002A2188" w:rsidRPr="00D26A35" w:rsidRDefault="002A2188" w:rsidP="007222FB">
            <w:pPr>
              <w:pStyle w:val="Table"/>
              <w:keepNext w:val="0"/>
              <w:spacing w:before="0" w:after="0"/>
              <w:rPr>
                <w:rFonts w:ascii="Calibri" w:hAnsi="Calibri"/>
                <w:caps w:val="0"/>
                <w:sz w:val="22"/>
              </w:rPr>
            </w:pPr>
            <w:r w:rsidRPr="00D26A35">
              <w:rPr>
                <w:rFonts w:ascii="Calibri" w:hAnsi="Calibri"/>
                <w:caps w:val="0"/>
                <w:sz w:val="22"/>
              </w:rPr>
              <w:t>____________</w:t>
            </w:r>
          </w:p>
          <w:p w14:paraId="3A462E8F" w14:textId="77777777" w:rsidR="002A2188" w:rsidRPr="00D26A35" w:rsidRDefault="002A2188" w:rsidP="00D851FE">
            <w:pPr>
              <w:pStyle w:val="Headingb"/>
              <w:numPr>
                <w:ilvl w:val="0"/>
                <w:numId w:val="0"/>
              </w:numPr>
              <w:ind w:left="720" w:hanging="720"/>
            </w:pPr>
            <w:r w:rsidRPr="00D26A35">
              <w:t>References</w:t>
            </w:r>
          </w:p>
          <w:p w14:paraId="6F7E2875" w14:textId="344C7DAF" w:rsidR="002A2188" w:rsidRPr="00D26A35" w:rsidRDefault="00DA4743" w:rsidP="00DA4743">
            <w:r w:rsidRPr="00D26A35">
              <w:t xml:space="preserve">Documents </w:t>
            </w:r>
            <w:hyperlink r:id="rId13" w:history="1">
              <w:r w:rsidRPr="00D26A35">
                <w:rPr>
                  <w:rStyle w:val="Hyperlink"/>
                </w:rPr>
                <w:t>C08/INF/8</w:t>
              </w:r>
            </w:hyperlink>
            <w:r w:rsidRPr="00D26A35">
              <w:t xml:space="preserve">, </w:t>
            </w:r>
            <w:hyperlink r:id="rId14" w:history="1">
              <w:r w:rsidRPr="00D26A35">
                <w:rPr>
                  <w:rStyle w:val="Hyperlink"/>
                </w:rPr>
                <w:t>C11/INF/6</w:t>
              </w:r>
            </w:hyperlink>
            <w:r w:rsidRPr="00D26A35">
              <w:rPr>
                <w:u w:val="single"/>
              </w:rPr>
              <w:t>,</w:t>
            </w:r>
            <w:r w:rsidRPr="00D26A35">
              <w:t xml:space="preserve"> </w:t>
            </w:r>
            <w:hyperlink r:id="rId15" w:history="1">
              <w:r w:rsidRPr="00D26A35">
                <w:rPr>
                  <w:rStyle w:val="Hyperlink"/>
                </w:rPr>
                <w:t>C12/INF/1(Rev.1)</w:t>
              </w:r>
            </w:hyperlink>
            <w:r w:rsidRPr="00D26A35">
              <w:rPr>
                <w:u w:val="single"/>
              </w:rPr>
              <w:t>,</w:t>
            </w:r>
            <w:r w:rsidRPr="00D26A35">
              <w:t xml:space="preserve"> </w:t>
            </w:r>
            <w:hyperlink r:id="rId16" w:history="1">
              <w:r w:rsidRPr="00D26A35">
                <w:rPr>
                  <w:rStyle w:val="Hyperlink"/>
                  <w:bCs/>
                </w:rPr>
                <w:t>C13/INF/10</w:t>
              </w:r>
            </w:hyperlink>
            <w:r w:rsidRPr="00D26A35">
              <w:t xml:space="preserve">, </w:t>
            </w:r>
            <w:hyperlink r:id="rId17" w:history="1">
              <w:r w:rsidRPr="00D26A35">
                <w:rPr>
                  <w:rStyle w:val="Hyperlink"/>
                </w:rPr>
                <w:t>C14/INF/7</w:t>
              </w:r>
            </w:hyperlink>
            <w:r w:rsidRPr="00D26A35">
              <w:t xml:space="preserve">, </w:t>
            </w:r>
            <w:hyperlink r:id="rId18" w:history="1">
              <w:r w:rsidRPr="00D26A35">
                <w:rPr>
                  <w:rStyle w:val="Hyperlink"/>
                  <w:bCs/>
                </w:rPr>
                <w:t>C15/INF/4</w:t>
              </w:r>
            </w:hyperlink>
            <w:r w:rsidRPr="00D26A35">
              <w:rPr>
                <w:bCs/>
              </w:rPr>
              <w:t xml:space="preserve">, </w:t>
            </w:r>
            <w:hyperlink r:id="rId19" w:history="1">
              <w:r w:rsidRPr="00D26A35">
                <w:rPr>
                  <w:rStyle w:val="Hyperlink"/>
                </w:rPr>
                <w:t>C16/57</w:t>
              </w:r>
            </w:hyperlink>
            <w:r w:rsidRPr="00D26A35">
              <w:t xml:space="preserve">, and </w:t>
            </w:r>
            <w:hyperlink r:id="rId20" w:history="1">
              <w:r w:rsidRPr="00D26A35">
                <w:rPr>
                  <w:rStyle w:val="Hyperlink"/>
                </w:rPr>
                <w:t>C17/INF/10</w:t>
              </w:r>
            </w:hyperlink>
            <w:r w:rsidRPr="00D26A35">
              <w:t xml:space="preserve">, </w:t>
            </w:r>
            <w:hyperlink r:id="rId21" w:history="1">
              <w:r w:rsidRPr="00D26A35">
                <w:rPr>
                  <w:rStyle w:val="Hyperlink"/>
                </w:rPr>
                <w:t>C18/INF/4</w:t>
              </w:r>
            </w:hyperlink>
            <w:r w:rsidRPr="00D26A35">
              <w:rPr>
                <w:rStyle w:val="Hyperlink"/>
              </w:rPr>
              <w:t>,</w:t>
            </w:r>
            <w:r w:rsidRPr="00D26A35">
              <w:rPr>
                <w:rStyle w:val="Hyperlink"/>
                <w:u w:val="none"/>
              </w:rPr>
              <w:t xml:space="preserve"> </w:t>
            </w:r>
            <w:hyperlink r:id="rId22" w:history="1">
              <w:r w:rsidRPr="00D26A35">
                <w:rPr>
                  <w:rStyle w:val="Hyperlink"/>
                </w:rPr>
                <w:t>C19/INF/8</w:t>
              </w:r>
            </w:hyperlink>
            <w:r w:rsidR="000B139C" w:rsidRPr="00D26A35">
              <w:rPr>
                <w:rStyle w:val="Hyperlink"/>
              </w:rPr>
              <w:t xml:space="preserve">, </w:t>
            </w:r>
            <w:hyperlink r:id="rId23" w:history="1">
              <w:r w:rsidR="00DB4125" w:rsidRPr="00D26A35">
                <w:rPr>
                  <w:rStyle w:val="Hyperlink"/>
                </w:rPr>
                <w:t>C20/INF/3</w:t>
              </w:r>
            </w:hyperlink>
            <w:r w:rsidR="00FC26B7" w:rsidRPr="00D26A35">
              <w:rPr>
                <w:rStyle w:val="Hyperlink"/>
              </w:rPr>
              <w:t xml:space="preserve">; </w:t>
            </w:r>
            <w:hyperlink r:id="rId24" w:history="1">
              <w:r w:rsidR="00FC26B7" w:rsidRPr="00D26A35">
                <w:rPr>
                  <w:rStyle w:val="Hyperlink"/>
                </w:rPr>
                <w:t>C21/INF/2</w:t>
              </w:r>
            </w:hyperlink>
          </w:p>
        </w:tc>
      </w:tr>
    </w:tbl>
    <w:p w14:paraId="5AA3B721" w14:textId="77777777" w:rsidR="00DA4743" w:rsidRPr="00D26A35" w:rsidRDefault="00DA4743" w:rsidP="00564318">
      <w:pPr>
        <w:pStyle w:val="ListParagraph"/>
        <w:numPr>
          <w:ilvl w:val="0"/>
          <w:numId w:val="2"/>
        </w:numPr>
        <w:tabs>
          <w:tab w:val="clear" w:pos="567"/>
          <w:tab w:val="clear" w:pos="1134"/>
          <w:tab w:val="clear" w:pos="1701"/>
          <w:tab w:val="clear" w:pos="2268"/>
          <w:tab w:val="clear" w:pos="2835"/>
        </w:tabs>
        <w:snapToGrid w:val="0"/>
        <w:spacing w:before="240" w:after="120"/>
        <w:ind w:left="0" w:firstLine="0"/>
        <w:contextualSpacing w:val="0"/>
        <w:jc w:val="both"/>
        <w:rPr>
          <w:rFonts w:asciiTheme="minorHAnsi" w:hAnsiTheme="minorHAnsi" w:cstheme="minorHAnsi"/>
          <w:b/>
          <w:bCs/>
          <w:szCs w:val="24"/>
        </w:rPr>
      </w:pPr>
      <w:bookmarkStart w:id="7" w:name="dstart"/>
      <w:bookmarkStart w:id="8" w:name="dbreak"/>
      <w:bookmarkEnd w:id="7"/>
      <w:bookmarkEnd w:id="8"/>
      <w:r w:rsidRPr="00D26A35">
        <w:rPr>
          <w:rFonts w:asciiTheme="minorHAnsi" w:hAnsiTheme="minorHAnsi" w:cstheme="minorHAnsi"/>
          <w:b/>
          <w:bCs/>
          <w:szCs w:val="24"/>
        </w:rPr>
        <w:t>Introduction</w:t>
      </w:r>
    </w:p>
    <w:p w14:paraId="3CFF4385" w14:textId="757E810E" w:rsidR="00DB4125" w:rsidRPr="00D26A35" w:rsidRDefault="00D851FE" w:rsidP="00564318">
      <w:pPr>
        <w:pStyle w:val="ListParagraph"/>
        <w:tabs>
          <w:tab w:val="clear" w:pos="567"/>
          <w:tab w:val="clear" w:pos="1134"/>
          <w:tab w:val="clear" w:pos="1701"/>
          <w:tab w:val="clear" w:pos="2268"/>
          <w:tab w:val="clear" w:pos="2835"/>
        </w:tabs>
        <w:snapToGrid w:val="0"/>
        <w:spacing w:after="120"/>
        <w:ind w:left="0"/>
        <w:contextualSpacing w:val="0"/>
        <w:jc w:val="both"/>
        <w:rPr>
          <w:rFonts w:asciiTheme="minorHAnsi" w:hAnsiTheme="minorHAnsi" w:cstheme="minorHAnsi"/>
          <w:b/>
          <w:bCs/>
          <w:szCs w:val="24"/>
          <w:lang w:eastAsia="zh-CN"/>
        </w:rPr>
      </w:pPr>
      <w:r w:rsidRPr="00D26A35">
        <w:rPr>
          <w:rFonts w:asciiTheme="minorHAnsi" w:hAnsiTheme="minorHAnsi" w:cstheme="minorHAnsi"/>
          <w:szCs w:val="24"/>
          <w:lang w:val="en-US"/>
        </w:rPr>
        <w:t>1.1</w:t>
      </w:r>
      <w:r w:rsidRPr="00D26A35">
        <w:rPr>
          <w:rFonts w:asciiTheme="minorHAnsi" w:hAnsiTheme="minorHAnsi" w:cstheme="minorHAnsi"/>
          <w:szCs w:val="24"/>
          <w:lang w:val="en-US"/>
        </w:rPr>
        <w:tab/>
      </w:r>
      <w:r w:rsidR="00DA4743" w:rsidRPr="00D26A35">
        <w:rPr>
          <w:rFonts w:asciiTheme="minorHAnsi" w:hAnsiTheme="minorHAnsi" w:cstheme="minorHAnsi"/>
          <w:szCs w:val="24"/>
          <w:lang w:val="en-US"/>
        </w:rPr>
        <w:t xml:space="preserve">As a United Nations (UN) Specialized Agency, ITU collaborates, participates, and interacts with the UN system governance processes, subsidiary mechanisms, and inter-agency coordination networks, as well as through joint initiatives. This work aims to strengthen synergies and foster greater cooperation, information and knowledge sharing </w:t>
      </w:r>
      <w:proofErr w:type="gramStart"/>
      <w:r w:rsidR="00DA4743" w:rsidRPr="00D26A35">
        <w:rPr>
          <w:rFonts w:asciiTheme="minorHAnsi" w:hAnsiTheme="minorHAnsi" w:cstheme="minorHAnsi"/>
          <w:szCs w:val="24"/>
          <w:lang w:val="en-US"/>
        </w:rPr>
        <w:t>in</w:t>
      </w:r>
      <w:r w:rsidR="00A9548A" w:rsidRPr="00D26A35">
        <w:rPr>
          <w:rFonts w:asciiTheme="minorHAnsi" w:hAnsiTheme="minorHAnsi" w:cstheme="minorHAnsi"/>
          <w:szCs w:val="24"/>
          <w:lang w:val="en-US"/>
        </w:rPr>
        <w:t xml:space="preserve"> </w:t>
      </w:r>
      <w:r w:rsidR="00DA4743" w:rsidRPr="00D26A35">
        <w:rPr>
          <w:rFonts w:asciiTheme="minorHAnsi" w:hAnsiTheme="minorHAnsi" w:cstheme="minorHAnsi"/>
          <w:szCs w:val="24"/>
          <w:lang w:val="en-US"/>
        </w:rPr>
        <w:t>order to</w:t>
      </w:r>
      <w:proofErr w:type="gramEnd"/>
      <w:r w:rsidR="00DA4743" w:rsidRPr="00D26A35">
        <w:rPr>
          <w:rFonts w:asciiTheme="minorHAnsi" w:hAnsiTheme="minorHAnsi" w:cstheme="minorHAnsi"/>
          <w:szCs w:val="24"/>
          <w:lang w:val="en-US"/>
        </w:rPr>
        <w:t xml:space="preserve"> fulfil programmatic, operational and management mandates in a more coherent and coordinated manner. The ITU General Secretariat, assisted by its UN Liaison Office in New York, coordinates ITU</w:t>
      </w:r>
      <w:r w:rsidR="007222FB" w:rsidRPr="00D26A35">
        <w:rPr>
          <w:rFonts w:asciiTheme="minorHAnsi" w:hAnsiTheme="minorHAnsi" w:cstheme="minorHAnsi"/>
          <w:szCs w:val="24"/>
          <w:lang w:val="en-US"/>
        </w:rPr>
        <w:t>’</w:t>
      </w:r>
      <w:r w:rsidR="00DA4743" w:rsidRPr="00D26A35">
        <w:rPr>
          <w:rFonts w:asciiTheme="minorHAnsi" w:hAnsiTheme="minorHAnsi" w:cstheme="minorHAnsi"/>
          <w:szCs w:val="24"/>
          <w:lang w:val="en-US"/>
        </w:rPr>
        <w:t xml:space="preserve">s relations with the UN and ensures that its priorities are strengthened and reflected in UN system-wide related work, outputs and agenda setting. </w:t>
      </w:r>
      <w:r w:rsidR="00DA4743" w:rsidRPr="00D26A35">
        <w:rPr>
          <w:rFonts w:asciiTheme="minorHAnsi" w:eastAsia="Batang" w:hAnsiTheme="minorHAnsi" w:cstheme="minorHAnsi"/>
          <w:szCs w:val="24"/>
          <w:lang w:eastAsia="ja-JP"/>
        </w:rPr>
        <w:t xml:space="preserve">Over recent years, these </w:t>
      </w:r>
      <w:r w:rsidR="00DA4743" w:rsidRPr="00D26A35">
        <w:rPr>
          <w:rFonts w:asciiTheme="minorHAnsi" w:hAnsiTheme="minorHAnsi" w:cstheme="minorHAnsi"/>
          <w:szCs w:val="24"/>
        </w:rPr>
        <w:t>efforts</w:t>
      </w:r>
      <w:r w:rsidR="00DA4743" w:rsidRPr="00D26A35">
        <w:rPr>
          <w:rFonts w:asciiTheme="minorHAnsi" w:eastAsia="Batang" w:hAnsiTheme="minorHAnsi" w:cstheme="minorHAnsi"/>
          <w:szCs w:val="24"/>
          <w:lang w:eastAsia="ja-JP"/>
        </w:rPr>
        <w:t xml:space="preserve"> have resulted in </w:t>
      </w:r>
      <w:r w:rsidR="00DA4743" w:rsidRPr="00D26A35">
        <w:rPr>
          <w:rFonts w:asciiTheme="minorHAnsi" w:hAnsiTheme="minorHAnsi" w:cstheme="minorHAnsi"/>
          <w:szCs w:val="24"/>
          <w:lang w:eastAsia="zh-CN"/>
        </w:rPr>
        <w:t>greater priority and recognition being given to the critical role of telecommunications/information and communication technologies (ICTs) for economic, social, and</w:t>
      </w:r>
      <w:r w:rsidR="001566C5" w:rsidRPr="00D26A35">
        <w:rPr>
          <w:rFonts w:asciiTheme="minorHAnsi" w:hAnsiTheme="minorHAnsi" w:cstheme="minorHAnsi"/>
          <w:szCs w:val="24"/>
          <w:lang w:eastAsia="zh-CN"/>
        </w:rPr>
        <w:t xml:space="preserve"> </w:t>
      </w:r>
      <w:proofErr w:type="gramStart"/>
      <w:r w:rsidR="00DA4743" w:rsidRPr="00D26A35">
        <w:rPr>
          <w:rFonts w:asciiTheme="minorHAnsi" w:hAnsiTheme="minorHAnsi" w:cstheme="minorHAnsi"/>
          <w:szCs w:val="24"/>
          <w:lang w:eastAsia="zh-CN"/>
        </w:rPr>
        <w:t>environmental</w:t>
      </w:r>
      <w:proofErr w:type="gramEnd"/>
      <w:r w:rsidR="001566C5" w:rsidRPr="00D26A35">
        <w:rPr>
          <w:rFonts w:asciiTheme="minorHAnsi" w:hAnsiTheme="minorHAnsi" w:cstheme="minorHAnsi"/>
          <w:szCs w:val="24"/>
          <w:lang w:eastAsia="zh-CN"/>
        </w:rPr>
        <w:t xml:space="preserve"> </w:t>
      </w:r>
      <w:r w:rsidR="00DA4743" w:rsidRPr="00D26A35">
        <w:rPr>
          <w:rFonts w:asciiTheme="minorHAnsi" w:hAnsiTheme="minorHAnsi" w:cstheme="minorHAnsi"/>
          <w:szCs w:val="24"/>
          <w:lang w:eastAsia="zh-CN"/>
        </w:rPr>
        <w:t xml:space="preserve">sustainable development. </w:t>
      </w:r>
      <w:r w:rsidR="009A551B" w:rsidRPr="00D26A35">
        <w:rPr>
          <w:rFonts w:asciiTheme="minorHAnsi" w:hAnsiTheme="minorHAnsi" w:cstheme="minorHAnsi"/>
          <w:szCs w:val="24"/>
          <w:lang w:eastAsia="zh-CN"/>
        </w:rPr>
        <w:t xml:space="preserve">ITU also continues to play a lead role in the UN Process, World Summit on the Information Society (WSIS) in coordination with more than 32 UN Agencies, aligning the implementation activities with the SDGs. </w:t>
      </w:r>
      <w:r w:rsidR="00DA4743" w:rsidRPr="00D26A35">
        <w:rPr>
          <w:rFonts w:asciiTheme="minorHAnsi" w:hAnsiTheme="minorHAnsi" w:cstheme="minorHAnsi"/>
          <w:szCs w:val="24"/>
          <w:lang w:eastAsia="zh-CN"/>
        </w:rPr>
        <w:t>See ITU Council reports referenced above.</w:t>
      </w:r>
    </w:p>
    <w:p w14:paraId="606D0B5D" w14:textId="605D5A76" w:rsidR="00DB4125" w:rsidRPr="00D26A35" w:rsidRDefault="00C22817" w:rsidP="00564318">
      <w:pPr>
        <w:pStyle w:val="ListParagraph"/>
        <w:numPr>
          <w:ilvl w:val="0"/>
          <w:numId w:val="2"/>
        </w:numPr>
        <w:spacing w:before="240" w:after="120"/>
        <w:ind w:hanging="720"/>
        <w:contextualSpacing w:val="0"/>
        <w:rPr>
          <w:lang w:eastAsia="zh-CN"/>
        </w:rPr>
      </w:pPr>
      <w:r w:rsidRPr="00D26A35">
        <w:rPr>
          <w:b/>
          <w:bCs/>
        </w:rPr>
        <w:t>United Nations Comprehensive Response to Covid-19</w:t>
      </w:r>
    </w:p>
    <w:p w14:paraId="7E0DCBAC" w14:textId="33373A56" w:rsidR="00AC4116" w:rsidRPr="00D26A35" w:rsidRDefault="00C22817" w:rsidP="00564318">
      <w:pPr>
        <w:pStyle w:val="ListParagraph"/>
        <w:numPr>
          <w:ilvl w:val="1"/>
          <w:numId w:val="2"/>
        </w:numPr>
        <w:tabs>
          <w:tab w:val="clear" w:pos="567"/>
          <w:tab w:val="clear" w:pos="1134"/>
          <w:tab w:val="clear" w:pos="1701"/>
          <w:tab w:val="clear" w:pos="2268"/>
          <w:tab w:val="clear" w:pos="2835"/>
        </w:tabs>
        <w:snapToGrid w:val="0"/>
        <w:spacing w:after="120"/>
        <w:ind w:left="0" w:firstLine="0"/>
        <w:contextualSpacing w:val="0"/>
        <w:jc w:val="both"/>
        <w:rPr>
          <w:rFonts w:asciiTheme="minorHAnsi" w:hAnsiTheme="minorHAnsi" w:cstheme="minorHAnsi"/>
          <w:szCs w:val="24"/>
        </w:rPr>
      </w:pPr>
      <w:r w:rsidRPr="00D26A35">
        <w:rPr>
          <w:rFonts w:asciiTheme="minorHAnsi" w:hAnsiTheme="minorHAnsi" w:cstheme="minorHAnsi"/>
          <w:szCs w:val="24"/>
        </w:rPr>
        <w:t>ITU’s response to the Covid-1</w:t>
      </w:r>
      <w:r w:rsidR="00263801" w:rsidRPr="00D26A35">
        <w:rPr>
          <w:rFonts w:asciiTheme="minorHAnsi" w:hAnsiTheme="minorHAnsi" w:cstheme="minorHAnsi"/>
          <w:szCs w:val="24"/>
        </w:rPr>
        <w:t>9</w:t>
      </w:r>
      <w:r w:rsidRPr="00D26A35">
        <w:rPr>
          <w:rFonts w:asciiTheme="minorHAnsi" w:hAnsiTheme="minorHAnsi" w:cstheme="minorHAnsi"/>
          <w:szCs w:val="24"/>
        </w:rPr>
        <w:t xml:space="preserve"> pandemic included mobilizing around the United Nations system’s comprehensive efforts, in particular through the Chief Executive Board’s (CEB), High-level </w:t>
      </w:r>
      <w:r w:rsidRPr="00D26A35">
        <w:rPr>
          <w:rFonts w:asciiTheme="minorHAnsi" w:hAnsiTheme="minorHAnsi" w:cstheme="minorHAnsi"/>
          <w:szCs w:val="24"/>
        </w:rPr>
        <w:lastRenderedPageBreak/>
        <w:t xml:space="preserve">Committee on Management (HLCM), which mobilized its functional networks on human resources, technology, procurement, and finance and budget to support business continuity across the UN system. The HLCM is currently leading </w:t>
      </w:r>
      <w:r w:rsidR="00D12FE7">
        <w:rPr>
          <w:rFonts w:asciiTheme="minorHAnsi" w:hAnsiTheme="minorHAnsi" w:cstheme="minorHAnsi"/>
          <w:szCs w:val="24"/>
        </w:rPr>
        <w:t xml:space="preserve">the following: </w:t>
      </w:r>
      <w:r w:rsidRPr="00D26A35">
        <w:rPr>
          <w:rFonts w:asciiTheme="minorHAnsi" w:hAnsiTheme="minorHAnsi" w:cstheme="minorHAnsi"/>
          <w:szCs w:val="24"/>
        </w:rPr>
        <w:t xml:space="preserve">a coordinated return to office (RTO) through harmonizing key operational procedures in Health (mitigation measures, such as social distancing, wearing of masks, encouraging vaccination and Covid-19 testing, </w:t>
      </w:r>
      <w:r w:rsidR="00314EFB" w:rsidRPr="00D26A35">
        <w:rPr>
          <w:rFonts w:asciiTheme="minorHAnsi" w:hAnsiTheme="minorHAnsi" w:cstheme="minorHAnsi"/>
          <w:szCs w:val="24"/>
        </w:rPr>
        <w:t xml:space="preserve">participation to the United Nations System-wide COVID-19 Vaccination Programme, </w:t>
      </w:r>
      <w:r w:rsidRPr="00D26A35">
        <w:rPr>
          <w:rFonts w:asciiTheme="minorHAnsi" w:hAnsiTheme="minorHAnsi" w:cstheme="minorHAnsi"/>
          <w:szCs w:val="24"/>
        </w:rPr>
        <w:t>Media-vac evacuations, insurances); Teleworking policies and practices</w:t>
      </w:r>
      <w:r w:rsidR="001C351A" w:rsidRPr="00D26A35">
        <w:rPr>
          <w:rFonts w:asciiTheme="minorHAnsi" w:hAnsiTheme="minorHAnsi" w:cstheme="minorHAnsi"/>
          <w:szCs w:val="24"/>
        </w:rPr>
        <w:t xml:space="preserve"> including c</w:t>
      </w:r>
      <w:r w:rsidRPr="00D26A35">
        <w:rPr>
          <w:rFonts w:asciiTheme="minorHAnsi" w:hAnsiTheme="minorHAnsi" w:cstheme="minorHAnsi"/>
          <w:szCs w:val="24"/>
        </w:rPr>
        <w:t>ontractual agreement/new workforce; Security of virtual meeting tools</w:t>
      </w:r>
      <w:r w:rsidR="008044B8" w:rsidRPr="00D26A35">
        <w:rPr>
          <w:rFonts w:asciiTheme="minorHAnsi" w:hAnsiTheme="minorHAnsi" w:cstheme="minorHAnsi"/>
          <w:szCs w:val="24"/>
        </w:rPr>
        <w:t>, including legal framework, guidelines and best practices for safe and trusted virtual events and remote participation in collaboration with the United Nations Information Security Interest Group (UNISSIG/CEB)</w:t>
      </w:r>
      <w:r w:rsidR="001C351A" w:rsidRPr="00D26A35">
        <w:rPr>
          <w:rFonts w:asciiTheme="minorHAnsi" w:hAnsiTheme="minorHAnsi" w:cstheme="minorHAnsi"/>
          <w:szCs w:val="24"/>
        </w:rPr>
        <w:t xml:space="preserve"> as well as i</w:t>
      </w:r>
      <w:r w:rsidRPr="00D26A35">
        <w:rPr>
          <w:rFonts w:asciiTheme="minorHAnsi" w:hAnsiTheme="minorHAnsi" w:cstheme="minorHAnsi"/>
          <w:szCs w:val="24"/>
        </w:rPr>
        <w:t>nterpretation</w:t>
      </w:r>
      <w:r w:rsidR="001C351A" w:rsidRPr="00D26A35">
        <w:rPr>
          <w:rFonts w:asciiTheme="minorHAnsi" w:hAnsiTheme="minorHAnsi" w:cstheme="minorHAnsi"/>
          <w:szCs w:val="24"/>
        </w:rPr>
        <w:t xml:space="preserve"> services</w:t>
      </w:r>
      <w:r w:rsidRPr="00D26A35">
        <w:rPr>
          <w:rFonts w:asciiTheme="minorHAnsi" w:hAnsiTheme="minorHAnsi" w:cstheme="minorHAnsi"/>
          <w:szCs w:val="24"/>
        </w:rPr>
        <w:t>; Rapid cloud adoption (Office365, teams)</w:t>
      </w:r>
      <w:r w:rsidR="001C351A" w:rsidRPr="00D26A35">
        <w:rPr>
          <w:rFonts w:asciiTheme="minorHAnsi" w:hAnsiTheme="minorHAnsi" w:cstheme="minorHAnsi"/>
          <w:szCs w:val="24"/>
        </w:rPr>
        <w:t xml:space="preserve"> and </w:t>
      </w:r>
      <w:r w:rsidRPr="00D26A35">
        <w:rPr>
          <w:rFonts w:asciiTheme="minorHAnsi" w:hAnsiTheme="minorHAnsi" w:cstheme="minorHAnsi"/>
          <w:szCs w:val="24"/>
        </w:rPr>
        <w:t xml:space="preserve">digital signatures; </w:t>
      </w:r>
      <w:r w:rsidR="001C351A" w:rsidRPr="00D26A35">
        <w:rPr>
          <w:rFonts w:asciiTheme="minorHAnsi" w:hAnsiTheme="minorHAnsi" w:cstheme="minorHAnsi"/>
          <w:szCs w:val="24"/>
        </w:rPr>
        <w:t>S</w:t>
      </w:r>
      <w:r w:rsidRPr="00D26A35">
        <w:rPr>
          <w:rFonts w:asciiTheme="minorHAnsi" w:hAnsiTheme="minorHAnsi" w:cstheme="minorHAnsi"/>
          <w:szCs w:val="24"/>
        </w:rPr>
        <w:t>afety and security (staff , delegates, premises)</w:t>
      </w:r>
      <w:r w:rsidR="008044B8" w:rsidRPr="00D26A35">
        <w:rPr>
          <w:rFonts w:asciiTheme="minorHAnsi" w:hAnsiTheme="minorHAnsi" w:cstheme="minorHAnsi"/>
          <w:szCs w:val="24"/>
        </w:rPr>
        <w:t xml:space="preserve"> and o</w:t>
      </w:r>
      <w:r w:rsidRPr="00D26A35">
        <w:rPr>
          <w:rFonts w:asciiTheme="minorHAnsi" w:hAnsiTheme="minorHAnsi" w:cstheme="minorHAnsi"/>
          <w:szCs w:val="24"/>
        </w:rPr>
        <w:t>nsite event restrictions; Security clearance</w:t>
      </w:r>
      <w:r w:rsidR="001C351A" w:rsidRPr="00D26A35">
        <w:rPr>
          <w:rFonts w:asciiTheme="minorHAnsi" w:hAnsiTheme="minorHAnsi" w:cstheme="minorHAnsi"/>
          <w:szCs w:val="24"/>
        </w:rPr>
        <w:t xml:space="preserve"> (</w:t>
      </w:r>
      <w:r w:rsidRPr="00D26A35">
        <w:rPr>
          <w:rFonts w:asciiTheme="minorHAnsi" w:hAnsiTheme="minorHAnsi" w:cstheme="minorHAnsi"/>
          <w:szCs w:val="24"/>
        </w:rPr>
        <w:t>TRIP</w:t>
      </w:r>
      <w:r w:rsidR="001C351A" w:rsidRPr="00D26A35">
        <w:rPr>
          <w:rFonts w:asciiTheme="minorHAnsi" w:hAnsiTheme="minorHAnsi" w:cstheme="minorHAnsi"/>
          <w:szCs w:val="24"/>
        </w:rPr>
        <w:t>)</w:t>
      </w:r>
      <w:r w:rsidR="00314EFB" w:rsidRPr="00D26A35">
        <w:rPr>
          <w:rFonts w:asciiTheme="minorHAnsi" w:hAnsiTheme="minorHAnsi" w:cstheme="minorHAnsi"/>
          <w:szCs w:val="24"/>
        </w:rPr>
        <w:t xml:space="preserve">, emergency communications and Business </w:t>
      </w:r>
      <w:proofErr w:type="spellStart"/>
      <w:r w:rsidR="00314EFB" w:rsidRPr="00D26A35">
        <w:rPr>
          <w:rFonts w:asciiTheme="minorHAnsi" w:hAnsiTheme="minorHAnsi" w:cstheme="minorHAnsi"/>
          <w:szCs w:val="24"/>
        </w:rPr>
        <w:t>Contiuity</w:t>
      </w:r>
      <w:proofErr w:type="spellEnd"/>
      <w:r w:rsidR="00314EFB" w:rsidRPr="00D26A35">
        <w:rPr>
          <w:rFonts w:asciiTheme="minorHAnsi" w:hAnsiTheme="minorHAnsi" w:cstheme="minorHAnsi"/>
          <w:szCs w:val="24"/>
        </w:rPr>
        <w:t xml:space="preserve"> Plans as part of the Organization’s Resilience mechanism; </w:t>
      </w:r>
      <w:r w:rsidR="00D12FE7">
        <w:rPr>
          <w:rFonts w:asciiTheme="minorHAnsi" w:hAnsiTheme="minorHAnsi" w:cstheme="minorHAnsi"/>
          <w:szCs w:val="24"/>
        </w:rPr>
        <w:t xml:space="preserve">and </w:t>
      </w:r>
      <w:r w:rsidRPr="00D26A35">
        <w:rPr>
          <w:rFonts w:asciiTheme="minorHAnsi" w:hAnsiTheme="minorHAnsi" w:cstheme="minorHAnsi"/>
          <w:szCs w:val="24"/>
        </w:rPr>
        <w:t>Host country emergency framework</w:t>
      </w:r>
      <w:r w:rsidR="001C351A" w:rsidRPr="00D26A35">
        <w:rPr>
          <w:rFonts w:asciiTheme="minorHAnsi" w:hAnsiTheme="minorHAnsi" w:cstheme="minorHAnsi"/>
          <w:szCs w:val="24"/>
        </w:rPr>
        <w:t>s</w:t>
      </w:r>
      <w:r w:rsidRPr="00D26A35">
        <w:rPr>
          <w:rFonts w:asciiTheme="minorHAnsi" w:hAnsiTheme="minorHAnsi" w:cstheme="minorHAnsi"/>
          <w:szCs w:val="24"/>
        </w:rPr>
        <w:t>, among other.</w:t>
      </w:r>
      <w:r w:rsidR="008044B8" w:rsidRPr="00D26A35">
        <w:rPr>
          <w:rFonts w:asciiTheme="minorHAnsi" w:hAnsiTheme="minorHAnsi" w:cstheme="minorHAnsi"/>
          <w:szCs w:val="24"/>
        </w:rPr>
        <w:t xml:space="preserve"> </w:t>
      </w:r>
    </w:p>
    <w:p w14:paraId="4AD88D44" w14:textId="75BA103C" w:rsidR="003F3662" w:rsidRPr="00D26A35" w:rsidRDefault="00C22817" w:rsidP="00564318">
      <w:pPr>
        <w:pStyle w:val="ListParagraph"/>
        <w:numPr>
          <w:ilvl w:val="1"/>
          <w:numId w:val="2"/>
        </w:numPr>
        <w:tabs>
          <w:tab w:val="clear" w:pos="567"/>
          <w:tab w:val="clear" w:pos="1134"/>
          <w:tab w:val="clear" w:pos="1701"/>
          <w:tab w:val="clear" w:pos="2268"/>
          <w:tab w:val="clear" w:pos="2835"/>
        </w:tabs>
        <w:snapToGrid w:val="0"/>
        <w:spacing w:after="120"/>
        <w:ind w:left="0" w:firstLine="0"/>
        <w:contextualSpacing w:val="0"/>
        <w:jc w:val="both"/>
        <w:rPr>
          <w:rFonts w:asciiTheme="minorHAnsi" w:hAnsiTheme="minorHAnsi" w:cstheme="minorHAnsi"/>
          <w:szCs w:val="24"/>
        </w:rPr>
      </w:pPr>
      <w:r w:rsidRPr="00D26A35">
        <w:rPr>
          <w:rFonts w:asciiTheme="minorHAnsi" w:hAnsiTheme="minorHAnsi" w:cstheme="minorHAnsi"/>
          <w:szCs w:val="24"/>
        </w:rPr>
        <w:t>In addition, ITU responded to the UN Secretary-General’s call to “build back better”, calling on the international community to “Connect2Recover” and recalls that its Member States have</w:t>
      </w:r>
      <w:r w:rsidR="00A9548A" w:rsidRPr="00D26A35">
        <w:rPr>
          <w:rFonts w:asciiTheme="minorHAnsi" w:hAnsiTheme="minorHAnsi" w:cstheme="minorHAnsi"/>
          <w:szCs w:val="24"/>
        </w:rPr>
        <w:t xml:space="preserve"> </w:t>
      </w:r>
      <w:r w:rsidRPr="00D26A35">
        <w:rPr>
          <w:rFonts w:asciiTheme="minorHAnsi" w:hAnsiTheme="minorHAnsi" w:cstheme="minorHAnsi"/>
          <w:szCs w:val="24"/>
        </w:rPr>
        <w:t>agreed on the Connect 2030 Agenda as a way to expand quality digital infrastructure in</w:t>
      </w:r>
      <w:r w:rsidR="00A9548A" w:rsidRPr="00D26A35">
        <w:rPr>
          <w:rFonts w:asciiTheme="minorHAnsi" w:hAnsiTheme="minorHAnsi" w:cstheme="minorHAnsi"/>
          <w:szCs w:val="24"/>
        </w:rPr>
        <w:t xml:space="preserve"> </w:t>
      </w:r>
      <w:r w:rsidRPr="00D26A35">
        <w:rPr>
          <w:rFonts w:asciiTheme="minorHAnsi" w:hAnsiTheme="minorHAnsi" w:cstheme="minorHAnsi"/>
          <w:szCs w:val="24"/>
        </w:rPr>
        <w:t>countries for the benefit of all people everywhere.</w:t>
      </w:r>
    </w:p>
    <w:p w14:paraId="7AF6C24D" w14:textId="6BBAA321" w:rsidR="00C22817" w:rsidRPr="00D26A35" w:rsidRDefault="00C22817" w:rsidP="00564318">
      <w:pPr>
        <w:pStyle w:val="ListParagraph"/>
        <w:numPr>
          <w:ilvl w:val="1"/>
          <w:numId w:val="2"/>
        </w:numPr>
        <w:tabs>
          <w:tab w:val="clear" w:pos="567"/>
          <w:tab w:val="clear" w:pos="1134"/>
          <w:tab w:val="clear" w:pos="1701"/>
          <w:tab w:val="clear" w:pos="2268"/>
          <w:tab w:val="clear" w:pos="2835"/>
        </w:tabs>
        <w:snapToGrid w:val="0"/>
        <w:spacing w:after="120"/>
        <w:ind w:left="0" w:firstLine="0"/>
        <w:contextualSpacing w:val="0"/>
        <w:jc w:val="both"/>
        <w:rPr>
          <w:rFonts w:asciiTheme="minorHAnsi" w:hAnsiTheme="minorHAnsi" w:cstheme="minorHAnsi"/>
          <w:szCs w:val="24"/>
        </w:rPr>
      </w:pPr>
      <w:r w:rsidRPr="00D26A35">
        <w:rPr>
          <w:rFonts w:asciiTheme="minorHAnsi" w:hAnsiTheme="minorHAnsi" w:cstheme="minorHAnsi"/>
          <w:szCs w:val="24"/>
        </w:rPr>
        <w:t>Common projects with sister UN agencies, including</w:t>
      </w:r>
      <w:r w:rsidR="003F3662" w:rsidRPr="00D26A35">
        <w:rPr>
          <w:rFonts w:asciiTheme="minorHAnsi" w:hAnsiTheme="minorHAnsi" w:cstheme="minorHAnsi"/>
          <w:szCs w:val="24"/>
        </w:rPr>
        <w:t xml:space="preserve"> with </w:t>
      </w:r>
      <w:r w:rsidR="00A9548A" w:rsidRPr="00D26A35">
        <w:rPr>
          <w:rFonts w:asciiTheme="minorHAnsi" w:hAnsiTheme="minorHAnsi" w:cstheme="minorHAnsi"/>
          <w:szCs w:val="24"/>
        </w:rPr>
        <w:t>UNESCO on e-learning</w:t>
      </w:r>
      <w:r w:rsidR="003F3662" w:rsidRPr="00D26A35">
        <w:rPr>
          <w:rFonts w:asciiTheme="minorHAnsi" w:hAnsiTheme="minorHAnsi" w:cstheme="minorHAnsi"/>
          <w:szCs w:val="24"/>
        </w:rPr>
        <w:t xml:space="preserve">, </w:t>
      </w:r>
      <w:r w:rsidR="00A9548A" w:rsidRPr="00D26A35">
        <w:rPr>
          <w:rFonts w:asciiTheme="minorHAnsi" w:hAnsiTheme="minorHAnsi" w:cstheme="minorHAnsi"/>
          <w:szCs w:val="24"/>
        </w:rPr>
        <w:t>with the World Health Organization and</w:t>
      </w:r>
      <w:r w:rsidR="003F3662" w:rsidRPr="00D26A35">
        <w:rPr>
          <w:rFonts w:asciiTheme="minorHAnsi" w:hAnsiTheme="minorHAnsi" w:cstheme="minorHAnsi"/>
          <w:szCs w:val="24"/>
        </w:rPr>
        <w:t xml:space="preserve"> </w:t>
      </w:r>
      <w:r w:rsidR="00A9548A" w:rsidRPr="00D26A35">
        <w:rPr>
          <w:rFonts w:asciiTheme="minorHAnsi" w:hAnsiTheme="minorHAnsi" w:cstheme="minorHAnsi"/>
          <w:szCs w:val="24"/>
        </w:rPr>
        <w:t>UNICEF on health messagin</w:t>
      </w:r>
      <w:r w:rsidR="003F3662" w:rsidRPr="00D26A35">
        <w:rPr>
          <w:rFonts w:asciiTheme="minorHAnsi" w:hAnsiTheme="minorHAnsi" w:cstheme="minorHAnsi"/>
          <w:szCs w:val="24"/>
        </w:rPr>
        <w:t xml:space="preserve">g, and through </w:t>
      </w:r>
      <w:r w:rsidR="00AE4E93" w:rsidRPr="00D26A35">
        <w:rPr>
          <w:rFonts w:asciiTheme="minorHAnsi" w:hAnsiTheme="minorHAnsi" w:cstheme="minorHAnsi"/>
          <w:szCs w:val="24"/>
        </w:rPr>
        <w:t xml:space="preserve">the implementation of the WSIS Action Lines and organization of the WSIS </w:t>
      </w:r>
      <w:proofErr w:type="spellStart"/>
      <w:r w:rsidR="00AE4E93" w:rsidRPr="00D26A35">
        <w:rPr>
          <w:rFonts w:asciiTheme="minorHAnsi" w:hAnsiTheme="minorHAnsi" w:cstheme="minorHAnsi"/>
          <w:szCs w:val="24"/>
        </w:rPr>
        <w:t>Forumn</w:t>
      </w:r>
      <w:proofErr w:type="spellEnd"/>
      <w:r w:rsidR="00AE4E93" w:rsidRPr="00D26A35">
        <w:rPr>
          <w:rFonts w:asciiTheme="minorHAnsi" w:hAnsiTheme="minorHAnsi" w:cstheme="minorHAnsi"/>
          <w:szCs w:val="24"/>
        </w:rPr>
        <w:t xml:space="preserve"> and the </w:t>
      </w:r>
      <w:r w:rsidR="003F3662" w:rsidRPr="00D26A35">
        <w:rPr>
          <w:rFonts w:asciiTheme="minorHAnsi" w:hAnsiTheme="minorHAnsi" w:cstheme="minorHAnsi"/>
          <w:szCs w:val="24"/>
        </w:rPr>
        <w:t xml:space="preserve">Broadband Commission’s Agenda for Action. Further details are provided below on related key initiatives. </w:t>
      </w:r>
    </w:p>
    <w:p w14:paraId="48B95115" w14:textId="5CEAF569" w:rsidR="00AE4E93" w:rsidRPr="00D26A35" w:rsidRDefault="00AE4E93" w:rsidP="00564318">
      <w:pPr>
        <w:pStyle w:val="ListParagraph"/>
        <w:numPr>
          <w:ilvl w:val="1"/>
          <w:numId w:val="2"/>
        </w:numPr>
        <w:tabs>
          <w:tab w:val="clear" w:pos="567"/>
          <w:tab w:val="clear" w:pos="1134"/>
          <w:tab w:val="left" w:pos="709"/>
        </w:tabs>
        <w:spacing w:after="120"/>
        <w:ind w:left="0" w:firstLine="0"/>
        <w:contextualSpacing w:val="0"/>
        <w:rPr>
          <w:rFonts w:asciiTheme="minorHAnsi" w:hAnsiTheme="minorHAnsi" w:cstheme="minorHAnsi"/>
          <w:szCs w:val="24"/>
        </w:rPr>
      </w:pPr>
      <w:r w:rsidRPr="00D26A35">
        <w:rPr>
          <w:rFonts w:asciiTheme="minorHAnsi" w:hAnsiTheme="minorHAnsi" w:cstheme="minorHAnsi"/>
          <w:szCs w:val="24"/>
        </w:rPr>
        <w:t>Reaching out to wider stakeholders and at their request, WSIS had initiated collaborative activities in response to the COVID-19 pandemic, which include (</w:t>
      </w:r>
      <w:proofErr w:type="spellStart"/>
      <w:r w:rsidRPr="00D26A35">
        <w:rPr>
          <w:rFonts w:asciiTheme="minorHAnsi" w:hAnsiTheme="minorHAnsi" w:cstheme="minorHAnsi"/>
          <w:szCs w:val="24"/>
        </w:rPr>
        <w:t>i</w:t>
      </w:r>
      <w:proofErr w:type="spellEnd"/>
      <w:r w:rsidRPr="00D26A35">
        <w:rPr>
          <w:rFonts w:asciiTheme="minorHAnsi" w:hAnsiTheme="minorHAnsi" w:cstheme="minorHAnsi"/>
          <w:szCs w:val="24"/>
        </w:rPr>
        <w:t xml:space="preserve">) The Coronavirus (COVID-19) Response – ICT Case Repository, that collects ICTs projects, initiatives, case studies from stakeholders around the world in mitigating the effects of the COVID-19 pandemic; (ii) sessions on the topic of COVID-19; and (iii) a special track on ICTs for Well-being and Happiness that highlighted efforts and success stories to promote healthy lives and well-being for everyone at all ages, in the context of COVID-19 pandemic. </w:t>
      </w:r>
    </w:p>
    <w:p w14:paraId="3C957BEE" w14:textId="5F1E5016" w:rsidR="00B004AF" w:rsidRPr="00D26A35" w:rsidRDefault="00DA4743" w:rsidP="00564318">
      <w:pPr>
        <w:pStyle w:val="ListParagraph"/>
        <w:numPr>
          <w:ilvl w:val="0"/>
          <w:numId w:val="2"/>
        </w:numPr>
        <w:spacing w:before="240" w:after="120"/>
        <w:ind w:left="0" w:firstLine="0"/>
        <w:contextualSpacing w:val="0"/>
        <w:rPr>
          <w:rFonts w:asciiTheme="minorHAnsi" w:hAnsiTheme="minorHAnsi" w:cstheme="minorHAnsi"/>
          <w:b/>
          <w:bCs/>
          <w:szCs w:val="24"/>
        </w:rPr>
      </w:pPr>
      <w:r w:rsidRPr="00D26A35">
        <w:rPr>
          <w:rFonts w:asciiTheme="minorHAnsi" w:hAnsiTheme="minorHAnsi" w:cstheme="minorHAnsi"/>
          <w:b/>
          <w:bCs/>
          <w:szCs w:val="24"/>
        </w:rPr>
        <w:t>The 2030 Agenda and the Sustainable Development Goals</w:t>
      </w:r>
    </w:p>
    <w:p w14:paraId="4EED2273" w14:textId="3CD5958F" w:rsidR="000D3275" w:rsidRPr="00D26A35" w:rsidRDefault="00AC4116" w:rsidP="00564318">
      <w:pPr>
        <w:spacing w:after="120"/>
        <w:jc w:val="both"/>
        <w:rPr>
          <w:rFonts w:asciiTheme="minorHAnsi" w:hAnsiTheme="minorHAnsi" w:cstheme="minorHAnsi"/>
          <w:szCs w:val="24"/>
        </w:rPr>
      </w:pPr>
      <w:r w:rsidRPr="00D26A35">
        <w:rPr>
          <w:rFonts w:asciiTheme="minorHAnsi" w:hAnsiTheme="minorHAnsi" w:cstheme="minorHAnsi"/>
          <w:szCs w:val="24"/>
        </w:rPr>
        <w:t xml:space="preserve">3.1 </w:t>
      </w:r>
      <w:r w:rsidRPr="00D26A35">
        <w:rPr>
          <w:rFonts w:asciiTheme="minorHAnsi" w:hAnsiTheme="minorHAnsi" w:cstheme="minorHAnsi"/>
          <w:szCs w:val="24"/>
        </w:rPr>
        <w:tab/>
      </w:r>
      <w:r w:rsidR="000D3275" w:rsidRPr="00D26A35">
        <w:rPr>
          <w:rFonts w:asciiTheme="minorHAnsi" w:hAnsiTheme="minorHAnsi" w:cstheme="minorHAnsi"/>
          <w:szCs w:val="24"/>
        </w:rPr>
        <w:t>As the UN specialized agency for ICTs, ITU is actively promoting their key role in achieving the United Nations' 2030 Agenda for Sustainable Development and its 17 SDGs</w:t>
      </w:r>
      <w:r w:rsidR="00364F8D" w:rsidRPr="00D26A35">
        <w:rPr>
          <w:rFonts w:asciiTheme="minorHAnsi" w:hAnsiTheme="minorHAnsi" w:cstheme="minorHAnsi"/>
          <w:szCs w:val="24"/>
        </w:rPr>
        <w:t xml:space="preserve">.  </w:t>
      </w:r>
      <w:r w:rsidR="000D3275" w:rsidRPr="00D26A35">
        <w:rPr>
          <w:rFonts w:asciiTheme="minorHAnsi" w:hAnsiTheme="minorHAnsi" w:cstheme="minorHAnsi"/>
          <w:szCs w:val="24"/>
        </w:rPr>
        <w:t>ITU’s primary focus is in addressing SDG 9 (Industry, Innovation and Infrastructure)</w:t>
      </w:r>
      <w:r w:rsidR="00364F8D" w:rsidRPr="00D26A35">
        <w:rPr>
          <w:rFonts w:asciiTheme="minorHAnsi" w:hAnsiTheme="minorHAnsi" w:cstheme="minorHAnsi"/>
          <w:szCs w:val="24"/>
        </w:rPr>
        <w:t>, and in particular</w:t>
      </w:r>
      <w:r w:rsidR="000D3275" w:rsidRPr="00D26A35">
        <w:rPr>
          <w:rFonts w:asciiTheme="minorHAnsi" w:hAnsiTheme="minorHAnsi" w:cstheme="minorHAnsi"/>
          <w:szCs w:val="24"/>
        </w:rPr>
        <w:t xml:space="preserve"> target 9.c aiming to significantly increase access to ICTs and provide universal and affordable access to the Internet. It is, therefore, through infrastructure and connectivity and in partnership with all stakeholders that ITU will contribute the most towards achieving the remaining SDGs. ITU is also the custodian of five SDG indicators (4.4.1, 5.b.1, 9.c.1, 17.6.2 and 17.8.1) contributing to the UNSTATS monitoring of the SDGs. </w:t>
      </w:r>
      <w:r w:rsidR="00364F8D" w:rsidRPr="00D26A35">
        <w:rPr>
          <w:rFonts w:asciiTheme="minorHAnsi" w:hAnsiTheme="minorHAnsi" w:cstheme="minorHAnsi"/>
          <w:szCs w:val="24"/>
        </w:rPr>
        <w:t>A</w:t>
      </w:r>
      <w:r w:rsidR="000D3275" w:rsidRPr="00D26A35">
        <w:rPr>
          <w:rFonts w:asciiTheme="minorHAnsi" w:hAnsiTheme="minorHAnsi" w:cstheme="minorHAnsi"/>
          <w:szCs w:val="24"/>
        </w:rPr>
        <w:t>s we embark on the Decade of Action, the final 10 years to deliver the promise of the 2030 Agenda</w:t>
      </w:r>
      <w:r w:rsidR="00364F8D" w:rsidRPr="00D26A35">
        <w:rPr>
          <w:rFonts w:asciiTheme="minorHAnsi" w:hAnsiTheme="minorHAnsi" w:cstheme="minorHAnsi"/>
          <w:szCs w:val="24"/>
        </w:rPr>
        <w:t xml:space="preserve">, </w:t>
      </w:r>
      <w:r w:rsidR="000D3275" w:rsidRPr="00D26A35">
        <w:rPr>
          <w:rFonts w:asciiTheme="minorHAnsi" w:hAnsiTheme="minorHAnsi" w:cstheme="minorHAnsi"/>
          <w:szCs w:val="24"/>
        </w:rPr>
        <w:t>ITU and its members have adopted </w:t>
      </w:r>
      <w:r w:rsidR="00364F8D" w:rsidRPr="00D26A35">
        <w:rPr>
          <w:rFonts w:asciiTheme="minorHAnsi" w:hAnsiTheme="minorHAnsi" w:cstheme="minorHAnsi"/>
          <w:szCs w:val="24"/>
        </w:rPr>
        <w:t xml:space="preserve">the </w:t>
      </w:r>
      <w:r w:rsidR="000D3275" w:rsidRPr="00D26A35">
        <w:rPr>
          <w:rFonts w:asciiTheme="minorHAnsi" w:hAnsiTheme="minorHAnsi" w:cstheme="minorHAnsi"/>
          <w:szCs w:val="24"/>
        </w:rPr>
        <w:t>Strategic Plan for 2020-2023</w:t>
      </w:r>
      <w:r w:rsidR="00364F8D" w:rsidRPr="00D26A35">
        <w:rPr>
          <w:rFonts w:asciiTheme="minorHAnsi" w:hAnsiTheme="minorHAnsi" w:cstheme="minorHAnsi"/>
          <w:szCs w:val="24"/>
        </w:rPr>
        <w:t xml:space="preserve">, </w:t>
      </w:r>
      <w:r w:rsidR="000D3275" w:rsidRPr="00D26A35">
        <w:rPr>
          <w:rFonts w:asciiTheme="minorHAnsi" w:hAnsiTheme="minorHAnsi" w:cstheme="minorHAnsi"/>
          <w:szCs w:val="24"/>
        </w:rPr>
        <w:t xml:space="preserve">the Connect 2030 Agenda </w:t>
      </w:r>
      <w:r w:rsidR="00364F8D" w:rsidRPr="00D26A35">
        <w:rPr>
          <w:rFonts w:asciiTheme="minorHAnsi" w:hAnsiTheme="minorHAnsi" w:cstheme="minorHAnsi"/>
          <w:szCs w:val="24"/>
        </w:rPr>
        <w:t xml:space="preserve">and the </w:t>
      </w:r>
      <w:r w:rsidR="00510802" w:rsidRPr="00D26A35">
        <w:rPr>
          <w:rFonts w:asciiTheme="minorHAnsi" w:hAnsiTheme="minorHAnsi" w:cstheme="minorHAnsi"/>
          <w:szCs w:val="24"/>
        </w:rPr>
        <w:t>World Summit on the Information Society (WSIS) Process to guide its contribution. The WSIS Process implementation activities have been aligned with the 2030 Agenda for Sustainable Development, thereby highlighting the direct linkages between the WSIS Action Lines and the SDGs.</w:t>
      </w:r>
    </w:p>
    <w:p w14:paraId="42DFBFAD" w14:textId="2AD80227" w:rsidR="00CA6E0A" w:rsidRPr="00D26A35" w:rsidRDefault="000D3275" w:rsidP="00564318">
      <w:pPr>
        <w:spacing w:after="120"/>
        <w:jc w:val="both"/>
        <w:rPr>
          <w:rFonts w:asciiTheme="minorHAnsi" w:hAnsiTheme="minorHAnsi" w:cstheme="minorHAnsi"/>
          <w:szCs w:val="24"/>
        </w:rPr>
      </w:pPr>
      <w:r w:rsidRPr="00D26A35">
        <w:rPr>
          <w:rFonts w:asciiTheme="minorHAnsi" w:hAnsiTheme="minorHAnsi" w:cstheme="minorHAnsi"/>
          <w:szCs w:val="24"/>
        </w:rPr>
        <w:t xml:space="preserve">3.2 </w:t>
      </w:r>
      <w:r w:rsidRPr="00D26A35">
        <w:rPr>
          <w:rFonts w:asciiTheme="minorHAnsi" w:hAnsiTheme="minorHAnsi" w:cstheme="minorHAnsi"/>
          <w:szCs w:val="24"/>
        </w:rPr>
        <w:tab/>
      </w:r>
      <w:r w:rsidR="00DA4743" w:rsidRPr="00D26A35">
        <w:rPr>
          <w:rFonts w:asciiTheme="minorHAnsi" w:hAnsiTheme="minorHAnsi" w:cstheme="minorHAnsi"/>
          <w:szCs w:val="24"/>
        </w:rPr>
        <w:t>ITU continued to follow, participate, and provide inputs to the global follow-up and review process of Agenda 2030 and the Sustainable Development Goals (SDGs) carried out annually in July at the High-level Political Forum (HLPF)</w:t>
      </w:r>
      <w:r w:rsidR="00B004AF" w:rsidRPr="00D26A35">
        <w:rPr>
          <w:rFonts w:asciiTheme="minorHAnsi" w:hAnsiTheme="minorHAnsi" w:cstheme="minorHAnsi"/>
          <w:szCs w:val="24"/>
        </w:rPr>
        <w:t>,</w:t>
      </w:r>
      <w:r w:rsidR="00DA4743" w:rsidRPr="00D26A35">
        <w:rPr>
          <w:rFonts w:asciiTheme="minorHAnsi" w:hAnsiTheme="minorHAnsi" w:cstheme="minorHAnsi"/>
          <w:szCs w:val="24"/>
        </w:rPr>
        <w:t xml:space="preserve"> </w:t>
      </w:r>
      <w:r w:rsidR="003F3662" w:rsidRPr="00D26A35">
        <w:rPr>
          <w:rFonts w:asciiTheme="minorHAnsi" w:hAnsiTheme="minorHAnsi" w:cstheme="minorHAnsi"/>
          <w:szCs w:val="24"/>
        </w:rPr>
        <w:t xml:space="preserve">held </w:t>
      </w:r>
      <w:r w:rsidR="00F93C1F" w:rsidRPr="00D26A35">
        <w:rPr>
          <w:rFonts w:asciiTheme="minorHAnsi" w:hAnsiTheme="minorHAnsi" w:cstheme="minorHAnsi"/>
          <w:szCs w:val="24"/>
        </w:rPr>
        <w:t>in hybrid form</w:t>
      </w:r>
      <w:r w:rsidR="003F3662" w:rsidRPr="00D26A35">
        <w:rPr>
          <w:rFonts w:asciiTheme="minorHAnsi" w:hAnsiTheme="minorHAnsi" w:cstheme="minorHAnsi"/>
          <w:szCs w:val="24"/>
        </w:rPr>
        <w:t xml:space="preserve"> </w:t>
      </w:r>
      <w:r w:rsidR="00AC4116" w:rsidRPr="00D26A35">
        <w:rPr>
          <w:rFonts w:asciiTheme="minorHAnsi" w:hAnsiTheme="minorHAnsi" w:cstheme="minorHAnsi"/>
          <w:szCs w:val="24"/>
        </w:rPr>
        <w:t xml:space="preserve">in </w:t>
      </w:r>
      <w:r w:rsidR="00F93C1F" w:rsidRPr="00D26A35">
        <w:rPr>
          <w:rFonts w:asciiTheme="minorHAnsi" w:hAnsiTheme="minorHAnsi" w:cstheme="minorHAnsi"/>
          <w:szCs w:val="24"/>
        </w:rPr>
        <w:t>2021</w:t>
      </w:r>
      <w:r w:rsidR="003F3662" w:rsidRPr="00D26A35">
        <w:rPr>
          <w:rFonts w:asciiTheme="minorHAnsi" w:hAnsiTheme="minorHAnsi" w:cstheme="minorHAnsi"/>
          <w:szCs w:val="24"/>
        </w:rPr>
        <w:t xml:space="preserve"> due to </w:t>
      </w:r>
      <w:r w:rsidR="00A219FF" w:rsidRPr="00D26A35">
        <w:rPr>
          <w:rFonts w:asciiTheme="minorHAnsi" w:hAnsiTheme="minorHAnsi" w:cstheme="minorHAnsi"/>
          <w:szCs w:val="24"/>
        </w:rPr>
        <w:t xml:space="preserve">the continued </w:t>
      </w:r>
      <w:r w:rsidR="003F3662" w:rsidRPr="00D26A35">
        <w:rPr>
          <w:rFonts w:asciiTheme="minorHAnsi" w:hAnsiTheme="minorHAnsi" w:cstheme="minorHAnsi"/>
          <w:szCs w:val="24"/>
        </w:rPr>
        <w:t>COVID-19</w:t>
      </w:r>
      <w:r w:rsidR="00C82F25" w:rsidRPr="00D26A35">
        <w:rPr>
          <w:rFonts w:asciiTheme="minorHAnsi" w:hAnsiTheme="minorHAnsi" w:cstheme="minorHAnsi"/>
          <w:szCs w:val="24"/>
        </w:rPr>
        <w:t xml:space="preserve"> epidemiological situation</w:t>
      </w:r>
      <w:r w:rsidR="003F3662" w:rsidRPr="00D26A35">
        <w:rPr>
          <w:rFonts w:asciiTheme="minorHAnsi" w:hAnsiTheme="minorHAnsi" w:cstheme="minorHAnsi"/>
          <w:szCs w:val="24"/>
        </w:rPr>
        <w:t>.</w:t>
      </w:r>
      <w:r w:rsidR="00694E2F" w:rsidRPr="00D26A35">
        <w:rPr>
          <w:rFonts w:asciiTheme="minorHAnsi" w:hAnsiTheme="minorHAnsi" w:cstheme="minorHAnsi"/>
          <w:szCs w:val="24"/>
        </w:rPr>
        <w:t xml:space="preserve"> </w:t>
      </w:r>
      <w:r w:rsidR="00DA4743" w:rsidRPr="00D26A35">
        <w:rPr>
          <w:rFonts w:asciiTheme="minorHAnsi" w:hAnsiTheme="minorHAnsi" w:cstheme="minorHAnsi"/>
          <w:szCs w:val="24"/>
        </w:rPr>
        <w:t>ITU</w:t>
      </w:r>
      <w:r w:rsidR="007222FB" w:rsidRPr="00D26A35">
        <w:rPr>
          <w:rFonts w:asciiTheme="minorHAnsi" w:hAnsiTheme="minorHAnsi" w:cstheme="minorHAnsi"/>
          <w:szCs w:val="24"/>
        </w:rPr>
        <w:t>’</w:t>
      </w:r>
      <w:r w:rsidR="00DA4743" w:rsidRPr="00D26A35">
        <w:rPr>
          <w:rFonts w:asciiTheme="minorHAnsi" w:hAnsiTheme="minorHAnsi" w:cstheme="minorHAnsi"/>
          <w:szCs w:val="24"/>
        </w:rPr>
        <w:t xml:space="preserve">s main contribution to </w:t>
      </w:r>
      <w:r w:rsidR="00B004AF" w:rsidRPr="00D26A35">
        <w:rPr>
          <w:rFonts w:asciiTheme="minorHAnsi" w:hAnsiTheme="minorHAnsi" w:cstheme="minorHAnsi"/>
          <w:szCs w:val="24"/>
        </w:rPr>
        <w:t xml:space="preserve">this </w:t>
      </w:r>
      <w:r w:rsidR="00DA4743" w:rsidRPr="00D26A35">
        <w:rPr>
          <w:rFonts w:asciiTheme="minorHAnsi" w:hAnsiTheme="minorHAnsi" w:cstheme="minorHAnsi"/>
          <w:szCs w:val="24"/>
        </w:rPr>
        <w:t xml:space="preserve">process </w:t>
      </w:r>
      <w:r w:rsidR="003B5E70" w:rsidRPr="00D26A35">
        <w:rPr>
          <w:rFonts w:asciiTheme="minorHAnsi" w:hAnsiTheme="minorHAnsi" w:cstheme="minorHAnsi"/>
          <w:szCs w:val="24"/>
        </w:rPr>
        <w:t>was</w:t>
      </w:r>
      <w:r w:rsidR="00DA4743" w:rsidRPr="00D26A35">
        <w:rPr>
          <w:rFonts w:asciiTheme="minorHAnsi" w:hAnsiTheme="minorHAnsi" w:cstheme="minorHAnsi"/>
          <w:szCs w:val="24"/>
        </w:rPr>
        <w:t xml:space="preserve"> the annual</w:t>
      </w:r>
      <w:hyperlink r:id="rId25" w:history="1">
        <w:r w:rsidR="00DA4743" w:rsidRPr="00D26A35">
          <w:rPr>
            <w:rStyle w:val="Hyperlink"/>
            <w:rFonts w:asciiTheme="minorHAnsi" w:hAnsiTheme="minorHAnsi" w:cstheme="minorHAnsi"/>
            <w:szCs w:val="24"/>
          </w:rPr>
          <w:t xml:space="preserve"> ITU Council contributio</w:t>
        </w:r>
        <w:r w:rsidR="000545D0" w:rsidRPr="00D26A35">
          <w:rPr>
            <w:rStyle w:val="Hyperlink"/>
            <w:rFonts w:asciiTheme="minorHAnsi" w:hAnsiTheme="minorHAnsi" w:cstheme="minorHAnsi"/>
            <w:szCs w:val="24"/>
          </w:rPr>
          <w:t>n to HLPF</w:t>
        </w:r>
      </w:hyperlink>
      <w:r w:rsidR="00B004AF" w:rsidRPr="00D26A35">
        <w:rPr>
          <w:rFonts w:asciiTheme="minorHAnsi" w:hAnsiTheme="minorHAnsi" w:cstheme="minorHAnsi"/>
          <w:szCs w:val="24"/>
        </w:rPr>
        <w:t xml:space="preserve">.  </w:t>
      </w:r>
      <w:r w:rsidR="00DA4743" w:rsidRPr="00D26A35">
        <w:rPr>
          <w:rFonts w:asciiTheme="minorHAnsi" w:hAnsiTheme="minorHAnsi" w:cstheme="minorHAnsi"/>
          <w:szCs w:val="24"/>
        </w:rPr>
        <w:t xml:space="preserve">ITU also enhanced its outreach with countries presenting their voluntary </w:t>
      </w:r>
      <w:r w:rsidR="00DA4743" w:rsidRPr="00D26A35">
        <w:rPr>
          <w:rFonts w:asciiTheme="minorHAnsi" w:hAnsiTheme="minorHAnsi" w:cstheme="minorHAnsi"/>
          <w:szCs w:val="24"/>
        </w:rPr>
        <w:lastRenderedPageBreak/>
        <w:t xml:space="preserve">national review reports (VNR) to raise the visibility of the critical role of ICTs as an enabling tool for achieving and accelerating progress for sustainable development. </w:t>
      </w:r>
      <w:r w:rsidR="00B004AF" w:rsidRPr="00D26A35">
        <w:rPr>
          <w:rFonts w:asciiTheme="minorHAnsi" w:hAnsiTheme="minorHAnsi" w:cstheme="minorHAnsi"/>
          <w:szCs w:val="24"/>
        </w:rPr>
        <w:t xml:space="preserve">All </w:t>
      </w:r>
      <w:r w:rsidR="00F93C1F" w:rsidRPr="00D26A35">
        <w:rPr>
          <w:rFonts w:asciiTheme="minorHAnsi" w:hAnsiTheme="minorHAnsi" w:cstheme="minorHAnsi"/>
          <w:szCs w:val="24"/>
        </w:rPr>
        <w:t>42</w:t>
      </w:r>
      <w:r w:rsidR="00DA4743" w:rsidRPr="00D26A35">
        <w:rPr>
          <w:rFonts w:asciiTheme="minorHAnsi" w:hAnsiTheme="minorHAnsi" w:cstheme="minorHAnsi"/>
          <w:szCs w:val="24"/>
        </w:rPr>
        <w:t xml:space="preserve"> countries that presented their </w:t>
      </w:r>
      <w:hyperlink r:id="rId26" w:history="1">
        <w:r w:rsidR="00DA4743" w:rsidRPr="00D26A35">
          <w:rPr>
            <w:rStyle w:val="Hyperlink"/>
            <w:rFonts w:asciiTheme="minorHAnsi" w:hAnsiTheme="minorHAnsi" w:cstheme="minorHAnsi"/>
            <w:szCs w:val="24"/>
          </w:rPr>
          <w:t>VNRs</w:t>
        </w:r>
      </w:hyperlink>
      <w:r w:rsidR="00694E2F" w:rsidRPr="00D26A35">
        <w:rPr>
          <w:rFonts w:asciiTheme="minorHAnsi" w:hAnsiTheme="minorHAnsi" w:cstheme="minorHAnsi"/>
          <w:szCs w:val="24"/>
        </w:rPr>
        <w:t xml:space="preserve"> in </w:t>
      </w:r>
      <w:r w:rsidR="00F93C1F" w:rsidRPr="00D26A35">
        <w:rPr>
          <w:rFonts w:asciiTheme="minorHAnsi" w:hAnsiTheme="minorHAnsi" w:cstheme="minorHAnsi"/>
          <w:szCs w:val="24"/>
        </w:rPr>
        <w:t>2021</w:t>
      </w:r>
      <w:r w:rsidR="00DA4743" w:rsidRPr="00D26A35">
        <w:rPr>
          <w:rFonts w:asciiTheme="minorHAnsi" w:hAnsiTheme="minorHAnsi" w:cstheme="minorHAnsi"/>
          <w:szCs w:val="24"/>
        </w:rPr>
        <w:t xml:space="preserve">, </w:t>
      </w:r>
      <w:r w:rsidR="00B004AF" w:rsidRPr="00D26A35">
        <w:rPr>
          <w:rFonts w:asciiTheme="minorHAnsi" w:hAnsiTheme="minorHAnsi" w:cstheme="minorHAnsi"/>
          <w:szCs w:val="24"/>
        </w:rPr>
        <w:t xml:space="preserve">made </w:t>
      </w:r>
      <w:r w:rsidR="00DA4743" w:rsidRPr="00D26A35">
        <w:rPr>
          <w:rFonts w:asciiTheme="minorHAnsi" w:hAnsiTheme="minorHAnsi" w:cstheme="minorHAnsi"/>
          <w:szCs w:val="24"/>
        </w:rPr>
        <w:t>reference</w:t>
      </w:r>
      <w:r w:rsidR="000545D0" w:rsidRPr="00D26A35">
        <w:rPr>
          <w:rFonts w:asciiTheme="minorHAnsi" w:hAnsiTheme="minorHAnsi" w:cstheme="minorHAnsi"/>
          <w:szCs w:val="24"/>
        </w:rPr>
        <w:t xml:space="preserve"> </w:t>
      </w:r>
      <w:r w:rsidR="00B004AF" w:rsidRPr="00D26A35">
        <w:rPr>
          <w:rFonts w:asciiTheme="minorHAnsi" w:hAnsiTheme="minorHAnsi" w:cstheme="minorHAnsi"/>
          <w:szCs w:val="24"/>
        </w:rPr>
        <w:t xml:space="preserve">to </w:t>
      </w:r>
      <w:r w:rsidR="000545D0" w:rsidRPr="00D26A35">
        <w:rPr>
          <w:rFonts w:asciiTheme="minorHAnsi" w:hAnsiTheme="minorHAnsi" w:cstheme="minorHAnsi"/>
          <w:szCs w:val="24"/>
        </w:rPr>
        <w:t xml:space="preserve">the importance of </w:t>
      </w:r>
      <w:r w:rsidR="00DA4743" w:rsidRPr="00D26A35">
        <w:rPr>
          <w:rFonts w:asciiTheme="minorHAnsi" w:hAnsiTheme="minorHAnsi" w:cstheme="minorHAnsi"/>
          <w:szCs w:val="24"/>
        </w:rPr>
        <w:t xml:space="preserve">connectivity, </w:t>
      </w:r>
      <w:r w:rsidR="00F93C1F" w:rsidRPr="00D26A35">
        <w:rPr>
          <w:rFonts w:asciiTheme="minorHAnsi" w:hAnsiTheme="minorHAnsi" w:cstheme="minorHAnsi" w:hint="eastAsia"/>
          <w:szCs w:val="24"/>
          <w:lang w:eastAsia="zh-TW"/>
        </w:rPr>
        <w:t>t</w:t>
      </w:r>
      <w:r w:rsidR="00F93C1F" w:rsidRPr="00D26A35">
        <w:rPr>
          <w:rFonts w:asciiTheme="minorHAnsi" w:hAnsiTheme="minorHAnsi" w:cstheme="minorHAnsi"/>
          <w:szCs w:val="24"/>
        </w:rPr>
        <w:t>he urgent need to bridge the digital divide</w:t>
      </w:r>
      <w:r w:rsidR="00F93C1F" w:rsidRPr="00D26A35">
        <w:rPr>
          <w:rFonts w:asciiTheme="minorHAnsi" w:hAnsiTheme="minorHAnsi" w:cstheme="minorHAnsi" w:hint="eastAsia"/>
          <w:szCs w:val="24"/>
          <w:lang w:eastAsia="zh-TW"/>
        </w:rPr>
        <w:t>,</w:t>
      </w:r>
      <w:r w:rsidR="00F93C1F" w:rsidRPr="00D26A35">
        <w:rPr>
          <w:rFonts w:asciiTheme="minorHAnsi" w:hAnsiTheme="minorHAnsi" w:cstheme="minorHAnsi"/>
          <w:szCs w:val="24"/>
          <w:lang w:eastAsia="zh-TW"/>
        </w:rPr>
        <w:t xml:space="preserve"> </w:t>
      </w:r>
      <w:r w:rsidR="00DA4743" w:rsidRPr="00D26A35">
        <w:rPr>
          <w:rFonts w:asciiTheme="minorHAnsi" w:hAnsiTheme="minorHAnsi" w:cstheme="minorHAnsi"/>
          <w:szCs w:val="24"/>
        </w:rPr>
        <w:t>ICTs and/or underlined the opportunities digital</w:t>
      </w:r>
      <w:r w:rsidR="00B004AF" w:rsidRPr="00D26A35">
        <w:rPr>
          <w:rFonts w:asciiTheme="minorHAnsi" w:hAnsiTheme="minorHAnsi" w:cstheme="minorHAnsi"/>
          <w:szCs w:val="24"/>
        </w:rPr>
        <w:t xml:space="preserve"> technologies </w:t>
      </w:r>
      <w:r w:rsidR="00F54B1C">
        <w:rPr>
          <w:rFonts w:asciiTheme="minorHAnsi" w:hAnsiTheme="minorHAnsi" w:cstheme="minorHAnsi"/>
          <w:szCs w:val="24"/>
        </w:rPr>
        <w:t xml:space="preserve">present </w:t>
      </w:r>
      <w:r w:rsidR="00DA4743" w:rsidRPr="00D26A35">
        <w:rPr>
          <w:rFonts w:asciiTheme="minorHAnsi" w:hAnsiTheme="minorHAnsi" w:cstheme="minorHAnsi"/>
          <w:szCs w:val="24"/>
        </w:rPr>
        <w:t xml:space="preserve">in </w:t>
      </w:r>
      <w:r w:rsidR="000545D0" w:rsidRPr="00D26A35">
        <w:rPr>
          <w:rFonts w:asciiTheme="minorHAnsi" w:hAnsiTheme="minorHAnsi" w:cstheme="minorHAnsi"/>
          <w:szCs w:val="24"/>
        </w:rPr>
        <w:t xml:space="preserve">one way or another </w:t>
      </w:r>
      <w:r w:rsidR="00F54B1C">
        <w:rPr>
          <w:rFonts w:asciiTheme="minorHAnsi" w:hAnsiTheme="minorHAnsi" w:cstheme="minorHAnsi"/>
          <w:szCs w:val="24"/>
        </w:rPr>
        <w:t xml:space="preserve">for the SDGs, whether </w:t>
      </w:r>
      <w:r w:rsidR="000545D0" w:rsidRPr="00D26A35">
        <w:rPr>
          <w:rFonts w:asciiTheme="minorHAnsi" w:hAnsiTheme="minorHAnsi" w:cstheme="minorHAnsi"/>
          <w:szCs w:val="24"/>
        </w:rPr>
        <w:t xml:space="preserve">in </w:t>
      </w:r>
      <w:r w:rsidR="00DA4743" w:rsidRPr="00D26A35">
        <w:rPr>
          <w:rFonts w:asciiTheme="minorHAnsi" w:hAnsiTheme="minorHAnsi" w:cstheme="minorHAnsi"/>
          <w:szCs w:val="24"/>
        </w:rPr>
        <w:t>th</w:t>
      </w:r>
      <w:r w:rsidR="000545D0" w:rsidRPr="00D26A35">
        <w:rPr>
          <w:rFonts w:asciiTheme="minorHAnsi" w:hAnsiTheme="minorHAnsi" w:cstheme="minorHAnsi"/>
          <w:szCs w:val="24"/>
        </w:rPr>
        <w:t>e</w:t>
      </w:r>
      <w:r w:rsidR="00694E2F" w:rsidRPr="00D26A35">
        <w:rPr>
          <w:rFonts w:asciiTheme="minorHAnsi" w:hAnsiTheme="minorHAnsi" w:cstheme="minorHAnsi"/>
          <w:szCs w:val="24"/>
        </w:rPr>
        <w:t>ir</w:t>
      </w:r>
      <w:r w:rsidR="00DA4743" w:rsidRPr="00D26A35">
        <w:rPr>
          <w:rFonts w:asciiTheme="minorHAnsi" w:hAnsiTheme="minorHAnsi" w:cstheme="minorHAnsi"/>
          <w:szCs w:val="24"/>
        </w:rPr>
        <w:t xml:space="preserve"> reports</w:t>
      </w:r>
      <w:r w:rsidR="00B004AF" w:rsidRPr="00D26A35">
        <w:rPr>
          <w:rFonts w:asciiTheme="minorHAnsi" w:hAnsiTheme="minorHAnsi" w:cstheme="minorHAnsi"/>
          <w:szCs w:val="24"/>
        </w:rPr>
        <w:t xml:space="preserve"> or oral presentations</w:t>
      </w:r>
      <w:r w:rsidR="00DA4743" w:rsidRPr="00D26A35">
        <w:rPr>
          <w:rFonts w:asciiTheme="minorHAnsi" w:hAnsiTheme="minorHAnsi" w:cstheme="minorHAnsi"/>
          <w:szCs w:val="24"/>
        </w:rPr>
        <w:t>.</w:t>
      </w:r>
      <w:r w:rsidRPr="00D26A35">
        <w:rPr>
          <w:rFonts w:asciiTheme="minorHAnsi" w:hAnsiTheme="minorHAnsi" w:cstheme="minorHAnsi"/>
          <w:szCs w:val="24"/>
        </w:rPr>
        <w:t xml:space="preserve"> </w:t>
      </w:r>
      <w:r w:rsidR="00DA4743" w:rsidRPr="00D26A35">
        <w:rPr>
          <w:rFonts w:asciiTheme="minorHAnsi" w:hAnsiTheme="minorHAnsi" w:cstheme="minorHAnsi"/>
          <w:szCs w:val="24"/>
        </w:rPr>
        <w:t>ITU also engaged with UN system entities and other stakeholders through the organization and participation in</w:t>
      </w:r>
      <w:r w:rsidR="002068B8" w:rsidRPr="00D26A35">
        <w:rPr>
          <w:rFonts w:asciiTheme="minorHAnsi" w:hAnsiTheme="minorHAnsi" w:cstheme="minorHAnsi"/>
          <w:szCs w:val="24"/>
        </w:rPr>
        <w:t xml:space="preserve"> </w:t>
      </w:r>
      <w:r w:rsidR="00D93EB2" w:rsidRPr="00D26A35">
        <w:rPr>
          <w:rFonts w:asciiTheme="minorHAnsi" w:hAnsiTheme="minorHAnsi" w:cstheme="minorHAnsi"/>
          <w:szCs w:val="24"/>
        </w:rPr>
        <w:t xml:space="preserve">various </w:t>
      </w:r>
      <w:r w:rsidR="00DA4743" w:rsidRPr="00D26A35">
        <w:rPr>
          <w:rFonts w:asciiTheme="minorHAnsi" w:hAnsiTheme="minorHAnsi" w:cstheme="minorHAnsi"/>
          <w:szCs w:val="24"/>
        </w:rPr>
        <w:t>side</w:t>
      </w:r>
      <w:r w:rsidR="002068B8" w:rsidRPr="00D26A35">
        <w:rPr>
          <w:rFonts w:asciiTheme="minorHAnsi" w:hAnsiTheme="minorHAnsi" w:cstheme="minorHAnsi"/>
          <w:szCs w:val="24"/>
        </w:rPr>
        <w:t>-</w:t>
      </w:r>
      <w:r w:rsidR="00DA4743" w:rsidRPr="00D26A35">
        <w:rPr>
          <w:rFonts w:asciiTheme="minorHAnsi" w:hAnsiTheme="minorHAnsi" w:cstheme="minorHAnsi"/>
          <w:szCs w:val="24"/>
        </w:rPr>
        <w:t>events, workshops and other advocacy opportunities to promote ITU</w:t>
      </w:r>
      <w:r w:rsidR="007222FB" w:rsidRPr="00D26A35">
        <w:rPr>
          <w:rFonts w:asciiTheme="minorHAnsi" w:hAnsiTheme="minorHAnsi" w:cstheme="minorHAnsi"/>
          <w:szCs w:val="24"/>
        </w:rPr>
        <w:t>’</w:t>
      </w:r>
      <w:r w:rsidR="00DA4743" w:rsidRPr="00D26A35">
        <w:rPr>
          <w:rFonts w:asciiTheme="minorHAnsi" w:hAnsiTheme="minorHAnsi" w:cstheme="minorHAnsi"/>
          <w:szCs w:val="24"/>
        </w:rPr>
        <w:t>s work and ICTs for the SDGs</w:t>
      </w:r>
      <w:r w:rsidRPr="00D26A35">
        <w:rPr>
          <w:rFonts w:asciiTheme="minorHAnsi" w:hAnsiTheme="minorHAnsi" w:cstheme="minorHAnsi"/>
          <w:szCs w:val="24"/>
        </w:rPr>
        <w:t>.</w:t>
      </w:r>
      <w:r w:rsidR="00A7457A" w:rsidRPr="00D26A35">
        <w:rPr>
          <w:rFonts w:asciiTheme="minorHAnsi" w:hAnsiTheme="minorHAnsi" w:cstheme="minorHAnsi"/>
          <w:szCs w:val="24"/>
        </w:rPr>
        <w:t xml:space="preserve"> </w:t>
      </w:r>
      <w:r w:rsidR="00041D51" w:rsidRPr="00D26A35">
        <w:rPr>
          <w:rFonts w:asciiTheme="minorHAnsi" w:hAnsiTheme="minorHAnsi" w:cstheme="minorHAnsi"/>
          <w:szCs w:val="24"/>
        </w:rPr>
        <w:t xml:space="preserve">In December 2020, UNDESA launched a second call for submissions of SDG good practices, including those that could be replicated or scaled-up by others across the globe. ITU </w:t>
      </w:r>
      <w:r w:rsidR="00A7457A" w:rsidRPr="00D26A35">
        <w:rPr>
          <w:rFonts w:asciiTheme="minorHAnsi" w:hAnsiTheme="minorHAnsi" w:cstheme="minorHAnsi"/>
          <w:szCs w:val="24"/>
        </w:rPr>
        <w:t>is member of</w:t>
      </w:r>
      <w:r w:rsidR="00041D51" w:rsidRPr="00D26A35">
        <w:rPr>
          <w:rFonts w:asciiTheme="minorHAnsi" w:hAnsiTheme="minorHAnsi" w:cstheme="minorHAnsi"/>
          <w:szCs w:val="24"/>
        </w:rPr>
        <w:t xml:space="preserve"> the Inter-Agency Team on SDG Good Practices whose role is to </w:t>
      </w:r>
      <w:proofErr w:type="spellStart"/>
      <w:r w:rsidR="00041D51" w:rsidRPr="00D26A35">
        <w:rPr>
          <w:rFonts w:asciiTheme="minorHAnsi" w:hAnsiTheme="minorHAnsi" w:cstheme="minorHAnsi"/>
          <w:szCs w:val="24"/>
        </w:rPr>
        <w:t>an</w:t>
      </w:r>
      <w:r w:rsidR="00F54B1C">
        <w:rPr>
          <w:rFonts w:asciiTheme="minorHAnsi" w:hAnsiTheme="minorHAnsi" w:cstheme="minorHAnsi"/>
          <w:szCs w:val="24"/>
        </w:rPr>
        <w:t>aly</w:t>
      </w:r>
      <w:r w:rsidR="00041D51" w:rsidRPr="00D26A35">
        <w:rPr>
          <w:rFonts w:asciiTheme="minorHAnsi" w:hAnsiTheme="minorHAnsi" w:cstheme="minorHAnsi"/>
          <w:szCs w:val="24"/>
        </w:rPr>
        <w:t>ze</w:t>
      </w:r>
      <w:proofErr w:type="spellEnd"/>
      <w:r w:rsidR="00041D51" w:rsidRPr="00D26A35">
        <w:rPr>
          <w:rFonts w:asciiTheme="minorHAnsi" w:hAnsiTheme="minorHAnsi" w:cstheme="minorHAnsi"/>
          <w:szCs w:val="24"/>
        </w:rPr>
        <w:t xml:space="preserve"> submissions</w:t>
      </w:r>
      <w:r w:rsidR="00A7457A" w:rsidRPr="00D26A35">
        <w:rPr>
          <w:rFonts w:asciiTheme="minorHAnsi" w:hAnsiTheme="minorHAnsi" w:cstheme="minorHAnsi"/>
          <w:szCs w:val="24"/>
        </w:rPr>
        <w:t>.</w:t>
      </w:r>
    </w:p>
    <w:p w14:paraId="08B81A53" w14:textId="66AC00A5" w:rsidR="00DA4743" w:rsidRPr="00D26A35" w:rsidRDefault="00AC4116" w:rsidP="00564318">
      <w:pPr>
        <w:tabs>
          <w:tab w:val="clear" w:pos="567"/>
          <w:tab w:val="clear" w:pos="1134"/>
          <w:tab w:val="clear" w:pos="1701"/>
          <w:tab w:val="clear" w:pos="2268"/>
          <w:tab w:val="clear" w:pos="2835"/>
        </w:tabs>
        <w:snapToGrid w:val="0"/>
        <w:spacing w:before="240" w:after="120"/>
        <w:jc w:val="both"/>
        <w:rPr>
          <w:rFonts w:asciiTheme="minorHAnsi" w:hAnsiTheme="minorHAnsi" w:cstheme="minorHAnsi"/>
          <w:b/>
          <w:bCs/>
          <w:szCs w:val="24"/>
        </w:rPr>
      </w:pPr>
      <w:r w:rsidRPr="00D26A35">
        <w:rPr>
          <w:rFonts w:asciiTheme="minorHAnsi" w:hAnsiTheme="minorHAnsi" w:cstheme="minorHAnsi"/>
          <w:b/>
          <w:bCs/>
          <w:szCs w:val="24"/>
        </w:rPr>
        <w:t>4</w:t>
      </w:r>
      <w:r w:rsidR="00DA4743" w:rsidRPr="00D26A35">
        <w:rPr>
          <w:rFonts w:asciiTheme="minorHAnsi" w:hAnsiTheme="minorHAnsi" w:cstheme="minorHAnsi"/>
          <w:b/>
          <w:bCs/>
          <w:szCs w:val="24"/>
        </w:rPr>
        <w:t>.</w:t>
      </w:r>
      <w:r w:rsidRPr="00D26A35">
        <w:rPr>
          <w:rFonts w:asciiTheme="minorHAnsi" w:hAnsiTheme="minorHAnsi" w:cstheme="minorHAnsi"/>
          <w:b/>
          <w:bCs/>
          <w:szCs w:val="24"/>
        </w:rPr>
        <w:tab/>
      </w:r>
      <w:r w:rsidR="00DA4743" w:rsidRPr="00D26A35">
        <w:rPr>
          <w:rFonts w:asciiTheme="minorHAnsi" w:hAnsiTheme="minorHAnsi" w:cstheme="minorHAnsi"/>
          <w:b/>
          <w:bCs/>
          <w:szCs w:val="24"/>
        </w:rPr>
        <w:t>UN Governance and subsidiary mechanisms</w:t>
      </w:r>
    </w:p>
    <w:p w14:paraId="19D6AA9C" w14:textId="6FA1B38C" w:rsidR="00DA4743" w:rsidRPr="00D26A35" w:rsidRDefault="00AC4116" w:rsidP="00564318">
      <w:pPr>
        <w:spacing w:after="120"/>
        <w:jc w:val="both"/>
        <w:rPr>
          <w:rFonts w:asciiTheme="minorHAnsi" w:hAnsiTheme="minorHAnsi" w:cstheme="minorHAnsi"/>
          <w:szCs w:val="24"/>
          <w:lang w:val="en-US"/>
        </w:rPr>
      </w:pPr>
      <w:r w:rsidRPr="00D26A35">
        <w:rPr>
          <w:rFonts w:asciiTheme="minorHAnsi" w:hAnsiTheme="minorHAnsi" w:cstheme="minorHAnsi"/>
          <w:szCs w:val="24"/>
          <w:lang w:val="en-US"/>
        </w:rPr>
        <w:t>4</w:t>
      </w:r>
      <w:r w:rsidR="00DA4743" w:rsidRPr="00D26A35">
        <w:rPr>
          <w:rFonts w:asciiTheme="minorHAnsi" w:hAnsiTheme="minorHAnsi" w:cstheme="minorHAnsi"/>
          <w:szCs w:val="24"/>
          <w:lang w:val="en-US"/>
        </w:rPr>
        <w:t>.1</w:t>
      </w:r>
      <w:r w:rsidR="00DA4743" w:rsidRPr="00D26A35">
        <w:rPr>
          <w:rFonts w:asciiTheme="minorHAnsi" w:hAnsiTheme="minorHAnsi" w:cstheme="minorHAnsi"/>
          <w:szCs w:val="24"/>
          <w:lang w:val="en-US"/>
        </w:rPr>
        <w:tab/>
        <w:t>ITU continued to follow and provide input to UN</w:t>
      </w:r>
      <w:r w:rsidR="007222FB" w:rsidRPr="00D26A35">
        <w:rPr>
          <w:rFonts w:asciiTheme="minorHAnsi" w:hAnsiTheme="minorHAnsi" w:cstheme="minorHAnsi"/>
          <w:szCs w:val="24"/>
          <w:lang w:val="en-US"/>
        </w:rPr>
        <w:t>’</w:t>
      </w:r>
      <w:r w:rsidR="00DA4743" w:rsidRPr="00D26A35">
        <w:rPr>
          <w:rFonts w:asciiTheme="minorHAnsi" w:hAnsiTheme="minorHAnsi" w:cstheme="minorHAnsi"/>
          <w:szCs w:val="24"/>
          <w:lang w:val="en-US"/>
        </w:rPr>
        <w:t>s processes, such as meetings of the UN General Assembly (UNGA), ECOSOC, and its subsidiary bodies</w:t>
      </w:r>
      <w:proofErr w:type="gramStart"/>
      <w:r w:rsidR="00DA4743" w:rsidRPr="00D26A35">
        <w:rPr>
          <w:rFonts w:asciiTheme="minorHAnsi" w:hAnsiTheme="minorHAnsi" w:cstheme="minorHAnsi"/>
          <w:szCs w:val="24"/>
          <w:lang w:val="en-US"/>
        </w:rPr>
        <w:t>, in particular, the</w:t>
      </w:r>
      <w:proofErr w:type="gramEnd"/>
      <w:r w:rsidR="00DA4743" w:rsidRPr="00D26A35">
        <w:rPr>
          <w:rFonts w:asciiTheme="minorHAnsi" w:hAnsiTheme="minorHAnsi" w:cstheme="minorHAnsi"/>
          <w:szCs w:val="24"/>
          <w:lang w:val="en-US"/>
        </w:rPr>
        <w:t xml:space="preserve"> Commission on Science and Technology for Development (CSTD), Commission on the Status of Women (CSW), Commission on Sustainable Development and the Statistical Commission, as well as the meetings of the International Civil Service Commission (ICSC), among others. </w:t>
      </w:r>
    </w:p>
    <w:p w14:paraId="0FD0CF3D" w14:textId="192089E8" w:rsidR="0020566C" w:rsidRPr="00D26A35" w:rsidRDefault="00AC4116" w:rsidP="00564318">
      <w:pPr>
        <w:spacing w:after="120"/>
        <w:jc w:val="both"/>
        <w:rPr>
          <w:rFonts w:asciiTheme="minorHAnsi" w:hAnsiTheme="minorHAnsi" w:cstheme="minorHAnsi"/>
          <w:szCs w:val="24"/>
          <w:lang w:val="en-US"/>
        </w:rPr>
      </w:pPr>
      <w:r w:rsidRPr="00D26A35">
        <w:rPr>
          <w:rFonts w:asciiTheme="minorHAnsi" w:hAnsiTheme="minorHAnsi" w:cstheme="minorHAnsi"/>
          <w:szCs w:val="24"/>
          <w:lang w:val="en-US"/>
        </w:rPr>
        <w:t>4</w:t>
      </w:r>
      <w:r w:rsidR="00DA4743" w:rsidRPr="00D26A35">
        <w:rPr>
          <w:rFonts w:asciiTheme="minorHAnsi" w:hAnsiTheme="minorHAnsi" w:cstheme="minorHAnsi"/>
          <w:szCs w:val="24"/>
          <w:lang w:val="en-US"/>
        </w:rPr>
        <w:t>.2</w:t>
      </w:r>
      <w:r w:rsidR="00DA4743" w:rsidRPr="00D26A35">
        <w:rPr>
          <w:rFonts w:asciiTheme="minorHAnsi" w:hAnsiTheme="minorHAnsi" w:cstheme="minorHAnsi"/>
          <w:szCs w:val="24"/>
          <w:lang w:val="en-US"/>
        </w:rPr>
        <w:tab/>
        <w:t>ITU</w:t>
      </w:r>
      <w:r w:rsidR="00971EE5" w:rsidRPr="00D26A35">
        <w:rPr>
          <w:rFonts w:asciiTheme="minorHAnsi" w:hAnsiTheme="minorHAnsi" w:cstheme="minorHAnsi"/>
          <w:szCs w:val="24"/>
          <w:lang w:val="en-US"/>
        </w:rPr>
        <w:t xml:space="preserve"> continued to</w:t>
      </w:r>
      <w:r w:rsidR="00DA4743" w:rsidRPr="00D26A35">
        <w:rPr>
          <w:rFonts w:asciiTheme="minorHAnsi" w:hAnsiTheme="minorHAnsi" w:cstheme="minorHAnsi"/>
          <w:szCs w:val="24"/>
          <w:lang w:val="en-US"/>
        </w:rPr>
        <w:t xml:space="preserve"> ensured that key ITU activities and the important role of ICTs for sustainable development are reflected in relevant UN Secretary-General reports and resolutions</w:t>
      </w:r>
      <w:r w:rsidR="00971EE5" w:rsidRPr="00D26A35">
        <w:rPr>
          <w:rFonts w:asciiTheme="minorHAnsi" w:hAnsiTheme="minorHAnsi" w:cstheme="minorHAnsi"/>
          <w:szCs w:val="24"/>
          <w:lang w:val="en-US"/>
        </w:rPr>
        <w:t xml:space="preserve"> such as</w:t>
      </w:r>
      <w:r w:rsidR="00DA4743" w:rsidRPr="00D26A35">
        <w:rPr>
          <w:rFonts w:asciiTheme="minorHAnsi" w:hAnsiTheme="minorHAnsi" w:cstheme="minorHAnsi"/>
          <w:szCs w:val="24"/>
          <w:lang w:val="en-US"/>
        </w:rPr>
        <w:t xml:space="preserve"> </w:t>
      </w:r>
      <w:r w:rsidR="00971EE5" w:rsidRPr="00D26A35">
        <w:rPr>
          <w:rFonts w:asciiTheme="minorHAnsi" w:hAnsiTheme="minorHAnsi" w:cstheme="minorHAnsi"/>
          <w:szCs w:val="24"/>
          <w:lang w:val="en-US"/>
        </w:rPr>
        <w:t>UNGA resolution</w:t>
      </w:r>
      <w:r w:rsidR="009F550C" w:rsidRPr="00D26A35">
        <w:rPr>
          <w:rFonts w:asciiTheme="minorHAnsi" w:hAnsiTheme="minorHAnsi" w:cstheme="minorHAnsi"/>
          <w:szCs w:val="24"/>
          <w:lang w:val="en-US"/>
        </w:rPr>
        <w:t>s</w:t>
      </w:r>
      <w:r w:rsidR="00971EE5" w:rsidRPr="00D26A35">
        <w:rPr>
          <w:rFonts w:asciiTheme="minorHAnsi" w:hAnsiTheme="minorHAnsi" w:cstheme="minorHAnsi"/>
          <w:szCs w:val="24"/>
          <w:lang w:val="en-US"/>
        </w:rPr>
        <w:t xml:space="preserve"> on </w:t>
      </w:r>
      <w:hyperlink r:id="rId27" w:history="1">
        <w:r w:rsidR="00DA4743" w:rsidRPr="00D26A35">
          <w:rPr>
            <w:rStyle w:val="Hyperlink"/>
            <w:rFonts w:asciiTheme="minorHAnsi" w:hAnsiTheme="minorHAnsi" w:cstheme="minorHAnsi"/>
            <w:szCs w:val="24"/>
            <w:lang w:val="en-US"/>
          </w:rPr>
          <w:t>Information and Communications Technologies for</w:t>
        </w:r>
        <w:r w:rsidR="00A93A32" w:rsidRPr="00D26A35">
          <w:rPr>
            <w:rStyle w:val="Hyperlink"/>
            <w:rFonts w:asciiTheme="minorHAnsi" w:hAnsiTheme="minorHAnsi" w:cstheme="minorHAnsi"/>
            <w:szCs w:val="24"/>
            <w:lang w:val="en-US"/>
          </w:rPr>
          <w:t xml:space="preserve"> sustainable d</w:t>
        </w:r>
        <w:r w:rsidR="00DA4743" w:rsidRPr="00D26A35">
          <w:rPr>
            <w:rStyle w:val="Hyperlink"/>
            <w:rFonts w:asciiTheme="minorHAnsi" w:hAnsiTheme="minorHAnsi" w:cstheme="minorHAnsi"/>
            <w:szCs w:val="24"/>
            <w:lang w:val="en-US"/>
          </w:rPr>
          <w:t>evelopment</w:t>
        </w:r>
        <w:r w:rsidR="009F550C" w:rsidRPr="00D26A35">
          <w:rPr>
            <w:rStyle w:val="Hyperlink"/>
            <w:rFonts w:asciiTheme="minorHAnsi" w:hAnsiTheme="minorHAnsi" w:cstheme="minorHAnsi"/>
            <w:szCs w:val="24"/>
            <w:lang w:val="en-US"/>
          </w:rPr>
          <w:t xml:space="preserve">, </w:t>
        </w:r>
        <w:r w:rsidR="00971EE5" w:rsidRPr="00D26A35">
          <w:rPr>
            <w:rStyle w:val="Hyperlink"/>
            <w:rFonts w:asciiTheme="minorHAnsi" w:hAnsiTheme="minorHAnsi" w:cstheme="minorHAnsi"/>
            <w:szCs w:val="24"/>
            <w:u w:val="none"/>
            <w:lang w:val="en-US"/>
          </w:rPr>
          <w:t xml:space="preserve"> and</w:t>
        </w:r>
      </w:hyperlink>
      <w:r w:rsidR="000016E1" w:rsidRPr="00D26A35">
        <w:rPr>
          <w:rFonts w:asciiTheme="minorHAnsi" w:hAnsiTheme="minorHAnsi" w:cstheme="minorHAnsi"/>
          <w:szCs w:val="24"/>
          <w:lang w:val="en-US"/>
        </w:rPr>
        <w:t xml:space="preserve"> </w:t>
      </w:r>
      <w:hyperlink r:id="rId28" w:history="1">
        <w:r w:rsidR="00955003" w:rsidRPr="00D26A35">
          <w:rPr>
            <w:rStyle w:val="Hyperlink"/>
            <w:rFonts w:asciiTheme="minorHAnsi" w:hAnsiTheme="minorHAnsi" w:cstheme="minorHAnsi"/>
            <w:szCs w:val="24"/>
            <w:lang w:val="en-US"/>
          </w:rPr>
          <w:t>Science, Technology and Innovation for Sustainable Development</w:t>
        </w:r>
      </w:hyperlink>
      <w:r w:rsidR="00955003" w:rsidRPr="00D26A35">
        <w:rPr>
          <w:rFonts w:asciiTheme="minorHAnsi" w:hAnsiTheme="minorHAnsi" w:cstheme="minorHAnsi"/>
          <w:szCs w:val="24"/>
          <w:lang w:val="en-US"/>
        </w:rPr>
        <w:t xml:space="preserve">, as well as </w:t>
      </w:r>
      <w:r w:rsidR="00971EE5" w:rsidRPr="00D26A35">
        <w:rPr>
          <w:rFonts w:asciiTheme="minorHAnsi" w:hAnsiTheme="minorHAnsi" w:cstheme="minorHAnsi"/>
          <w:szCs w:val="24"/>
          <w:lang w:val="en-US"/>
        </w:rPr>
        <w:t>ECOSOC/CSTD resolutions on</w:t>
      </w:r>
      <w:r w:rsidR="000016E1" w:rsidRPr="00D26A35">
        <w:rPr>
          <w:rFonts w:asciiTheme="minorHAnsi" w:hAnsiTheme="minorHAnsi" w:cstheme="minorHAnsi"/>
          <w:szCs w:val="24"/>
          <w:lang w:val="en-US"/>
        </w:rPr>
        <w:t xml:space="preserve"> </w:t>
      </w:r>
      <w:hyperlink r:id="rId29" w:history="1">
        <w:r w:rsidR="000016E1" w:rsidRPr="00D26A35">
          <w:rPr>
            <w:rStyle w:val="Hyperlink"/>
            <w:rFonts w:asciiTheme="minorHAnsi" w:hAnsiTheme="minorHAnsi" w:cstheme="minorHAnsi"/>
            <w:szCs w:val="24"/>
            <w:lang w:val="en-US"/>
          </w:rPr>
          <w:t>Science, Technology and Innovation for Development</w:t>
        </w:r>
      </w:hyperlink>
      <w:r w:rsidR="00971EE5" w:rsidRPr="00D26A35">
        <w:rPr>
          <w:rFonts w:asciiTheme="minorHAnsi" w:hAnsiTheme="minorHAnsi" w:cstheme="minorHAnsi"/>
          <w:szCs w:val="24"/>
          <w:lang w:val="en-US"/>
        </w:rPr>
        <w:t xml:space="preserve"> and </w:t>
      </w:r>
      <w:r w:rsidR="00955003" w:rsidRPr="00D26A35">
        <w:rPr>
          <w:rFonts w:asciiTheme="minorHAnsi" w:hAnsiTheme="minorHAnsi" w:cstheme="minorHAnsi"/>
          <w:szCs w:val="24"/>
          <w:lang w:val="en-US"/>
        </w:rPr>
        <w:t xml:space="preserve">the </w:t>
      </w:r>
      <w:r w:rsidR="00971EE5" w:rsidRPr="00D26A35">
        <w:rPr>
          <w:rFonts w:asciiTheme="minorHAnsi" w:hAnsiTheme="minorHAnsi" w:cstheme="minorHAnsi"/>
          <w:szCs w:val="24"/>
          <w:lang w:val="en-US"/>
        </w:rPr>
        <w:t xml:space="preserve">resolution on </w:t>
      </w:r>
      <w:hyperlink r:id="rId30" w:history="1">
        <w:r w:rsidR="00DA4743" w:rsidRPr="00D26A35">
          <w:rPr>
            <w:rStyle w:val="Hyperlink"/>
            <w:rFonts w:asciiTheme="minorHAnsi" w:hAnsiTheme="minorHAnsi" w:cstheme="minorHAnsi"/>
            <w:szCs w:val="24"/>
            <w:lang w:val="en-US"/>
          </w:rPr>
          <w:t xml:space="preserve">Assessment of the progress made in the implementation of and follow-up to the outcomes of </w:t>
        </w:r>
        <w:r w:rsidR="00955003" w:rsidRPr="00D26A35">
          <w:rPr>
            <w:rStyle w:val="Hyperlink"/>
            <w:rFonts w:asciiTheme="minorHAnsi" w:hAnsiTheme="minorHAnsi" w:cstheme="minorHAnsi"/>
            <w:szCs w:val="24"/>
            <w:lang w:val="en-US"/>
          </w:rPr>
          <w:t>the World Summit on the Information Society</w:t>
        </w:r>
      </w:hyperlink>
      <w:r w:rsidR="00971EE5" w:rsidRPr="00D26A35">
        <w:rPr>
          <w:rStyle w:val="Hyperlink"/>
          <w:rFonts w:asciiTheme="minorHAnsi" w:hAnsiTheme="minorHAnsi" w:cstheme="minorHAnsi"/>
          <w:szCs w:val="24"/>
          <w:lang w:val="en-US"/>
        </w:rPr>
        <w:t>,</w:t>
      </w:r>
      <w:r w:rsidR="00971EE5" w:rsidRPr="00D26A35">
        <w:rPr>
          <w:rStyle w:val="Hyperlink"/>
          <w:rFonts w:asciiTheme="minorHAnsi" w:hAnsiTheme="minorHAnsi" w:cstheme="minorHAnsi"/>
          <w:szCs w:val="24"/>
          <w:u w:val="none"/>
          <w:lang w:val="en-US"/>
        </w:rPr>
        <w:t xml:space="preserve"> </w:t>
      </w:r>
      <w:r w:rsidR="00971EE5" w:rsidRPr="00D26A35">
        <w:rPr>
          <w:rStyle w:val="Hyperlink"/>
          <w:rFonts w:asciiTheme="minorHAnsi" w:hAnsiTheme="minorHAnsi" w:cstheme="minorHAnsi"/>
          <w:color w:val="auto"/>
          <w:szCs w:val="24"/>
          <w:u w:val="none"/>
          <w:lang w:val="en-US"/>
        </w:rPr>
        <w:t>which ITU</w:t>
      </w:r>
      <w:r w:rsidR="00971EE5" w:rsidRPr="00D26A35">
        <w:rPr>
          <w:rStyle w:val="Hyperlink"/>
          <w:rFonts w:asciiTheme="minorHAnsi" w:hAnsiTheme="minorHAnsi" w:cstheme="minorHAnsi"/>
          <w:color w:val="auto"/>
          <w:szCs w:val="24"/>
          <w:lang w:val="en-US"/>
        </w:rPr>
        <w:t xml:space="preserve"> </w:t>
      </w:r>
      <w:r w:rsidR="00971EE5" w:rsidRPr="00D26A35">
        <w:rPr>
          <w:rFonts w:asciiTheme="minorHAnsi" w:hAnsiTheme="minorHAnsi" w:cstheme="minorHAnsi"/>
          <w:szCs w:val="24"/>
          <w:lang w:val="en-US"/>
        </w:rPr>
        <w:t>coordinates the input.</w:t>
      </w:r>
      <w:r w:rsidR="0020566C" w:rsidRPr="00D26A35">
        <w:rPr>
          <w:rFonts w:asciiTheme="minorHAnsi" w:hAnsiTheme="minorHAnsi" w:cstheme="minorHAnsi"/>
          <w:szCs w:val="24"/>
          <w:lang w:val="en-US"/>
        </w:rPr>
        <w:t xml:space="preserve"> With the growing importance of digital transformation, the ITU Liaison Office in New York also follows and reviews other UNGA resolutions with references to ICTs to keep </w:t>
      </w:r>
      <w:r w:rsidR="00F36A10" w:rsidRPr="00D26A35">
        <w:rPr>
          <w:rFonts w:asciiTheme="minorHAnsi" w:hAnsiTheme="minorHAnsi" w:cstheme="minorHAnsi"/>
          <w:szCs w:val="24"/>
          <w:lang w:val="en-US"/>
        </w:rPr>
        <w:t>Headquarters informed</w:t>
      </w:r>
      <w:r w:rsidR="0020566C" w:rsidRPr="00D26A35">
        <w:rPr>
          <w:rFonts w:asciiTheme="minorHAnsi" w:hAnsiTheme="minorHAnsi" w:cstheme="minorHAnsi"/>
          <w:szCs w:val="24"/>
          <w:lang w:val="en-US"/>
        </w:rPr>
        <w:t>, among these</w:t>
      </w:r>
      <w:r w:rsidR="00F36A10" w:rsidRPr="00D26A35">
        <w:rPr>
          <w:rFonts w:asciiTheme="minorHAnsi" w:hAnsiTheme="minorHAnsi" w:cstheme="minorHAnsi"/>
          <w:szCs w:val="24"/>
          <w:lang w:val="en-US"/>
        </w:rPr>
        <w:t>,</w:t>
      </w:r>
      <w:r w:rsidR="0020566C" w:rsidRPr="00D26A35">
        <w:rPr>
          <w:rFonts w:asciiTheme="minorHAnsi" w:hAnsiTheme="minorHAnsi" w:cstheme="minorHAnsi"/>
          <w:szCs w:val="24"/>
          <w:lang w:val="en-US"/>
        </w:rPr>
        <w:t xml:space="preserve"> </w:t>
      </w:r>
      <w:r w:rsidR="00F36A10" w:rsidRPr="00D26A35">
        <w:rPr>
          <w:rFonts w:asciiTheme="minorHAnsi" w:hAnsiTheme="minorHAnsi" w:cstheme="minorHAnsi"/>
          <w:szCs w:val="24"/>
          <w:lang w:val="en-US"/>
        </w:rPr>
        <w:t>the</w:t>
      </w:r>
      <w:r w:rsidR="00971EE5" w:rsidRPr="00D26A35">
        <w:rPr>
          <w:rFonts w:asciiTheme="minorHAnsi" w:hAnsiTheme="minorHAnsi" w:cstheme="minorHAnsi"/>
          <w:szCs w:val="24"/>
          <w:lang w:val="en-US"/>
        </w:rPr>
        <w:t xml:space="preserve"> thematic</w:t>
      </w:r>
      <w:r w:rsidR="00F36A10" w:rsidRPr="00D26A35">
        <w:rPr>
          <w:rFonts w:asciiTheme="minorHAnsi" w:hAnsiTheme="minorHAnsi" w:cstheme="minorHAnsi"/>
          <w:szCs w:val="24"/>
          <w:lang w:val="en-US"/>
        </w:rPr>
        <w:t xml:space="preserve"> r</w:t>
      </w:r>
      <w:r w:rsidR="0020566C" w:rsidRPr="00D26A35">
        <w:rPr>
          <w:rFonts w:asciiTheme="minorHAnsi" w:hAnsiTheme="minorHAnsi" w:cstheme="minorHAnsi"/>
          <w:szCs w:val="24"/>
          <w:lang w:val="en-US"/>
        </w:rPr>
        <w:t>esolution</w:t>
      </w:r>
      <w:r w:rsidR="00F36A10" w:rsidRPr="00D26A35">
        <w:rPr>
          <w:rFonts w:asciiTheme="minorHAnsi" w:hAnsiTheme="minorHAnsi" w:cstheme="minorHAnsi"/>
          <w:szCs w:val="24"/>
          <w:lang w:val="en-US"/>
        </w:rPr>
        <w:t>s</w:t>
      </w:r>
      <w:r w:rsidR="0020566C" w:rsidRPr="00D26A35">
        <w:rPr>
          <w:rFonts w:asciiTheme="minorHAnsi" w:hAnsiTheme="minorHAnsi" w:cstheme="minorHAnsi"/>
          <w:szCs w:val="24"/>
          <w:lang w:val="en-US"/>
        </w:rPr>
        <w:t xml:space="preserve"> on social inclusion</w:t>
      </w:r>
      <w:r w:rsidR="00F36A10" w:rsidRPr="00D26A35">
        <w:rPr>
          <w:rFonts w:asciiTheme="minorHAnsi" w:hAnsiTheme="minorHAnsi" w:cstheme="minorHAnsi"/>
          <w:szCs w:val="24"/>
          <w:lang w:val="en-US"/>
        </w:rPr>
        <w:t xml:space="preserve"> and </w:t>
      </w:r>
      <w:r w:rsidR="0020566C" w:rsidRPr="00D26A35">
        <w:rPr>
          <w:rFonts w:asciiTheme="minorHAnsi" w:hAnsiTheme="minorHAnsi" w:cstheme="minorHAnsi"/>
          <w:szCs w:val="24"/>
          <w:lang w:val="en-US"/>
        </w:rPr>
        <w:t>social integration</w:t>
      </w:r>
      <w:r w:rsidR="00F36A10" w:rsidRPr="00D26A35">
        <w:rPr>
          <w:rFonts w:asciiTheme="minorHAnsi" w:hAnsiTheme="minorHAnsi" w:cstheme="minorHAnsi"/>
          <w:szCs w:val="24"/>
          <w:lang w:val="en-US"/>
        </w:rPr>
        <w:t xml:space="preserve">, </w:t>
      </w:r>
      <w:r w:rsidR="0020566C" w:rsidRPr="00D26A35">
        <w:rPr>
          <w:rFonts w:asciiTheme="minorHAnsi" w:hAnsiTheme="minorHAnsi" w:cstheme="minorHAnsi"/>
          <w:szCs w:val="24"/>
          <w:lang w:val="en-US"/>
        </w:rPr>
        <w:t>the girl child</w:t>
      </w:r>
      <w:r w:rsidR="00F36A10" w:rsidRPr="00D26A35">
        <w:rPr>
          <w:rFonts w:asciiTheme="minorHAnsi" w:hAnsiTheme="minorHAnsi" w:cstheme="minorHAnsi"/>
          <w:szCs w:val="24"/>
          <w:lang w:val="en-US"/>
        </w:rPr>
        <w:t xml:space="preserve"> and a</w:t>
      </w:r>
      <w:r w:rsidR="0020566C" w:rsidRPr="00D26A35">
        <w:rPr>
          <w:rFonts w:asciiTheme="minorHAnsi" w:hAnsiTheme="minorHAnsi" w:cstheme="minorHAnsi"/>
          <w:szCs w:val="24"/>
          <w:lang w:val="en-US"/>
        </w:rPr>
        <w:t>gricultural technology for sustainable development</w:t>
      </w:r>
      <w:r w:rsidR="00F36A10" w:rsidRPr="00D26A35">
        <w:rPr>
          <w:rFonts w:asciiTheme="minorHAnsi" w:hAnsiTheme="minorHAnsi" w:cstheme="minorHAnsi"/>
          <w:szCs w:val="24"/>
          <w:lang w:val="en-US"/>
        </w:rPr>
        <w:t>, to name a few.</w:t>
      </w:r>
      <w:r w:rsidR="00A7457A" w:rsidRPr="00D26A35">
        <w:rPr>
          <w:rFonts w:asciiTheme="minorHAnsi" w:hAnsiTheme="minorHAnsi" w:cstheme="minorHAnsi"/>
          <w:szCs w:val="24"/>
        </w:rPr>
        <w:t xml:space="preserve"> In addition, </w:t>
      </w:r>
      <w:r w:rsidR="00A7457A" w:rsidRPr="00D26A35">
        <w:rPr>
          <w:rFonts w:asciiTheme="minorHAnsi" w:hAnsiTheme="minorHAnsi" w:cstheme="minorHAnsi"/>
          <w:szCs w:val="24"/>
          <w:lang w:val="en-US"/>
        </w:rPr>
        <w:t xml:space="preserve">ITU </w:t>
      </w:r>
      <w:r w:rsidR="00F54B1C">
        <w:rPr>
          <w:rFonts w:asciiTheme="minorHAnsi" w:hAnsiTheme="minorHAnsi" w:cstheme="minorHAnsi"/>
          <w:szCs w:val="24"/>
          <w:lang w:val="en-US"/>
        </w:rPr>
        <w:t xml:space="preserve">is </w:t>
      </w:r>
      <w:r w:rsidR="00E13658">
        <w:rPr>
          <w:rFonts w:asciiTheme="minorHAnsi" w:hAnsiTheme="minorHAnsi" w:cstheme="minorHAnsi"/>
          <w:szCs w:val="24"/>
          <w:lang w:val="en-US"/>
        </w:rPr>
        <w:t>continuing to c</w:t>
      </w:r>
      <w:r w:rsidR="00F54B1C">
        <w:rPr>
          <w:rFonts w:asciiTheme="minorHAnsi" w:hAnsiTheme="minorHAnsi" w:cstheme="minorHAnsi"/>
          <w:szCs w:val="24"/>
          <w:lang w:val="en-US"/>
        </w:rPr>
        <w:t>ontribut</w:t>
      </w:r>
      <w:r w:rsidR="00E13658">
        <w:rPr>
          <w:rFonts w:asciiTheme="minorHAnsi" w:hAnsiTheme="minorHAnsi" w:cstheme="minorHAnsi"/>
          <w:szCs w:val="24"/>
          <w:lang w:val="en-US"/>
        </w:rPr>
        <w:t>e</w:t>
      </w:r>
      <w:r w:rsidR="00F54B1C">
        <w:rPr>
          <w:rFonts w:asciiTheme="minorHAnsi" w:hAnsiTheme="minorHAnsi" w:cstheme="minorHAnsi"/>
          <w:szCs w:val="24"/>
          <w:lang w:val="en-US"/>
        </w:rPr>
        <w:t xml:space="preserve"> to follow up to the UN Secretary-General’s Roadmap for Digital Cooperation, especially in the areas of connectivity and digital capacity development</w:t>
      </w:r>
      <w:r w:rsidR="00E13658">
        <w:rPr>
          <w:rFonts w:asciiTheme="minorHAnsi" w:hAnsiTheme="minorHAnsi" w:cstheme="minorHAnsi"/>
          <w:szCs w:val="24"/>
          <w:lang w:val="en-US"/>
        </w:rPr>
        <w:t xml:space="preserve">. ITU is also </w:t>
      </w:r>
      <w:r w:rsidR="00A7457A" w:rsidRPr="00D26A35">
        <w:rPr>
          <w:rFonts w:asciiTheme="minorHAnsi" w:hAnsiTheme="minorHAnsi" w:cstheme="minorHAnsi"/>
          <w:szCs w:val="24"/>
          <w:lang w:val="en-US"/>
        </w:rPr>
        <w:t>contribut</w:t>
      </w:r>
      <w:r w:rsidR="00F54B1C">
        <w:rPr>
          <w:rFonts w:asciiTheme="minorHAnsi" w:hAnsiTheme="minorHAnsi" w:cstheme="minorHAnsi"/>
          <w:szCs w:val="24"/>
          <w:lang w:val="en-US"/>
        </w:rPr>
        <w:t xml:space="preserve">ing to follow up to </w:t>
      </w:r>
      <w:r w:rsidR="00A7457A" w:rsidRPr="00D26A35">
        <w:rPr>
          <w:rFonts w:asciiTheme="minorHAnsi" w:hAnsiTheme="minorHAnsi" w:cstheme="minorHAnsi"/>
          <w:szCs w:val="24"/>
          <w:lang w:val="en-US"/>
        </w:rPr>
        <w:t>the UN Secretary-Gene</w:t>
      </w:r>
      <w:r w:rsidR="00F54B1C">
        <w:rPr>
          <w:rFonts w:asciiTheme="minorHAnsi" w:hAnsiTheme="minorHAnsi" w:cstheme="minorHAnsi"/>
          <w:szCs w:val="24"/>
          <w:lang w:val="en-US"/>
        </w:rPr>
        <w:t>r</w:t>
      </w:r>
      <w:r w:rsidR="00A7457A" w:rsidRPr="00D26A35">
        <w:rPr>
          <w:rFonts w:asciiTheme="minorHAnsi" w:hAnsiTheme="minorHAnsi" w:cstheme="minorHAnsi"/>
          <w:szCs w:val="24"/>
          <w:lang w:val="en-US"/>
        </w:rPr>
        <w:t xml:space="preserve">al’s Report on “Our Common Agenda”, </w:t>
      </w:r>
      <w:r w:rsidR="00E13658">
        <w:rPr>
          <w:rFonts w:asciiTheme="minorHAnsi" w:hAnsiTheme="minorHAnsi" w:cstheme="minorHAnsi"/>
          <w:szCs w:val="24"/>
          <w:lang w:val="en-US"/>
        </w:rPr>
        <w:t xml:space="preserve">which was </w:t>
      </w:r>
      <w:r w:rsidR="00A7457A" w:rsidRPr="00D26A35">
        <w:rPr>
          <w:rFonts w:asciiTheme="minorHAnsi" w:hAnsiTheme="minorHAnsi" w:cstheme="minorHAnsi"/>
          <w:szCs w:val="24"/>
          <w:lang w:val="en-US"/>
        </w:rPr>
        <w:t xml:space="preserve">presented to the </w:t>
      </w:r>
      <w:r w:rsidR="00F91067" w:rsidRPr="00D26A35">
        <w:rPr>
          <w:rFonts w:asciiTheme="minorHAnsi" w:hAnsiTheme="minorHAnsi" w:cstheme="minorHAnsi"/>
          <w:szCs w:val="24"/>
          <w:lang w:val="en-US"/>
        </w:rPr>
        <w:t xml:space="preserve">76th </w:t>
      </w:r>
      <w:r w:rsidR="00A7457A" w:rsidRPr="00D26A35">
        <w:rPr>
          <w:rFonts w:asciiTheme="minorHAnsi" w:hAnsiTheme="minorHAnsi" w:cstheme="minorHAnsi"/>
          <w:szCs w:val="24"/>
          <w:lang w:val="en-US"/>
        </w:rPr>
        <w:t>UN General Assembly in September 2021</w:t>
      </w:r>
      <w:r w:rsidR="00E13658">
        <w:rPr>
          <w:rFonts w:asciiTheme="minorHAnsi" w:hAnsiTheme="minorHAnsi" w:cstheme="minorHAnsi"/>
          <w:szCs w:val="24"/>
          <w:lang w:val="en-US"/>
        </w:rPr>
        <w:t>. This report</w:t>
      </w:r>
      <w:r w:rsidR="00F91067" w:rsidRPr="00D26A35">
        <w:rPr>
          <w:rFonts w:asciiTheme="minorHAnsi" w:hAnsiTheme="minorHAnsi" w:cstheme="minorHAnsi"/>
          <w:szCs w:val="24"/>
          <w:lang w:val="en-US"/>
        </w:rPr>
        <w:t xml:space="preserve"> includes </w:t>
      </w:r>
      <w:r w:rsidR="00E13658">
        <w:rPr>
          <w:rFonts w:asciiTheme="minorHAnsi" w:hAnsiTheme="minorHAnsi" w:cstheme="minorHAnsi"/>
          <w:szCs w:val="24"/>
          <w:lang w:val="en-US"/>
        </w:rPr>
        <w:t xml:space="preserve">proposals for, </w:t>
      </w:r>
      <w:r w:rsidR="00F91067" w:rsidRPr="00D26A35">
        <w:rPr>
          <w:rFonts w:asciiTheme="minorHAnsi" w:hAnsiTheme="minorHAnsi" w:cstheme="minorHAnsi"/>
          <w:szCs w:val="24"/>
          <w:lang w:val="en-US"/>
        </w:rPr>
        <w:t>among other things, a call for a Global Digital Compact and a Summit of the Future in 2023 with a possible digital track.</w:t>
      </w:r>
      <w:r w:rsidR="00A7457A" w:rsidRPr="00D26A35">
        <w:rPr>
          <w:rFonts w:asciiTheme="minorHAnsi" w:hAnsiTheme="minorHAnsi" w:cstheme="minorHAnsi"/>
          <w:szCs w:val="24"/>
          <w:lang w:val="en-US"/>
        </w:rPr>
        <w:t xml:space="preserve"> </w:t>
      </w:r>
    </w:p>
    <w:p w14:paraId="70EAB6AB" w14:textId="5181C81B" w:rsidR="00DA4743" w:rsidRPr="00D26A35" w:rsidRDefault="00971EE5" w:rsidP="00564318">
      <w:pPr>
        <w:spacing w:before="240" w:after="120"/>
        <w:jc w:val="both"/>
        <w:rPr>
          <w:rFonts w:asciiTheme="minorHAnsi" w:hAnsiTheme="minorHAnsi" w:cstheme="minorHAnsi"/>
          <w:b/>
          <w:bCs/>
          <w:szCs w:val="24"/>
          <w:lang w:val="en-US"/>
        </w:rPr>
      </w:pPr>
      <w:r w:rsidRPr="00D26A35">
        <w:rPr>
          <w:rFonts w:asciiTheme="minorHAnsi" w:hAnsiTheme="minorHAnsi" w:cstheme="minorHAnsi"/>
          <w:b/>
          <w:bCs/>
          <w:szCs w:val="24"/>
          <w:lang w:val="en-US"/>
        </w:rPr>
        <w:t>5</w:t>
      </w:r>
      <w:r w:rsidR="00DA4743" w:rsidRPr="00D26A35">
        <w:rPr>
          <w:rFonts w:asciiTheme="minorHAnsi" w:hAnsiTheme="minorHAnsi" w:cstheme="minorHAnsi"/>
          <w:b/>
          <w:bCs/>
          <w:szCs w:val="24"/>
          <w:lang w:val="en-US"/>
        </w:rPr>
        <w:t>.</w:t>
      </w:r>
      <w:r w:rsidR="00DA4743" w:rsidRPr="00D26A35">
        <w:rPr>
          <w:rFonts w:asciiTheme="minorHAnsi" w:hAnsiTheme="minorHAnsi" w:cstheme="minorHAnsi"/>
          <w:b/>
          <w:bCs/>
          <w:szCs w:val="24"/>
          <w:lang w:val="en-US"/>
        </w:rPr>
        <w:tab/>
        <w:t>UN Summits and Conferences</w:t>
      </w:r>
    </w:p>
    <w:p w14:paraId="4EE13FB1" w14:textId="0AA74CBC" w:rsidR="00510802" w:rsidRPr="00D26A35" w:rsidRDefault="00971EE5" w:rsidP="00564318">
      <w:pPr>
        <w:tabs>
          <w:tab w:val="clear" w:pos="567"/>
        </w:tabs>
        <w:spacing w:after="120"/>
        <w:jc w:val="both"/>
        <w:rPr>
          <w:rFonts w:asciiTheme="minorHAnsi" w:hAnsiTheme="minorHAnsi" w:cstheme="minorHAnsi"/>
          <w:szCs w:val="24"/>
          <w:lang w:val="en-US"/>
        </w:rPr>
      </w:pPr>
      <w:r w:rsidRPr="00D26A35">
        <w:rPr>
          <w:rFonts w:asciiTheme="minorHAnsi" w:hAnsiTheme="minorHAnsi" w:cstheme="minorHAnsi"/>
          <w:szCs w:val="24"/>
          <w:lang w:val="en-US"/>
        </w:rPr>
        <w:t>5</w:t>
      </w:r>
      <w:r w:rsidR="002B60DB" w:rsidRPr="00D26A35">
        <w:rPr>
          <w:rFonts w:asciiTheme="minorHAnsi" w:hAnsiTheme="minorHAnsi" w:cstheme="minorHAnsi"/>
          <w:szCs w:val="24"/>
          <w:lang w:val="en-US"/>
        </w:rPr>
        <w:t>.1</w:t>
      </w:r>
      <w:r w:rsidR="002B60DB" w:rsidRPr="00D26A35">
        <w:rPr>
          <w:rFonts w:asciiTheme="minorHAnsi" w:hAnsiTheme="minorHAnsi" w:cstheme="minorHAnsi"/>
          <w:szCs w:val="24"/>
          <w:lang w:val="en-US"/>
        </w:rPr>
        <w:tab/>
      </w:r>
      <w:r w:rsidR="00DD6B9B" w:rsidRPr="00D26A35">
        <w:rPr>
          <w:rFonts w:asciiTheme="minorHAnsi" w:hAnsiTheme="minorHAnsi" w:cstheme="minorHAnsi"/>
          <w:szCs w:val="24"/>
          <w:lang w:val="en-US"/>
        </w:rPr>
        <w:t xml:space="preserve">Due to </w:t>
      </w:r>
      <w:r w:rsidR="001A4A4F" w:rsidRPr="00D26A35">
        <w:rPr>
          <w:rFonts w:asciiTheme="minorHAnsi" w:hAnsiTheme="minorHAnsi" w:cstheme="minorHAnsi"/>
          <w:szCs w:val="24"/>
          <w:lang w:val="en-US"/>
        </w:rPr>
        <w:t xml:space="preserve">the </w:t>
      </w:r>
      <w:r w:rsidR="00F91067" w:rsidRPr="00D26A35">
        <w:rPr>
          <w:rFonts w:asciiTheme="minorHAnsi" w:hAnsiTheme="minorHAnsi" w:cstheme="minorHAnsi"/>
          <w:szCs w:val="24"/>
          <w:lang w:val="en-US"/>
        </w:rPr>
        <w:t xml:space="preserve">continuing </w:t>
      </w:r>
      <w:r w:rsidR="001A4A4F" w:rsidRPr="00D26A35">
        <w:rPr>
          <w:rFonts w:asciiTheme="minorHAnsi" w:hAnsiTheme="minorHAnsi" w:cstheme="minorHAnsi"/>
          <w:szCs w:val="24"/>
          <w:lang w:val="en-US"/>
        </w:rPr>
        <w:t>COVID-19</w:t>
      </w:r>
      <w:r w:rsidR="00F91067" w:rsidRPr="00D26A35">
        <w:rPr>
          <w:rFonts w:asciiTheme="minorHAnsi" w:hAnsiTheme="minorHAnsi" w:cstheme="minorHAnsi"/>
          <w:szCs w:val="24"/>
          <w:lang w:val="en-US"/>
        </w:rPr>
        <w:t xml:space="preserve"> </w:t>
      </w:r>
      <w:r w:rsidR="008F3B26" w:rsidRPr="00D26A35">
        <w:rPr>
          <w:rFonts w:asciiTheme="minorHAnsi" w:hAnsiTheme="minorHAnsi" w:cstheme="minorHAnsi"/>
          <w:szCs w:val="24"/>
          <w:lang w:val="en-US"/>
        </w:rPr>
        <w:t xml:space="preserve">epidemiological situation </w:t>
      </w:r>
      <w:r w:rsidR="00821D3C" w:rsidRPr="00D26A35">
        <w:rPr>
          <w:rFonts w:asciiTheme="minorHAnsi" w:hAnsiTheme="minorHAnsi" w:cstheme="minorHAnsi"/>
          <w:szCs w:val="24"/>
          <w:lang w:val="en-US"/>
        </w:rPr>
        <w:t xml:space="preserve">and safety measures put in place </w:t>
      </w:r>
      <w:r w:rsidR="008F3B26" w:rsidRPr="00D26A35">
        <w:rPr>
          <w:rFonts w:asciiTheme="minorHAnsi" w:hAnsiTheme="minorHAnsi" w:cstheme="minorHAnsi"/>
          <w:szCs w:val="24"/>
          <w:lang w:val="en-US"/>
        </w:rPr>
        <w:t>since</w:t>
      </w:r>
      <w:r w:rsidR="00821D3C" w:rsidRPr="00D26A35">
        <w:rPr>
          <w:rFonts w:asciiTheme="minorHAnsi" w:hAnsiTheme="minorHAnsi" w:cstheme="minorHAnsi"/>
          <w:szCs w:val="24"/>
          <w:lang w:val="en-US"/>
        </w:rPr>
        <w:t xml:space="preserve"> early 2020</w:t>
      </w:r>
      <w:r w:rsidR="00DD6B9B" w:rsidRPr="00D26A35">
        <w:rPr>
          <w:rFonts w:asciiTheme="minorHAnsi" w:hAnsiTheme="minorHAnsi" w:cstheme="minorHAnsi"/>
          <w:szCs w:val="24"/>
          <w:lang w:val="en-US"/>
        </w:rPr>
        <w:t xml:space="preserve">, many </w:t>
      </w:r>
      <w:r w:rsidR="00821D3C" w:rsidRPr="00D26A35">
        <w:rPr>
          <w:rFonts w:asciiTheme="minorHAnsi" w:hAnsiTheme="minorHAnsi" w:cstheme="minorHAnsi"/>
          <w:szCs w:val="24"/>
          <w:lang w:val="en-US"/>
        </w:rPr>
        <w:t>major</w:t>
      </w:r>
      <w:r w:rsidR="00DD6B9B" w:rsidRPr="00D26A35">
        <w:rPr>
          <w:rFonts w:asciiTheme="minorHAnsi" w:hAnsiTheme="minorHAnsi" w:cstheme="minorHAnsi"/>
          <w:szCs w:val="24"/>
          <w:lang w:val="en-US"/>
        </w:rPr>
        <w:t xml:space="preserve"> United Nations conferences</w:t>
      </w:r>
      <w:r w:rsidR="00821D3C" w:rsidRPr="00D26A35">
        <w:rPr>
          <w:rFonts w:asciiTheme="minorHAnsi" w:hAnsiTheme="minorHAnsi" w:cstheme="minorHAnsi"/>
          <w:szCs w:val="24"/>
          <w:lang w:val="en-US"/>
        </w:rPr>
        <w:t xml:space="preserve"> and meeting were held </w:t>
      </w:r>
      <w:r w:rsidR="008F3B26" w:rsidRPr="00D26A35">
        <w:rPr>
          <w:rFonts w:asciiTheme="minorHAnsi" w:hAnsiTheme="minorHAnsi" w:cstheme="minorHAnsi"/>
          <w:szCs w:val="24"/>
          <w:lang w:val="en-US"/>
        </w:rPr>
        <w:t xml:space="preserve">remotely or </w:t>
      </w:r>
      <w:r w:rsidR="00E13658">
        <w:rPr>
          <w:rFonts w:asciiTheme="minorHAnsi" w:hAnsiTheme="minorHAnsi" w:cstheme="minorHAnsi"/>
          <w:szCs w:val="24"/>
          <w:lang w:val="en-US"/>
        </w:rPr>
        <w:t>in a</w:t>
      </w:r>
      <w:r w:rsidR="00821D3C" w:rsidRPr="00D26A35">
        <w:rPr>
          <w:rFonts w:asciiTheme="minorHAnsi" w:hAnsiTheme="minorHAnsi" w:cstheme="minorHAnsi"/>
          <w:szCs w:val="24"/>
          <w:lang w:val="en-US"/>
        </w:rPr>
        <w:t xml:space="preserve"> </w:t>
      </w:r>
      <w:r w:rsidR="008F3B26" w:rsidRPr="00D26A35">
        <w:rPr>
          <w:rFonts w:asciiTheme="minorHAnsi" w:hAnsiTheme="minorHAnsi" w:cstheme="minorHAnsi"/>
          <w:szCs w:val="24"/>
          <w:lang w:val="en-US"/>
        </w:rPr>
        <w:t xml:space="preserve">hybrid </w:t>
      </w:r>
      <w:r w:rsidR="00821D3C" w:rsidRPr="00D26A35">
        <w:rPr>
          <w:rFonts w:asciiTheme="minorHAnsi" w:hAnsiTheme="minorHAnsi" w:cstheme="minorHAnsi"/>
          <w:szCs w:val="24"/>
          <w:lang w:val="en-US"/>
        </w:rPr>
        <w:t xml:space="preserve">format. </w:t>
      </w:r>
      <w:r w:rsidR="00DA4743" w:rsidRPr="00D26A35">
        <w:rPr>
          <w:rFonts w:asciiTheme="minorHAnsi" w:hAnsiTheme="minorHAnsi" w:cstheme="minorHAnsi"/>
          <w:szCs w:val="24"/>
          <w:lang w:val="en-US"/>
        </w:rPr>
        <w:t xml:space="preserve">ITU was present </w:t>
      </w:r>
      <w:r w:rsidR="00DD6B9B" w:rsidRPr="00D26A35">
        <w:rPr>
          <w:rFonts w:asciiTheme="minorHAnsi" w:hAnsiTheme="minorHAnsi" w:cstheme="minorHAnsi"/>
          <w:szCs w:val="24"/>
          <w:lang w:val="en-US"/>
        </w:rPr>
        <w:t>at</w:t>
      </w:r>
      <w:r w:rsidR="00DA4743" w:rsidRPr="00D26A35">
        <w:rPr>
          <w:rFonts w:asciiTheme="minorHAnsi" w:hAnsiTheme="minorHAnsi" w:cstheme="minorHAnsi"/>
          <w:szCs w:val="24"/>
          <w:lang w:val="en-US"/>
        </w:rPr>
        <w:t xml:space="preserve"> </w:t>
      </w:r>
      <w:r w:rsidR="00DD6B9B" w:rsidRPr="00D26A35">
        <w:rPr>
          <w:rFonts w:asciiTheme="minorHAnsi" w:hAnsiTheme="minorHAnsi" w:cstheme="minorHAnsi"/>
          <w:szCs w:val="24"/>
          <w:lang w:val="en-US"/>
        </w:rPr>
        <w:t xml:space="preserve">multiple events held </w:t>
      </w:r>
      <w:r w:rsidR="00821D3C" w:rsidRPr="00D26A35">
        <w:rPr>
          <w:rFonts w:asciiTheme="minorHAnsi" w:hAnsiTheme="minorHAnsi" w:cstheme="minorHAnsi"/>
          <w:szCs w:val="24"/>
          <w:lang w:val="en-US"/>
        </w:rPr>
        <w:t xml:space="preserve">either </w:t>
      </w:r>
      <w:r w:rsidR="00DD6B9B" w:rsidRPr="00D26A35">
        <w:rPr>
          <w:rFonts w:asciiTheme="minorHAnsi" w:hAnsiTheme="minorHAnsi" w:cstheme="minorHAnsi"/>
          <w:szCs w:val="24"/>
          <w:lang w:val="en-US"/>
        </w:rPr>
        <w:t>virtually or in hybrid form</w:t>
      </w:r>
      <w:r w:rsidR="00DA4743" w:rsidRPr="00D26A35">
        <w:rPr>
          <w:rFonts w:asciiTheme="minorHAnsi" w:hAnsiTheme="minorHAnsi" w:cstheme="minorHAnsi"/>
          <w:szCs w:val="24"/>
          <w:lang w:val="en-US"/>
        </w:rPr>
        <w:t>, including:</w:t>
      </w:r>
      <w:r w:rsidR="001A4A4F" w:rsidRPr="00D26A35">
        <w:rPr>
          <w:rFonts w:asciiTheme="minorHAnsi" w:hAnsiTheme="minorHAnsi" w:cstheme="minorHAnsi"/>
          <w:szCs w:val="24"/>
          <w:lang w:val="en-US"/>
        </w:rPr>
        <w:t xml:space="preserve"> </w:t>
      </w:r>
      <w:r w:rsidR="006B5346" w:rsidRPr="00D26A35">
        <w:rPr>
          <w:rFonts w:asciiTheme="minorHAnsi" w:hAnsiTheme="minorHAnsi" w:cstheme="minorHAnsi"/>
          <w:szCs w:val="24"/>
          <w:lang w:val="en-US"/>
        </w:rPr>
        <w:tab/>
        <w:t xml:space="preserve">UNDESA Online Global Dialogue on Digital Inclusion for All (Feb. 2021); </w:t>
      </w:r>
      <w:r w:rsidR="00CB7D0E" w:rsidRPr="00D26A35">
        <w:rPr>
          <w:rFonts w:asciiTheme="minorHAnsi" w:hAnsiTheme="minorHAnsi" w:cstheme="minorHAnsi"/>
          <w:szCs w:val="24"/>
          <w:lang w:val="en-US"/>
        </w:rPr>
        <w:t>14</w:t>
      </w:r>
      <w:r w:rsidR="00CB7D0E" w:rsidRPr="00D26A35">
        <w:rPr>
          <w:rFonts w:asciiTheme="minorHAnsi" w:hAnsiTheme="minorHAnsi" w:cstheme="minorHAnsi"/>
          <w:szCs w:val="24"/>
          <w:vertAlign w:val="superscript"/>
          <w:lang w:val="en-US"/>
        </w:rPr>
        <w:t>th</w:t>
      </w:r>
      <w:r w:rsidR="00CB7D0E" w:rsidRPr="00D26A35">
        <w:rPr>
          <w:rFonts w:asciiTheme="minorHAnsi" w:hAnsiTheme="minorHAnsi" w:cstheme="minorHAnsi"/>
          <w:szCs w:val="24"/>
          <w:lang w:val="en-US"/>
        </w:rPr>
        <w:t xml:space="preserve"> UN Congress on Crime Prevention and Criminal Justice (March 2021); </w:t>
      </w:r>
      <w:r w:rsidR="00B53710" w:rsidRPr="00D26A35">
        <w:rPr>
          <w:rFonts w:asciiTheme="minorHAnsi" w:hAnsiTheme="minorHAnsi" w:cstheme="minorHAnsi"/>
          <w:szCs w:val="24"/>
          <w:lang w:val="en-US"/>
        </w:rPr>
        <w:t>58th session of the Scientific and Technical Subcommittee of the Committee on the Peaceful Uses of Outer Space -</w:t>
      </w:r>
      <w:r w:rsidR="00E13658">
        <w:rPr>
          <w:rFonts w:asciiTheme="minorHAnsi" w:hAnsiTheme="minorHAnsi" w:cstheme="minorHAnsi"/>
          <w:szCs w:val="24"/>
          <w:lang w:val="en-US"/>
        </w:rPr>
        <w:t xml:space="preserve"> </w:t>
      </w:r>
      <w:r w:rsidR="00B53710" w:rsidRPr="00D26A35">
        <w:rPr>
          <w:rFonts w:asciiTheme="minorHAnsi" w:hAnsiTheme="minorHAnsi" w:cstheme="minorHAnsi"/>
          <w:szCs w:val="24"/>
          <w:lang w:val="en-US"/>
        </w:rPr>
        <w:t>COPUOS (April 2021); 60</w:t>
      </w:r>
      <w:r w:rsidR="00B53710" w:rsidRPr="00D26A35">
        <w:rPr>
          <w:rFonts w:asciiTheme="minorHAnsi" w:hAnsiTheme="minorHAnsi" w:cstheme="minorHAnsi"/>
          <w:szCs w:val="24"/>
          <w:vertAlign w:val="superscript"/>
          <w:lang w:val="en-US"/>
        </w:rPr>
        <w:t>th</w:t>
      </w:r>
      <w:r w:rsidR="00B53710" w:rsidRPr="00D26A35">
        <w:rPr>
          <w:rFonts w:asciiTheme="minorHAnsi" w:hAnsiTheme="minorHAnsi" w:cstheme="minorHAnsi"/>
          <w:szCs w:val="24"/>
          <w:lang w:val="en-US"/>
        </w:rPr>
        <w:t xml:space="preserve"> session of the Legal Subcommittee of the Committee on the Peaceful Uses of Outer Space (May 2021)</w:t>
      </w:r>
      <w:r w:rsidR="00506F73" w:rsidRPr="00D26A35">
        <w:rPr>
          <w:rFonts w:asciiTheme="minorHAnsi" w:hAnsiTheme="minorHAnsi" w:cstheme="minorHAnsi"/>
          <w:szCs w:val="24"/>
          <w:lang w:val="en-US"/>
        </w:rPr>
        <w:t xml:space="preserve">; </w:t>
      </w:r>
      <w:r w:rsidR="00E13658">
        <w:rPr>
          <w:rFonts w:asciiTheme="minorHAnsi" w:hAnsiTheme="minorHAnsi" w:cstheme="minorHAnsi"/>
          <w:szCs w:val="24"/>
          <w:lang w:val="en-US"/>
        </w:rPr>
        <w:t xml:space="preserve">High Level Political Forum (July 2021); </w:t>
      </w:r>
      <w:r w:rsidR="00506F73" w:rsidRPr="00D26A35">
        <w:rPr>
          <w:rFonts w:asciiTheme="minorHAnsi" w:hAnsiTheme="minorHAnsi" w:cstheme="minorHAnsi"/>
          <w:szCs w:val="24"/>
          <w:lang w:val="en-US"/>
        </w:rPr>
        <w:t>49</w:t>
      </w:r>
      <w:r w:rsidR="00506F73" w:rsidRPr="00D26A35">
        <w:rPr>
          <w:rFonts w:asciiTheme="minorHAnsi" w:hAnsiTheme="minorHAnsi" w:cstheme="minorHAnsi"/>
          <w:szCs w:val="24"/>
          <w:vertAlign w:val="superscript"/>
          <w:lang w:val="en-US"/>
        </w:rPr>
        <w:t>th</w:t>
      </w:r>
      <w:r w:rsidR="00506F73" w:rsidRPr="00D26A35">
        <w:rPr>
          <w:rFonts w:asciiTheme="minorHAnsi" w:hAnsiTheme="minorHAnsi" w:cstheme="minorHAnsi"/>
          <w:szCs w:val="24"/>
          <w:lang w:val="en-US"/>
        </w:rPr>
        <w:t xml:space="preserve"> session of the Industrial Development Board – UNIDO (July 2021);</w:t>
      </w:r>
      <w:r w:rsidR="00B53710" w:rsidRPr="00D26A35">
        <w:rPr>
          <w:rFonts w:asciiTheme="minorHAnsi" w:hAnsiTheme="minorHAnsi" w:cstheme="minorHAnsi"/>
          <w:szCs w:val="24"/>
          <w:lang w:val="en-US"/>
        </w:rPr>
        <w:t xml:space="preserve"> </w:t>
      </w:r>
      <w:r w:rsidR="00506F73" w:rsidRPr="00D26A35">
        <w:rPr>
          <w:rFonts w:asciiTheme="minorHAnsi" w:hAnsiTheme="minorHAnsi" w:cstheme="minorHAnsi"/>
          <w:szCs w:val="24"/>
          <w:lang w:val="en-US"/>
        </w:rPr>
        <w:t>sixth meeting of the UN Senior Leadership Group on Disaster Risk Reduction (DRR) for Resilience (July 2021); Small Islands Developing States Solution Forum (Aug. 2021); 2nd United Nations Global Sustainable Transport</w:t>
      </w:r>
      <w:r w:rsidR="00E13658">
        <w:rPr>
          <w:rFonts w:asciiTheme="minorHAnsi" w:hAnsiTheme="minorHAnsi" w:cstheme="minorHAnsi"/>
          <w:szCs w:val="24"/>
          <w:lang w:val="en-US"/>
        </w:rPr>
        <w:t xml:space="preserve"> </w:t>
      </w:r>
      <w:r w:rsidR="00506F73" w:rsidRPr="00D26A35">
        <w:rPr>
          <w:rFonts w:asciiTheme="minorHAnsi" w:hAnsiTheme="minorHAnsi" w:cstheme="minorHAnsi"/>
          <w:szCs w:val="24"/>
          <w:lang w:val="en-US"/>
        </w:rPr>
        <w:t xml:space="preserve">(Oct. 2021); Conference </w:t>
      </w:r>
      <w:r w:rsidR="008F3B26" w:rsidRPr="00D26A35">
        <w:rPr>
          <w:rFonts w:asciiTheme="minorHAnsi" w:hAnsiTheme="minorHAnsi" w:cstheme="minorHAnsi"/>
          <w:szCs w:val="24"/>
          <w:lang w:val="en-US"/>
        </w:rPr>
        <w:t>Climate Conference COP26 (Nov. 2021)</w:t>
      </w:r>
      <w:r w:rsidR="001A4A4F" w:rsidRPr="00D26A35">
        <w:rPr>
          <w:rFonts w:asciiTheme="minorHAnsi" w:hAnsiTheme="minorHAnsi" w:cstheme="minorHAnsi"/>
          <w:szCs w:val="24"/>
          <w:lang w:val="en-US"/>
        </w:rPr>
        <w:t>;</w:t>
      </w:r>
      <w:r w:rsidR="00DD6B9B" w:rsidRPr="00D26A35">
        <w:rPr>
          <w:rFonts w:asciiTheme="minorHAnsi" w:hAnsiTheme="minorHAnsi" w:cstheme="minorHAnsi"/>
          <w:szCs w:val="24"/>
          <w:lang w:val="en-US"/>
        </w:rPr>
        <w:t xml:space="preserve"> </w:t>
      </w:r>
      <w:r w:rsidR="00DA4743" w:rsidRPr="00D26A35">
        <w:rPr>
          <w:rFonts w:asciiTheme="minorHAnsi" w:hAnsiTheme="minorHAnsi" w:cstheme="minorHAnsi"/>
          <w:szCs w:val="24"/>
          <w:lang w:val="en-US"/>
        </w:rPr>
        <w:t>Internet Governance Forum (</w:t>
      </w:r>
      <w:r w:rsidR="008F3B26" w:rsidRPr="00D26A35">
        <w:rPr>
          <w:rFonts w:asciiTheme="minorHAnsi" w:hAnsiTheme="minorHAnsi" w:cstheme="minorHAnsi"/>
          <w:szCs w:val="24"/>
          <w:lang w:val="en-US"/>
        </w:rPr>
        <w:t>Dec</w:t>
      </w:r>
      <w:r w:rsidR="001A4A4F" w:rsidRPr="00D26A35">
        <w:rPr>
          <w:rFonts w:asciiTheme="minorHAnsi" w:hAnsiTheme="minorHAnsi" w:cstheme="minorHAnsi"/>
          <w:szCs w:val="24"/>
          <w:lang w:val="en-US"/>
        </w:rPr>
        <w:t>.</w:t>
      </w:r>
      <w:r w:rsidR="00AF6E45" w:rsidRPr="00D26A35">
        <w:rPr>
          <w:rFonts w:asciiTheme="minorHAnsi" w:hAnsiTheme="minorHAnsi" w:cstheme="minorHAnsi"/>
          <w:szCs w:val="24"/>
          <w:lang w:val="en-US"/>
        </w:rPr>
        <w:t xml:space="preserve"> 202</w:t>
      </w:r>
      <w:r w:rsidR="008F3B26" w:rsidRPr="00D26A35">
        <w:rPr>
          <w:rFonts w:asciiTheme="minorHAnsi" w:hAnsiTheme="minorHAnsi" w:cstheme="minorHAnsi"/>
          <w:szCs w:val="24"/>
          <w:lang w:val="en-US"/>
        </w:rPr>
        <w:t>1</w:t>
      </w:r>
      <w:r w:rsidR="00DA4743" w:rsidRPr="00D26A35">
        <w:rPr>
          <w:rFonts w:asciiTheme="minorHAnsi" w:hAnsiTheme="minorHAnsi" w:cstheme="minorHAnsi"/>
          <w:szCs w:val="24"/>
          <w:lang w:val="en-US"/>
        </w:rPr>
        <w:t>); among others.</w:t>
      </w:r>
      <w:r w:rsidR="00CF1D19" w:rsidRPr="00D26A35">
        <w:rPr>
          <w:rFonts w:asciiTheme="minorHAnsi" w:hAnsiTheme="minorHAnsi" w:cstheme="minorHAnsi"/>
          <w:szCs w:val="24"/>
          <w:lang w:val="en-US"/>
        </w:rPr>
        <w:t xml:space="preserve"> </w:t>
      </w:r>
    </w:p>
    <w:p w14:paraId="62D4E3B2" w14:textId="2E1AE0FE" w:rsidR="00510802" w:rsidRPr="00D26A35" w:rsidRDefault="00510802" w:rsidP="00564318">
      <w:pPr>
        <w:tabs>
          <w:tab w:val="clear" w:pos="567"/>
        </w:tabs>
        <w:spacing w:after="120"/>
        <w:jc w:val="both"/>
        <w:rPr>
          <w:rFonts w:asciiTheme="minorHAnsi" w:hAnsiTheme="minorHAnsi" w:cstheme="minorHAnsi"/>
          <w:szCs w:val="24"/>
          <w:lang w:val="en-US"/>
        </w:rPr>
      </w:pPr>
      <w:r w:rsidRPr="00D26A35">
        <w:rPr>
          <w:rFonts w:asciiTheme="minorHAnsi" w:hAnsiTheme="minorHAnsi" w:cstheme="minorHAnsi"/>
          <w:szCs w:val="24"/>
          <w:lang w:val="en-US"/>
        </w:rPr>
        <w:lastRenderedPageBreak/>
        <w:t xml:space="preserve">5.2 </w:t>
      </w:r>
      <w:r w:rsidRPr="00D26A35">
        <w:rPr>
          <w:rFonts w:asciiTheme="minorHAnsi" w:hAnsiTheme="minorHAnsi" w:cstheme="minorHAnsi"/>
          <w:szCs w:val="24"/>
          <w:lang w:val="en-US"/>
        </w:rPr>
        <w:tab/>
        <w:t xml:space="preserve">WSIS as a UN process has been notable </w:t>
      </w:r>
      <w:r w:rsidR="00E13658">
        <w:rPr>
          <w:rFonts w:asciiTheme="minorHAnsi" w:hAnsiTheme="minorHAnsi" w:cstheme="minorHAnsi"/>
          <w:szCs w:val="24"/>
          <w:lang w:val="en-US"/>
        </w:rPr>
        <w:t>for</w:t>
      </w:r>
      <w:r w:rsidRPr="00D26A35">
        <w:rPr>
          <w:rFonts w:asciiTheme="minorHAnsi" w:hAnsiTheme="minorHAnsi" w:cstheme="minorHAnsi"/>
          <w:szCs w:val="24"/>
          <w:lang w:val="en-US"/>
        </w:rPr>
        <w:t xml:space="preserve"> its multistakeholder approach since its inception. ITU continues to coordinate the annual WSIS Forum together with the co-</w:t>
      </w:r>
      <w:proofErr w:type="spellStart"/>
      <w:r w:rsidRPr="00D26A35">
        <w:rPr>
          <w:rFonts w:asciiTheme="minorHAnsi" w:hAnsiTheme="minorHAnsi" w:cstheme="minorHAnsi"/>
          <w:szCs w:val="24"/>
          <w:lang w:val="en-US"/>
        </w:rPr>
        <w:t>organisers</w:t>
      </w:r>
      <w:proofErr w:type="spellEnd"/>
      <w:r w:rsidRPr="00D26A35">
        <w:rPr>
          <w:rFonts w:asciiTheme="minorHAnsi" w:hAnsiTheme="minorHAnsi" w:cstheme="minorHAnsi"/>
          <w:szCs w:val="24"/>
          <w:lang w:val="en-US"/>
        </w:rPr>
        <w:t xml:space="preserve"> (UNESCO, UNCTAD, and UNDP) with more than 30 UN Agencies, to leverage ICTs as a critical driver of global development and to forge partnership and cooperation in implementing the WSIS Action Lines for achieving the SDGs.</w:t>
      </w:r>
    </w:p>
    <w:p w14:paraId="6B43CD75" w14:textId="36019B50" w:rsidR="00DA4743" w:rsidRPr="00D26A35" w:rsidRDefault="00244D43" w:rsidP="00564318">
      <w:pPr>
        <w:tabs>
          <w:tab w:val="clear" w:pos="567"/>
          <w:tab w:val="clear" w:pos="1134"/>
          <w:tab w:val="clear" w:pos="1701"/>
          <w:tab w:val="clear" w:pos="2268"/>
          <w:tab w:val="clear" w:pos="2835"/>
        </w:tabs>
        <w:snapToGrid w:val="0"/>
        <w:spacing w:before="240" w:after="120"/>
        <w:jc w:val="both"/>
        <w:rPr>
          <w:rFonts w:asciiTheme="minorHAnsi" w:hAnsiTheme="minorHAnsi" w:cstheme="minorHAnsi"/>
          <w:b/>
          <w:bCs/>
          <w:szCs w:val="24"/>
        </w:rPr>
      </w:pPr>
      <w:r w:rsidRPr="00D26A35">
        <w:rPr>
          <w:rFonts w:asciiTheme="minorHAnsi" w:hAnsiTheme="minorHAnsi" w:cstheme="minorHAnsi"/>
          <w:b/>
          <w:bCs/>
          <w:szCs w:val="24"/>
        </w:rPr>
        <w:t>6</w:t>
      </w:r>
      <w:r w:rsidR="00DA4743" w:rsidRPr="00D26A35">
        <w:rPr>
          <w:rFonts w:asciiTheme="minorHAnsi" w:hAnsiTheme="minorHAnsi" w:cstheme="minorHAnsi"/>
          <w:b/>
          <w:bCs/>
          <w:szCs w:val="24"/>
        </w:rPr>
        <w:t>.</w:t>
      </w:r>
      <w:r w:rsidR="00DA4743" w:rsidRPr="00D26A35">
        <w:rPr>
          <w:rFonts w:asciiTheme="minorHAnsi" w:hAnsiTheme="minorHAnsi" w:cstheme="minorHAnsi"/>
          <w:b/>
          <w:bCs/>
          <w:szCs w:val="24"/>
        </w:rPr>
        <w:tab/>
        <w:t>Inter-agency Coordination</w:t>
      </w:r>
    </w:p>
    <w:p w14:paraId="23FC554D" w14:textId="3A620722" w:rsidR="00A00EB2" w:rsidRPr="00D26A35" w:rsidRDefault="00A00EB2" w:rsidP="00564318">
      <w:pPr>
        <w:tabs>
          <w:tab w:val="clear" w:pos="567"/>
        </w:tabs>
        <w:spacing w:after="120"/>
        <w:jc w:val="both"/>
        <w:rPr>
          <w:rFonts w:asciiTheme="minorHAnsi" w:hAnsiTheme="minorHAnsi" w:cstheme="minorHAnsi"/>
          <w:szCs w:val="24"/>
          <w:u w:val="single"/>
        </w:rPr>
      </w:pPr>
      <w:r w:rsidRPr="00D26A35">
        <w:rPr>
          <w:rFonts w:asciiTheme="minorHAnsi" w:hAnsiTheme="minorHAnsi" w:cstheme="minorHAnsi"/>
          <w:szCs w:val="24"/>
          <w:lang w:val="en-US"/>
        </w:rPr>
        <w:t>6.1</w:t>
      </w:r>
      <w:r w:rsidRPr="00D26A35">
        <w:rPr>
          <w:rFonts w:asciiTheme="minorHAnsi" w:hAnsiTheme="minorHAnsi" w:cstheme="minorHAnsi"/>
          <w:szCs w:val="24"/>
          <w:lang w:val="en-US"/>
        </w:rPr>
        <w:tab/>
        <w:t xml:space="preserve">ITU contributed actively to the Chief Executives Board for Coordination (CEB) and its subsidiary mechanisms, the High-Level Committee on Management (HLCM) and High-Level Committee on </w:t>
      </w:r>
      <w:proofErr w:type="spellStart"/>
      <w:r w:rsidRPr="00D26A35">
        <w:rPr>
          <w:rFonts w:asciiTheme="minorHAnsi" w:hAnsiTheme="minorHAnsi" w:cstheme="minorHAnsi"/>
          <w:szCs w:val="24"/>
          <w:lang w:val="en-US"/>
        </w:rPr>
        <w:t>Programmes</w:t>
      </w:r>
      <w:proofErr w:type="spellEnd"/>
      <w:r w:rsidRPr="00D26A35">
        <w:rPr>
          <w:rFonts w:asciiTheme="minorHAnsi" w:hAnsiTheme="minorHAnsi" w:cstheme="minorHAnsi"/>
          <w:szCs w:val="24"/>
          <w:lang w:val="en-US"/>
        </w:rPr>
        <w:t xml:space="preserve"> (HLCP). During this period,</w:t>
      </w:r>
      <w:r w:rsidRPr="00D26A35">
        <w:t xml:space="preserve"> </w:t>
      </w:r>
      <w:r w:rsidRPr="00D26A35">
        <w:rPr>
          <w:rFonts w:asciiTheme="minorHAnsi" w:hAnsiTheme="minorHAnsi" w:cstheme="minorHAnsi"/>
          <w:szCs w:val="24"/>
          <w:lang w:val="en-US"/>
        </w:rPr>
        <w:t xml:space="preserve">key topics on the agenda </w:t>
      </w:r>
      <w:r w:rsidR="00E13658">
        <w:rPr>
          <w:rFonts w:asciiTheme="minorHAnsi" w:hAnsiTheme="minorHAnsi" w:cstheme="minorHAnsi"/>
          <w:szCs w:val="24"/>
          <w:lang w:val="en-US"/>
        </w:rPr>
        <w:t xml:space="preserve">of HLCP included </w:t>
      </w:r>
      <w:r w:rsidRPr="00D26A35">
        <w:rPr>
          <w:rFonts w:asciiTheme="minorHAnsi" w:hAnsiTheme="minorHAnsi" w:cstheme="minorHAnsi"/>
          <w:szCs w:val="24"/>
          <w:lang w:val="en-US"/>
        </w:rPr>
        <w:t xml:space="preserve">the future of HLCP’s work, </w:t>
      </w:r>
      <w:proofErr w:type="gramStart"/>
      <w:r w:rsidRPr="00D26A35">
        <w:rPr>
          <w:rFonts w:asciiTheme="minorHAnsi" w:hAnsiTheme="minorHAnsi" w:cstheme="minorHAnsi"/>
          <w:szCs w:val="24"/>
          <w:lang w:val="en-US"/>
        </w:rPr>
        <w:t>AI</w:t>
      </w:r>
      <w:proofErr w:type="gramEnd"/>
      <w:r w:rsidRPr="00D26A35">
        <w:rPr>
          <w:rFonts w:asciiTheme="minorHAnsi" w:hAnsiTheme="minorHAnsi" w:cstheme="minorHAnsi"/>
          <w:szCs w:val="24"/>
          <w:lang w:val="en-US"/>
        </w:rPr>
        <w:t xml:space="preserve"> and inequalities. ITU and UNESCO co-chair</w:t>
      </w:r>
      <w:r w:rsidRPr="00D26A35">
        <w:t xml:space="preserve"> the Inter-ag</w:t>
      </w:r>
      <w:r w:rsidR="00E13658">
        <w:t>e</w:t>
      </w:r>
      <w:r w:rsidRPr="00D26A35">
        <w:t>ncy Working Group on AI</w:t>
      </w:r>
      <w:r w:rsidR="00E13658">
        <w:t xml:space="preserve"> under HLCP</w:t>
      </w:r>
      <w:r w:rsidRPr="00D26A35">
        <w:t xml:space="preserve">, which </w:t>
      </w:r>
      <w:proofErr w:type="spellStart"/>
      <w:r w:rsidRPr="00D26A35">
        <w:t>contined</w:t>
      </w:r>
      <w:proofErr w:type="spellEnd"/>
      <w:r w:rsidRPr="00D26A35">
        <w:t xml:space="preserve"> to focus on </w:t>
      </w:r>
      <w:r w:rsidRPr="00D26A35">
        <w:rPr>
          <w:rFonts w:asciiTheme="minorHAnsi" w:hAnsiTheme="minorHAnsi" w:cstheme="minorHAnsi"/>
          <w:szCs w:val="24"/>
        </w:rPr>
        <w:t xml:space="preserve">policy and programmatic coherence of AI activities within the UN. The group has more than 40 UN agencies and bodies. </w:t>
      </w:r>
      <w:r w:rsidRPr="00D26A35">
        <w:t>New workstreams have been proposed such as on procurement guidelines, smart cities, education and others</w:t>
      </w:r>
      <w:r w:rsidRPr="00D26A35">
        <w:rPr>
          <w:rFonts w:asciiTheme="minorHAnsi" w:hAnsiTheme="minorHAnsi" w:cstheme="minorHAnsi"/>
          <w:szCs w:val="24"/>
        </w:rPr>
        <w:t>.</w:t>
      </w:r>
      <w:r w:rsidRPr="00D26A35">
        <w:t xml:space="preserve"> In addition, a</w:t>
      </w:r>
      <w:r w:rsidRPr="00D26A35">
        <w:rPr>
          <w:rFonts w:asciiTheme="minorHAnsi" w:hAnsiTheme="minorHAnsi" w:cstheme="minorHAnsi"/>
          <w:szCs w:val="24"/>
        </w:rPr>
        <w:t xml:space="preserve"> new framing structure of 3 pillars was adopted for HLCP’s work around duties to the future, global public goods, and networked and inclusive governance.</w:t>
      </w:r>
    </w:p>
    <w:p w14:paraId="2FE7672D" w14:textId="366EDB10" w:rsidR="00C22817" w:rsidRPr="00D26A35" w:rsidRDefault="00656454" w:rsidP="00564318">
      <w:pPr>
        <w:tabs>
          <w:tab w:val="clear" w:pos="567"/>
        </w:tabs>
        <w:spacing w:after="120"/>
        <w:jc w:val="both"/>
        <w:rPr>
          <w:rFonts w:asciiTheme="minorHAnsi" w:hAnsiTheme="minorHAnsi" w:cstheme="minorHAnsi"/>
          <w:szCs w:val="24"/>
          <w:u w:val="single"/>
        </w:rPr>
      </w:pPr>
      <w:r w:rsidRPr="00D26A35">
        <w:rPr>
          <w:rFonts w:asciiTheme="minorHAnsi" w:hAnsiTheme="minorHAnsi" w:cstheme="minorHAnsi"/>
          <w:szCs w:val="24"/>
        </w:rPr>
        <w:t>6.</w:t>
      </w:r>
      <w:r w:rsidR="00AA7735" w:rsidRPr="00D26A35">
        <w:rPr>
          <w:rFonts w:asciiTheme="minorHAnsi" w:hAnsiTheme="minorHAnsi" w:cstheme="minorHAnsi"/>
          <w:szCs w:val="24"/>
        </w:rPr>
        <w:t>2</w:t>
      </w:r>
      <w:r w:rsidRPr="00D26A35">
        <w:rPr>
          <w:rFonts w:asciiTheme="minorHAnsi" w:hAnsiTheme="minorHAnsi" w:cstheme="minorHAnsi"/>
          <w:szCs w:val="24"/>
        </w:rPr>
        <w:tab/>
        <w:t xml:space="preserve">In the HLCM, </w:t>
      </w:r>
      <w:r w:rsidR="00C22817" w:rsidRPr="00D26A35">
        <w:rPr>
          <w:rFonts w:asciiTheme="minorHAnsi" w:hAnsiTheme="minorHAnsi" w:cstheme="minorHAnsi"/>
          <w:szCs w:val="24"/>
        </w:rPr>
        <w:t xml:space="preserve">ITU </w:t>
      </w:r>
      <w:r w:rsidR="003F7588" w:rsidRPr="00D26A35">
        <w:rPr>
          <w:rFonts w:asciiTheme="minorHAnsi" w:hAnsiTheme="minorHAnsi" w:cstheme="minorHAnsi"/>
          <w:szCs w:val="24"/>
        </w:rPr>
        <w:t>continued to lead</w:t>
      </w:r>
      <w:r w:rsidR="00C22817" w:rsidRPr="00D26A35">
        <w:rPr>
          <w:rFonts w:asciiTheme="minorHAnsi" w:hAnsiTheme="minorHAnsi" w:cstheme="minorHAnsi"/>
          <w:szCs w:val="24"/>
        </w:rPr>
        <w:t xml:space="preserve"> the Work Group on Virtual Meetings with Interpretation of </w:t>
      </w:r>
      <w:r w:rsidRPr="00D26A35">
        <w:rPr>
          <w:rFonts w:asciiTheme="minorHAnsi" w:hAnsiTheme="minorHAnsi" w:cstheme="minorHAnsi"/>
          <w:szCs w:val="24"/>
        </w:rPr>
        <w:t>its</w:t>
      </w:r>
      <w:r w:rsidR="00C22817" w:rsidRPr="00D26A35">
        <w:rPr>
          <w:rFonts w:asciiTheme="minorHAnsi" w:hAnsiTheme="minorHAnsi" w:cstheme="minorHAnsi"/>
          <w:szCs w:val="24"/>
        </w:rPr>
        <w:t xml:space="preserve"> Digital &amp; Technology Network</w:t>
      </w:r>
      <w:r w:rsidR="003F7588" w:rsidRPr="00D26A35">
        <w:rPr>
          <w:rFonts w:asciiTheme="minorHAnsi" w:hAnsiTheme="minorHAnsi" w:cstheme="minorHAnsi"/>
          <w:szCs w:val="24"/>
        </w:rPr>
        <w:t xml:space="preserve">, </w:t>
      </w:r>
      <w:r w:rsidR="00C22817" w:rsidRPr="00D26A35">
        <w:rPr>
          <w:rFonts w:asciiTheme="minorHAnsi" w:hAnsiTheme="minorHAnsi" w:cstheme="minorHAnsi"/>
          <w:szCs w:val="24"/>
        </w:rPr>
        <w:t xml:space="preserve">sharing experiences on using the virtual meeting platforms and organizing virtual, and in particular, statutory meetings. </w:t>
      </w:r>
      <w:r w:rsidR="003F7588" w:rsidRPr="00D26A35">
        <w:rPr>
          <w:rFonts w:asciiTheme="minorHAnsi" w:hAnsiTheme="minorHAnsi" w:cstheme="minorBidi"/>
          <w:lang w:val="en-US"/>
        </w:rPr>
        <w:t xml:space="preserve">ITU continues to participate actively in the Organizational Resilience Management System working group while bringing particularly the subject matter expertise in IT Disaster Recovery (ITDR) as specialized IT agency. </w:t>
      </w:r>
      <w:r w:rsidRPr="00D26A35">
        <w:rPr>
          <w:rFonts w:asciiTheme="minorHAnsi" w:hAnsiTheme="minorHAnsi" w:cstheme="minorHAnsi"/>
          <w:szCs w:val="24"/>
        </w:rPr>
        <w:t xml:space="preserve">ITU also </w:t>
      </w:r>
      <w:r w:rsidR="00C22817" w:rsidRPr="00D26A35">
        <w:rPr>
          <w:rFonts w:asciiTheme="minorHAnsi" w:hAnsiTheme="minorHAnsi" w:cstheme="minorHAnsi"/>
          <w:szCs w:val="24"/>
        </w:rPr>
        <w:t>contributes actively to the Interagency Security Management Network (IASMN).</w:t>
      </w:r>
    </w:p>
    <w:p w14:paraId="4750CFF3" w14:textId="3CDE3F66" w:rsidR="004D05A3" w:rsidRPr="00D26A35" w:rsidRDefault="00244D43" w:rsidP="00564318">
      <w:pPr>
        <w:spacing w:after="120"/>
        <w:jc w:val="both"/>
        <w:rPr>
          <w:rFonts w:asciiTheme="minorHAnsi" w:hAnsiTheme="minorHAnsi" w:cstheme="minorHAnsi"/>
          <w:color w:val="333333"/>
          <w:spacing w:val="2"/>
        </w:rPr>
      </w:pPr>
      <w:r w:rsidRPr="00D26A35">
        <w:rPr>
          <w:rFonts w:asciiTheme="minorHAnsi" w:hAnsiTheme="minorHAnsi" w:cstheme="minorHAnsi"/>
        </w:rPr>
        <w:t>6</w:t>
      </w:r>
      <w:r w:rsidR="00084356" w:rsidRPr="00D26A35">
        <w:rPr>
          <w:rFonts w:asciiTheme="minorHAnsi" w:hAnsiTheme="minorHAnsi" w:cstheme="minorHAnsi"/>
        </w:rPr>
        <w:t>.</w:t>
      </w:r>
      <w:r w:rsidR="00AA7735" w:rsidRPr="00D26A35">
        <w:rPr>
          <w:rFonts w:asciiTheme="minorHAnsi" w:hAnsiTheme="minorHAnsi" w:cstheme="minorHAnsi"/>
        </w:rPr>
        <w:t>3</w:t>
      </w:r>
      <w:r w:rsidR="00816A89" w:rsidRPr="00D26A35">
        <w:rPr>
          <w:rFonts w:asciiTheme="minorHAnsi" w:hAnsiTheme="minorHAnsi" w:cstheme="minorHAnsi"/>
        </w:rPr>
        <w:t xml:space="preserve"> </w:t>
      </w:r>
      <w:r w:rsidR="00656454" w:rsidRPr="00D26A35">
        <w:rPr>
          <w:rFonts w:asciiTheme="minorHAnsi" w:hAnsiTheme="minorHAnsi" w:cstheme="minorHAnsi"/>
          <w:color w:val="000000" w:themeColor="text1"/>
        </w:rPr>
        <w:tab/>
      </w:r>
      <w:r w:rsidR="004D05A3" w:rsidRPr="00D26A35">
        <w:rPr>
          <w:rFonts w:asciiTheme="minorHAnsi" w:hAnsiTheme="minorHAnsi" w:cstheme="minorHAnsi"/>
          <w:color w:val="000000" w:themeColor="text1"/>
        </w:rPr>
        <w:t xml:space="preserve">ITU is also a member of </w:t>
      </w:r>
      <w:r w:rsidR="004D05A3" w:rsidRPr="00D26A35">
        <w:rPr>
          <w:rFonts w:asciiTheme="minorHAnsi" w:hAnsiTheme="minorHAnsi" w:cstheme="minorHAnsi"/>
          <w:color w:val="000000" w:themeColor="text1"/>
          <w:spacing w:val="2"/>
        </w:rPr>
        <w:t>the UN Sustainable Development Group (UNSDG), which serves as a high-level forum for joint policy formation and decision-making. It guides, supports, tracks and oversees the coordination of development operations in 162 countries and territories.</w:t>
      </w:r>
      <w:r w:rsidR="004F0D8D" w:rsidRPr="00D26A35">
        <w:rPr>
          <w:rFonts w:asciiTheme="minorHAnsi" w:hAnsiTheme="minorHAnsi" w:cstheme="minorBidi"/>
          <w:lang w:val="en-US"/>
        </w:rPr>
        <w:t xml:space="preserve"> </w:t>
      </w:r>
      <w:r w:rsidR="004F0D8D" w:rsidRPr="00D26A35">
        <w:rPr>
          <w:rFonts w:eastAsia="Calibri" w:cs="Calibri"/>
          <w:sz w:val="22"/>
          <w:szCs w:val="22"/>
          <w:lang w:val="en-US"/>
        </w:rPr>
        <w:t xml:space="preserve">ITU </w:t>
      </w:r>
      <w:r w:rsidR="004F0D8D" w:rsidRPr="006E0EA9">
        <w:rPr>
          <w:rFonts w:eastAsia="Calibri" w:cs="Calibri"/>
          <w:szCs w:val="24"/>
          <w:lang w:val="en-US"/>
        </w:rPr>
        <w:t xml:space="preserve">has signed </w:t>
      </w:r>
      <w:r w:rsidR="006E0EA9" w:rsidRPr="006E0EA9">
        <w:rPr>
          <w:rFonts w:eastAsia="Calibri" w:cs="Calibri"/>
          <w:szCs w:val="24"/>
          <w:lang w:val="en-US"/>
        </w:rPr>
        <w:t xml:space="preserve">several </w:t>
      </w:r>
      <w:r w:rsidR="004F0D8D" w:rsidRPr="006E0EA9">
        <w:rPr>
          <w:rFonts w:eastAsia="Calibri" w:cs="Calibri"/>
          <w:szCs w:val="24"/>
          <w:lang w:val="en-US"/>
        </w:rPr>
        <w:t>United Nations Sustainable Development Cooperation Framework</w:t>
      </w:r>
      <w:r w:rsidR="00ED6D10">
        <w:rPr>
          <w:rFonts w:eastAsia="Calibri" w:cs="Calibri"/>
          <w:szCs w:val="24"/>
          <w:lang w:val="en-US"/>
        </w:rPr>
        <w:t>s (</w:t>
      </w:r>
      <w:r w:rsidR="00ED6D10" w:rsidRPr="006E0EA9">
        <w:rPr>
          <w:rFonts w:eastAsia="Calibri" w:cs="Calibri"/>
          <w:szCs w:val="24"/>
          <w:lang w:val="en-US"/>
        </w:rPr>
        <w:t>UNSDCF</w:t>
      </w:r>
      <w:r w:rsidR="004F0D8D" w:rsidRPr="006E0EA9">
        <w:rPr>
          <w:rFonts w:eastAsia="Calibri" w:cs="Calibri"/>
          <w:szCs w:val="24"/>
          <w:lang w:val="en-US"/>
        </w:rPr>
        <w:t xml:space="preserve">) </w:t>
      </w:r>
      <w:r w:rsidR="006E0EA9" w:rsidRPr="006E0EA9">
        <w:rPr>
          <w:rFonts w:eastAsia="Calibri" w:cs="Calibri"/>
          <w:szCs w:val="24"/>
          <w:lang w:val="en-US"/>
        </w:rPr>
        <w:t xml:space="preserve">through </w:t>
      </w:r>
      <w:r w:rsidR="004F0D8D" w:rsidRPr="006E0EA9">
        <w:rPr>
          <w:rFonts w:eastAsia="Calibri" w:cs="Calibri"/>
          <w:szCs w:val="24"/>
          <w:lang w:val="en-US"/>
        </w:rPr>
        <w:t xml:space="preserve">some of its regional offices and </w:t>
      </w:r>
      <w:r w:rsidR="006E0EA9" w:rsidRPr="006E0EA9">
        <w:rPr>
          <w:rFonts w:eastAsia="Calibri" w:cs="Calibri"/>
          <w:szCs w:val="24"/>
          <w:lang w:val="en-US"/>
        </w:rPr>
        <w:t xml:space="preserve">is part of UN Country Teams </w:t>
      </w:r>
      <w:r w:rsidR="004F0D8D" w:rsidRPr="006E0EA9">
        <w:rPr>
          <w:rFonts w:eastAsia="Calibri" w:cs="Calibri"/>
          <w:szCs w:val="24"/>
          <w:lang w:val="en-US"/>
        </w:rPr>
        <w:t xml:space="preserve">in some </w:t>
      </w:r>
      <w:r w:rsidR="006E0EA9" w:rsidRPr="006E0EA9">
        <w:rPr>
          <w:rFonts w:eastAsia="Calibri" w:cs="Calibri"/>
          <w:szCs w:val="24"/>
          <w:lang w:val="en-US"/>
        </w:rPr>
        <w:t>countries</w:t>
      </w:r>
      <w:r w:rsidR="004F0D8D" w:rsidRPr="006E0EA9">
        <w:rPr>
          <w:rFonts w:eastAsia="Calibri" w:cs="Calibri"/>
          <w:szCs w:val="24"/>
          <w:lang w:val="en-US"/>
        </w:rPr>
        <w:t>. The landmark General Assembly resolution agreed by all 193 United Nations Member States on 31 May 2018 (A/RES/72/279) provides the mandates required for the Secretary-General and the UN system to take forward their collective responsibilities to make the United Nations (UN) fit for purpose to support the 2030 Agenda. As part of this reform process</w:t>
      </w:r>
      <w:r w:rsidR="006E0EA9">
        <w:rPr>
          <w:rFonts w:eastAsia="Calibri" w:cs="Calibri"/>
          <w:szCs w:val="24"/>
          <w:lang w:val="en-US"/>
        </w:rPr>
        <w:t>,</w:t>
      </w:r>
      <w:r w:rsidR="004F0D8D" w:rsidRPr="006E0EA9">
        <w:rPr>
          <w:rFonts w:eastAsia="Calibri" w:cs="Calibri"/>
          <w:szCs w:val="24"/>
          <w:lang w:val="en-US"/>
        </w:rPr>
        <w:t xml:space="preserve"> the Management and Accountability Framework (MAF) was </w:t>
      </w:r>
      <w:r w:rsidR="006E0EA9">
        <w:rPr>
          <w:rFonts w:eastAsia="Calibri" w:cs="Calibri"/>
          <w:szCs w:val="24"/>
          <w:lang w:val="en-US"/>
        </w:rPr>
        <w:t>introduced</w:t>
      </w:r>
      <w:r w:rsidR="004F0D8D" w:rsidRPr="006E0EA9">
        <w:rPr>
          <w:rFonts w:eastAsia="Calibri" w:cs="Calibri"/>
          <w:szCs w:val="24"/>
          <w:lang w:val="en-US"/>
        </w:rPr>
        <w:t xml:space="preserve"> and is a foundational piece in the reinvigoration of the Resident Coordinator (RC) system. It provides a clear, unambiguous framework for management and accountability within UN Country Teams, within the regional and global levels, and across the three levels, to ensure a consistent approach across countries in a way that remains faithful to the letter and spirit of the General Assembly resolution on the repositioning of the UN development system. The dual accountability system ensures that country representatives remain fully accountable to their respective entities on individual mandates, while periodically reporting to the RC on their individual activities and on their respective contributions to the results of the UN development system towards the achievement of the 2030 Agenda at the country level, based on the UNSDCF.</w:t>
      </w:r>
    </w:p>
    <w:p w14:paraId="590BF8BA" w14:textId="705F68CA" w:rsidR="001A347A" w:rsidRPr="00D26A35" w:rsidRDefault="004D05A3" w:rsidP="00564318">
      <w:pPr>
        <w:pStyle w:val="NormalWeb"/>
        <w:spacing w:before="120" w:beforeAutospacing="0" w:after="120" w:afterAutospacing="0"/>
        <w:jc w:val="both"/>
        <w:rPr>
          <w:rFonts w:asciiTheme="minorHAnsi" w:hAnsiTheme="minorHAnsi" w:cstheme="minorHAnsi"/>
        </w:rPr>
      </w:pPr>
      <w:r w:rsidRPr="00D26A35">
        <w:rPr>
          <w:rFonts w:asciiTheme="minorHAnsi" w:hAnsiTheme="minorHAnsi" w:cstheme="minorHAnsi"/>
        </w:rPr>
        <w:t>6.</w:t>
      </w:r>
      <w:r w:rsidR="00AA7735" w:rsidRPr="00D26A35">
        <w:rPr>
          <w:rFonts w:asciiTheme="minorHAnsi" w:hAnsiTheme="minorHAnsi" w:cstheme="minorHAnsi"/>
        </w:rPr>
        <w:t>4</w:t>
      </w:r>
      <w:r w:rsidRPr="00D26A35">
        <w:rPr>
          <w:rFonts w:asciiTheme="minorHAnsi" w:hAnsiTheme="minorHAnsi" w:cstheme="minorHAnsi"/>
        </w:rPr>
        <w:t xml:space="preserve"> </w:t>
      </w:r>
      <w:r w:rsidRPr="00D26A35">
        <w:rPr>
          <w:rFonts w:asciiTheme="minorHAnsi" w:hAnsiTheme="minorHAnsi" w:cstheme="minorHAnsi"/>
        </w:rPr>
        <w:tab/>
      </w:r>
      <w:r w:rsidR="00656454" w:rsidRPr="00D26A35">
        <w:rPr>
          <w:rFonts w:asciiTheme="minorHAnsi" w:hAnsiTheme="minorHAnsi" w:cstheme="minorHAnsi"/>
        </w:rPr>
        <w:t xml:space="preserve">Also to highlight during </w:t>
      </w:r>
      <w:r w:rsidR="006E0EA9">
        <w:rPr>
          <w:rFonts w:asciiTheme="minorHAnsi" w:hAnsiTheme="minorHAnsi" w:cstheme="minorHAnsi"/>
        </w:rPr>
        <w:t xml:space="preserve">the </w:t>
      </w:r>
      <w:r w:rsidR="00656454" w:rsidRPr="00D26A35">
        <w:rPr>
          <w:rFonts w:asciiTheme="minorHAnsi" w:hAnsiTheme="minorHAnsi" w:cstheme="minorHAnsi"/>
        </w:rPr>
        <w:t>2020 and 2021 period are the following: As</w:t>
      </w:r>
      <w:r w:rsidR="00816A89" w:rsidRPr="00D26A35">
        <w:rPr>
          <w:rFonts w:asciiTheme="minorHAnsi" w:hAnsiTheme="minorHAnsi" w:cstheme="minorHAnsi"/>
        </w:rPr>
        <w:t xml:space="preserve"> member of the Interagency Task Team (IATT) </w:t>
      </w:r>
      <w:r w:rsidR="00350569" w:rsidRPr="00D26A35">
        <w:rPr>
          <w:rFonts w:asciiTheme="minorHAnsi" w:hAnsiTheme="minorHAnsi" w:cstheme="minorHAnsi"/>
        </w:rPr>
        <w:t>on STI,</w:t>
      </w:r>
      <w:r w:rsidR="00656454" w:rsidRPr="00D26A35">
        <w:rPr>
          <w:rFonts w:asciiTheme="minorHAnsi" w:hAnsiTheme="minorHAnsi" w:cstheme="minorHAnsi"/>
        </w:rPr>
        <w:t xml:space="preserve"> ITU is </w:t>
      </w:r>
      <w:r w:rsidR="00350569" w:rsidRPr="00D26A35">
        <w:rPr>
          <w:rFonts w:asciiTheme="minorHAnsi" w:hAnsiTheme="minorHAnsi" w:cstheme="minorHAnsi"/>
        </w:rPr>
        <w:t>co-chairing its working group on gender</w:t>
      </w:r>
      <w:r w:rsidR="009F0070" w:rsidRPr="00D26A35">
        <w:rPr>
          <w:rFonts w:asciiTheme="minorHAnsi" w:hAnsiTheme="minorHAnsi" w:cstheme="minorHAnsi"/>
        </w:rPr>
        <w:t xml:space="preserve"> and </w:t>
      </w:r>
      <w:proofErr w:type="gramStart"/>
      <w:r w:rsidR="009F0070" w:rsidRPr="00D26A35">
        <w:rPr>
          <w:rFonts w:asciiTheme="minorHAnsi" w:hAnsiTheme="minorHAnsi" w:cstheme="minorHAnsi"/>
        </w:rPr>
        <w:t>STI</w:t>
      </w:r>
      <w:r w:rsidR="00350569" w:rsidRPr="00D26A35">
        <w:rPr>
          <w:rFonts w:asciiTheme="minorHAnsi" w:hAnsiTheme="minorHAnsi" w:cstheme="minorHAnsi"/>
        </w:rPr>
        <w:t>, and</w:t>
      </w:r>
      <w:proofErr w:type="gramEnd"/>
      <w:r w:rsidR="00350569" w:rsidRPr="00D26A35">
        <w:rPr>
          <w:rFonts w:asciiTheme="minorHAnsi" w:hAnsiTheme="minorHAnsi" w:cstheme="minorHAnsi"/>
        </w:rPr>
        <w:t xml:space="preserve"> is a member of </w:t>
      </w:r>
      <w:r w:rsidR="00816A89" w:rsidRPr="00D26A35">
        <w:rPr>
          <w:rFonts w:asciiTheme="minorHAnsi" w:hAnsiTheme="minorHAnsi" w:cstheme="minorHAnsi"/>
        </w:rPr>
        <w:t>working group 10: "Analytical work on emerging science and technologies and the SDGs" which, among other things, provides guidance to the agenda of the annual STI Forum</w:t>
      </w:r>
      <w:r w:rsidRPr="00D26A35">
        <w:rPr>
          <w:rFonts w:asciiTheme="minorHAnsi" w:hAnsiTheme="minorHAnsi" w:cstheme="minorHAnsi"/>
        </w:rPr>
        <w:t>.</w:t>
      </w:r>
      <w:r w:rsidR="00656454" w:rsidRPr="00D26A35">
        <w:rPr>
          <w:rFonts w:asciiTheme="minorHAnsi" w:hAnsiTheme="minorHAnsi" w:cstheme="minorHAnsi"/>
        </w:rPr>
        <w:t xml:space="preserve"> </w:t>
      </w:r>
      <w:r w:rsidR="00AE32FA" w:rsidRPr="00D26A35">
        <w:rPr>
          <w:rFonts w:asciiTheme="minorHAnsi" w:hAnsiTheme="minorHAnsi" w:cstheme="minorHAnsi"/>
        </w:rPr>
        <w:t xml:space="preserve">ITU and UNDESA co-organized a side-event on “The Era of Quantum Information Technology - Promises and Pitfalls” at the 2021 STI Forum. </w:t>
      </w:r>
      <w:r w:rsidR="00350569" w:rsidRPr="00D26A35">
        <w:rPr>
          <w:rFonts w:asciiTheme="minorHAnsi" w:hAnsiTheme="minorHAnsi" w:cstheme="minorHAnsi"/>
        </w:rPr>
        <w:t xml:space="preserve"> </w:t>
      </w:r>
    </w:p>
    <w:p w14:paraId="65F58DD2" w14:textId="25EB2705" w:rsidR="003D7C4A" w:rsidRPr="00D26A35" w:rsidRDefault="00244D43" w:rsidP="00564318">
      <w:pPr>
        <w:tabs>
          <w:tab w:val="clear" w:pos="567"/>
        </w:tabs>
        <w:spacing w:after="120"/>
        <w:jc w:val="both"/>
        <w:rPr>
          <w:rFonts w:asciiTheme="minorHAnsi" w:hAnsiTheme="minorHAnsi" w:cstheme="minorHAnsi"/>
          <w:szCs w:val="24"/>
          <w:lang w:val="en-US"/>
        </w:rPr>
      </w:pPr>
      <w:r w:rsidRPr="00D26A35">
        <w:rPr>
          <w:rFonts w:asciiTheme="minorHAnsi" w:hAnsiTheme="minorHAnsi" w:cstheme="minorHAnsi"/>
          <w:szCs w:val="24"/>
          <w:lang w:val="en-US"/>
        </w:rPr>
        <w:lastRenderedPageBreak/>
        <w:t>6</w:t>
      </w:r>
      <w:r w:rsidR="007D54CB" w:rsidRPr="00D26A35">
        <w:rPr>
          <w:rFonts w:asciiTheme="minorHAnsi" w:hAnsiTheme="minorHAnsi" w:cstheme="minorHAnsi"/>
          <w:szCs w:val="24"/>
          <w:lang w:val="en-US"/>
        </w:rPr>
        <w:t>.</w:t>
      </w:r>
      <w:r w:rsidR="00AA7735" w:rsidRPr="00D26A35">
        <w:rPr>
          <w:rFonts w:asciiTheme="minorHAnsi" w:hAnsiTheme="minorHAnsi" w:cstheme="minorHAnsi"/>
          <w:szCs w:val="24"/>
          <w:lang w:val="en-US"/>
        </w:rPr>
        <w:t>5</w:t>
      </w:r>
      <w:r w:rsidR="007D54CB" w:rsidRPr="00D26A35">
        <w:rPr>
          <w:rFonts w:asciiTheme="minorHAnsi" w:hAnsiTheme="minorHAnsi" w:cstheme="minorHAnsi"/>
          <w:szCs w:val="24"/>
          <w:lang w:val="en-US"/>
        </w:rPr>
        <w:tab/>
      </w:r>
      <w:r w:rsidR="00DA4743" w:rsidRPr="00D26A35">
        <w:rPr>
          <w:rFonts w:asciiTheme="minorHAnsi" w:hAnsiTheme="minorHAnsi" w:cstheme="minorHAnsi"/>
          <w:szCs w:val="24"/>
          <w:lang w:val="en-US"/>
        </w:rPr>
        <w:t>ITU also continues to participate actively in the work of various thematic and administrative inter-agency mechanisms and networks. In this regard, ITU chairs the Partnership for Measuring ICT for Development</w:t>
      </w:r>
      <w:r w:rsidR="00AC6177" w:rsidRPr="00D26A35">
        <w:rPr>
          <w:rFonts w:asciiTheme="minorHAnsi" w:hAnsiTheme="minorHAnsi" w:cstheme="minorHAnsi"/>
          <w:szCs w:val="24"/>
          <w:lang w:val="en-US"/>
        </w:rPr>
        <w:t>;</w:t>
      </w:r>
      <w:r w:rsidR="00DA4743" w:rsidRPr="00D26A35">
        <w:rPr>
          <w:rFonts w:asciiTheme="minorHAnsi" w:hAnsiTheme="minorHAnsi" w:cstheme="minorHAnsi"/>
          <w:szCs w:val="24"/>
          <w:lang w:val="en-US"/>
        </w:rPr>
        <w:t xml:space="preserve"> </w:t>
      </w:r>
      <w:r w:rsidR="00E7091D" w:rsidRPr="00D26A35">
        <w:rPr>
          <w:rFonts w:asciiTheme="minorHAnsi" w:hAnsiTheme="minorHAnsi" w:cstheme="minorHAnsi"/>
          <w:szCs w:val="24"/>
          <w:lang w:val="en-US"/>
        </w:rPr>
        <w:t>actively participated and provided secretariat to the UN Strategic Planning Network (UNSPN)</w:t>
      </w:r>
      <w:r w:rsidR="00C80919" w:rsidRPr="00D26A35">
        <w:rPr>
          <w:rFonts w:asciiTheme="minorHAnsi" w:hAnsiTheme="minorHAnsi" w:cstheme="minorHAnsi"/>
          <w:szCs w:val="24"/>
          <w:lang w:val="en-US"/>
        </w:rPr>
        <w:t xml:space="preserve">; </w:t>
      </w:r>
      <w:r w:rsidR="00285CAC" w:rsidRPr="00D26A35">
        <w:rPr>
          <w:rFonts w:asciiTheme="minorHAnsi" w:hAnsiTheme="minorHAnsi" w:cstheme="minorHAnsi"/>
          <w:szCs w:val="24"/>
          <w:lang w:val="en-US"/>
        </w:rPr>
        <w:t xml:space="preserve">currently </w:t>
      </w:r>
      <w:r w:rsidR="00C80919" w:rsidRPr="00D26A35">
        <w:rPr>
          <w:rFonts w:asciiTheme="minorHAnsi" w:hAnsiTheme="minorHAnsi" w:cstheme="minorHAnsi"/>
          <w:szCs w:val="24"/>
          <w:lang w:val="en-US"/>
        </w:rPr>
        <w:t xml:space="preserve">holds the rotational </w:t>
      </w:r>
      <w:r w:rsidR="00510802" w:rsidRPr="00D26A35">
        <w:rPr>
          <w:rFonts w:asciiTheme="minorHAnsi" w:hAnsiTheme="minorHAnsi" w:cstheme="minorHAnsi"/>
          <w:szCs w:val="24"/>
          <w:lang w:val="en-US"/>
        </w:rPr>
        <w:t>Chairmanship</w:t>
      </w:r>
      <w:r w:rsidR="00C80919" w:rsidRPr="00D26A35">
        <w:rPr>
          <w:rFonts w:asciiTheme="minorHAnsi" w:hAnsiTheme="minorHAnsi" w:cstheme="minorHAnsi"/>
          <w:szCs w:val="24"/>
          <w:lang w:val="en-US"/>
        </w:rPr>
        <w:t xml:space="preserve"> of the United Nations Group on the Information Society (UNGIS); </w:t>
      </w:r>
      <w:r w:rsidR="00A63599" w:rsidRPr="00D26A35">
        <w:rPr>
          <w:rFonts w:asciiTheme="minorHAnsi" w:hAnsiTheme="minorHAnsi" w:cstheme="minorHAnsi"/>
          <w:szCs w:val="24"/>
          <w:lang w:val="en-US"/>
        </w:rPr>
        <w:t>is a member of the Steering Committee of the United Nations Geospatial Network</w:t>
      </w:r>
      <w:r w:rsidR="005B4CAF" w:rsidRPr="00D26A35">
        <w:rPr>
          <w:rFonts w:asciiTheme="minorHAnsi" w:hAnsiTheme="minorHAnsi" w:cstheme="minorHAnsi"/>
          <w:szCs w:val="24"/>
          <w:lang w:val="en-US"/>
        </w:rPr>
        <w:t>; and occupies one of the 33 seats allocated in the United Nations Joint Staff Pension Board (UNJSPB)</w:t>
      </w:r>
      <w:r w:rsidR="00DA4743" w:rsidRPr="00D26A35">
        <w:rPr>
          <w:rFonts w:asciiTheme="minorHAnsi" w:hAnsiTheme="minorHAnsi" w:cstheme="minorHAnsi"/>
          <w:szCs w:val="24"/>
          <w:lang w:val="en-US"/>
        </w:rPr>
        <w:t xml:space="preserve">. </w:t>
      </w:r>
      <w:r w:rsidR="008B2923" w:rsidRPr="00D26A35">
        <w:rPr>
          <w:rFonts w:asciiTheme="minorHAnsi" w:hAnsiTheme="minorHAnsi" w:cstheme="minorHAnsi"/>
          <w:szCs w:val="24"/>
          <w:lang w:val="en-US"/>
        </w:rPr>
        <w:t xml:space="preserve">A full list of UN inter-agency coordination mechanisms, </w:t>
      </w:r>
      <w:proofErr w:type="gramStart"/>
      <w:r w:rsidR="008B2923" w:rsidRPr="00D26A35">
        <w:rPr>
          <w:rFonts w:asciiTheme="minorHAnsi" w:hAnsiTheme="minorHAnsi" w:cstheme="minorHAnsi"/>
          <w:szCs w:val="24"/>
          <w:lang w:val="en-US"/>
        </w:rPr>
        <w:t>networks</w:t>
      </w:r>
      <w:proofErr w:type="gramEnd"/>
      <w:r w:rsidR="008B2923" w:rsidRPr="00D26A35">
        <w:rPr>
          <w:rFonts w:asciiTheme="minorHAnsi" w:hAnsiTheme="minorHAnsi" w:cstheme="minorHAnsi"/>
          <w:szCs w:val="24"/>
          <w:lang w:val="en-US"/>
        </w:rPr>
        <w:t xml:space="preserve"> and groups in which ITU participates is provided in Annex.</w:t>
      </w:r>
      <w:r w:rsidR="00A013D4" w:rsidRPr="00D26A35">
        <w:rPr>
          <w:rFonts w:asciiTheme="minorHAnsi" w:hAnsiTheme="minorHAnsi" w:cstheme="minorHAnsi"/>
          <w:szCs w:val="24"/>
        </w:rPr>
        <w:t xml:space="preserve"> The majority of </w:t>
      </w:r>
      <w:r w:rsidR="00A013D4" w:rsidRPr="00D26A35">
        <w:rPr>
          <w:rFonts w:asciiTheme="minorHAnsi" w:hAnsiTheme="minorHAnsi" w:cstheme="minorHAnsi"/>
          <w:szCs w:val="24"/>
          <w:lang w:val="en-US"/>
        </w:rPr>
        <w:t>the meetings are conducted via electronic means, a practice that is increasing.</w:t>
      </w:r>
    </w:p>
    <w:p w14:paraId="32B4802A" w14:textId="52E0285E" w:rsidR="00DA4743" w:rsidRPr="00D26A35" w:rsidRDefault="00244D43" w:rsidP="00564318">
      <w:pPr>
        <w:tabs>
          <w:tab w:val="clear" w:pos="567"/>
          <w:tab w:val="clear" w:pos="1134"/>
          <w:tab w:val="clear" w:pos="1701"/>
          <w:tab w:val="clear" w:pos="2268"/>
          <w:tab w:val="clear" w:pos="2835"/>
        </w:tabs>
        <w:snapToGrid w:val="0"/>
        <w:spacing w:before="240" w:after="120"/>
        <w:jc w:val="both"/>
        <w:rPr>
          <w:rFonts w:asciiTheme="minorHAnsi" w:hAnsiTheme="minorHAnsi" w:cstheme="minorHAnsi"/>
          <w:b/>
          <w:szCs w:val="24"/>
          <w:lang w:eastAsia="zh-CN"/>
        </w:rPr>
      </w:pPr>
      <w:r w:rsidRPr="00D26A35">
        <w:rPr>
          <w:rFonts w:asciiTheme="minorHAnsi" w:hAnsiTheme="minorHAnsi" w:cstheme="minorHAnsi"/>
          <w:b/>
          <w:szCs w:val="24"/>
          <w:lang w:eastAsia="zh-CN"/>
        </w:rPr>
        <w:t>7</w:t>
      </w:r>
      <w:r w:rsidR="00DA4743" w:rsidRPr="00D26A35">
        <w:rPr>
          <w:rFonts w:asciiTheme="minorHAnsi" w:hAnsiTheme="minorHAnsi" w:cstheme="minorHAnsi"/>
          <w:b/>
          <w:szCs w:val="24"/>
          <w:lang w:eastAsia="zh-CN"/>
        </w:rPr>
        <w:t>.</w:t>
      </w:r>
      <w:r w:rsidR="00DA4743" w:rsidRPr="00D26A35">
        <w:rPr>
          <w:rFonts w:asciiTheme="minorHAnsi" w:hAnsiTheme="minorHAnsi" w:cstheme="minorHAnsi"/>
          <w:b/>
          <w:szCs w:val="24"/>
          <w:lang w:eastAsia="zh-CN"/>
        </w:rPr>
        <w:tab/>
        <w:t xml:space="preserve">Key initiatives </w:t>
      </w:r>
      <w:r w:rsidR="00DA4743" w:rsidRPr="00D26A35">
        <w:rPr>
          <w:rFonts w:asciiTheme="minorHAnsi" w:hAnsiTheme="minorHAnsi" w:cstheme="minorHAnsi"/>
          <w:b/>
          <w:bCs/>
          <w:szCs w:val="24"/>
        </w:rPr>
        <w:t>with</w:t>
      </w:r>
      <w:r w:rsidR="00DA4743" w:rsidRPr="00D26A35">
        <w:rPr>
          <w:rFonts w:asciiTheme="minorHAnsi" w:hAnsiTheme="minorHAnsi" w:cstheme="minorHAnsi"/>
          <w:b/>
          <w:szCs w:val="24"/>
          <w:lang w:eastAsia="zh-CN"/>
        </w:rPr>
        <w:t xml:space="preserve"> other UN Funds, Programmes and Specialized Agencies</w:t>
      </w:r>
    </w:p>
    <w:p w14:paraId="517E5047" w14:textId="1CA6C311" w:rsidR="00B43C5D" w:rsidRPr="00D26A35" w:rsidRDefault="00244D43" w:rsidP="00564318">
      <w:pPr>
        <w:pStyle w:val="ListParagraph"/>
        <w:keepNext/>
        <w:keepLines/>
        <w:tabs>
          <w:tab w:val="clear" w:pos="567"/>
          <w:tab w:val="clear" w:pos="1134"/>
          <w:tab w:val="clear" w:pos="1701"/>
          <w:tab w:val="clear" w:pos="2268"/>
          <w:tab w:val="clear" w:pos="2835"/>
        </w:tabs>
        <w:snapToGrid w:val="0"/>
        <w:spacing w:after="120"/>
        <w:ind w:left="0"/>
        <w:contextualSpacing w:val="0"/>
        <w:jc w:val="both"/>
        <w:rPr>
          <w:rFonts w:asciiTheme="minorHAnsi" w:hAnsiTheme="minorHAnsi" w:cstheme="minorBidi"/>
          <w:b/>
          <w:bCs/>
        </w:rPr>
      </w:pPr>
      <w:r w:rsidRPr="00D26A35">
        <w:rPr>
          <w:rFonts w:asciiTheme="minorHAnsi" w:hAnsiTheme="minorHAnsi" w:cstheme="minorHAnsi"/>
          <w:bCs/>
          <w:szCs w:val="24"/>
          <w:lang w:eastAsia="zh-CN"/>
        </w:rPr>
        <w:t>7</w:t>
      </w:r>
      <w:r w:rsidR="002B60DB" w:rsidRPr="00D26A35">
        <w:rPr>
          <w:rFonts w:asciiTheme="minorHAnsi" w:hAnsiTheme="minorHAnsi" w:cstheme="minorHAnsi"/>
          <w:bCs/>
          <w:szCs w:val="24"/>
          <w:lang w:eastAsia="zh-CN"/>
        </w:rPr>
        <w:t>.1</w:t>
      </w:r>
      <w:r w:rsidR="002B60DB" w:rsidRPr="00D26A35">
        <w:rPr>
          <w:rFonts w:asciiTheme="minorHAnsi" w:hAnsiTheme="minorHAnsi" w:cstheme="minorHAnsi"/>
          <w:bCs/>
          <w:szCs w:val="24"/>
          <w:lang w:eastAsia="zh-CN"/>
        </w:rPr>
        <w:tab/>
      </w:r>
      <w:r w:rsidR="00DA4743" w:rsidRPr="00D26A35">
        <w:rPr>
          <w:rFonts w:asciiTheme="minorHAnsi" w:hAnsiTheme="minorHAnsi" w:cstheme="minorHAnsi"/>
          <w:bCs/>
          <w:szCs w:val="24"/>
          <w:lang w:eastAsia="zh-CN"/>
        </w:rPr>
        <w:t>I</w:t>
      </w:r>
      <w:r w:rsidR="00DA4743" w:rsidRPr="00D26A35">
        <w:rPr>
          <w:rFonts w:asciiTheme="minorHAnsi" w:hAnsiTheme="minorHAnsi" w:cstheme="minorHAnsi"/>
          <w:bCs/>
          <w:szCs w:val="24"/>
        </w:rPr>
        <w:t>TU continued to strengthen its relationship with UN organizations through joint initiatives promoting ICTs as enabling tools for sustainable development. K</w:t>
      </w:r>
      <w:r w:rsidR="00DA4743" w:rsidRPr="00D26A35">
        <w:rPr>
          <w:rFonts w:asciiTheme="minorHAnsi" w:hAnsiTheme="minorHAnsi" w:cstheme="minorHAnsi"/>
          <w:szCs w:val="24"/>
        </w:rPr>
        <w:t>ey new and ongoing initiatives include the following</w:t>
      </w:r>
      <w:r w:rsidR="005231A2" w:rsidRPr="00D26A35">
        <w:rPr>
          <w:rFonts w:asciiTheme="minorHAnsi" w:hAnsiTheme="minorHAnsi" w:cstheme="minorHAnsi"/>
          <w:szCs w:val="24"/>
        </w:rPr>
        <w:t>, among many other</w:t>
      </w:r>
      <w:r w:rsidR="007222FB" w:rsidRPr="00D26A35">
        <w:rPr>
          <w:rFonts w:asciiTheme="minorHAnsi" w:hAnsiTheme="minorHAnsi" w:cstheme="minorHAnsi"/>
          <w:szCs w:val="24"/>
        </w:rPr>
        <w:t>s</w:t>
      </w:r>
      <w:r w:rsidR="00DA4743" w:rsidRPr="00D26A35">
        <w:rPr>
          <w:rFonts w:asciiTheme="minorHAnsi" w:hAnsiTheme="minorHAnsi" w:cstheme="minorHAnsi"/>
          <w:szCs w:val="24"/>
        </w:rPr>
        <w:t>:</w:t>
      </w:r>
    </w:p>
    <w:p w14:paraId="4AF722AA" w14:textId="1672E9C1" w:rsidR="00B43C5D" w:rsidRPr="00D26A35" w:rsidRDefault="00B43C5D" w:rsidP="00564318">
      <w:pPr>
        <w:pStyle w:val="NoSpacing"/>
        <w:tabs>
          <w:tab w:val="clear" w:pos="567"/>
          <w:tab w:val="clear" w:pos="1134"/>
          <w:tab w:val="clear" w:pos="1701"/>
          <w:tab w:val="clear" w:pos="2268"/>
          <w:tab w:val="clear" w:pos="2835"/>
        </w:tabs>
        <w:snapToGrid w:val="0"/>
        <w:spacing w:before="120" w:after="120"/>
        <w:jc w:val="both"/>
        <w:rPr>
          <w:rFonts w:asciiTheme="minorHAnsi" w:hAnsiTheme="minorHAnsi" w:cstheme="minorBidi"/>
          <w:b/>
          <w:bCs/>
        </w:rPr>
      </w:pPr>
      <w:r w:rsidRPr="00D26A35">
        <w:rPr>
          <w:rFonts w:asciiTheme="minorHAnsi" w:hAnsiTheme="minorHAnsi" w:cstheme="minorBidi"/>
          <w:b/>
          <w:bCs/>
        </w:rPr>
        <w:t>BR</w:t>
      </w:r>
    </w:p>
    <w:p w14:paraId="56CA9526" w14:textId="649D2D38" w:rsidR="00B43C5D" w:rsidRPr="00564318" w:rsidDel="004F0209" w:rsidRDefault="00B43C5D" w:rsidP="00564318">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eastAsia="Calibri" w:hAnsiTheme="minorHAnsi" w:cstheme="minorBidi"/>
        </w:rPr>
      </w:pPr>
      <w:r w:rsidRPr="00564318">
        <w:rPr>
          <w:rFonts w:asciiTheme="minorHAnsi" w:hAnsiTheme="minorHAnsi" w:cstheme="minorBidi"/>
        </w:rPr>
        <w:t xml:space="preserve">ITU </w:t>
      </w:r>
      <w:r w:rsidRPr="00564318">
        <w:rPr>
          <w:rFonts w:asciiTheme="minorHAnsi" w:eastAsiaTheme="minorEastAsia" w:hAnsiTheme="minorHAnsi" w:cstheme="minorBidi"/>
          <w:color w:val="000000" w:themeColor="text1"/>
        </w:rPr>
        <w:t>maintained a close collaboration with several UN specialized agencies, with a view to satisfy spectrum requirements for emerging mobile, aeronautical, maritime and space radio technologies, establish a stable regulatory environment for their usage and coordinate the development relevant technical standards.</w:t>
      </w:r>
      <w:r w:rsidRPr="00564318">
        <w:rPr>
          <w:rFonts w:asciiTheme="minorHAnsi" w:hAnsiTheme="minorHAnsi" w:cstheme="minorBidi"/>
        </w:rPr>
        <w:t xml:space="preserve"> The following is a summary of the collaboration of the ITU with the following UN agencies in 2021: </w:t>
      </w:r>
    </w:p>
    <w:p w14:paraId="13EFAC75" w14:textId="0A34E6FC" w:rsidR="00B43C5D" w:rsidRPr="00564318" w:rsidRDefault="00B43C5D" w:rsidP="00564318">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Bidi"/>
        </w:rPr>
      </w:pPr>
      <w:r w:rsidRPr="00564318">
        <w:rPr>
          <w:rFonts w:asciiTheme="minorHAnsi" w:hAnsiTheme="minorHAnsi" w:cstheme="minorBidi"/>
          <w:color w:val="000000" w:themeColor="text1"/>
        </w:rPr>
        <w:t xml:space="preserve">UNOOSA: </w:t>
      </w:r>
      <w:r w:rsidRPr="00564318">
        <w:rPr>
          <w:rFonts w:asciiTheme="minorHAnsi" w:eastAsiaTheme="minorEastAsia" w:hAnsiTheme="minorHAnsi" w:cstheme="minorBidi"/>
          <w:color w:val="000000" w:themeColor="text1"/>
        </w:rPr>
        <w:t xml:space="preserve"> ITU </w:t>
      </w:r>
      <w:r w:rsidRPr="00564318">
        <w:rPr>
          <w:rFonts w:asciiTheme="minorHAnsi" w:hAnsiTheme="minorHAnsi" w:cstheme="minorBidi"/>
          <w:color w:val="000000" w:themeColor="text1"/>
        </w:rPr>
        <w:t xml:space="preserve">attended the meetings of the Scientific and </w:t>
      </w:r>
      <w:r w:rsidRPr="00564318">
        <w:rPr>
          <w:rFonts w:asciiTheme="minorHAnsi" w:hAnsiTheme="minorHAnsi" w:cstheme="minorBidi"/>
        </w:rPr>
        <w:t xml:space="preserve">Technical sub-Committee of the </w:t>
      </w:r>
      <w:r w:rsidRPr="00564318">
        <w:rPr>
          <w:rFonts w:asciiTheme="minorHAnsi" w:hAnsiTheme="minorHAnsi" w:cstheme="minorBidi"/>
          <w:color w:val="000000" w:themeColor="text1"/>
        </w:rPr>
        <w:t>Committee On the Peaceful Uses of Outer Space (COPUOS) in order to present the ITU report on the use of the geostationary-satellite orbit (GSO) and other orbits (see</w:t>
      </w:r>
      <w:r w:rsidRPr="00564318">
        <w:rPr>
          <w:rFonts w:asciiTheme="minorHAnsi" w:eastAsiaTheme="minorEastAsia" w:hAnsiTheme="minorHAnsi" w:cstheme="minorBidi"/>
          <w:color w:val="000000" w:themeColor="text1"/>
        </w:rPr>
        <w:t xml:space="preserve"> </w:t>
      </w:r>
      <w:hyperlink r:id="rId31" w:history="1">
        <w:r w:rsidRPr="00564318">
          <w:rPr>
            <w:rStyle w:val="Hyperlink"/>
            <w:rFonts w:asciiTheme="minorHAnsi" w:hAnsiTheme="minorHAnsi" w:cstheme="minorBidi"/>
          </w:rPr>
          <w:t>https://www.itu.int/en/ITU-R/space/snl/Pages/reportSTS.aspx</w:t>
        </w:r>
      </w:hyperlink>
      <w:r w:rsidRPr="00564318">
        <w:rPr>
          <w:rFonts w:asciiTheme="minorHAnsi" w:hAnsiTheme="minorHAnsi" w:cstheme="minorBidi"/>
          <w:color w:val="000000" w:themeColor="text1"/>
        </w:rPr>
        <w:t>) as well as of the Legal sub-Committee and the Plenary meeting of Committee</w:t>
      </w:r>
      <w:r w:rsidR="00250ABC" w:rsidRPr="00564318">
        <w:rPr>
          <w:rFonts w:asciiTheme="minorHAnsi" w:hAnsiTheme="minorHAnsi" w:cstheme="minorBidi"/>
          <w:color w:val="000000" w:themeColor="text1"/>
        </w:rPr>
        <w:t>;</w:t>
      </w:r>
    </w:p>
    <w:p w14:paraId="2BFC3400" w14:textId="15874A17" w:rsidR="0086557A" w:rsidRPr="00564318" w:rsidRDefault="00B43C5D" w:rsidP="00564318">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Bidi"/>
          <w:lang w:eastAsia="en-GB"/>
        </w:rPr>
      </w:pPr>
      <w:r w:rsidRPr="00564318">
        <w:rPr>
          <w:rFonts w:asciiTheme="minorHAnsi" w:hAnsiTheme="minorHAnsi" w:cstheme="minorBidi"/>
        </w:rPr>
        <w:t xml:space="preserve">ICAO: ITU actively participated </w:t>
      </w:r>
      <w:r w:rsidR="00343BC9" w:rsidRPr="00564318">
        <w:rPr>
          <w:rFonts w:asciiTheme="minorHAnsi" w:hAnsiTheme="minorHAnsi" w:cstheme="minorBidi"/>
        </w:rPr>
        <w:t xml:space="preserve">in </w:t>
      </w:r>
      <w:r w:rsidRPr="00564318">
        <w:rPr>
          <w:rFonts w:asciiTheme="minorHAnsi" w:hAnsiTheme="minorHAnsi" w:cstheme="minorBidi"/>
        </w:rPr>
        <w:t>and collaborated with the work of the ICAO Frequency Spectrum Management Panel (FSMP), </w:t>
      </w:r>
      <w:r w:rsidR="00343BC9" w:rsidRPr="00564318">
        <w:rPr>
          <w:rFonts w:asciiTheme="minorHAnsi" w:hAnsiTheme="minorHAnsi" w:cstheme="minorBidi"/>
        </w:rPr>
        <w:t>i</w:t>
      </w:r>
      <w:r w:rsidRPr="00564318">
        <w:rPr>
          <w:rFonts w:asciiTheme="minorHAnsi" w:hAnsiTheme="minorHAnsi" w:cstheme="minorBidi"/>
        </w:rPr>
        <w:t xml:space="preserve">n the following areas: development and maintenance of ICAO SARPs for aeronautical systems as well as guidance material, in particular for the update of the ICAO spectrum Handbook; development of the ICAO Position for WRC-23 and consideration of regional proposals on WRC-23 agenda items; development of input material for studies within the ITU-R as necessary to ensure that aeronautical systems are taken care of in the development of ITU-R Recommendations and Reports and in the development </w:t>
      </w:r>
      <w:r w:rsidRPr="00564318">
        <w:rPr>
          <w:rFonts w:asciiTheme="minorHAnsi" w:hAnsiTheme="minorHAnsi" w:cstheme="minorBidi"/>
          <w:szCs w:val="24"/>
        </w:rPr>
        <w:t xml:space="preserve">of </w:t>
      </w:r>
      <w:r w:rsidRPr="00564318">
        <w:rPr>
          <w:rFonts w:eastAsia="Calibri" w:cs="Calibri"/>
          <w:color w:val="000000" w:themeColor="text1"/>
          <w:szCs w:val="24"/>
        </w:rPr>
        <w:t xml:space="preserve"> proposed methods to satisfy the related agenda items of</w:t>
      </w:r>
      <w:r w:rsidRPr="00564318">
        <w:rPr>
          <w:rFonts w:asciiTheme="minorHAnsi" w:hAnsiTheme="minorHAnsi" w:cstheme="minorBidi"/>
          <w:szCs w:val="24"/>
        </w:rPr>
        <w:t xml:space="preserve"> </w:t>
      </w:r>
      <w:r w:rsidRPr="00564318">
        <w:rPr>
          <w:rFonts w:asciiTheme="minorHAnsi" w:hAnsiTheme="minorHAnsi" w:cstheme="minorBidi"/>
        </w:rPr>
        <w:t xml:space="preserve">WRC-23; consideration of issues related to harmful interference from aeronautical and non-aeronautical sources, in particular for issues related to interference to the global navigation satellite system (GNSS) and to aeronautical safety services. In this respect, ITU and ICAO secretariat coordinated actions to mitigate interference to aircraft navigation equipment in certain geographical areas. Work also continued on the alignment of ICAO and ITU frequency assignment databases and development of tools for notification of aeronautical frequencies to </w:t>
      </w:r>
      <w:proofErr w:type="gramStart"/>
      <w:r w:rsidRPr="00564318">
        <w:rPr>
          <w:rFonts w:asciiTheme="minorHAnsi" w:hAnsiTheme="minorHAnsi" w:cstheme="minorBidi"/>
        </w:rPr>
        <w:t>ITU</w:t>
      </w:r>
      <w:r w:rsidR="00250ABC" w:rsidRPr="00564318">
        <w:rPr>
          <w:rFonts w:asciiTheme="minorHAnsi" w:hAnsiTheme="minorHAnsi" w:cstheme="minorBidi"/>
        </w:rPr>
        <w:t>;</w:t>
      </w:r>
      <w:proofErr w:type="gramEnd"/>
      <w:r w:rsidRPr="00564318">
        <w:rPr>
          <w:rFonts w:asciiTheme="minorHAnsi" w:hAnsiTheme="minorHAnsi" w:cstheme="minorBidi"/>
        </w:rPr>
        <w:t xml:space="preserve"> </w:t>
      </w:r>
    </w:p>
    <w:p w14:paraId="6F45AE61" w14:textId="1AC4E2DA" w:rsidR="0086557A" w:rsidRPr="00564318" w:rsidRDefault="00B43C5D" w:rsidP="00564318">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Bidi"/>
          <w:lang w:eastAsia="en-GB"/>
        </w:rPr>
      </w:pPr>
      <w:r w:rsidRPr="00564318">
        <w:rPr>
          <w:rFonts w:asciiTheme="minorHAnsi" w:hAnsiTheme="minorHAnsi" w:cstheme="minorBidi"/>
        </w:rPr>
        <w:t xml:space="preserve">IMO: </w:t>
      </w:r>
      <w:r w:rsidRPr="00564318">
        <w:rPr>
          <w:rFonts w:asciiTheme="minorHAnsi" w:hAnsiTheme="minorHAnsi" w:cstheme="minorBidi"/>
          <w:lang w:eastAsia="en-GB"/>
        </w:rPr>
        <w:t xml:space="preserve">ITU participated in the 2021 meetings of Navigation Communication and Search and Rescue Sub-committee of IMO and the IMO/ITU Experts Group on maritime radio issues dealing with the </w:t>
      </w:r>
      <w:r w:rsidRPr="00564318">
        <w:rPr>
          <w:rFonts w:asciiTheme="minorHAnsi" w:hAnsiTheme="minorHAnsi" w:cstheme="minorBidi"/>
        </w:rPr>
        <w:t>preparations of draft IMO position on WRC-23 agenda items related to maritime issues</w:t>
      </w:r>
      <w:r w:rsidRPr="00564318">
        <w:rPr>
          <w:rFonts w:asciiTheme="minorHAnsi" w:hAnsiTheme="minorHAnsi" w:cstheme="minorBidi"/>
          <w:lang w:eastAsia="en-GB"/>
        </w:rPr>
        <w:t>. IMO secretariat participated in the meetings of ITU-R Working Parties 5B and 4C.  Joint work continues on modernization of Global Maritime Distress and Safety System and alignment of the treaty documents of the two organizations: ITU’s Radio Regulations and IMO Safety of Life at Sea Convention (SOLAS</w:t>
      </w:r>
      <w:proofErr w:type="gramStart"/>
      <w:r w:rsidRPr="00564318">
        <w:rPr>
          <w:rFonts w:asciiTheme="minorHAnsi" w:hAnsiTheme="minorHAnsi" w:cstheme="minorBidi"/>
          <w:lang w:eastAsia="en-GB"/>
        </w:rPr>
        <w:t>)</w:t>
      </w:r>
      <w:r w:rsidR="00250ABC" w:rsidRPr="00564318">
        <w:rPr>
          <w:rFonts w:asciiTheme="minorHAnsi" w:hAnsiTheme="minorHAnsi" w:cstheme="minorBidi"/>
          <w:lang w:eastAsia="en-GB"/>
        </w:rPr>
        <w:t>;</w:t>
      </w:r>
      <w:proofErr w:type="gramEnd"/>
    </w:p>
    <w:p w14:paraId="4B324089" w14:textId="6866D4F6" w:rsidR="00B43C5D" w:rsidRPr="00564318" w:rsidRDefault="0086557A" w:rsidP="00564318">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b/>
          <w:bCs/>
          <w:szCs w:val="24"/>
        </w:rPr>
      </w:pPr>
      <w:r w:rsidRPr="00564318">
        <w:rPr>
          <w:rFonts w:asciiTheme="minorHAnsi" w:hAnsiTheme="minorHAnsi" w:cstheme="minorBidi"/>
          <w:lang w:eastAsia="en-GB"/>
        </w:rPr>
        <w:lastRenderedPageBreak/>
        <w:t xml:space="preserve">WMO: ITU continues to make joint action with WMO to develop WMO Integrated Global Observing System (WIGOS) and to provide spectrum access for incumbent and new space and terrestrial observing system. ITU experts </w:t>
      </w:r>
      <w:r w:rsidR="00343BC9" w:rsidRPr="00564318">
        <w:rPr>
          <w:rFonts w:asciiTheme="minorHAnsi" w:hAnsiTheme="minorHAnsi" w:cstheme="minorBidi"/>
          <w:lang w:eastAsia="en-GB"/>
        </w:rPr>
        <w:t xml:space="preserve">provide </w:t>
      </w:r>
      <w:r w:rsidRPr="00564318">
        <w:rPr>
          <w:rFonts w:asciiTheme="minorHAnsi" w:hAnsiTheme="minorHAnsi" w:cstheme="minorBidi"/>
          <w:lang w:eastAsia="en-GB"/>
        </w:rPr>
        <w:t xml:space="preserve">support for WMO Steering Group for Radio Frequency Coordination and Inter-Programme Team on Space Weather Information, Systems and Services activities. ITU experts are part of the Expert Team of the WMO Global Multi-hazard Alert System (ET-GMAS) working on standardized and authoritative multi-hazard alerts and warnings. ITU staff assisted in </w:t>
      </w:r>
      <w:r w:rsidR="00343BC9" w:rsidRPr="00564318">
        <w:rPr>
          <w:rFonts w:asciiTheme="minorHAnsi" w:hAnsiTheme="minorHAnsi" w:cstheme="minorBidi"/>
          <w:lang w:eastAsia="en-GB"/>
        </w:rPr>
        <w:t xml:space="preserve">the </w:t>
      </w:r>
      <w:r w:rsidRPr="00564318">
        <w:rPr>
          <w:rFonts w:asciiTheme="minorHAnsi" w:hAnsiTheme="minorHAnsi" w:cstheme="minorBidi"/>
          <w:lang w:eastAsia="en-GB"/>
        </w:rPr>
        <w:t xml:space="preserve">latest structure reform of WMO, as approved by </w:t>
      </w:r>
      <w:r w:rsidR="00343BC9" w:rsidRPr="00564318">
        <w:rPr>
          <w:rFonts w:asciiTheme="minorHAnsi" w:hAnsiTheme="minorHAnsi" w:cstheme="minorBidi"/>
          <w:lang w:eastAsia="en-GB"/>
        </w:rPr>
        <w:t xml:space="preserve">the </w:t>
      </w:r>
      <w:r w:rsidRPr="00564318">
        <w:rPr>
          <w:rFonts w:asciiTheme="minorHAnsi" w:hAnsiTheme="minorHAnsi" w:cstheme="minorBidi"/>
          <w:lang w:eastAsia="en-GB"/>
        </w:rPr>
        <w:t>World Meteorological Congress 2019.</w:t>
      </w:r>
    </w:p>
    <w:p w14:paraId="7E7824FA" w14:textId="77777777" w:rsidR="00CA5789" w:rsidRPr="00D26A35" w:rsidRDefault="00CA5789" w:rsidP="00564318">
      <w:pPr>
        <w:pStyle w:val="ListParagraph"/>
        <w:keepNext/>
        <w:keepLines/>
        <w:tabs>
          <w:tab w:val="clear" w:pos="567"/>
          <w:tab w:val="clear" w:pos="1134"/>
          <w:tab w:val="clear" w:pos="1701"/>
          <w:tab w:val="clear" w:pos="2268"/>
          <w:tab w:val="clear" w:pos="2835"/>
        </w:tabs>
        <w:snapToGrid w:val="0"/>
        <w:spacing w:after="120"/>
        <w:ind w:left="0"/>
        <w:contextualSpacing w:val="0"/>
        <w:jc w:val="both"/>
        <w:rPr>
          <w:rFonts w:asciiTheme="minorHAnsi" w:hAnsiTheme="minorHAnsi" w:cstheme="minorHAnsi"/>
          <w:b/>
          <w:bCs/>
          <w:szCs w:val="24"/>
        </w:rPr>
      </w:pPr>
      <w:bookmarkStart w:id="9" w:name="_Hlk94873693"/>
      <w:r w:rsidRPr="00D26A35">
        <w:rPr>
          <w:rFonts w:asciiTheme="minorHAnsi" w:hAnsiTheme="minorHAnsi" w:cstheme="minorHAnsi"/>
          <w:b/>
          <w:bCs/>
          <w:szCs w:val="24"/>
        </w:rPr>
        <w:t>TSB</w:t>
      </w:r>
    </w:p>
    <w:p w14:paraId="622F7810" w14:textId="10F8035B" w:rsidR="00CA5789" w:rsidRPr="00D26A35" w:rsidRDefault="00CA5789"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hAnsiTheme="minorHAnsi" w:cstheme="minorHAnsi"/>
          <w:szCs w:val="24"/>
        </w:rPr>
      </w:pPr>
      <w:r w:rsidRPr="00D26A35">
        <w:rPr>
          <w:rFonts w:asciiTheme="minorHAnsi" w:hAnsiTheme="minorHAnsi" w:cstheme="minorHAnsi"/>
          <w:szCs w:val="24"/>
        </w:rPr>
        <w:t xml:space="preserve">In 2021, the </w:t>
      </w:r>
      <w:hyperlink r:id="rId32" w:history="1">
        <w:r w:rsidRPr="00D26A35">
          <w:rPr>
            <w:rStyle w:val="Hyperlink"/>
            <w:rFonts w:asciiTheme="minorHAnsi" w:eastAsia="Gulim" w:hAnsiTheme="minorHAnsi" w:cstheme="minorHAnsi"/>
            <w:szCs w:val="24"/>
          </w:rPr>
          <w:t>AI for Good</w:t>
        </w:r>
      </w:hyperlink>
      <w:r w:rsidRPr="00D26A35">
        <w:rPr>
          <w:rFonts w:asciiTheme="minorHAnsi" w:hAnsiTheme="minorHAnsi" w:cstheme="minorHAnsi"/>
          <w:szCs w:val="24"/>
        </w:rPr>
        <w:t xml:space="preserve">, </w:t>
      </w:r>
      <w:proofErr w:type="gramStart"/>
      <w:r w:rsidRPr="00D26A35">
        <w:rPr>
          <w:rFonts w:asciiTheme="minorHAnsi" w:hAnsiTheme="minorHAnsi" w:cstheme="minorHAnsi"/>
          <w:szCs w:val="24"/>
        </w:rPr>
        <w:t>the all</w:t>
      </w:r>
      <w:proofErr w:type="gramEnd"/>
      <w:r w:rsidRPr="00D26A35">
        <w:rPr>
          <w:rFonts w:asciiTheme="minorHAnsi" w:hAnsiTheme="minorHAnsi" w:cstheme="minorHAnsi"/>
          <w:szCs w:val="24"/>
        </w:rPr>
        <w:t xml:space="preserve"> year digital platform always online, offered </w:t>
      </w:r>
      <w:hyperlink r:id="rId33" w:history="1">
        <w:r w:rsidRPr="00D26A35">
          <w:rPr>
            <w:rStyle w:val="Hyperlink"/>
            <w:rFonts w:asciiTheme="minorHAnsi" w:hAnsiTheme="minorHAnsi" w:cstheme="minorHAnsi"/>
            <w:szCs w:val="24"/>
          </w:rPr>
          <w:t>continuous programming</w:t>
        </w:r>
      </w:hyperlink>
      <w:r w:rsidRPr="00D26A35">
        <w:rPr>
          <w:rFonts w:asciiTheme="minorHAnsi" w:hAnsiTheme="minorHAnsi" w:cstheme="minorHAnsi"/>
          <w:szCs w:val="24"/>
        </w:rPr>
        <w:t xml:space="preserve">. Close to 40 UN sister agencies are partners. Switzerland is co-convener of </w:t>
      </w:r>
      <w:hyperlink r:id="rId34" w:history="1">
        <w:r w:rsidRPr="00D26A35">
          <w:rPr>
            <w:rStyle w:val="Hyperlink"/>
            <w:rFonts w:asciiTheme="minorHAnsi" w:hAnsiTheme="minorHAnsi" w:cstheme="minorHAnsi"/>
            <w:szCs w:val="24"/>
          </w:rPr>
          <w:t>AI for Good</w:t>
        </w:r>
      </w:hyperlink>
      <w:r w:rsidR="00250ABC">
        <w:rPr>
          <w:rFonts w:asciiTheme="minorHAnsi" w:hAnsiTheme="minorHAnsi" w:cstheme="minorHAnsi"/>
          <w:szCs w:val="24"/>
        </w:rPr>
        <w:t>;</w:t>
      </w:r>
    </w:p>
    <w:p w14:paraId="521DF7B8" w14:textId="716B461A" w:rsidR="00CA5789" w:rsidRPr="00D26A35" w:rsidRDefault="00CA5789"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hAnsiTheme="minorHAnsi" w:cstheme="minorHAnsi"/>
          <w:szCs w:val="24"/>
        </w:rPr>
      </w:pPr>
      <w:r w:rsidRPr="00D26A35">
        <w:rPr>
          <w:rFonts w:asciiTheme="minorHAnsi" w:hAnsiTheme="minorHAnsi" w:cstheme="minorHAnsi"/>
          <w:szCs w:val="24"/>
        </w:rPr>
        <w:t>The</w:t>
      </w:r>
      <w:r w:rsidRPr="00D26A35">
        <w:rPr>
          <w:rFonts w:asciiTheme="minorHAnsi" w:hAnsiTheme="minorHAnsi" w:cstheme="minorHAnsi"/>
          <w:b/>
          <w:szCs w:val="24"/>
        </w:rPr>
        <w:t xml:space="preserve"> </w:t>
      </w:r>
      <w:hyperlink r:id="rId35" w:history="1">
        <w:r w:rsidRPr="00D26A35">
          <w:rPr>
            <w:rStyle w:val="Hyperlink"/>
            <w:rFonts w:asciiTheme="minorHAnsi" w:eastAsia="Gulim" w:hAnsiTheme="minorHAnsi" w:cstheme="minorHAnsi"/>
            <w:szCs w:val="24"/>
          </w:rPr>
          <w:t>Financial Inclusion Global Initiative (FIGI)</w:t>
        </w:r>
      </w:hyperlink>
      <w:r w:rsidRPr="00D26A35">
        <w:rPr>
          <w:rFonts w:asciiTheme="minorHAnsi" w:hAnsiTheme="minorHAnsi" w:cstheme="minorHAnsi"/>
          <w:szCs w:val="24"/>
        </w:rPr>
        <w:t xml:space="preserve"> is a three-year programme of collective action led by ITU, the World Bank Group and the Committee on Payments and Market Infrastructures, with support from the Bill &amp; Melinda Gates Foundation. FIGI is designed to advance research in digital finance and accelerate digital financial inclusion in developing countries. ITU leads the FIGI Security, Infrastructure and Trust Working Group as well as the organization of FIGI symposia. The third FIGI Symposium was held virtually over six weeks from 18 May to 24 June 2021</w:t>
      </w:r>
      <w:r w:rsidR="00250ABC">
        <w:rPr>
          <w:rFonts w:asciiTheme="minorHAnsi" w:hAnsiTheme="minorHAnsi" w:cstheme="minorHAnsi"/>
          <w:szCs w:val="24"/>
        </w:rPr>
        <w:t>;</w:t>
      </w:r>
    </w:p>
    <w:p w14:paraId="62B53BFD" w14:textId="698B575E" w:rsidR="00CA5789" w:rsidRPr="00D26A35" w:rsidRDefault="00CA5789"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hAnsiTheme="minorHAnsi" w:cstheme="minorHAnsi"/>
          <w:szCs w:val="24"/>
        </w:rPr>
      </w:pPr>
      <w:r w:rsidRPr="00D26A35">
        <w:rPr>
          <w:rFonts w:asciiTheme="minorHAnsi" w:hAnsiTheme="minorHAnsi" w:cstheme="minorHAnsi"/>
          <w:szCs w:val="24"/>
        </w:rPr>
        <w:t xml:space="preserve">The </w:t>
      </w:r>
      <w:hyperlink r:id="rId36" w:history="1">
        <w:r w:rsidRPr="00D26A35">
          <w:rPr>
            <w:rStyle w:val="Hyperlink"/>
            <w:rFonts w:asciiTheme="minorHAnsi" w:hAnsiTheme="minorHAnsi" w:cstheme="minorHAnsi"/>
            <w:szCs w:val="24"/>
          </w:rPr>
          <w:t>ITU/WMO/UNESCO-IOC Joint Task Force on SMART Cable Systems</w:t>
        </w:r>
      </w:hyperlink>
      <w:r w:rsidRPr="00D26A35">
        <w:rPr>
          <w:rFonts w:asciiTheme="minorHAnsi" w:hAnsiTheme="minorHAnsi" w:cstheme="minorHAnsi"/>
          <w:bCs/>
          <w:szCs w:val="24"/>
        </w:rPr>
        <w:t xml:space="preserve"> </w:t>
      </w:r>
      <w:r w:rsidRPr="00D26A35">
        <w:rPr>
          <w:rFonts w:asciiTheme="minorHAnsi" w:hAnsiTheme="minorHAnsi" w:cstheme="minorHAnsi"/>
          <w:szCs w:val="24"/>
        </w:rPr>
        <w:t>is leading an ambitious project to equip submarine communications cables with scientific sensors (e.g., sea water temperature, pressure, water movement) that could be used for climate change monitoring and tsunami early warning (“</w:t>
      </w:r>
      <w:r w:rsidRPr="00D26A35">
        <w:t>Science Monitoring And Reliable Telecommunications (SMART) cables”)</w:t>
      </w:r>
      <w:r w:rsidRPr="00D26A35">
        <w:rPr>
          <w:rFonts w:asciiTheme="minorHAnsi" w:hAnsiTheme="minorHAnsi" w:cstheme="minorHAnsi"/>
          <w:szCs w:val="24"/>
        </w:rPr>
        <w:t xml:space="preserve">. </w:t>
      </w:r>
      <w:r w:rsidRPr="00D26A35">
        <w:t>The minimum set of requirements established by the Joint Task Force are now feeding into ITU-T standardization work, with two new work items established in 2021 on SMART submarine cable systems (</w:t>
      </w:r>
      <w:proofErr w:type="spellStart"/>
      <w:r w:rsidR="00A41D78">
        <w:fldChar w:fldCharType="begin"/>
      </w:r>
      <w:r w:rsidR="00A41D78">
        <w:instrText xml:space="preserve"> HYPERLINK "https://www.itu.int/ITU-T/workprog/wp_item.aspx?isn=17089" </w:instrText>
      </w:r>
      <w:r w:rsidR="00A41D78">
        <w:fldChar w:fldCharType="separate"/>
      </w:r>
      <w:r w:rsidRPr="00D26A35">
        <w:rPr>
          <w:rStyle w:val="Hyperlink"/>
          <w:u w:val="none"/>
        </w:rPr>
        <w:t>G.smart</w:t>
      </w:r>
      <w:proofErr w:type="spellEnd"/>
      <w:r w:rsidR="00A41D78">
        <w:rPr>
          <w:rStyle w:val="Hyperlink"/>
          <w:u w:val="none"/>
        </w:rPr>
        <w:fldChar w:fldCharType="end"/>
      </w:r>
      <w:r w:rsidRPr="00D26A35">
        <w:t>) and dedicated scientific sensing submarine cable system (</w:t>
      </w:r>
      <w:proofErr w:type="spellStart"/>
      <w:r w:rsidR="00A41D78">
        <w:fldChar w:fldCharType="begin"/>
      </w:r>
      <w:r w:rsidR="00A41D78">
        <w:instrText xml:space="preserve"> HYPERLINK "https://www.itu.int/ITU-T/workprog/wp_item.aspx?isn=17090" </w:instrText>
      </w:r>
      <w:r w:rsidR="00A41D78">
        <w:fldChar w:fldCharType="separate"/>
      </w:r>
      <w:r w:rsidRPr="00D26A35">
        <w:rPr>
          <w:rStyle w:val="Hyperlink"/>
          <w:u w:val="none"/>
        </w:rPr>
        <w:t>G.dsssc</w:t>
      </w:r>
      <w:proofErr w:type="spellEnd"/>
      <w:r w:rsidR="00A41D78">
        <w:rPr>
          <w:rStyle w:val="Hyperlink"/>
          <w:u w:val="none"/>
        </w:rPr>
        <w:fldChar w:fldCharType="end"/>
      </w:r>
      <w:r w:rsidRPr="00D26A35">
        <w:t>)</w:t>
      </w:r>
      <w:r w:rsidR="00250ABC">
        <w:t>;</w:t>
      </w:r>
    </w:p>
    <w:p w14:paraId="5DCB3332" w14:textId="1B6DEE32" w:rsidR="00CA5789" w:rsidRPr="00D26A35" w:rsidRDefault="00CA2100"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hAnsiTheme="minorHAnsi" w:cstheme="minorHAnsi"/>
          <w:szCs w:val="24"/>
        </w:rPr>
      </w:pPr>
      <w:hyperlink r:id="rId37" w:history="1">
        <w:r w:rsidR="00CA5789" w:rsidRPr="00D26A35">
          <w:rPr>
            <w:rStyle w:val="Hyperlink"/>
            <w:rFonts w:asciiTheme="minorHAnsi" w:hAnsiTheme="minorHAnsi" w:cstheme="minorHAnsi"/>
            <w:szCs w:val="24"/>
          </w:rPr>
          <w:t>Future Networked Car Symposium</w:t>
        </w:r>
      </w:hyperlink>
      <w:r w:rsidR="00CA5789" w:rsidRPr="00D26A35">
        <w:rPr>
          <w:rFonts w:asciiTheme="minorHAnsi" w:hAnsiTheme="minorHAnsi" w:cstheme="minorHAnsi"/>
          <w:szCs w:val="24"/>
        </w:rPr>
        <w:t xml:space="preserve">, co-organized with UNECE. </w:t>
      </w:r>
      <w:r w:rsidR="00CA5789" w:rsidRPr="00D26A35">
        <w:rPr>
          <w:rFonts w:asciiTheme="minorHAnsi" w:eastAsiaTheme="majorEastAsia" w:hAnsiTheme="minorHAnsi" w:cstheme="minorHAnsi"/>
          <w:szCs w:val="24"/>
        </w:rPr>
        <w:t>ITU-T Technical Committees (Study Groups and Focus Groups) continue to collaborate with UNECE relevant Working Parties to make sure that international technical ITU-T Recommendations be referenced by related UNECE regulations and directives</w:t>
      </w:r>
      <w:r w:rsidR="00250ABC">
        <w:rPr>
          <w:rFonts w:asciiTheme="minorHAnsi" w:eastAsiaTheme="majorEastAsia" w:hAnsiTheme="minorHAnsi" w:cstheme="minorHAnsi"/>
          <w:szCs w:val="24"/>
        </w:rPr>
        <w:t>;</w:t>
      </w:r>
    </w:p>
    <w:p w14:paraId="577800A5" w14:textId="48CEE0F2" w:rsidR="00CA5789" w:rsidRPr="00D26A35" w:rsidRDefault="00CA5789" w:rsidP="00564318">
      <w:pPr>
        <w:numPr>
          <w:ilvl w:val="0"/>
          <w:numId w:val="3"/>
        </w:numPr>
        <w:tabs>
          <w:tab w:val="clear" w:pos="567"/>
          <w:tab w:val="clear" w:pos="1134"/>
          <w:tab w:val="clear" w:pos="1701"/>
          <w:tab w:val="clear" w:pos="2268"/>
          <w:tab w:val="clear" w:pos="2835"/>
          <w:tab w:val="left" w:pos="794"/>
          <w:tab w:val="left" w:pos="1191"/>
          <w:tab w:val="left" w:pos="1588"/>
          <w:tab w:val="left" w:pos="1985"/>
        </w:tabs>
        <w:spacing w:after="120"/>
        <w:ind w:left="709" w:hanging="425"/>
        <w:jc w:val="both"/>
        <w:rPr>
          <w:rFonts w:asciiTheme="minorHAnsi" w:hAnsiTheme="minorHAnsi" w:cstheme="minorHAnsi"/>
          <w:szCs w:val="24"/>
        </w:rPr>
      </w:pPr>
      <w:r w:rsidRPr="00D26A35">
        <w:rPr>
          <w:rFonts w:asciiTheme="minorHAnsi" w:hAnsiTheme="minorHAnsi" w:cstheme="minorHAnsi"/>
          <w:szCs w:val="24"/>
        </w:rPr>
        <w:t xml:space="preserve">The </w:t>
      </w:r>
      <w:hyperlink r:id="rId38">
        <w:r w:rsidRPr="00D26A35">
          <w:rPr>
            <w:rStyle w:val="Hyperlink"/>
            <w:rFonts w:asciiTheme="minorHAnsi" w:eastAsia="Gulim" w:hAnsiTheme="minorHAnsi" w:cstheme="minorHAnsi"/>
            <w:szCs w:val="24"/>
          </w:rPr>
          <w:t>ITU-T Focus Group on AI for Health (FG AI4H)</w:t>
        </w:r>
      </w:hyperlink>
      <w:r w:rsidRPr="00D26A35">
        <w:rPr>
          <w:rFonts w:asciiTheme="minorHAnsi" w:hAnsiTheme="minorHAnsi" w:cstheme="minorHAnsi"/>
          <w:szCs w:val="24"/>
        </w:rPr>
        <w:t xml:space="preserve">, driven in close collaboration by ITU and WHO, </w:t>
      </w:r>
      <w:r w:rsidRPr="00D26A35">
        <w:rPr>
          <w:rFonts w:eastAsia="Calibri"/>
          <w:lang w:val="en-US"/>
        </w:rPr>
        <w:t xml:space="preserve">identified early in the process the lack of an independent platform to evaluate AI models. The key deliverable of FG A4H will be a complete assessment platform run by ITU/WHO in the cloud where the entire data and model ecosystem is integrated. In the platform prototype, which is currently being tested in a pilot phase, data can be uploaded and annotated, models can be tested, and evaluation metrics </w:t>
      </w:r>
      <w:proofErr w:type="gramStart"/>
      <w:r w:rsidRPr="00D26A35">
        <w:rPr>
          <w:rFonts w:eastAsia="Calibri"/>
          <w:lang w:val="en-US"/>
        </w:rPr>
        <w:t>generated</w:t>
      </w:r>
      <w:r w:rsidR="00250ABC">
        <w:rPr>
          <w:rFonts w:eastAsia="Calibri"/>
          <w:lang w:val="en-US"/>
        </w:rPr>
        <w:t>;</w:t>
      </w:r>
      <w:proofErr w:type="gramEnd"/>
    </w:p>
    <w:p w14:paraId="31BDA0F8" w14:textId="78548717" w:rsidR="00CA5789" w:rsidRPr="00D26A35" w:rsidRDefault="00CA5789"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hAnsiTheme="minorHAnsi" w:cstheme="minorHAnsi"/>
          <w:szCs w:val="24"/>
        </w:rPr>
      </w:pPr>
      <w:r w:rsidRPr="00D26A35">
        <w:rPr>
          <w:rFonts w:asciiTheme="minorHAnsi" w:hAnsiTheme="minorHAnsi" w:cstheme="minorHAnsi"/>
          <w:szCs w:val="24"/>
        </w:rPr>
        <w:t xml:space="preserve">The </w:t>
      </w:r>
      <w:hyperlink r:id="rId39">
        <w:r w:rsidRPr="00D26A35">
          <w:rPr>
            <w:rStyle w:val="Hyperlink"/>
            <w:rFonts w:asciiTheme="minorHAnsi" w:eastAsiaTheme="majorEastAsia" w:hAnsiTheme="minorHAnsi" w:cstheme="minorHAnsi"/>
            <w:szCs w:val="24"/>
          </w:rPr>
          <w:t>United for Smart Sustainable Cities (U4SSC)</w:t>
        </w:r>
      </w:hyperlink>
      <w:r w:rsidRPr="00D26A35">
        <w:rPr>
          <w:rFonts w:asciiTheme="minorHAnsi" w:eastAsiaTheme="majorEastAsia" w:hAnsiTheme="minorHAnsi" w:cstheme="minorHAnsi"/>
          <w:szCs w:val="24"/>
        </w:rPr>
        <w:t xml:space="preserve"> initiative</w:t>
      </w:r>
      <w:r w:rsidRPr="00D26A35">
        <w:rPr>
          <w:rFonts w:asciiTheme="minorHAnsi" w:hAnsiTheme="minorHAnsi" w:cstheme="minorHAnsi"/>
          <w:szCs w:val="24"/>
        </w:rPr>
        <w:t xml:space="preserve"> is supported by 17 UN bodies with the aim of achieving SDG11: ‘Make cities and human settlements inclusive, safe, resilient and sustainable’. U4SSC held its 6</w:t>
      </w:r>
      <w:r w:rsidRPr="00D26A35">
        <w:rPr>
          <w:rFonts w:asciiTheme="minorHAnsi" w:hAnsiTheme="minorHAnsi" w:cstheme="minorHAnsi"/>
          <w:szCs w:val="24"/>
          <w:vertAlign w:val="superscript"/>
        </w:rPr>
        <w:t>th</w:t>
      </w:r>
      <w:r w:rsidRPr="00D26A35">
        <w:rPr>
          <w:rFonts w:asciiTheme="minorHAnsi" w:hAnsiTheme="minorHAnsi" w:cstheme="minorHAnsi"/>
          <w:szCs w:val="24"/>
        </w:rPr>
        <w:t xml:space="preserve"> annual meeting on 7 December 2021, co-organized by ITU, UNECE and UN-Habitat. More than 100 cities worldwide are evaluating their progress towards the SDGs with “</w:t>
      </w:r>
      <w:hyperlink r:id="rId40" w:history="1">
        <w:r w:rsidRPr="00D26A35">
          <w:rPr>
            <w:rStyle w:val="Hyperlink"/>
            <w:rFonts w:asciiTheme="minorHAnsi" w:eastAsia="Gulim" w:hAnsiTheme="minorHAnsi" w:cstheme="minorHAnsi"/>
            <w:szCs w:val="24"/>
          </w:rPr>
          <w:t>Key Performance Indicators for Smart Sustainable Cities</w:t>
        </w:r>
      </w:hyperlink>
      <w:r w:rsidRPr="00D26A35">
        <w:rPr>
          <w:rFonts w:asciiTheme="minorHAnsi" w:hAnsiTheme="minorHAnsi" w:cstheme="minorHAnsi"/>
          <w:szCs w:val="24"/>
        </w:rPr>
        <w:t>” based on ITU standards, indicators promoted by U4SSC</w:t>
      </w:r>
      <w:r w:rsidR="00250ABC">
        <w:rPr>
          <w:rFonts w:asciiTheme="minorHAnsi" w:hAnsiTheme="minorHAnsi" w:cstheme="minorHAnsi"/>
          <w:szCs w:val="24"/>
        </w:rPr>
        <w:t>;</w:t>
      </w:r>
    </w:p>
    <w:p w14:paraId="52D51A91" w14:textId="7C080901" w:rsidR="00CA5789" w:rsidRPr="00D26A35" w:rsidRDefault="00CA5789"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hAnsiTheme="minorHAnsi" w:cstheme="minorHAnsi"/>
          <w:szCs w:val="24"/>
        </w:rPr>
      </w:pPr>
      <w:r w:rsidRPr="00D26A35">
        <w:t xml:space="preserve">A new </w:t>
      </w:r>
      <w:hyperlink r:id="rId41" w:history="1">
        <w:r w:rsidRPr="00D26A35">
          <w:rPr>
            <w:rStyle w:val="Hyperlink"/>
          </w:rPr>
          <w:t>AI for Road Safety initiative</w:t>
        </w:r>
      </w:hyperlink>
      <w:r w:rsidRPr="00D26A35">
        <w:t xml:space="preserve"> launched in October 2021 at an </w:t>
      </w:r>
      <w:hyperlink r:id="rId42" w:history="1">
        <w:r w:rsidRPr="00D26A35">
          <w:rPr>
            <w:rStyle w:val="Hyperlink"/>
          </w:rPr>
          <w:t>AI for Good webinar</w:t>
        </w:r>
      </w:hyperlink>
      <w:r w:rsidRPr="00D26A35">
        <w:rPr>
          <w:b/>
          <w:bCs/>
        </w:rPr>
        <w:t xml:space="preserve"> </w:t>
      </w:r>
      <w:r w:rsidRPr="00D26A35">
        <w:t xml:space="preserve">aims to leverage AI in enhancing the "safe system approach to road safety" in line with the UN </w:t>
      </w:r>
      <w:r w:rsidRPr="00D26A35">
        <w:lastRenderedPageBreak/>
        <w:t>General Assembly Resolution (</w:t>
      </w:r>
      <w:hyperlink r:id="rId43" w:history="1">
        <w:r w:rsidRPr="00D26A35">
          <w:rPr>
            <w:rStyle w:val="Hyperlink"/>
          </w:rPr>
          <w:t>UN A/RES/74/299</w:t>
        </w:r>
      </w:hyperlink>
      <w:r w:rsidRPr="00D26A35">
        <w:t>) on improving global road safety, which highlights the role of innovative automotive and digital technologies in this regard. The initiative is led by ITU together with the offices of the UN Secretary-General’s Special Envoy for Road Safety and the UN Secretary-General's Envoy on Technology. The initiative will also support the achievement of SDG target 3.6 to halve the annual number of global deaths and injuries from road traffic accidents by 2030, and SDG target 11.2 to provide access to safe, affordable, accessible and sustainable transport systems for all by 2030</w:t>
      </w:r>
      <w:r w:rsidR="00250ABC">
        <w:t>;</w:t>
      </w:r>
    </w:p>
    <w:p w14:paraId="546909A9" w14:textId="6C4A76EF" w:rsidR="00CA5789" w:rsidRPr="00D26A35" w:rsidRDefault="00CA5789"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hAnsiTheme="minorHAnsi" w:cstheme="minorHAnsi"/>
          <w:szCs w:val="24"/>
        </w:rPr>
      </w:pPr>
      <w:r w:rsidRPr="00D26A35">
        <w:t xml:space="preserve">The </w:t>
      </w:r>
      <w:hyperlink r:id="rId44" w:tgtFrame="_blank" w:tooltip="https://www.itu.int/en/itu-t/focusgroups/ai4a/pages/default.aspx" w:history="1">
        <w:r w:rsidRPr="00D26A35">
          <w:rPr>
            <w:rStyle w:val="Hyperlink"/>
          </w:rPr>
          <w:t>ITU-T Focus Group on AI and IoT for Digital Agriculture (FG-AI4A)</w:t>
        </w:r>
      </w:hyperlink>
      <w:r w:rsidRPr="00D26A35">
        <w:t>, established in October 2021, is examining emerging cyber-physical systems as groundwork for standardization to stimulate their deployment for agriculture worldwide. AI, IoT, connected services and autonomous systems together enable farmers to make decisions at the level of a single square metre or individual plant or animal, rather than entire fields or all livestock. This precision allows well-informed interventions that ultimately improve agricultural sustainability. The study aims to support global progress in areas such as precision farming, predictive analytics for smart farming, the optimization of cultivable acreage, remote cattle monitoring and management, agricultural robotics, and greenhouse automation. The group works in close collaboration with the </w:t>
      </w:r>
      <w:hyperlink r:id="rId45" w:history="1">
        <w:r w:rsidRPr="00D26A35">
          <w:rPr>
            <w:rStyle w:val="Hyperlink"/>
          </w:rPr>
          <w:t>Food and Agricultural Organization of the United Nations (FAO)</w:t>
        </w:r>
      </w:hyperlink>
      <w:r w:rsidR="00250ABC">
        <w:t>;</w:t>
      </w:r>
      <w:r w:rsidRPr="00D26A35">
        <w:t xml:space="preserve"> </w:t>
      </w:r>
    </w:p>
    <w:p w14:paraId="5CA48231" w14:textId="3CE5E403" w:rsidR="00CA5789" w:rsidRPr="00D26A35" w:rsidRDefault="009A0530"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hAnsiTheme="minorHAnsi" w:cstheme="minorHAnsi"/>
          <w:szCs w:val="24"/>
        </w:rPr>
      </w:pPr>
      <w:r>
        <w:t>T</w:t>
      </w:r>
      <w:r w:rsidR="00CA5789" w:rsidRPr="00D26A35">
        <w:t xml:space="preserve">he </w:t>
      </w:r>
      <w:hyperlink r:id="rId46" w:history="1">
        <w:r w:rsidR="00CA5789" w:rsidRPr="00D26A35">
          <w:rPr>
            <w:rStyle w:val="Hyperlink"/>
          </w:rPr>
          <w:t>ITU-T Focus Group on AI for Natural Disaster Management (FG-AI4NDM)</w:t>
        </w:r>
      </w:hyperlink>
      <w:r w:rsidR="00CA5789" w:rsidRPr="00D26A35">
        <w:t>, established in December 2020, is supporting global efforts to improve our understanding and modelling of natural disasters in the interests of effective preparation and response. The group’s activities will benefit from close collaboration with the World Meteorological Organization (WMO) and the United Nations Environment Programme (UNEP).</w:t>
      </w:r>
      <w:r w:rsidR="00CA5789" w:rsidRPr="00D26A35">
        <w:rPr>
          <w:rFonts w:ascii="Times New Roman" w:hAnsi="Times New Roman"/>
          <w:szCs w:val="24"/>
        </w:rPr>
        <w:t xml:space="preserve"> </w:t>
      </w:r>
      <w:r w:rsidR="00CA5789" w:rsidRPr="00D26A35">
        <w:t xml:space="preserve">The group is </w:t>
      </w:r>
      <w:proofErr w:type="spellStart"/>
      <w:r w:rsidR="00CA5789" w:rsidRPr="00D26A35">
        <w:t>analyzing</w:t>
      </w:r>
      <w:proofErr w:type="spellEnd"/>
      <w:r w:rsidR="00CA5789" w:rsidRPr="00D26A35">
        <w:t xml:space="preserve"> relevant use cases of AI to deliver technical reports and accompanying educational materials on the use of AI in three key areas: advancing data collection and handling, improving modelling across spatiotemporal scales by extracting complex patterns from a growing volume of geospatial data, and supporting effective emergency communications. The group’s work pays particular attention to the needs of vulnerable and resource-constrained regions, making special effort to support the participation of the countries shown to be most acutely impacted by natural disasters, notably Small Island Developing States (SIDS) and Least Developed Countries (LDCs)</w:t>
      </w:r>
      <w:r w:rsidR="00250ABC">
        <w:t>;</w:t>
      </w:r>
    </w:p>
    <w:p w14:paraId="2336AE02" w14:textId="7CB349D9" w:rsidR="00CA5789" w:rsidRPr="00564318" w:rsidRDefault="00CA2100" w:rsidP="00B0630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eastAsia="Calibri" w:hAnsiTheme="minorHAnsi" w:cstheme="minorHAnsi"/>
          <w:szCs w:val="24"/>
        </w:rPr>
      </w:pPr>
      <w:hyperlink r:id="rId47" w:history="1">
        <w:r w:rsidR="00CA5789" w:rsidRPr="00D26A35">
          <w:rPr>
            <w:rStyle w:val="Hyperlink"/>
          </w:rPr>
          <w:t>ITU-T H.870 "Guidelines for safe listening devices/systems"</w:t>
        </w:r>
      </w:hyperlink>
      <w:r w:rsidR="00CA5789" w:rsidRPr="00D26A35">
        <w:t xml:space="preserve"> was developed in close collaboration with WHO. The standard aims to prevent audio devices from causing hearing loss. The guidelines for the safe listening of music players were developed in support of the </w:t>
      </w:r>
      <w:hyperlink r:id="rId48" w:history="1">
        <w:r w:rsidR="00CA5789" w:rsidRPr="00D26A35">
          <w:rPr>
            <w:rStyle w:val="Hyperlink"/>
          </w:rPr>
          <w:t>WHO ‘Make Listening Safe’ initiative</w:t>
        </w:r>
      </w:hyperlink>
      <w:r w:rsidR="00CA5789" w:rsidRPr="00D26A35">
        <w:t>. ‘Sound-induced hearing loss’ is the world’s leading cause of preventable hearing loss. Instances of sound-induced hearing loss among young people are increasing, leading the World Health Organization (WHO) to estimate that it risks affecting over a billion young people worldwide. This collaboration continues, considering a wider range of use cases including communications and assistive devices and gaming experiences.</w:t>
      </w:r>
      <w:bookmarkEnd w:id="9"/>
    </w:p>
    <w:p w14:paraId="18E55991" w14:textId="77777777" w:rsidR="00F676CD" w:rsidRPr="00D26A35" w:rsidRDefault="00F676CD" w:rsidP="00564318">
      <w:pPr>
        <w:pStyle w:val="NoSpacing"/>
        <w:tabs>
          <w:tab w:val="clear" w:pos="567"/>
          <w:tab w:val="clear" w:pos="1134"/>
          <w:tab w:val="clear" w:pos="1701"/>
          <w:tab w:val="clear" w:pos="2268"/>
          <w:tab w:val="clear" w:pos="2835"/>
        </w:tabs>
        <w:snapToGrid w:val="0"/>
        <w:spacing w:before="120" w:after="120"/>
        <w:jc w:val="both"/>
        <w:rPr>
          <w:rFonts w:asciiTheme="minorHAnsi" w:hAnsiTheme="minorHAnsi" w:cstheme="minorHAnsi"/>
          <w:b/>
          <w:bCs/>
          <w:szCs w:val="24"/>
        </w:rPr>
      </w:pPr>
      <w:r w:rsidRPr="00D26A35">
        <w:rPr>
          <w:rFonts w:asciiTheme="minorHAnsi" w:hAnsiTheme="minorHAnsi" w:cstheme="minorHAnsi"/>
          <w:b/>
          <w:bCs/>
          <w:szCs w:val="24"/>
        </w:rPr>
        <w:t>BDT</w:t>
      </w:r>
    </w:p>
    <w:p w14:paraId="31A9C4CD" w14:textId="77777777" w:rsidR="00F676CD" w:rsidRPr="00D26A35" w:rsidRDefault="00F676CD"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hAnsiTheme="minorHAnsi" w:cstheme="minorBidi"/>
        </w:rPr>
      </w:pPr>
      <w:r w:rsidRPr="00D26A35">
        <w:rPr>
          <w:rFonts w:asciiTheme="minorHAnsi" w:hAnsiTheme="minorHAnsi" w:cstheme="minorBidi"/>
        </w:rPr>
        <w:t>ITU continued to partner with WHO to deliver health information via mobile messaging, in the Be-Healthy Be-Mobile programme;</w:t>
      </w:r>
    </w:p>
    <w:p w14:paraId="58EFBDFE" w14:textId="77777777" w:rsidR="00F676CD" w:rsidRPr="00D26A35" w:rsidRDefault="00F676CD" w:rsidP="00564318">
      <w:pPr>
        <w:pStyle w:val="NoSpacing"/>
        <w:numPr>
          <w:ilvl w:val="0"/>
          <w:numId w:val="3"/>
        </w:numPr>
        <w:tabs>
          <w:tab w:val="clear" w:pos="567"/>
          <w:tab w:val="clear" w:pos="1134"/>
          <w:tab w:val="clear" w:pos="1701"/>
          <w:tab w:val="clear" w:pos="2268"/>
          <w:tab w:val="clear" w:pos="2835"/>
        </w:tabs>
        <w:spacing w:before="120" w:after="120"/>
        <w:ind w:left="709" w:hanging="425"/>
        <w:jc w:val="both"/>
        <w:rPr>
          <w:rFonts w:asciiTheme="minorHAnsi" w:hAnsiTheme="minorHAnsi" w:cstheme="minorHAnsi"/>
          <w:szCs w:val="24"/>
        </w:rPr>
      </w:pPr>
      <w:r w:rsidRPr="00D26A35">
        <w:rPr>
          <w:rFonts w:asciiTheme="minorHAnsi" w:hAnsiTheme="minorHAnsi" w:cstheme="minorHAnsi"/>
          <w:szCs w:val="24"/>
        </w:rPr>
        <w:t xml:space="preserve">ITU also engaged in the </w:t>
      </w:r>
      <w:r w:rsidRPr="00D26A35">
        <w:rPr>
          <w:rFonts w:asciiTheme="minorHAnsi" w:hAnsiTheme="minorHAnsi" w:cstheme="minorHAnsi"/>
          <w:szCs w:val="24"/>
          <w:shd w:val="clear" w:color="auto" w:fill="FFFFFF"/>
        </w:rPr>
        <w:t xml:space="preserve">“Niger 2.0” Smart Villages project </w:t>
      </w:r>
      <w:r w:rsidRPr="00D26A35">
        <w:rPr>
          <w:rFonts w:asciiTheme="minorHAnsi" w:hAnsiTheme="minorHAnsi" w:cstheme="minorHAnsi"/>
          <w:szCs w:val="24"/>
        </w:rPr>
        <w:t xml:space="preserve">in Niger to connect remote areas of the country to the benefits of the Internet and the vast opportunities it provides.  This project is being undertaken in collaboration with Niger’s ANSI and several other </w:t>
      </w:r>
      <w:r w:rsidRPr="00D26A35">
        <w:rPr>
          <w:rFonts w:asciiTheme="minorHAnsi" w:hAnsiTheme="minorHAnsi" w:cstheme="minorHAnsi"/>
          <w:szCs w:val="24"/>
        </w:rPr>
        <w:lastRenderedPageBreak/>
        <w:t>organizations including the World Health Organization (WHO), the Food and Agriculture Organization (FAO), UNESCO, Digital Impact Alliance (DIAL) and others;</w:t>
      </w:r>
    </w:p>
    <w:p w14:paraId="0058AB18" w14:textId="5A6915EA" w:rsidR="00F676CD" w:rsidRPr="00D26A35" w:rsidRDefault="00CA2100"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eastAsiaTheme="minorEastAsia" w:hAnsiTheme="minorHAnsi" w:cstheme="minorBidi"/>
          <w:szCs w:val="24"/>
        </w:rPr>
      </w:pPr>
      <w:hyperlink r:id="rId49" w:history="1">
        <w:r w:rsidR="00F676CD" w:rsidRPr="00D26A35">
          <w:rPr>
            <w:rStyle w:val="Hyperlink"/>
            <w:rFonts w:asciiTheme="minorHAnsi" w:hAnsiTheme="minorHAnsi" w:cstheme="minorBidi"/>
          </w:rPr>
          <w:t>Broadband Commission for Sustainable Development</w:t>
        </w:r>
      </w:hyperlink>
      <w:r w:rsidR="00F676CD" w:rsidRPr="00D26A35">
        <w:rPr>
          <w:rFonts w:asciiTheme="minorHAnsi" w:hAnsiTheme="minorHAnsi" w:cstheme="minorBidi"/>
        </w:rPr>
        <w:t xml:space="preserve">, led by ITU and UNESCO, with membership of seven other UN entities was established in 2010 with the aim of boosting the importance of broadband on the international policy </w:t>
      </w:r>
      <w:r w:rsidR="00F676CD" w:rsidRPr="00D26A35">
        <w:rPr>
          <w:rFonts w:asciiTheme="minorHAnsi" w:hAnsiTheme="minorHAnsi" w:cstheme="minorBidi"/>
          <w:shd w:val="clear" w:color="auto" w:fill="FFFFFF"/>
        </w:rPr>
        <w:t>agenda and expanding broadband access in every country as key to accelerating progress towards national and international development targe</w:t>
      </w:r>
      <w:r w:rsidR="00F676CD" w:rsidRPr="00D26A35">
        <w:rPr>
          <w:rFonts w:asciiTheme="minorHAnsi" w:hAnsiTheme="minorHAnsi" w:cstheme="minorBidi"/>
          <w:szCs w:val="24"/>
        </w:rPr>
        <w:t xml:space="preserve">ts. </w:t>
      </w:r>
      <w:r w:rsidR="00F676CD" w:rsidRPr="00D26A35">
        <w:rPr>
          <w:rFonts w:asciiTheme="minorHAnsi" w:hAnsiTheme="minorHAnsi" w:cstheme="minorBidi"/>
          <w:szCs w:val="24"/>
          <w:lang w:val="en-US"/>
        </w:rPr>
        <w:t xml:space="preserve">The Commission comprises over 50 Commissioners representing a cross-cutting group of top industry and policy leaders. It acts as a UN advocacy engine for the implementation of the UNSG’s Roadmap for Digital Cooperation and leverages the strength of its membership and collective expertise to advocate for meaningful, safe, secure, and sustainable broadband communications services. More than </w:t>
      </w:r>
      <w:hyperlink r:id="rId50" w:history="1">
        <w:r w:rsidR="00F676CD" w:rsidRPr="00D26A35">
          <w:rPr>
            <w:rStyle w:val="Hyperlink"/>
            <w:rFonts w:asciiTheme="minorHAnsi" w:hAnsiTheme="minorHAnsi" w:cstheme="minorBidi"/>
            <w:szCs w:val="24"/>
            <w:lang w:val="en-US"/>
          </w:rPr>
          <w:t>30 Working Groups</w:t>
        </w:r>
      </w:hyperlink>
      <w:r w:rsidR="00F676CD" w:rsidRPr="00D26A35">
        <w:rPr>
          <w:rFonts w:asciiTheme="minorHAnsi" w:hAnsiTheme="minorHAnsi" w:cstheme="minorBidi"/>
          <w:szCs w:val="24"/>
          <w:lang w:val="en-US"/>
        </w:rPr>
        <w:t xml:space="preserve"> on thematic areas related to SDGs were established and the Commission has also been instrumental in launching a number of global initiatives (EQUALS, Giga, etc.). In 2020</w:t>
      </w:r>
      <w:r w:rsidR="009A0530">
        <w:rPr>
          <w:rFonts w:asciiTheme="minorHAnsi" w:hAnsiTheme="minorHAnsi" w:cstheme="minorBidi"/>
          <w:szCs w:val="24"/>
          <w:lang w:val="en-US"/>
        </w:rPr>
        <w:t>,</w:t>
      </w:r>
      <w:r w:rsidR="00F676CD" w:rsidRPr="00D26A35">
        <w:rPr>
          <w:rFonts w:asciiTheme="minorHAnsi" w:hAnsiTheme="minorHAnsi" w:cstheme="minorBidi"/>
          <w:szCs w:val="24"/>
          <w:lang w:val="en-US"/>
        </w:rPr>
        <w:t xml:space="preserve"> the Commission launched the </w:t>
      </w:r>
      <w:hyperlink r:id="rId51" w:history="1">
        <w:r w:rsidR="00F676CD" w:rsidRPr="00D26A35">
          <w:rPr>
            <w:rStyle w:val="Hyperlink"/>
            <w:rFonts w:asciiTheme="minorHAnsi" w:hAnsiTheme="minorHAnsi" w:cstheme="minorBidi"/>
            <w:szCs w:val="24"/>
            <w:lang w:val="en-US"/>
          </w:rPr>
          <w:t>Universal Connectivity Manifesto</w:t>
        </w:r>
      </w:hyperlink>
      <w:r w:rsidR="00F676CD" w:rsidRPr="00D26A35">
        <w:rPr>
          <w:rFonts w:asciiTheme="minorHAnsi" w:hAnsiTheme="minorHAnsi" w:cstheme="minorBidi"/>
          <w:szCs w:val="24"/>
          <w:lang w:val="en-US"/>
        </w:rPr>
        <w:t xml:space="preserve">, recognizing affordable universal connectivity as a foundational element for meeting the 17 Sustainable Development Goals (SDGs) by </w:t>
      </w:r>
      <w:proofErr w:type="gramStart"/>
      <w:r w:rsidR="00F676CD" w:rsidRPr="00D26A35">
        <w:rPr>
          <w:rFonts w:asciiTheme="minorHAnsi" w:hAnsiTheme="minorHAnsi" w:cstheme="minorBidi"/>
          <w:szCs w:val="24"/>
          <w:lang w:val="en-US"/>
        </w:rPr>
        <w:t>2030</w:t>
      </w:r>
      <w:r w:rsidR="00F676CD" w:rsidRPr="00D26A35">
        <w:rPr>
          <w:rFonts w:asciiTheme="minorHAnsi" w:hAnsiTheme="minorHAnsi" w:cstheme="minorBidi"/>
          <w:szCs w:val="24"/>
        </w:rPr>
        <w:t>;</w:t>
      </w:r>
      <w:proofErr w:type="gramEnd"/>
    </w:p>
    <w:p w14:paraId="64A867D2" w14:textId="5BD1F782" w:rsidR="00F676CD" w:rsidRPr="00D26A35" w:rsidRDefault="00F676CD"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eastAsiaTheme="minorEastAsia" w:hAnsiTheme="minorHAnsi" w:cstheme="minorHAnsi"/>
          <w:szCs w:val="24"/>
          <w:lang w:val="en-US"/>
        </w:rPr>
      </w:pPr>
      <w:r w:rsidRPr="00D26A35">
        <w:rPr>
          <w:rFonts w:asciiTheme="minorHAnsi" w:hAnsiTheme="minorHAnsi" w:cstheme="minorHAnsi"/>
          <w:szCs w:val="24"/>
        </w:rPr>
        <w:t xml:space="preserve">Decent Jobs for Youth Campaign led by ILO and ITU - The ITU is leading the digital skills thematic priority of Decent Jobs for Youth (a global initiative to scale up action and impact on youth employment under the 2030 Agenda for Sustainable Development). The programme is aimed at </w:t>
      </w:r>
      <w:r w:rsidRPr="00D26A35">
        <w:rPr>
          <w:rFonts w:asciiTheme="minorHAnsi" w:eastAsia="Calibri" w:hAnsiTheme="minorHAnsi" w:cstheme="minorHAnsi"/>
          <w:szCs w:val="24"/>
          <w:lang w:val="en-US"/>
        </w:rPr>
        <w:t>boosting decent jobs and enhancing skills for youth in Africa’s digital economy with the initial implementing countries being Rwanda, Kenya, Nigeria, Côte d’Ivoire, Senegal, and South Africa</w:t>
      </w:r>
      <w:r w:rsidR="00C61D0F">
        <w:rPr>
          <w:rFonts w:asciiTheme="minorHAnsi" w:eastAsia="Calibri" w:hAnsiTheme="minorHAnsi" w:cstheme="minorHAnsi"/>
          <w:szCs w:val="24"/>
          <w:lang w:val="en-US"/>
        </w:rPr>
        <w:t>;</w:t>
      </w:r>
      <w:r w:rsidRPr="00D26A35">
        <w:rPr>
          <w:rFonts w:asciiTheme="minorHAnsi" w:eastAsia="Calibri" w:hAnsiTheme="minorHAnsi" w:cstheme="minorHAnsi"/>
          <w:szCs w:val="24"/>
          <w:lang w:val="en-US"/>
        </w:rPr>
        <w:t xml:space="preserve"> </w:t>
      </w:r>
    </w:p>
    <w:p w14:paraId="2BA3D4A9" w14:textId="77777777" w:rsidR="00F676CD" w:rsidRPr="00D26A35" w:rsidRDefault="00F676CD"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hAnsiTheme="minorHAnsi" w:cstheme="minorHAnsi"/>
          <w:szCs w:val="24"/>
        </w:rPr>
      </w:pPr>
      <w:r w:rsidRPr="00D26A35">
        <w:rPr>
          <w:rFonts w:asciiTheme="minorHAnsi" w:hAnsiTheme="minorHAnsi" w:cstheme="minorHAnsi"/>
          <w:szCs w:val="24"/>
        </w:rPr>
        <w:t>EQUALS: The EQUALS Global Partnership for Gender Equality in the Digital Age is a committed group of corporate leaders, governments, businesses, not-for-profit organizations, academic institutions, NGOs and community groups around the world dedicated to promoting gender balance in the technology sector by championing equality of access, skills development and career opportunities for women and men alike. EQUALS was Launched in 2016 by the International Telecommunication Union and four founding partners – GSMA, the International Trade Centre, the United Nations University and UN Women, and currently this global partnership includes UN Women, UNESCO, UNCTAD, ITC, UNU-CS as well as GSMA</w:t>
      </w:r>
      <w:r w:rsidRPr="00D26A35">
        <w:rPr>
          <w:rFonts w:asciiTheme="minorHAnsi" w:eastAsiaTheme="minorEastAsia" w:hAnsiTheme="minorHAnsi" w:cstheme="minorHAnsi"/>
          <w:szCs w:val="24"/>
        </w:rPr>
        <w:t>;</w:t>
      </w:r>
    </w:p>
    <w:p w14:paraId="47221270" w14:textId="019448C9" w:rsidR="00F676CD" w:rsidRPr="00D26A35" w:rsidRDefault="00F676CD"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eastAsia="Calibri" w:hAnsiTheme="minorHAnsi" w:cstheme="minorBidi"/>
        </w:rPr>
      </w:pPr>
      <w:r w:rsidRPr="00D26A35">
        <w:rPr>
          <w:rFonts w:asciiTheme="minorHAnsi" w:hAnsiTheme="minorHAnsi" w:cstheme="minorBidi"/>
        </w:rPr>
        <w:t xml:space="preserve">GIGA - </w:t>
      </w:r>
      <w:r w:rsidRPr="00D26A35">
        <w:rPr>
          <w:rFonts w:asciiTheme="minorHAnsi" w:eastAsia="Calibri" w:hAnsiTheme="minorHAnsi" w:cstheme="minorBidi"/>
          <w:lang w:val="en-US"/>
        </w:rPr>
        <w:t xml:space="preserve">GIGA is a joint ITU and UNICEF initiative that aims to provide connectivity to every school in the world.  It is anchored </w:t>
      </w:r>
      <w:r w:rsidR="009A0530">
        <w:rPr>
          <w:rFonts w:asciiTheme="minorHAnsi" w:eastAsia="Calibri" w:hAnsiTheme="minorHAnsi" w:cstheme="minorBidi"/>
          <w:lang w:val="en-US"/>
        </w:rPr>
        <w:t>i</w:t>
      </w:r>
      <w:r w:rsidRPr="00D26A35">
        <w:rPr>
          <w:rFonts w:asciiTheme="minorHAnsi" w:eastAsia="Calibri" w:hAnsiTheme="minorHAnsi" w:cstheme="minorBidi"/>
          <w:lang w:val="en-US"/>
        </w:rPr>
        <w:t>n four pillars, namely: Map, Connect, Finance and Empower</w:t>
      </w:r>
      <w:r w:rsidRPr="00D26A35">
        <w:rPr>
          <w:rFonts w:asciiTheme="minorHAnsi" w:hAnsiTheme="minorHAnsi" w:cstheme="minorBidi"/>
        </w:rPr>
        <w:t xml:space="preserve">. Through GIGA, ITU and UNICEF have joined forces with </w:t>
      </w:r>
      <w:r w:rsidR="009A0530">
        <w:rPr>
          <w:rFonts w:asciiTheme="minorHAnsi" w:hAnsiTheme="minorHAnsi" w:cstheme="minorBidi"/>
        </w:rPr>
        <w:t>the</w:t>
      </w:r>
      <w:r w:rsidRPr="00D26A35">
        <w:rPr>
          <w:rFonts w:asciiTheme="minorHAnsi" w:hAnsiTheme="minorHAnsi" w:cstheme="minorBidi"/>
        </w:rPr>
        <w:t xml:space="preserve"> aim to connect every school to the Internet by 2030 and facilitate global cooperation, leadership, and innovation in finance and technology;</w:t>
      </w:r>
    </w:p>
    <w:p w14:paraId="656AC5E5" w14:textId="260A6DEC" w:rsidR="00ED6D10" w:rsidRPr="00ED6D10" w:rsidRDefault="00ED6D10"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09" w:hanging="425"/>
        <w:jc w:val="both"/>
        <w:textAlignment w:val="auto"/>
        <w:rPr>
          <w:rFonts w:asciiTheme="minorHAnsi" w:hAnsiTheme="minorHAnsi" w:cstheme="minorBidi"/>
        </w:rPr>
      </w:pPr>
      <w:r w:rsidRPr="00ED6D10">
        <w:rPr>
          <w:rFonts w:asciiTheme="minorHAnsi" w:hAnsiTheme="minorHAnsi" w:cstheme="minorBidi"/>
        </w:rPr>
        <w:t xml:space="preserve">Under the Global E-waste Statistics Partnership, ITU and UNITAR publish the Global E-waste Monitor, providing comprehensive insight to address the global e-waste challenge. The 2020 Monitor was a collaborative effort between ITU, UNITAR-UNU SCYCLE Programme, and the International Solid Waste Association (ISWA). The fourth edition is being planned for a 2023 release. The GESP, through different partnerships, also publishes Regional E-waste Monitors: Arab States 2021 (ITU and UNU-UNITAR), CIS + Georgia 2021 (UNEP, UNU-UNITAR and ITU) and Latin America 2022 (UNIDO, UNU-UNITAR and ITU). ITU, UNEP and UNITAR launched a new project in December 2022 to produce a Regional E-waste Monitor for the Western Balkans. The GESP (ITU and UNITAR) are also supporting Botswana, Namibia and Malawi in </w:t>
      </w:r>
      <w:r w:rsidRPr="00ED6D10">
        <w:rPr>
          <w:rFonts w:asciiTheme="minorHAnsi" w:hAnsiTheme="minorHAnsi" w:cstheme="minorBidi"/>
        </w:rPr>
        <w:lastRenderedPageBreak/>
        <w:t>2021 and 2022 to build national capacity on e-waste data and statistics which will result in the publication of national e-waste monitors</w:t>
      </w:r>
      <w:r>
        <w:rPr>
          <w:rFonts w:asciiTheme="minorHAnsi" w:hAnsiTheme="minorHAnsi" w:cstheme="minorBidi"/>
        </w:rPr>
        <w:t>;</w:t>
      </w:r>
      <w:r w:rsidRPr="00ED6D10">
        <w:rPr>
          <w:rFonts w:asciiTheme="minorHAnsi" w:hAnsiTheme="minorHAnsi" w:cstheme="minorBidi"/>
        </w:rPr>
        <w:t xml:space="preserve"> </w:t>
      </w:r>
    </w:p>
    <w:p w14:paraId="4C36D894" w14:textId="2689AA04" w:rsidR="00ED6D10" w:rsidRPr="00ED6D10" w:rsidRDefault="00ED6D10"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09" w:hanging="425"/>
        <w:jc w:val="both"/>
        <w:textAlignment w:val="auto"/>
        <w:rPr>
          <w:rFonts w:asciiTheme="minorHAnsi" w:hAnsiTheme="minorHAnsi" w:cstheme="minorBidi"/>
        </w:rPr>
      </w:pPr>
      <w:r w:rsidRPr="00ED6D10">
        <w:rPr>
          <w:rFonts w:asciiTheme="minorHAnsi" w:hAnsiTheme="minorHAnsi" w:cstheme="minorBidi"/>
        </w:rPr>
        <w:t xml:space="preserve">ITU and other UN entities (UNEP, UNU, UNITAR, UNIDO, BRS </w:t>
      </w:r>
      <w:proofErr w:type="spellStart"/>
      <w:r w:rsidRPr="00ED6D10">
        <w:rPr>
          <w:rFonts w:asciiTheme="minorHAnsi" w:hAnsiTheme="minorHAnsi" w:cstheme="minorBidi"/>
        </w:rPr>
        <w:t>Secretatiats</w:t>
      </w:r>
      <w:proofErr w:type="spellEnd"/>
      <w:r w:rsidRPr="00ED6D10">
        <w:rPr>
          <w:rFonts w:asciiTheme="minorHAnsi" w:hAnsiTheme="minorHAnsi" w:cstheme="minorBidi"/>
        </w:rPr>
        <w:t>, ILO, WHO, ITC and UN Habitat) collaborate on e-waste management via the E-waste Coalition</w:t>
      </w:r>
      <w:r>
        <w:rPr>
          <w:rFonts w:asciiTheme="minorHAnsi" w:hAnsiTheme="minorHAnsi" w:cstheme="minorBidi"/>
        </w:rPr>
        <w:t>;</w:t>
      </w:r>
      <w:r w:rsidRPr="00ED6D10">
        <w:rPr>
          <w:rFonts w:asciiTheme="minorHAnsi" w:hAnsiTheme="minorHAnsi" w:cstheme="minorBidi"/>
        </w:rPr>
        <w:t xml:space="preserve"> </w:t>
      </w:r>
    </w:p>
    <w:p w14:paraId="6F1F7F4D" w14:textId="382E6974" w:rsidR="00ED6D10" w:rsidRPr="00ED6D10" w:rsidRDefault="00ED6D10"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09" w:hanging="425"/>
        <w:jc w:val="both"/>
        <w:textAlignment w:val="auto"/>
        <w:rPr>
          <w:rFonts w:asciiTheme="minorHAnsi" w:hAnsiTheme="minorHAnsi" w:cstheme="minorBidi"/>
        </w:rPr>
      </w:pPr>
      <w:r w:rsidRPr="00ED6D10">
        <w:rPr>
          <w:rFonts w:asciiTheme="minorHAnsi" w:hAnsiTheme="minorHAnsi" w:cstheme="minorBidi"/>
        </w:rPr>
        <w:t>ITU, in collaboration with UNITAR and the East Africa Communications Association (EACO) are working on a regional e-waste data harmonization project to support National Statistics Offices in Burundi, Rwanda, Uganda, South Sudan, Kenya and Tanzania with the collection of data through household and business surveys</w:t>
      </w:r>
      <w:r>
        <w:rPr>
          <w:rFonts w:asciiTheme="minorHAnsi" w:hAnsiTheme="minorHAnsi" w:cstheme="minorBidi"/>
        </w:rPr>
        <w:t>;</w:t>
      </w:r>
    </w:p>
    <w:p w14:paraId="2663AF80" w14:textId="09764D8E" w:rsidR="00ED6D10" w:rsidRPr="00ED6D10" w:rsidRDefault="00ED6D10"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09" w:hanging="425"/>
        <w:jc w:val="both"/>
        <w:textAlignment w:val="auto"/>
        <w:rPr>
          <w:rFonts w:asciiTheme="minorHAnsi" w:hAnsiTheme="minorHAnsi" w:cstheme="minorBidi"/>
        </w:rPr>
      </w:pPr>
      <w:r w:rsidRPr="00ED6D10">
        <w:rPr>
          <w:rFonts w:asciiTheme="minorHAnsi" w:hAnsiTheme="minorHAnsi" w:cstheme="minorBidi"/>
        </w:rPr>
        <w:t xml:space="preserve">ITU and UNEP </w:t>
      </w:r>
      <w:proofErr w:type="spellStart"/>
      <w:r w:rsidRPr="00ED6D10">
        <w:rPr>
          <w:rFonts w:asciiTheme="minorHAnsi" w:hAnsiTheme="minorHAnsi" w:cstheme="minorBidi"/>
        </w:rPr>
        <w:t>laucned</w:t>
      </w:r>
      <w:proofErr w:type="spellEnd"/>
      <w:r w:rsidRPr="00ED6D10">
        <w:rPr>
          <w:rFonts w:asciiTheme="minorHAnsi" w:hAnsiTheme="minorHAnsi" w:cstheme="minorBidi"/>
        </w:rPr>
        <w:t xml:space="preserve"> a new project in October 2021 on Implementing the EPR Concept in Policies and Regulations for the Sound Management of E-waste covering Rwanda, The Gambia, Botswana, Namibia, Dominican Republic and Uzbekistan</w:t>
      </w:r>
      <w:r>
        <w:rPr>
          <w:rFonts w:asciiTheme="minorHAnsi" w:hAnsiTheme="minorHAnsi" w:cstheme="minorBidi"/>
        </w:rPr>
        <w:t>;</w:t>
      </w:r>
    </w:p>
    <w:p w14:paraId="59508529" w14:textId="0BEC867B" w:rsidR="00ED6D10" w:rsidRPr="00ED6D10" w:rsidRDefault="00ED6D10"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09" w:hanging="425"/>
        <w:jc w:val="both"/>
        <w:textAlignment w:val="auto"/>
        <w:rPr>
          <w:rFonts w:asciiTheme="minorHAnsi" w:hAnsiTheme="minorHAnsi" w:cstheme="minorBidi"/>
        </w:rPr>
      </w:pPr>
      <w:r w:rsidRPr="00ED6D10">
        <w:rPr>
          <w:rFonts w:asciiTheme="minorHAnsi" w:hAnsiTheme="minorHAnsi" w:cstheme="minorBidi"/>
        </w:rPr>
        <w:t xml:space="preserve">Generation Connection Global E-waste </w:t>
      </w:r>
      <w:proofErr w:type="spellStart"/>
      <w:r w:rsidRPr="00ED6D10">
        <w:rPr>
          <w:rFonts w:asciiTheme="minorHAnsi" w:hAnsiTheme="minorHAnsi" w:cstheme="minorBidi"/>
        </w:rPr>
        <w:t>Iconathon</w:t>
      </w:r>
      <w:proofErr w:type="spellEnd"/>
      <w:r w:rsidRPr="00ED6D10">
        <w:rPr>
          <w:rFonts w:asciiTheme="minorHAnsi" w:hAnsiTheme="minorHAnsi" w:cstheme="minorBidi"/>
        </w:rPr>
        <w:t xml:space="preserve"> is an icon design content for e-waste take-back and collection which aims to raise awareness about the global e-waste issue and leverage youth participation. ITU is leading the initiative with support from the Secretariats of the Basel, Rotterdam and Stockholm Conventions, as well as the WEEE Forum and </w:t>
      </w:r>
      <w:proofErr w:type="spellStart"/>
      <w:r w:rsidRPr="00ED6D10">
        <w:rPr>
          <w:rFonts w:asciiTheme="minorHAnsi" w:hAnsiTheme="minorHAnsi" w:cstheme="minorBidi"/>
        </w:rPr>
        <w:t>StEP</w:t>
      </w:r>
      <w:proofErr w:type="spellEnd"/>
      <w:r w:rsidRPr="00ED6D10">
        <w:rPr>
          <w:rFonts w:asciiTheme="minorHAnsi" w:hAnsiTheme="minorHAnsi" w:cstheme="minorBidi"/>
        </w:rPr>
        <w:t xml:space="preserve"> Initiative. ITU is participating in the UN-wide partnership initiative, UN4NAPs, to scale up technical support to Least Developed Countries and Small Island Developing States to formulate and implement National Adaptation Plans (NAPs)</w:t>
      </w:r>
      <w:r>
        <w:rPr>
          <w:rFonts w:asciiTheme="minorHAnsi" w:hAnsiTheme="minorHAnsi" w:cstheme="minorBidi"/>
        </w:rPr>
        <w:t>;</w:t>
      </w:r>
    </w:p>
    <w:p w14:paraId="01115090" w14:textId="02938F30" w:rsidR="00ED6D10" w:rsidRPr="00ED6D10" w:rsidRDefault="00ED6D10"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09" w:hanging="425"/>
        <w:jc w:val="both"/>
        <w:textAlignment w:val="auto"/>
        <w:rPr>
          <w:rFonts w:asciiTheme="minorHAnsi" w:hAnsiTheme="minorHAnsi" w:cstheme="minorBidi"/>
        </w:rPr>
      </w:pPr>
      <w:r w:rsidRPr="00ED6D10">
        <w:rPr>
          <w:rFonts w:asciiTheme="minorHAnsi" w:hAnsiTheme="minorHAnsi" w:cstheme="minorBidi"/>
        </w:rPr>
        <w:t>ITU is participating in the Climate Change Adaption Communities of Practice (CoPs) as part of the Digital Public Goods Alliance (DPGA). ITU, WMO and the DPGA have published (January 2022) a report and call to action for weather and climate information data sets to be made openly and freely available as digital public goods</w:t>
      </w:r>
      <w:r>
        <w:rPr>
          <w:rFonts w:asciiTheme="minorHAnsi" w:hAnsiTheme="minorHAnsi" w:cstheme="minorBidi"/>
        </w:rPr>
        <w:t>;</w:t>
      </w:r>
    </w:p>
    <w:p w14:paraId="104C4F8D" w14:textId="2B43FE86" w:rsidR="00ED6D10" w:rsidRPr="00ED6D10" w:rsidRDefault="00ED6D10"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09" w:hanging="425"/>
        <w:jc w:val="both"/>
        <w:textAlignment w:val="auto"/>
        <w:rPr>
          <w:rFonts w:asciiTheme="minorHAnsi" w:hAnsiTheme="minorHAnsi" w:cstheme="minorBidi"/>
        </w:rPr>
      </w:pPr>
      <w:r w:rsidRPr="00ED6D10">
        <w:rPr>
          <w:rFonts w:asciiTheme="minorHAnsi" w:hAnsiTheme="minorHAnsi" w:cstheme="minorBidi"/>
        </w:rPr>
        <w:t>ITU collaborated with UNIDO to host a session at the 2021 LKDF Forum on digital green skills for an inclusive future</w:t>
      </w:r>
      <w:r>
        <w:rPr>
          <w:rFonts w:asciiTheme="minorHAnsi" w:hAnsiTheme="minorHAnsi" w:cstheme="minorBidi"/>
        </w:rPr>
        <w:t>;</w:t>
      </w:r>
      <w:r w:rsidRPr="00ED6D10">
        <w:rPr>
          <w:rFonts w:asciiTheme="minorHAnsi" w:hAnsiTheme="minorHAnsi" w:cstheme="minorBidi"/>
        </w:rPr>
        <w:t xml:space="preserve"> </w:t>
      </w:r>
    </w:p>
    <w:p w14:paraId="5A948048" w14:textId="25B1D5CA" w:rsidR="00ED6D10" w:rsidRPr="00ED6D10" w:rsidRDefault="00ED6D10"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09" w:hanging="425"/>
        <w:jc w:val="both"/>
        <w:textAlignment w:val="auto"/>
        <w:rPr>
          <w:rFonts w:asciiTheme="minorHAnsi" w:hAnsiTheme="minorHAnsi" w:cstheme="minorBidi"/>
        </w:rPr>
      </w:pPr>
      <w:r w:rsidRPr="00ED6D10">
        <w:rPr>
          <w:rFonts w:asciiTheme="minorHAnsi" w:hAnsiTheme="minorHAnsi" w:cstheme="minorBidi"/>
        </w:rPr>
        <w:t xml:space="preserve">ITU, together with the WFP’s Emergency Telecommunication Cluster (ETC) (and GSMA), has developed the Disaster Connectivity Map (DCM), an online mapping tool that tracks connectivity </w:t>
      </w:r>
      <w:proofErr w:type="spellStart"/>
      <w:r w:rsidRPr="00ED6D10">
        <w:rPr>
          <w:rFonts w:asciiTheme="minorHAnsi" w:hAnsiTheme="minorHAnsi" w:cstheme="minorBidi"/>
        </w:rPr>
        <w:t>outagages</w:t>
      </w:r>
      <w:proofErr w:type="spellEnd"/>
      <w:r w:rsidRPr="00ED6D10">
        <w:rPr>
          <w:rFonts w:asciiTheme="minorHAnsi" w:hAnsiTheme="minorHAnsi" w:cstheme="minorBidi"/>
        </w:rPr>
        <w:t xml:space="preserve"> and gaps following disasters, in particular to support first responders and to guide efforts to bring back connectivity</w:t>
      </w:r>
      <w:r>
        <w:rPr>
          <w:rFonts w:asciiTheme="minorHAnsi" w:hAnsiTheme="minorHAnsi" w:cstheme="minorBidi"/>
        </w:rPr>
        <w:t>;</w:t>
      </w:r>
    </w:p>
    <w:p w14:paraId="0E0A2802" w14:textId="36BA753A" w:rsidR="00ED6D10" w:rsidRPr="00ED6D10" w:rsidRDefault="00ED6D10"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09" w:hanging="425"/>
        <w:jc w:val="both"/>
        <w:textAlignment w:val="auto"/>
        <w:rPr>
          <w:rFonts w:asciiTheme="minorHAnsi" w:hAnsiTheme="minorHAnsi" w:cstheme="minorBidi"/>
        </w:rPr>
      </w:pPr>
      <w:r w:rsidRPr="00ED6D10">
        <w:rPr>
          <w:rFonts w:asciiTheme="minorHAnsi" w:hAnsiTheme="minorHAnsi" w:cstheme="minorBidi"/>
        </w:rPr>
        <w:t>To support the development of multi-hazard early warning systems, ITU, together with the WMO (and the IFRC) endorsed the "Common Alerting Protocol (CAP): Call to action", which states that by “2025 all countries have the capability for effective, authoritative emergency alerting that leverages the Common Alerting Protocol". CAP is an ITU standard (ITU-T Recommendation X.1303) and a format for exchanging all-hazard emergency alerts and public warnings over all kinds of ICT networks, allowing a consistent warning message to be disseminated simultaneously over many different warning systems, thus increasing warning effectiveness while simplifying the warning task</w:t>
      </w:r>
      <w:r>
        <w:rPr>
          <w:rFonts w:asciiTheme="minorHAnsi" w:hAnsiTheme="minorHAnsi" w:cstheme="minorBidi"/>
        </w:rPr>
        <w:t>;</w:t>
      </w:r>
    </w:p>
    <w:p w14:paraId="4ABE7FEC" w14:textId="77777777" w:rsidR="00F676CD" w:rsidRPr="00D26A35" w:rsidRDefault="00F676CD"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09" w:hanging="425"/>
        <w:jc w:val="both"/>
        <w:textAlignment w:val="auto"/>
        <w:rPr>
          <w:rFonts w:asciiTheme="minorHAnsi" w:hAnsiTheme="minorHAnsi" w:cstheme="minorHAnsi"/>
          <w:szCs w:val="24"/>
        </w:rPr>
      </w:pPr>
      <w:r w:rsidRPr="00D26A35">
        <w:rPr>
          <w:rFonts w:asciiTheme="minorHAnsi" w:hAnsiTheme="minorHAnsi" w:cstheme="minorHAnsi"/>
          <w:szCs w:val="24"/>
        </w:rPr>
        <w:t>ITU collaborates with FAO on digital agriculture to support the agricultural sector with e-agriculture services and applications;</w:t>
      </w:r>
    </w:p>
    <w:p w14:paraId="093E4E71" w14:textId="30B9073D" w:rsidR="00F676CD" w:rsidRPr="00D26A35" w:rsidRDefault="00F676CD" w:rsidP="00564318">
      <w:pPr>
        <w:pStyle w:val="NoSpacing"/>
        <w:keepNext/>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hAnsiTheme="minorHAnsi" w:cstheme="minorHAnsi"/>
          <w:b/>
          <w:szCs w:val="24"/>
          <w:lang w:val="en-US"/>
        </w:rPr>
      </w:pPr>
      <w:r w:rsidRPr="00D26A35">
        <w:rPr>
          <w:rFonts w:asciiTheme="minorHAnsi" w:hAnsiTheme="minorHAnsi" w:cstheme="minorHAnsi"/>
          <w:szCs w:val="24"/>
        </w:rPr>
        <w:t xml:space="preserve">Innovation for digital transformation by ITU and UNIDO particularly on SDG 9: ITU collaborates </w:t>
      </w:r>
      <w:r w:rsidRPr="00D26A35">
        <w:rPr>
          <w:rFonts w:asciiTheme="minorHAnsi" w:hAnsiTheme="minorHAnsi" w:cstheme="minorHAnsi"/>
          <w:szCs w:val="24"/>
          <w:lang w:val="en-US"/>
        </w:rPr>
        <w:t xml:space="preserve">on the Third Industrial Development Decade for Africa (IDDA III) led by UNIDO in partnership with ITU and other UN organizations and partners, including development of </w:t>
      </w:r>
      <w:r w:rsidRPr="00D26A35">
        <w:rPr>
          <w:rFonts w:asciiTheme="minorHAnsi" w:hAnsiTheme="minorHAnsi" w:cstheme="minorHAnsi"/>
          <w:szCs w:val="24"/>
          <w:lang w:val="en-US"/>
        </w:rPr>
        <w:lastRenderedPageBreak/>
        <w:t xml:space="preserve">a joint roadmap and a IDDA III high-level event (25 Sep 2019, New York) and collaboration on the </w:t>
      </w:r>
      <w:r w:rsidRPr="00D26A35">
        <w:rPr>
          <w:rFonts w:asciiTheme="minorHAnsi" w:hAnsiTheme="minorHAnsi" w:cstheme="minorHAnsi"/>
          <w:szCs w:val="24"/>
        </w:rPr>
        <w:t>Mohammed bin Rashid Initiative (MBR) for Global Prosperity;</w:t>
      </w:r>
    </w:p>
    <w:p w14:paraId="3653EB7D" w14:textId="77777777" w:rsidR="00F676CD" w:rsidRPr="00D26A35" w:rsidRDefault="00F676CD"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hAnsiTheme="minorHAnsi" w:cstheme="minorHAnsi"/>
          <w:szCs w:val="24"/>
        </w:rPr>
      </w:pPr>
      <w:r w:rsidRPr="00D26A35">
        <w:rPr>
          <w:rFonts w:asciiTheme="minorHAnsi" w:hAnsiTheme="minorHAnsi" w:cstheme="minorHAnsi"/>
          <w:szCs w:val="24"/>
        </w:rPr>
        <w:t>Mobile Learning Week (MLW), organized by UNESCO in partnership with ITU and supported by other partners;</w:t>
      </w:r>
    </w:p>
    <w:p w14:paraId="4C7DFB38" w14:textId="21111B9B" w:rsidR="00F676CD" w:rsidRPr="00D26A35" w:rsidRDefault="00F676CD"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25"/>
        <w:jc w:val="both"/>
        <w:rPr>
          <w:rFonts w:asciiTheme="minorHAnsi" w:eastAsiaTheme="minorEastAsia" w:hAnsiTheme="minorHAnsi" w:cstheme="minorBidi"/>
          <w:szCs w:val="24"/>
        </w:rPr>
      </w:pPr>
      <w:r w:rsidRPr="00D26A35">
        <w:rPr>
          <w:rFonts w:asciiTheme="minorHAnsi" w:hAnsiTheme="minorHAnsi" w:cstheme="minorBidi"/>
        </w:rPr>
        <w:t xml:space="preserve">ITU/World Bank: Joint Declaration to enhance cooperation for the advancement of the 2030 Agenda for Sustainable Development, the </w:t>
      </w:r>
      <w:r w:rsidRPr="00D26A35">
        <w:rPr>
          <w:rFonts w:eastAsia="Calibri" w:cs="Calibri"/>
          <w:szCs w:val="24"/>
        </w:rPr>
        <w:t xml:space="preserve">COVID-19 Crisis Response: Digital Development Joint Action Plan and Call for Action, </w:t>
      </w:r>
      <w:r w:rsidRPr="00D26A35">
        <w:rPr>
          <w:rFonts w:asciiTheme="minorHAnsi" w:hAnsiTheme="minorHAnsi" w:cstheme="minorBidi"/>
        </w:rPr>
        <w:t xml:space="preserve">as well as concrete areas of collaboration such as digital financial service (e.g., FIGI), Regulatory Handbooks, the Regulatory Watch Initiative, The 2020 Digital Regulation Handbook,​ and the Digital Regulation Online Platform; </w:t>
      </w:r>
    </w:p>
    <w:p w14:paraId="181B60E6" w14:textId="77777777" w:rsidR="00F676CD" w:rsidRPr="00D26A35" w:rsidRDefault="00F676CD"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09" w:hanging="425"/>
        <w:jc w:val="both"/>
        <w:textAlignment w:val="auto"/>
        <w:rPr>
          <w:rFonts w:asciiTheme="minorHAnsi" w:eastAsia="Calibri" w:hAnsiTheme="minorHAnsi" w:cstheme="minorHAnsi"/>
          <w:szCs w:val="24"/>
        </w:rPr>
      </w:pPr>
      <w:r w:rsidRPr="00D26A35">
        <w:rPr>
          <w:rFonts w:asciiTheme="minorHAnsi" w:hAnsiTheme="minorHAnsi" w:cstheme="minorHAnsi"/>
          <w:szCs w:val="24"/>
          <w:lang w:val="en-US"/>
        </w:rPr>
        <w:t>BDT was successful in enhancing its collaboration with other UN agencies resulting in joint resource mobilization and partnerships efforts.  One positive outcome was a partnership forged with FAO, ILO, UNCDF, and UNDP, which resulted in an agreement with the European Commission (EC) for the financing of the project “Support to Rural Entrepreneurship, Investment and Trade in Papua New Guinea</w:t>
      </w:r>
      <w:proofErr w:type="gramStart"/>
      <w:r w:rsidRPr="00D26A35">
        <w:rPr>
          <w:rFonts w:asciiTheme="minorHAnsi" w:hAnsiTheme="minorHAnsi" w:cstheme="minorHAnsi"/>
          <w:szCs w:val="24"/>
          <w:lang w:val="en-US"/>
        </w:rPr>
        <w:t>”;</w:t>
      </w:r>
      <w:proofErr w:type="gramEnd"/>
      <w:r w:rsidRPr="00D26A35">
        <w:rPr>
          <w:rFonts w:asciiTheme="minorHAnsi" w:hAnsiTheme="minorHAnsi" w:cstheme="minorHAnsi"/>
          <w:szCs w:val="24"/>
          <w:lang w:val="en-US"/>
        </w:rPr>
        <w:t xml:space="preserve"> </w:t>
      </w:r>
    </w:p>
    <w:p w14:paraId="6D610AF4" w14:textId="77777777" w:rsidR="00F676CD" w:rsidRPr="00D26A35" w:rsidRDefault="00F676CD"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09" w:hanging="425"/>
        <w:jc w:val="both"/>
        <w:textAlignment w:val="auto"/>
        <w:rPr>
          <w:rFonts w:asciiTheme="minorHAnsi" w:eastAsia="Calibri" w:hAnsiTheme="minorHAnsi" w:cstheme="minorHAnsi"/>
          <w:color w:val="000000" w:themeColor="text1"/>
          <w:szCs w:val="24"/>
          <w:lang w:eastAsia="en-GB"/>
        </w:rPr>
      </w:pPr>
      <w:r w:rsidRPr="00D26A35">
        <w:rPr>
          <w:rFonts w:asciiTheme="minorHAnsi" w:hAnsiTheme="minorHAnsi" w:cstheme="minorHAnsi"/>
          <w:szCs w:val="24"/>
          <w:lang w:val="en-US"/>
        </w:rPr>
        <w:t>Collaboration with the office of the UN Secretary General in the implementation of the R</w:t>
      </w:r>
      <w:r w:rsidRPr="00D26A35">
        <w:rPr>
          <w:rStyle w:val="normaltextrun"/>
          <w:rFonts w:asciiTheme="minorHAnsi" w:hAnsiTheme="minorHAnsi" w:cstheme="minorHAnsi"/>
          <w:szCs w:val="24"/>
          <w:lang w:val="en-US"/>
        </w:rPr>
        <w:t>oadmap on Digital Cooperation.  ITU is co-leading two key action areas namely Global Connectivity and Capacity Building, with UNICEF and UNDP, respectively (see below)</w:t>
      </w:r>
      <w:r w:rsidRPr="00D26A35">
        <w:rPr>
          <w:rStyle w:val="normaltextrun"/>
          <w:rFonts w:asciiTheme="minorHAnsi" w:hAnsiTheme="minorHAnsi" w:cstheme="minorHAnsi"/>
          <w:color w:val="000000" w:themeColor="text1"/>
          <w:szCs w:val="24"/>
          <w:lang w:val="en-US"/>
        </w:rPr>
        <w:t xml:space="preserve">.  </w:t>
      </w:r>
    </w:p>
    <w:p w14:paraId="3EEE23B5" w14:textId="77777777" w:rsidR="00F676CD" w:rsidRPr="00D26A35" w:rsidRDefault="00F676CD"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09" w:hanging="425"/>
        <w:jc w:val="both"/>
        <w:textAlignment w:val="auto"/>
        <w:rPr>
          <w:rFonts w:asciiTheme="minorHAnsi" w:eastAsia="Calibri" w:hAnsiTheme="minorHAnsi" w:cstheme="minorHAnsi"/>
          <w:szCs w:val="24"/>
          <w:lang w:eastAsia="en-GB"/>
        </w:rPr>
      </w:pPr>
      <w:r w:rsidRPr="00D26A35">
        <w:rPr>
          <w:rFonts w:asciiTheme="minorHAnsi" w:hAnsiTheme="minorHAnsi" w:cstheme="minorHAnsi"/>
          <w:szCs w:val="24"/>
          <w:lang w:val="en-US"/>
        </w:rPr>
        <w:t>Steering committee member in collaboration with o</w:t>
      </w:r>
      <w:r w:rsidRPr="009A0530">
        <w:rPr>
          <w:rFonts w:asciiTheme="minorHAnsi" w:hAnsiTheme="minorHAnsi" w:cstheme="minorHAnsi"/>
          <w:color w:val="000000" w:themeColor="text1"/>
          <w:szCs w:val="24"/>
          <w:lang w:val="en-US"/>
        </w:rPr>
        <w:t xml:space="preserve">ther UN Agencies on the </w:t>
      </w:r>
      <w:r w:rsidRPr="009A0530">
        <w:rPr>
          <w:rFonts w:asciiTheme="minorHAnsi" w:hAnsiTheme="minorHAnsi" w:cstheme="minorHAnsi"/>
          <w:color w:val="000000" w:themeColor="text1"/>
          <w:szCs w:val="24"/>
          <w:shd w:val="clear" w:color="auto" w:fill="FFFFFF"/>
        </w:rPr>
        <w:t>Partnership on Measuring ICT for Development is an international.</w:t>
      </w:r>
    </w:p>
    <w:p w14:paraId="005ACE1C" w14:textId="751047D4" w:rsidR="000769F6" w:rsidRPr="00D26A35" w:rsidRDefault="000769F6" w:rsidP="00564318">
      <w:pPr>
        <w:pStyle w:val="NoSpacing"/>
        <w:tabs>
          <w:tab w:val="clear" w:pos="567"/>
          <w:tab w:val="clear" w:pos="1134"/>
          <w:tab w:val="clear" w:pos="1701"/>
          <w:tab w:val="clear" w:pos="2268"/>
          <w:tab w:val="clear" w:pos="2835"/>
        </w:tabs>
        <w:snapToGrid w:val="0"/>
        <w:spacing w:before="120" w:after="120"/>
        <w:jc w:val="both"/>
        <w:rPr>
          <w:rFonts w:asciiTheme="minorHAnsi" w:hAnsiTheme="minorHAnsi" w:cstheme="minorHAnsi"/>
          <w:b/>
          <w:bCs/>
          <w:szCs w:val="24"/>
        </w:rPr>
      </w:pPr>
      <w:r w:rsidRPr="00D26A35">
        <w:rPr>
          <w:rFonts w:asciiTheme="minorHAnsi" w:hAnsiTheme="minorHAnsi" w:cstheme="minorHAnsi"/>
          <w:b/>
          <w:bCs/>
          <w:szCs w:val="24"/>
        </w:rPr>
        <w:t>GS</w:t>
      </w:r>
    </w:p>
    <w:p w14:paraId="53F3AA50" w14:textId="0D216A63" w:rsidR="008D1143" w:rsidRPr="00D26A35" w:rsidRDefault="008D1143"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20" w:hanging="437"/>
        <w:jc w:val="both"/>
        <w:textAlignment w:val="auto"/>
        <w:rPr>
          <w:rFonts w:asciiTheme="minorHAnsi" w:hAnsiTheme="minorHAnsi" w:cstheme="minorHAnsi"/>
          <w:szCs w:val="24"/>
        </w:rPr>
      </w:pPr>
      <w:r w:rsidRPr="00D26A35">
        <w:rPr>
          <w:rFonts w:asciiTheme="minorHAnsi" w:hAnsiTheme="minorHAnsi" w:cstheme="minorHAnsi"/>
          <w:szCs w:val="24"/>
        </w:rPr>
        <w:t>World Summit on the Information Society Forum (</w:t>
      </w:r>
      <w:hyperlink r:id="rId52" w:history="1">
        <w:r w:rsidRPr="00D26A35">
          <w:rPr>
            <w:rStyle w:val="Hyperlink"/>
            <w:rFonts w:asciiTheme="minorHAnsi" w:hAnsiTheme="minorHAnsi" w:cstheme="minorHAnsi"/>
            <w:szCs w:val="24"/>
          </w:rPr>
          <w:t>WSIS Forum</w:t>
        </w:r>
      </w:hyperlink>
      <w:r w:rsidRPr="00D26A35">
        <w:rPr>
          <w:rFonts w:asciiTheme="minorHAnsi" w:hAnsiTheme="minorHAnsi" w:cstheme="minorHAnsi"/>
          <w:szCs w:val="24"/>
        </w:rPr>
        <w:t>): Co-organised by ITU, UNESCO, UNCTAD, UNDP, and in coordination with other UN organisations (</w:t>
      </w:r>
      <w:r w:rsidRPr="00D26A35">
        <w:rPr>
          <w:rFonts w:asciiTheme="minorHAnsi" w:hAnsiTheme="minorHAnsi"/>
          <w:color w:val="000000"/>
          <w:sz w:val="23"/>
          <w:szCs w:val="23"/>
        </w:rPr>
        <w:t>FAO, ILO, ITC, UNDESA, UNEP, UNHCR, UNICEF, UNIDO, UNITAR, UNODC, UPU, UNU, UN Women, WFP, WHO, WIPO, WMO and UN Regional Commissions)</w:t>
      </w:r>
      <w:r w:rsidRPr="00D26A35">
        <w:rPr>
          <w:rFonts w:asciiTheme="minorHAnsi" w:hAnsiTheme="minorHAnsi" w:cstheme="minorHAnsi"/>
          <w:szCs w:val="24"/>
        </w:rPr>
        <w:t>, ITU leads the coordination of the annual Forum, including for the implementation of the WSIS Action Lines with the lead facilitating and co-facilitating agencies, and the UN Process to ensure alignment with the 2030 Agenda for Sustainable Development</w:t>
      </w:r>
      <w:r w:rsidR="00C61D0F">
        <w:rPr>
          <w:rFonts w:asciiTheme="minorHAnsi" w:hAnsiTheme="minorHAnsi" w:cstheme="minorHAnsi"/>
          <w:szCs w:val="24"/>
        </w:rPr>
        <w:t>;</w:t>
      </w:r>
    </w:p>
    <w:p w14:paraId="6C41DC74" w14:textId="1C1AD268" w:rsidR="008D1143" w:rsidRPr="00D26A35" w:rsidRDefault="008D1143"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20" w:hanging="437"/>
        <w:jc w:val="both"/>
        <w:textAlignment w:val="auto"/>
        <w:rPr>
          <w:rFonts w:asciiTheme="minorHAnsi" w:hAnsiTheme="minorHAnsi" w:cstheme="minorHAnsi"/>
          <w:szCs w:val="24"/>
        </w:rPr>
      </w:pPr>
      <w:r w:rsidRPr="00D26A35">
        <w:rPr>
          <w:rFonts w:asciiTheme="minorHAnsi" w:hAnsiTheme="minorHAnsi" w:cstheme="minorHAnsi"/>
          <w:szCs w:val="24"/>
        </w:rPr>
        <w:t xml:space="preserve">The WSIS </w:t>
      </w:r>
      <w:proofErr w:type="spellStart"/>
      <w:r w:rsidRPr="00D26A35">
        <w:rPr>
          <w:rFonts w:asciiTheme="minorHAnsi" w:hAnsiTheme="minorHAnsi" w:cstheme="minorHAnsi"/>
          <w:szCs w:val="24"/>
        </w:rPr>
        <w:t>TalkX</w:t>
      </w:r>
      <w:proofErr w:type="spellEnd"/>
      <w:r w:rsidRPr="00D26A35">
        <w:rPr>
          <w:rFonts w:asciiTheme="minorHAnsi" w:hAnsiTheme="minorHAnsi" w:cstheme="minorHAnsi"/>
          <w:szCs w:val="24"/>
        </w:rPr>
        <w:t xml:space="preserve"> is a platform, both virtual and physical, dedicated to sharing experiences and inspirational stories about ICTs for development (implementation of the WSIS Action Lines for Development) by stakeholders all over the world. The WSIS </w:t>
      </w:r>
      <w:proofErr w:type="spellStart"/>
      <w:r w:rsidRPr="00D26A35">
        <w:rPr>
          <w:rFonts w:asciiTheme="minorHAnsi" w:hAnsiTheme="minorHAnsi" w:cstheme="minorHAnsi"/>
          <w:szCs w:val="24"/>
        </w:rPr>
        <w:t>TalkX</w:t>
      </w:r>
      <w:proofErr w:type="spellEnd"/>
      <w:r w:rsidRPr="00D26A35">
        <w:rPr>
          <w:rFonts w:asciiTheme="minorHAnsi" w:hAnsiTheme="minorHAnsi" w:cstheme="minorHAnsi"/>
          <w:szCs w:val="24"/>
        </w:rPr>
        <w:t xml:space="preserve"> was initiated during the WSIS Forum 2019 and adjusted as a continuous virtual series since 2020 till present, at the request of stakeholders. The interactive talk series also highlighted the linkage of the World UN Days with ICTs (WSIS Action Lines) with the support of many UN agencies</w:t>
      </w:r>
      <w:r w:rsidR="00C61D0F">
        <w:rPr>
          <w:rFonts w:asciiTheme="minorHAnsi" w:hAnsiTheme="minorHAnsi" w:cstheme="minorHAnsi"/>
          <w:szCs w:val="24"/>
        </w:rPr>
        <w:t>;</w:t>
      </w:r>
      <w:r w:rsidRPr="00D26A35">
        <w:rPr>
          <w:rFonts w:asciiTheme="minorHAnsi" w:hAnsiTheme="minorHAnsi" w:cstheme="minorHAnsi"/>
          <w:szCs w:val="24"/>
        </w:rPr>
        <w:t xml:space="preserve"> </w:t>
      </w:r>
    </w:p>
    <w:p w14:paraId="35B3304C" w14:textId="3D39C3F5" w:rsidR="008D1143" w:rsidRPr="00D26A35" w:rsidRDefault="008D1143"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20" w:hanging="437"/>
        <w:jc w:val="both"/>
        <w:textAlignment w:val="auto"/>
        <w:rPr>
          <w:rFonts w:asciiTheme="minorHAnsi" w:hAnsiTheme="minorHAnsi" w:cstheme="minorHAnsi"/>
          <w:szCs w:val="24"/>
        </w:rPr>
      </w:pPr>
      <w:r w:rsidRPr="00D26A35">
        <w:rPr>
          <w:rFonts w:asciiTheme="minorHAnsi" w:hAnsiTheme="minorHAnsi" w:cstheme="minorHAnsi"/>
          <w:szCs w:val="24"/>
        </w:rPr>
        <w:t>The WSIS Prizes is an exceptional international recognition of WSIS stakeholders as Winners and Champions for their excellence in supporting the implementation of WSIS outcomes, in particular WSIS Action Lines supporting achievement of SDGs (</w:t>
      </w:r>
      <w:hyperlink r:id="rId53" w:history="1">
        <w:r w:rsidRPr="00D26A35">
          <w:rPr>
            <w:rStyle w:val="Hyperlink"/>
            <w:rFonts w:asciiTheme="minorHAnsi" w:hAnsiTheme="minorHAnsi" w:cstheme="minorHAnsi"/>
            <w:szCs w:val="24"/>
          </w:rPr>
          <w:t>www.wsis.rog/prizes</w:t>
        </w:r>
      </w:hyperlink>
      <w:r w:rsidRPr="00D26A35">
        <w:rPr>
          <w:rFonts w:asciiTheme="minorHAnsi" w:hAnsiTheme="minorHAnsi" w:cstheme="minorHAnsi"/>
          <w:szCs w:val="24"/>
        </w:rPr>
        <w:t>)</w:t>
      </w:r>
      <w:r w:rsidR="00C61D0F">
        <w:rPr>
          <w:rFonts w:asciiTheme="minorHAnsi" w:hAnsiTheme="minorHAnsi" w:cstheme="minorHAnsi"/>
          <w:szCs w:val="24"/>
        </w:rPr>
        <w:t>;</w:t>
      </w:r>
    </w:p>
    <w:p w14:paraId="3650ABA7" w14:textId="64DE8FC1" w:rsidR="008D1143" w:rsidRPr="00D26A35" w:rsidRDefault="008D1143" w:rsidP="00564318">
      <w:pPr>
        <w:pStyle w:val="NoSpacing"/>
        <w:numPr>
          <w:ilvl w:val="0"/>
          <w:numId w:val="3"/>
        </w:numPr>
        <w:tabs>
          <w:tab w:val="clear" w:pos="567"/>
          <w:tab w:val="clear" w:pos="1134"/>
          <w:tab w:val="clear" w:pos="1701"/>
          <w:tab w:val="clear" w:pos="2268"/>
          <w:tab w:val="clear" w:pos="2835"/>
        </w:tabs>
        <w:adjustRightInd/>
        <w:snapToGrid w:val="0"/>
        <w:spacing w:before="120" w:after="120"/>
        <w:ind w:left="720" w:hanging="437"/>
        <w:jc w:val="both"/>
        <w:textAlignment w:val="auto"/>
        <w:rPr>
          <w:rFonts w:asciiTheme="minorHAnsi" w:hAnsiTheme="minorHAnsi" w:cstheme="minorHAnsi"/>
          <w:szCs w:val="24"/>
        </w:rPr>
      </w:pPr>
      <w:r w:rsidRPr="00D26A35">
        <w:rPr>
          <w:rFonts w:asciiTheme="minorHAnsi" w:hAnsiTheme="minorHAnsi" w:cstheme="minorHAnsi"/>
          <w:szCs w:val="24"/>
        </w:rPr>
        <w:t>WSIS Stocktaking is a unique global platform for collecting information and annual reporting on information and communication technology related initiatives and projects, carried out by governments, international organisations, the business sector, civil society, academia, and other entities. The global repository aligns all the projects with the WSIS Action Lines and SDGs (www.wsis.org/stocktaking )</w:t>
      </w:r>
      <w:r w:rsidR="00C61D0F">
        <w:rPr>
          <w:rFonts w:asciiTheme="minorHAnsi" w:hAnsiTheme="minorHAnsi" w:cstheme="minorHAnsi"/>
          <w:szCs w:val="24"/>
        </w:rPr>
        <w:t>;</w:t>
      </w:r>
    </w:p>
    <w:p w14:paraId="4F6C3E2E" w14:textId="33440E85" w:rsidR="000769F6" w:rsidRPr="00D26A35" w:rsidRDefault="000769F6"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37"/>
        <w:jc w:val="both"/>
        <w:rPr>
          <w:rFonts w:asciiTheme="minorHAnsi" w:hAnsiTheme="minorHAnsi" w:cstheme="minorHAnsi"/>
          <w:szCs w:val="24"/>
        </w:rPr>
      </w:pPr>
      <w:r w:rsidRPr="00D26A35">
        <w:rPr>
          <w:rFonts w:asciiTheme="minorHAnsi" w:hAnsiTheme="minorHAnsi" w:cstheme="minorHAnsi"/>
          <w:szCs w:val="24"/>
        </w:rPr>
        <w:t xml:space="preserve">ITU, UN Innovation </w:t>
      </w:r>
      <w:r w:rsidR="009A0530">
        <w:rPr>
          <w:rFonts w:asciiTheme="minorHAnsi" w:hAnsiTheme="minorHAnsi" w:cstheme="minorHAnsi"/>
          <w:szCs w:val="24"/>
        </w:rPr>
        <w:t>N</w:t>
      </w:r>
      <w:r w:rsidRPr="00D26A35">
        <w:rPr>
          <w:rFonts w:asciiTheme="minorHAnsi" w:hAnsiTheme="minorHAnsi" w:cstheme="minorHAnsi"/>
          <w:szCs w:val="24"/>
        </w:rPr>
        <w:t xml:space="preserve">etwork and UN-OICT initiative </w:t>
      </w:r>
      <w:r w:rsidR="004D05A3" w:rsidRPr="00D26A35">
        <w:rPr>
          <w:rFonts w:asciiTheme="minorHAnsi" w:hAnsiTheme="minorHAnsi" w:cstheme="minorHAnsi"/>
          <w:szCs w:val="24"/>
        </w:rPr>
        <w:t xml:space="preserve">collaborate </w:t>
      </w:r>
      <w:r w:rsidRPr="00D26A35">
        <w:rPr>
          <w:rFonts w:asciiTheme="minorHAnsi" w:hAnsiTheme="minorHAnsi" w:cstheme="minorHAnsi"/>
          <w:szCs w:val="24"/>
        </w:rPr>
        <w:t xml:space="preserve">on </w:t>
      </w:r>
      <w:r w:rsidR="004D05A3" w:rsidRPr="00D26A35">
        <w:rPr>
          <w:rFonts w:asciiTheme="minorHAnsi" w:hAnsiTheme="minorHAnsi" w:cstheme="minorHAnsi"/>
          <w:szCs w:val="24"/>
        </w:rPr>
        <w:t xml:space="preserve">a </w:t>
      </w:r>
      <w:r w:rsidR="009A0530">
        <w:rPr>
          <w:rFonts w:asciiTheme="minorHAnsi" w:hAnsiTheme="minorHAnsi" w:cstheme="minorHAnsi"/>
          <w:szCs w:val="24"/>
        </w:rPr>
        <w:t>regular</w:t>
      </w:r>
      <w:r w:rsidRPr="00D26A35">
        <w:rPr>
          <w:rFonts w:asciiTheme="minorHAnsi" w:hAnsiTheme="minorHAnsi" w:cstheme="minorHAnsi"/>
          <w:szCs w:val="24"/>
        </w:rPr>
        <w:t xml:space="preserve"> </w:t>
      </w:r>
      <w:hyperlink r:id="rId54" w:history="1">
        <w:proofErr w:type="spellStart"/>
        <w:r w:rsidRPr="00D33B11">
          <w:rPr>
            <w:rStyle w:val="Hyperlink"/>
            <w:rFonts w:asciiTheme="minorHAnsi" w:hAnsiTheme="minorHAnsi" w:cstheme="minorHAnsi"/>
            <w:szCs w:val="24"/>
          </w:rPr>
          <w:t>TechLearnTalk</w:t>
        </w:r>
        <w:proofErr w:type="spellEnd"/>
        <w:r w:rsidRPr="00D33B11">
          <w:rPr>
            <w:rStyle w:val="Hyperlink"/>
            <w:rFonts w:asciiTheme="minorHAnsi" w:hAnsiTheme="minorHAnsi" w:cstheme="minorHAnsi"/>
            <w:szCs w:val="24"/>
          </w:rPr>
          <w:t xml:space="preserve"> series</w:t>
        </w:r>
      </w:hyperlink>
      <w:r w:rsidRPr="00D26A35">
        <w:rPr>
          <w:rFonts w:asciiTheme="minorHAnsi" w:hAnsiTheme="minorHAnsi" w:cstheme="minorHAnsi"/>
          <w:szCs w:val="24"/>
        </w:rPr>
        <w:t xml:space="preserve"> at UNHQ to help build capacity on a range of ICT themes</w:t>
      </w:r>
      <w:r w:rsidR="004D05A3" w:rsidRPr="00D26A35">
        <w:rPr>
          <w:rFonts w:asciiTheme="minorHAnsi" w:hAnsiTheme="minorHAnsi" w:cstheme="minorHAnsi"/>
          <w:szCs w:val="24"/>
          <w:lang w:val="en-US"/>
        </w:rPr>
        <w:t xml:space="preserve">.  Themes addressed thus </w:t>
      </w:r>
      <w:r w:rsidR="004D05A3" w:rsidRPr="00D26A35">
        <w:rPr>
          <w:rFonts w:asciiTheme="minorHAnsi" w:hAnsiTheme="minorHAnsi" w:cstheme="minorHAnsi"/>
          <w:szCs w:val="24"/>
          <w:lang w:val="en-US"/>
        </w:rPr>
        <w:lastRenderedPageBreak/>
        <w:t xml:space="preserve">far include drones, </w:t>
      </w:r>
      <w:r w:rsidR="009A0530">
        <w:rPr>
          <w:rFonts w:asciiTheme="minorHAnsi" w:hAnsiTheme="minorHAnsi" w:cstheme="minorHAnsi"/>
          <w:szCs w:val="24"/>
          <w:lang w:val="en-US"/>
        </w:rPr>
        <w:t xml:space="preserve">AI, </w:t>
      </w:r>
      <w:r w:rsidR="004D05A3" w:rsidRPr="00D26A35">
        <w:rPr>
          <w:rFonts w:asciiTheme="minorHAnsi" w:hAnsiTheme="minorHAnsi" w:cstheme="minorHAnsi"/>
          <w:szCs w:val="24"/>
          <w:lang w:val="en-US"/>
        </w:rPr>
        <w:t xml:space="preserve">blockchain, predictive analytics, </w:t>
      </w:r>
      <w:r w:rsidR="00D33B11">
        <w:rPr>
          <w:rFonts w:asciiTheme="minorHAnsi" w:hAnsiTheme="minorHAnsi" w:cstheme="minorHAnsi"/>
          <w:szCs w:val="24"/>
          <w:lang w:val="en-US"/>
        </w:rPr>
        <w:t xml:space="preserve">Internet of Things, </w:t>
      </w:r>
      <w:r w:rsidR="004D05A3" w:rsidRPr="00D26A35">
        <w:rPr>
          <w:rFonts w:asciiTheme="minorHAnsi" w:hAnsiTheme="minorHAnsi" w:cstheme="minorHAnsi"/>
          <w:szCs w:val="24"/>
          <w:lang w:val="en-US"/>
        </w:rPr>
        <w:t>chatbots, VR/AR</w:t>
      </w:r>
      <w:r w:rsidR="009A0530">
        <w:rPr>
          <w:rFonts w:asciiTheme="minorHAnsi" w:hAnsiTheme="minorHAnsi" w:cstheme="minorHAnsi"/>
          <w:szCs w:val="24"/>
          <w:lang w:val="en-US"/>
        </w:rPr>
        <w:t xml:space="preserve">, robotic process automation, </w:t>
      </w:r>
      <w:proofErr w:type="gramStart"/>
      <w:r w:rsidR="009A0530">
        <w:rPr>
          <w:rFonts w:asciiTheme="minorHAnsi" w:hAnsiTheme="minorHAnsi" w:cstheme="minorHAnsi"/>
          <w:szCs w:val="24"/>
          <w:lang w:val="en-US"/>
        </w:rPr>
        <w:t>robotics</w:t>
      </w:r>
      <w:r w:rsidR="00C61D0F">
        <w:rPr>
          <w:rFonts w:asciiTheme="minorHAnsi" w:hAnsiTheme="minorHAnsi" w:cstheme="minorHAnsi"/>
          <w:szCs w:val="24"/>
        </w:rPr>
        <w:t>;</w:t>
      </w:r>
      <w:proofErr w:type="gramEnd"/>
    </w:p>
    <w:p w14:paraId="4E557BCA" w14:textId="359D455D" w:rsidR="00CA5789" w:rsidRPr="00D26A35" w:rsidRDefault="00CA5789"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37"/>
        <w:jc w:val="both"/>
        <w:rPr>
          <w:rFonts w:asciiTheme="minorHAnsi" w:hAnsiTheme="minorHAnsi" w:cstheme="minorHAnsi"/>
          <w:szCs w:val="24"/>
          <w:lang w:val="en-US"/>
        </w:rPr>
      </w:pPr>
      <w:r w:rsidRPr="00D26A35">
        <w:rPr>
          <w:rFonts w:asciiTheme="minorHAnsi" w:hAnsiTheme="minorHAnsi" w:cstheme="minorHAnsi"/>
          <w:szCs w:val="24"/>
        </w:rPr>
        <w:t xml:space="preserve">The Annual compendium report “UN Activities on Artificial Intelligence” was released </w:t>
      </w:r>
      <w:r w:rsidR="00A00EB2" w:rsidRPr="00D26A35">
        <w:rPr>
          <w:rFonts w:asciiTheme="minorHAnsi" w:hAnsiTheme="minorHAnsi" w:cstheme="minorHAnsi"/>
          <w:szCs w:val="24"/>
        </w:rPr>
        <w:t>o</w:t>
      </w:r>
      <w:r w:rsidRPr="00D26A35">
        <w:rPr>
          <w:rFonts w:asciiTheme="minorHAnsi" w:hAnsiTheme="minorHAnsi" w:cstheme="minorHAnsi"/>
          <w:szCs w:val="24"/>
        </w:rPr>
        <w:t xml:space="preserve">n </w:t>
      </w:r>
      <w:r w:rsidR="00A00EB2" w:rsidRPr="00D26A35">
        <w:rPr>
          <w:rFonts w:asciiTheme="minorHAnsi" w:hAnsiTheme="minorHAnsi" w:cstheme="minorHAnsi"/>
          <w:szCs w:val="24"/>
        </w:rPr>
        <w:t xml:space="preserve">16 </w:t>
      </w:r>
      <w:r w:rsidRPr="00D26A35">
        <w:rPr>
          <w:rFonts w:asciiTheme="minorHAnsi" w:hAnsiTheme="minorHAnsi" w:cstheme="minorHAnsi"/>
          <w:szCs w:val="24"/>
        </w:rPr>
        <w:t xml:space="preserve">December 2021 at the </w:t>
      </w:r>
      <w:hyperlink r:id="rId55" w:history="1">
        <w:r w:rsidRPr="00D26A35">
          <w:rPr>
            <w:rStyle w:val="Hyperlink"/>
            <w:rFonts w:asciiTheme="minorHAnsi" w:hAnsiTheme="minorHAnsi" w:cstheme="minorHAnsi"/>
            <w:szCs w:val="24"/>
          </w:rPr>
          <w:t>7</w:t>
        </w:r>
        <w:r w:rsidRPr="00D26A35">
          <w:rPr>
            <w:rStyle w:val="Hyperlink"/>
            <w:vertAlign w:val="superscript"/>
          </w:rPr>
          <w:t>th</w:t>
        </w:r>
        <w:r w:rsidRPr="00D26A35">
          <w:rPr>
            <w:rStyle w:val="Hyperlink"/>
            <w:rFonts w:asciiTheme="minorHAnsi" w:hAnsiTheme="minorHAnsi" w:cstheme="minorHAnsi"/>
            <w:szCs w:val="24"/>
          </w:rPr>
          <w:t xml:space="preserve"> AI for Good UN Partners Meeting </w:t>
        </w:r>
        <w:r w:rsidR="00A00EB2" w:rsidRPr="00D26A35">
          <w:rPr>
            <w:rStyle w:val="Hyperlink"/>
            <w:rFonts w:asciiTheme="minorHAnsi" w:hAnsiTheme="minorHAnsi" w:cstheme="minorHAnsi"/>
            <w:szCs w:val="24"/>
          </w:rPr>
          <w:t xml:space="preserve">along the </w:t>
        </w:r>
        <w:proofErr w:type="spellStart"/>
        <w:r w:rsidR="00A00EB2" w:rsidRPr="00D26A35">
          <w:rPr>
            <w:rStyle w:val="Hyperlink"/>
            <w:rFonts w:asciiTheme="minorHAnsi" w:hAnsiTheme="minorHAnsi" w:cstheme="minorHAnsi"/>
            <w:szCs w:val="24"/>
          </w:rPr>
          <w:t>sidelines</w:t>
        </w:r>
        <w:proofErr w:type="spellEnd"/>
        <w:r w:rsidR="00A00EB2" w:rsidRPr="00D26A35">
          <w:rPr>
            <w:rStyle w:val="Hyperlink"/>
            <w:rFonts w:asciiTheme="minorHAnsi" w:hAnsiTheme="minorHAnsi" w:cstheme="minorHAnsi"/>
            <w:szCs w:val="24"/>
          </w:rPr>
          <w:t xml:space="preserve"> of the sixth World Telecommunication/ICT Policy Forum</w:t>
        </w:r>
        <w:r w:rsidRPr="00D26A35">
          <w:rPr>
            <w:rStyle w:val="Hyperlink"/>
            <w:rFonts w:asciiTheme="minorHAnsi" w:hAnsiTheme="minorHAnsi" w:cstheme="minorHAnsi"/>
            <w:szCs w:val="24"/>
          </w:rPr>
          <w:t xml:space="preserve"> </w:t>
        </w:r>
        <w:r w:rsidR="00A00EB2" w:rsidRPr="00D26A35">
          <w:rPr>
            <w:rStyle w:val="Hyperlink"/>
            <w:rFonts w:asciiTheme="minorHAnsi" w:hAnsiTheme="minorHAnsi" w:cstheme="minorHAnsi"/>
            <w:szCs w:val="24"/>
          </w:rPr>
          <w:t>(</w:t>
        </w:r>
        <w:r w:rsidRPr="00D26A35">
          <w:rPr>
            <w:rStyle w:val="Hyperlink"/>
            <w:rFonts w:asciiTheme="minorHAnsi" w:hAnsiTheme="minorHAnsi" w:cstheme="minorHAnsi"/>
            <w:szCs w:val="24"/>
          </w:rPr>
          <w:t>WTPF-21</w:t>
        </w:r>
      </w:hyperlink>
      <w:r w:rsidR="00A00EB2" w:rsidRPr="00D26A35">
        <w:rPr>
          <w:rFonts w:asciiTheme="minorHAnsi" w:hAnsiTheme="minorHAnsi" w:cstheme="minorHAnsi"/>
          <w:szCs w:val="24"/>
        </w:rPr>
        <w:t>)</w:t>
      </w:r>
      <w:r w:rsidRPr="00D26A35">
        <w:rPr>
          <w:rFonts w:asciiTheme="minorHAnsi" w:hAnsiTheme="minorHAnsi" w:cstheme="minorHAnsi"/>
          <w:szCs w:val="24"/>
        </w:rPr>
        <w:t xml:space="preserve">. </w:t>
      </w:r>
      <w:r w:rsidRPr="00D26A35">
        <w:rPr>
          <w:rFonts w:asciiTheme="minorHAnsi" w:hAnsiTheme="minorHAnsi" w:cstheme="minorHAnsi" w:hint="eastAsia"/>
          <w:szCs w:val="24"/>
          <w:lang w:val="en-US"/>
        </w:rPr>
        <w:t xml:space="preserve">In this edition, 46 UN entities were contacted, 40 entities participated, and 226 projects </w:t>
      </w:r>
      <w:r w:rsidR="00A00EB2" w:rsidRPr="00D26A35">
        <w:rPr>
          <w:rFonts w:asciiTheme="minorHAnsi" w:hAnsiTheme="minorHAnsi" w:cstheme="minorHAnsi"/>
          <w:szCs w:val="24"/>
          <w:lang w:val="en-US"/>
        </w:rPr>
        <w:t>were</w:t>
      </w:r>
      <w:r w:rsidRPr="00D26A35">
        <w:rPr>
          <w:rFonts w:asciiTheme="minorHAnsi" w:hAnsiTheme="minorHAnsi" w:cstheme="minorHAnsi" w:hint="eastAsia"/>
          <w:szCs w:val="24"/>
          <w:lang w:val="en-US"/>
        </w:rPr>
        <w:t xml:space="preserve"> presented. </w:t>
      </w:r>
      <w:r w:rsidR="00A00EB2" w:rsidRPr="00D26A35">
        <w:rPr>
          <w:rFonts w:asciiTheme="minorHAnsi" w:hAnsiTheme="minorHAnsi" w:cstheme="minorHAnsi"/>
          <w:szCs w:val="24"/>
          <w:lang w:val="en-US"/>
        </w:rPr>
        <w:t>T</w:t>
      </w:r>
      <w:r w:rsidRPr="00D26A35">
        <w:rPr>
          <w:rFonts w:asciiTheme="minorHAnsi" w:hAnsiTheme="minorHAnsi" w:cstheme="minorHAnsi" w:hint="eastAsia"/>
          <w:szCs w:val="24"/>
          <w:lang w:val="en-US"/>
        </w:rPr>
        <w:t>h</w:t>
      </w:r>
      <w:r w:rsidRPr="00D26A35">
        <w:rPr>
          <w:rFonts w:asciiTheme="minorHAnsi" w:hAnsiTheme="minorHAnsi" w:cstheme="minorHAnsi"/>
          <w:szCs w:val="24"/>
          <w:lang w:val="en-US"/>
        </w:rPr>
        <w:t>e</w:t>
      </w:r>
      <w:r w:rsidRPr="00D26A35">
        <w:rPr>
          <w:rFonts w:asciiTheme="minorHAnsi" w:hAnsiTheme="minorHAnsi" w:cstheme="minorHAnsi" w:hint="eastAsia"/>
          <w:szCs w:val="24"/>
          <w:lang w:val="en-US"/>
        </w:rPr>
        <w:t xml:space="preserve"> </w:t>
      </w:r>
      <w:hyperlink r:id="rId56" w:history="1">
        <w:r w:rsidRPr="00D26A35">
          <w:rPr>
            <w:rStyle w:val="Hyperlink"/>
            <w:rFonts w:asciiTheme="minorHAnsi" w:hAnsiTheme="minorHAnsi" w:cstheme="minorHAnsi" w:hint="eastAsia"/>
            <w:szCs w:val="24"/>
            <w:lang w:val="en-US"/>
          </w:rPr>
          <w:t>interactive page</w:t>
        </w:r>
      </w:hyperlink>
      <w:r w:rsidRPr="00D26A35">
        <w:rPr>
          <w:rFonts w:asciiTheme="minorHAnsi" w:hAnsiTheme="minorHAnsi" w:cstheme="minorHAnsi" w:hint="eastAsia"/>
          <w:szCs w:val="24"/>
          <w:lang w:val="en-US"/>
        </w:rPr>
        <w:t xml:space="preserve"> </w:t>
      </w:r>
      <w:r w:rsidR="008F65CB" w:rsidRPr="00D26A35">
        <w:rPr>
          <w:rFonts w:asciiTheme="minorHAnsi" w:hAnsiTheme="minorHAnsi" w:cstheme="minorHAnsi"/>
          <w:szCs w:val="24"/>
          <w:lang w:val="en-US"/>
        </w:rPr>
        <w:t xml:space="preserve">is available </w:t>
      </w:r>
      <w:r w:rsidRPr="00D26A35">
        <w:rPr>
          <w:rFonts w:asciiTheme="minorHAnsi" w:hAnsiTheme="minorHAnsi" w:cstheme="minorHAnsi" w:hint="eastAsia"/>
          <w:szCs w:val="24"/>
          <w:lang w:val="en-US"/>
        </w:rPr>
        <w:t xml:space="preserve">to discover the extensive work that is taking place within the UN system. </w:t>
      </w:r>
      <w:r w:rsidR="008F65CB" w:rsidRPr="00D26A35">
        <w:rPr>
          <w:rFonts w:asciiTheme="minorHAnsi" w:hAnsiTheme="minorHAnsi" w:cstheme="minorHAnsi"/>
          <w:szCs w:val="24"/>
          <w:lang w:val="en-US"/>
        </w:rPr>
        <w:t>T</w:t>
      </w:r>
      <w:r w:rsidR="008F65CB" w:rsidRPr="00D26A35">
        <w:rPr>
          <w:rFonts w:asciiTheme="minorHAnsi" w:hAnsiTheme="minorHAnsi" w:cstheme="minorHAnsi" w:hint="eastAsia"/>
          <w:szCs w:val="24"/>
          <w:lang w:val="en-US"/>
        </w:rPr>
        <w:t xml:space="preserve">he </w:t>
      </w:r>
      <w:hyperlink r:id="rId57" w:history="1">
        <w:r w:rsidR="008F65CB" w:rsidRPr="00D26A35">
          <w:rPr>
            <w:rStyle w:val="Hyperlink"/>
            <w:rFonts w:asciiTheme="minorHAnsi" w:hAnsiTheme="minorHAnsi" w:cstheme="minorHAnsi" w:hint="eastAsia"/>
            <w:szCs w:val="24"/>
            <w:lang w:val="en-US"/>
          </w:rPr>
          <w:t>Executive Summary</w:t>
        </w:r>
      </w:hyperlink>
      <w:r w:rsidR="008F65CB" w:rsidRPr="00D26A35">
        <w:rPr>
          <w:rFonts w:asciiTheme="minorHAnsi" w:hAnsiTheme="minorHAnsi" w:cstheme="minorHAnsi"/>
          <w:szCs w:val="24"/>
          <w:lang w:val="en-US"/>
        </w:rPr>
        <w:t xml:space="preserve"> can be downloaded f</w:t>
      </w:r>
      <w:r w:rsidRPr="00D26A35">
        <w:rPr>
          <w:rFonts w:asciiTheme="minorHAnsi" w:hAnsiTheme="minorHAnsi" w:cstheme="minorHAnsi" w:hint="eastAsia"/>
          <w:szCs w:val="24"/>
          <w:lang w:val="en-US"/>
        </w:rPr>
        <w:t>or an analysis on key tracks and AI trends</w:t>
      </w:r>
      <w:r w:rsidR="00C61D0F">
        <w:rPr>
          <w:rFonts w:asciiTheme="minorHAnsi" w:hAnsiTheme="minorHAnsi" w:cstheme="minorHAnsi"/>
          <w:szCs w:val="24"/>
          <w:lang w:val="en-US"/>
        </w:rPr>
        <w:t>;</w:t>
      </w:r>
    </w:p>
    <w:p w14:paraId="403C4D89" w14:textId="726B3A78" w:rsidR="009F0070" w:rsidRPr="00D26A35" w:rsidRDefault="009F0070" w:rsidP="00564318">
      <w:pPr>
        <w:pStyle w:val="NoSpacing"/>
        <w:numPr>
          <w:ilvl w:val="0"/>
          <w:numId w:val="3"/>
        </w:numPr>
        <w:tabs>
          <w:tab w:val="clear" w:pos="567"/>
          <w:tab w:val="clear" w:pos="1134"/>
          <w:tab w:val="clear" w:pos="1701"/>
          <w:tab w:val="clear" w:pos="2268"/>
          <w:tab w:val="clear" w:pos="2835"/>
        </w:tabs>
        <w:snapToGrid w:val="0"/>
        <w:spacing w:before="120" w:after="120"/>
        <w:ind w:left="709" w:hanging="437"/>
        <w:jc w:val="both"/>
        <w:rPr>
          <w:rFonts w:asciiTheme="minorHAnsi" w:hAnsiTheme="minorHAnsi" w:cstheme="minorHAnsi"/>
          <w:szCs w:val="24"/>
        </w:rPr>
      </w:pPr>
      <w:bookmarkStart w:id="10" w:name="_Hlk67034205"/>
      <w:r w:rsidRPr="00D26A35">
        <w:rPr>
          <w:rFonts w:asciiTheme="minorHAnsi" w:hAnsiTheme="minorHAnsi" w:cstheme="minorHAnsi"/>
          <w:szCs w:val="24"/>
        </w:rPr>
        <w:t>In support of Girls in ICT Day, ITU has a collaboration with UNICC and the Office of the UN Secretary-General’s Envoy on Youth in the form of an intergenerational interview series between young women in tech and women in tech role models.</w:t>
      </w:r>
      <w:r w:rsidR="00226D79" w:rsidRPr="00D26A35">
        <w:rPr>
          <w:rFonts w:asciiTheme="minorHAnsi" w:hAnsiTheme="minorHAnsi" w:cstheme="minorHAnsi"/>
          <w:szCs w:val="24"/>
        </w:rPr>
        <w:t xml:space="preserve"> This interview series reached 130 episodes to date</w:t>
      </w:r>
      <w:r w:rsidR="00D33B11">
        <w:rPr>
          <w:rFonts w:asciiTheme="minorHAnsi" w:hAnsiTheme="minorHAnsi" w:cstheme="minorHAnsi"/>
          <w:szCs w:val="24"/>
        </w:rPr>
        <w:t xml:space="preserve"> </w:t>
      </w:r>
      <w:r w:rsidR="00226D79" w:rsidRPr="00D26A35">
        <w:rPr>
          <w:rFonts w:asciiTheme="minorHAnsi" w:hAnsiTheme="minorHAnsi" w:cstheme="minorHAnsi"/>
          <w:szCs w:val="24"/>
        </w:rPr>
        <w:t>(</w:t>
      </w:r>
      <w:proofErr w:type="gramStart"/>
      <w:r w:rsidR="00226D79" w:rsidRPr="00D26A35">
        <w:rPr>
          <w:rFonts w:asciiTheme="minorHAnsi" w:hAnsiTheme="minorHAnsi" w:cstheme="minorHAnsi"/>
          <w:szCs w:val="24"/>
        </w:rPr>
        <w:t>December,</w:t>
      </w:r>
      <w:proofErr w:type="gramEnd"/>
      <w:r w:rsidR="00226D79" w:rsidRPr="00D26A35">
        <w:rPr>
          <w:rFonts w:asciiTheme="minorHAnsi" w:hAnsiTheme="minorHAnsi" w:cstheme="minorHAnsi"/>
          <w:szCs w:val="24"/>
        </w:rPr>
        <w:t xml:space="preserve"> 2021), matched over 300 participants from 90 different countries around the world</w:t>
      </w:r>
      <w:r w:rsidR="00C61D0F">
        <w:rPr>
          <w:rFonts w:asciiTheme="minorHAnsi" w:hAnsiTheme="minorHAnsi" w:cstheme="minorHAnsi"/>
          <w:szCs w:val="24"/>
        </w:rPr>
        <w:t>;</w:t>
      </w:r>
    </w:p>
    <w:bookmarkEnd w:id="10"/>
    <w:p w14:paraId="0CA3B832" w14:textId="553B16A6" w:rsidR="007629FA" w:rsidRPr="00D26A35" w:rsidRDefault="000769F6" w:rsidP="00564318">
      <w:pPr>
        <w:pStyle w:val="NoSpacing"/>
        <w:keepNext/>
        <w:numPr>
          <w:ilvl w:val="0"/>
          <w:numId w:val="3"/>
        </w:numPr>
        <w:tabs>
          <w:tab w:val="clear" w:pos="567"/>
          <w:tab w:val="clear" w:pos="1134"/>
          <w:tab w:val="clear" w:pos="1701"/>
          <w:tab w:val="clear" w:pos="2268"/>
          <w:tab w:val="clear" w:pos="2835"/>
        </w:tabs>
        <w:snapToGrid w:val="0"/>
        <w:spacing w:before="120" w:after="120"/>
        <w:ind w:left="709" w:hanging="437"/>
        <w:jc w:val="both"/>
        <w:rPr>
          <w:rFonts w:asciiTheme="minorHAnsi" w:hAnsiTheme="minorHAnsi" w:cstheme="minorHAnsi"/>
          <w:szCs w:val="24"/>
        </w:rPr>
      </w:pPr>
      <w:r w:rsidRPr="00D26A35">
        <w:rPr>
          <w:rFonts w:asciiTheme="minorHAnsi" w:hAnsiTheme="minorHAnsi" w:cstheme="minorHAnsi"/>
          <w:szCs w:val="24"/>
        </w:rPr>
        <w:t>Joint side event</w:t>
      </w:r>
      <w:r w:rsidR="009F0070" w:rsidRPr="00D26A35">
        <w:rPr>
          <w:rFonts w:asciiTheme="minorHAnsi" w:hAnsiTheme="minorHAnsi" w:cstheme="minorHAnsi"/>
          <w:szCs w:val="24"/>
        </w:rPr>
        <w:t>s</w:t>
      </w:r>
      <w:r w:rsidRPr="00D26A35">
        <w:rPr>
          <w:rFonts w:asciiTheme="minorHAnsi" w:hAnsiTheme="minorHAnsi" w:cstheme="minorHAnsi"/>
          <w:szCs w:val="24"/>
        </w:rPr>
        <w:t xml:space="preserve"> with UN sister agencies </w:t>
      </w:r>
      <w:r w:rsidR="009F0070" w:rsidRPr="00D26A35">
        <w:rPr>
          <w:rFonts w:asciiTheme="minorHAnsi" w:hAnsiTheme="minorHAnsi" w:cstheme="minorHAnsi"/>
          <w:szCs w:val="24"/>
        </w:rPr>
        <w:t>for major UN conferences (</w:t>
      </w:r>
      <w:proofErr w:type="spellStart"/>
      <w:r w:rsidR="009F0070" w:rsidRPr="00D26A35">
        <w:rPr>
          <w:rFonts w:asciiTheme="minorHAnsi" w:hAnsiTheme="minorHAnsi" w:cstheme="minorHAnsi"/>
          <w:szCs w:val="24"/>
        </w:rPr>
        <w:t>CSocD</w:t>
      </w:r>
      <w:proofErr w:type="spellEnd"/>
      <w:r w:rsidR="009F0070" w:rsidRPr="00D26A35">
        <w:rPr>
          <w:rFonts w:asciiTheme="minorHAnsi" w:hAnsiTheme="minorHAnsi" w:cstheme="minorHAnsi"/>
          <w:szCs w:val="24"/>
        </w:rPr>
        <w:t>, CSW, Financing for Development, Permanent Forum on Indigenous Issu</w:t>
      </w:r>
      <w:r w:rsidR="004D05A3" w:rsidRPr="00D26A35">
        <w:rPr>
          <w:rFonts w:asciiTheme="minorHAnsi" w:hAnsiTheme="minorHAnsi" w:cstheme="minorHAnsi"/>
          <w:szCs w:val="24"/>
        </w:rPr>
        <w:t>e</w:t>
      </w:r>
      <w:r w:rsidR="009F0070" w:rsidRPr="00D26A35">
        <w:rPr>
          <w:rFonts w:asciiTheme="minorHAnsi" w:hAnsiTheme="minorHAnsi" w:cstheme="minorHAnsi"/>
          <w:szCs w:val="24"/>
        </w:rPr>
        <w:t xml:space="preserve">s, STI Forum, HLPF, UNGA) and/or </w:t>
      </w:r>
      <w:r w:rsidRPr="00D26A35">
        <w:rPr>
          <w:rFonts w:asciiTheme="minorHAnsi" w:hAnsiTheme="minorHAnsi" w:cstheme="minorHAnsi"/>
          <w:szCs w:val="24"/>
        </w:rPr>
        <w:t xml:space="preserve">to commemorate relevant international days observed by the United Nations, such as </w:t>
      </w:r>
      <w:r w:rsidR="009F0070" w:rsidRPr="00D26A35">
        <w:rPr>
          <w:rFonts w:asciiTheme="minorHAnsi" w:hAnsiTheme="minorHAnsi" w:cstheme="minorHAnsi"/>
          <w:szCs w:val="24"/>
        </w:rPr>
        <w:t>International Women’s Day (8 March),</w:t>
      </w:r>
      <w:r w:rsidRPr="00D26A35">
        <w:rPr>
          <w:rFonts w:asciiTheme="minorHAnsi" w:hAnsiTheme="minorHAnsi" w:cstheme="minorHAnsi"/>
          <w:szCs w:val="24"/>
        </w:rPr>
        <w:t xml:space="preserve"> International Girls in ICT Day (2</w:t>
      </w:r>
      <w:r w:rsidR="009F0070" w:rsidRPr="00D26A35">
        <w:rPr>
          <w:rFonts w:asciiTheme="minorHAnsi" w:hAnsiTheme="minorHAnsi" w:cstheme="minorHAnsi"/>
          <w:szCs w:val="24"/>
        </w:rPr>
        <w:t>2</w:t>
      </w:r>
      <w:r w:rsidRPr="00D26A35">
        <w:rPr>
          <w:rFonts w:asciiTheme="minorHAnsi" w:hAnsiTheme="minorHAnsi" w:cstheme="minorHAnsi"/>
          <w:szCs w:val="24"/>
        </w:rPr>
        <w:t xml:space="preserve"> April), World Telecommunication and Information Society Day (May 17), World Day against Trafficking in Persons (30 July), </w:t>
      </w:r>
      <w:r w:rsidR="009F0070" w:rsidRPr="00D26A35">
        <w:rPr>
          <w:rFonts w:asciiTheme="minorHAnsi" w:hAnsiTheme="minorHAnsi" w:cstheme="minorHAnsi"/>
          <w:szCs w:val="24"/>
        </w:rPr>
        <w:t xml:space="preserve">International Day of the Girl (October 11), </w:t>
      </w:r>
      <w:r w:rsidRPr="00D26A35">
        <w:rPr>
          <w:rFonts w:asciiTheme="minorHAnsi" w:hAnsiTheme="minorHAnsi" w:cstheme="minorHAnsi"/>
          <w:szCs w:val="24"/>
        </w:rPr>
        <w:t>World Cities Day (31 Oct</w:t>
      </w:r>
      <w:r w:rsidR="007222FB" w:rsidRPr="00D26A35">
        <w:rPr>
          <w:rFonts w:asciiTheme="minorHAnsi" w:hAnsiTheme="minorHAnsi" w:cstheme="minorHAnsi"/>
          <w:szCs w:val="24"/>
        </w:rPr>
        <w:t>.</w:t>
      </w:r>
      <w:r w:rsidRPr="00D26A35">
        <w:rPr>
          <w:rFonts w:asciiTheme="minorHAnsi" w:hAnsiTheme="minorHAnsi" w:cstheme="minorHAnsi"/>
          <w:szCs w:val="24"/>
        </w:rPr>
        <w:t>), International Day of Persons with Disabilities (3 Dec.)</w:t>
      </w:r>
      <w:r w:rsidR="00C61D0F">
        <w:rPr>
          <w:rFonts w:asciiTheme="minorHAnsi" w:hAnsiTheme="minorHAnsi" w:cstheme="minorHAnsi"/>
          <w:szCs w:val="24"/>
        </w:rPr>
        <w:t>;</w:t>
      </w:r>
    </w:p>
    <w:p w14:paraId="7C632B42" w14:textId="0B8086B3" w:rsidR="009F0070" w:rsidRPr="00564318" w:rsidRDefault="003F7588" w:rsidP="001D60BC">
      <w:pPr>
        <w:pStyle w:val="NoSpacing"/>
        <w:keepNext/>
        <w:numPr>
          <w:ilvl w:val="0"/>
          <w:numId w:val="3"/>
        </w:numPr>
        <w:tabs>
          <w:tab w:val="clear" w:pos="567"/>
          <w:tab w:val="clear" w:pos="1134"/>
          <w:tab w:val="clear" w:pos="1701"/>
          <w:tab w:val="clear" w:pos="2268"/>
          <w:tab w:val="clear" w:pos="2835"/>
        </w:tabs>
        <w:snapToGrid w:val="0"/>
        <w:spacing w:before="60" w:after="80"/>
        <w:ind w:left="709" w:hanging="437"/>
        <w:jc w:val="both"/>
        <w:rPr>
          <w:rFonts w:asciiTheme="minorHAnsi" w:hAnsiTheme="minorHAnsi" w:cstheme="minorHAnsi"/>
          <w:b/>
          <w:bCs/>
          <w:szCs w:val="24"/>
          <w:lang w:val="en-US"/>
        </w:rPr>
      </w:pPr>
      <w:r w:rsidRPr="00564318">
        <w:rPr>
          <w:rFonts w:asciiTheme="minorHAnsi" w:hAnsiTheme="minorHAnsi" w:cstheme="minorHAnsi"/>
          <w:szCs w:val="24"/>
        </w:rPr>
        <w:t>ORMS networking with other UN agencies to seek innovative solutions in the implementation of agency ORMS Key Project Indicator (KPI) and Maintenance, Exercise and Review ME&amp;R) with a leading role in developing a comprehensive planning and training application encompassing the BCP drafting and approval process.</w:t>
      </w:r>
    </w:p>
    <w:p w14:paraId="6A3861FC" w14:textId="10FA32C9" w:rsidR="00FA3C10" w:rsidRPr="00D26A35" w:rsidRDefault="00EA4C80" w:rsidP="00564318">
      <w:pPr>
        <w:pStyle w:val="NoSpacing"/>
        <w:keepNext/>
        <w:tabs>
          <w:tab w:val="clear" w:pos="567"/>
          <w:tab w:val="clear" w:pos="1134"/>
          <w:tab w:val="clear" w:pos="1701"/>
          <w:tab w:val="clear" w:pos="2268"/>
          <w:tab w:val="clear" w:pos="2835"/>
        </w:tabs>
        <w:snapToGrid w:val="0"/>
        <w:spacing w:before="240" w:after="120"/>
        <w:jc w:val="both"/>
        <w:rPr>
          <w:rFonts w:asciiTheme="minorHAnsi" w:hAnsiTheme="minorHAnsi" w:cstheme="minorHAnsi"/>
          <w:b/>
          <w:bCs/>
          <w:szCs w:val="24"/>
          <w:lang w:val="en-US"/>
        </w:rPr>
      </w:pPr>
      <w:r w:rsidRPr="00D26A35">
        <w:rPr>
          <w:rFonts w:asciiTheme="minorHAnsi" w:hAnsiTheme="minorHAnsi" w:cstheme="minorHAnsi"/>
          <w:b/>
          <w:bCs/>
          <w:szCs w:val="24"/>
          <w:lang w:val="en-US"/>
        </w:rPr>
        <w:t>8</w:t>
      </w:r>
      <w:r w:rsidR="00CB32FF" w:rsidRPr="00D26A35">
        <w:rPr>
          <w:rFonts w:asciiTheme="minorHAnsi" w:hAnsiTheme="minorHAnsi" w:cstheme="minorHAnsi"/>
          <w:b/>
          <w:bCs/>
          <w:szCs w:val="24"/>
          <w:lang w:val="en-US"/>
        </w:rPr>
        <w:t>.</w:t>
      </w:r>
      <w:r w:rsidR="005F1AD9" w:rsidRPr="00D26A35">
        <w:rPr>
          <w:rFonts w:asciiTheme="minorHAnsi" w:hAnsiTheme="minorHAnsi" w:cstheme="minorHAnsi"/>
          <w:b/>
          <w:bCs/>
          <w:szCs w:val="24"/>
          <w:lang w:val="en-US"/>
        </w:rPr>
        <w:tab/>
      </w:r>
      <w:r w:rsidR="00FE5BF2" w:rsidRPr="00D26A35">
        <w:rPr>
          <w:rFonts w:asciiTheme="minorHAnsi" w:hAnsiTheme="minorHAnsi" w:cstheme="minorBidi"/>
          <w:b/>
          <w:bCs/>
          <w:lang w:val="en-US"/>
        </w:rPr>
        <w:t>Collaboration with the Office of the Secretary-General’s Envoy on Technology</w:t>
      </w:r>
      <w:r w:rsidR="00FE5BF2" w:rsidRPr="00D26A35" w:rsidDel="00FE5BF2">
        <w:rPr>
          <w:rFonts w:asciiTheme="minorHAnsi" w:hAnsiTheme="minorHAnsi" w:cstheme="minorHAnsi"/>
          <w:b/>
          <w:bCs/>
          <w:szCs w:val="24"/>
          <w:lang w:val="en-US"/>
        </w:rPr>
        <w:t xml:space="preserve"> </w:t>
      </w:r>
    </w:p>
    <w:p w14:paraId="313B051E" w14:textId="6E13CEC0" w:rsidR="00D16557" w:rsidRPr="00D26A35" w:rsidRDefault="00D16557" w:rsidP="00564318">
      <w:pPr>
        <w:shd w:val="clear" w:color="auto" w:fill="FFFFFF"/>
        <w:tabs>
          <w:tab w:val="clear" w:pos="1134"/>
          <w:tab w:val="left" w:pos="720"/>
        </w:tabs>
        <w:spacing w:after="120"/>
        <w:jc w:val="both"/>
        <w:rPr>
          <w:rFonts w:asciiTheme="minorHAnsi" w:hAnsiTheme="minorHAnsi" w:cstheme="minorHAnsi"/>
          <w:szCs w:val="24"/>
          <w:lang w:eastAsia="en-GB"/>
        </w:rPr>
      </w:pPr>
      <w:r w:rsidRPr="00D26A35">
        <w:rPr>
          <w:rFonts w:asciiTheme="minorHAnsi" w:hAnsiTheme="minorHAnsi" w:cstheme="minorHAnsi"/>
          <w:szCs w:val="24"/>
          <w:lang w:eastAsia="en-GB"/>
        </w:rPr>
        <w:t>8.1</w:t>
      </w:r>
      <w:r w:rsidRPr="00D26A35">
        <w:rPr>
          <w:rFonts w:asciiTheme="minorHAnsi" w:hAnsiTheme="minorHAnsi" w:cstheme="minorHAnsi"/>
          <w:szCs w:val="24"/>
          <w:lang w:eastAsia="en-GB"/>
        </w:rPr>
        <w:tab/>
      </w:r>
      <w:r w:rsidRPr="00D26A35">
        <w:rPr>
          <w:rFonts w:asciiTheme="minorHAnsi" w:hAnsiTheme="minorHAnsi" w:cstheme="minorHAnsi"/>
          <w:szCs w:val="24"/>
          <w:lang w:eastAsia="en-GB"/>
        </w:rPr>
        <w:tab/>
        <w:t xml:space="preserve">ITU is collaborating with the UN Secretary General, specifically the </w:t>
      </w:r>
      <w:r w:rsidR="00E944EF" w:rsidRPr="00D26A35">
        <w:rPr>
          <w:rFonts w:asciiTheme="minorHAnsi" w:hAnsiTheme="minorHAnsi" w:cstheme="minorHAnsi"/>
          <w:szCs w:val="24"/>
          <w:lang w:eastAsia="en-GB"/>
        </w:rPr>
        <w:t>O</w:t>
      </w:r>
      <w:r w:rsidRPr="00D26A35">
        <w:rPr>
          <w:rFonts w:asciiTheme="minorHAnsi" w:hAnsiTheme="minorHAnsi" w:cstheme="minorHAnsi"/>
          <w:szCs w:val="24"/>
          <w:lang w:eastAsia="en-GB"/>
        </w:rPr>
        <w:t>ffice of the UN Secretary-General’s Special Envoy on Technology and other UN agencies and multi-stakeholder partners, in the implementation of the UN Secretary-General’s Roadmap for Digital Cooperation (</w:t>
      </w:r>
      <w:hyperlink r:id="rId58" w:history="1">
        <w:r w:rsidRPr="00D26A35">
          <w:rPr>
            <w:rStyle w:val="Hyperlink"/>
            <w:rFonts w:asciiTheme="minorHAnsi" w:hAnsiTheme="minorHAnsi" w:cstheme="minorHAnsi"/>
            <w:szCs w:val="24"/>
            <w:lang w:eastAsia="en-GB"/>
          </w:rPr>
          <w:t>A/74/821</w:t>
        </w:r>
      </w:hyperlink>
      <w:r w:rsidRPr="00D26A35">
        <w:rPr>
          <w:rFonts w:asciiTheme="minorHAnsi" w:hAnsiTheme="minorHAnsi" w:cstheme="minorHAnsi"/>
          <w:szCs w:val="24"/>
          <w:lang w:eastAsia="en-GB"/>
        </w:rPr>
        <w:t>), which includes a set of recommended actions for the international community to help ensure all people are connected, respected, and protected in the digital era.</w:t>
      </w:r>
    </w:p>
    <w:p w14:paraId="40400E2A" w14:textId="103EEDFB" w:rsidR="00D16557" w:rsidRPr="00D26A35" w:rsidRDefault="00D16557" w:rsidP="00564318">
      <w:pPr>
        <w:shd w:val="clear" w:color="auto" w:fill="FFFFFF"/>
        <w:tabs>
          <w:tab w:val="clear" w:pos="567"/>
          <w:tab w:val="clear" w:pos="1134"/>
          <w:tab w:val="left" w:pos="720"/>
        </w:tabs>
        <w:spacing w:after="120"/>
        <w:jc w:val="both"/>
        <w:rPr>
          <w:rFonts w:asciiTheme="minorHAnsi" w:hAnsiTheme="minorHAnsi" w:cstheme="minorHAnsi"/>
          <w:szCs w:val="24"/>
          <w:lang w:eastAsia="en-GB"/>
        </w:rPr>
      </w:pPr>
      <w:r w:rsidRPr="00D26A35">
        <w:rPr>
          <w:rFonts w:asciiTheme="minorHAnsi" w:hAnsiTheme="minorHAnsi" w:cstheme="minorHAnsi"/>
          <w:szCs w:val="24"/>
          <w:lang w:eastAsia="en-GB"/>
        </w:rPr>
        <w:t xml:space="preserve">8.2 </w:t>
      </w:r>
      <w:r w:rsidRPr="00D26A35">
        <w:rPr>
          <w:rFonts w:asciiTheme="minorHAnsi" w:hAnsiTheme="minorHAnsi" w:cstheme="minorHAnsi"/>
          <w:szCs w:val="24"/>
          <w:lang w:eastAsia="en-GB"/>
        </w:rPr>
        <w:tab/>
        <w:t xml:space="preserve">ITU is co-leading two Roundtable groups, namely on Global Connectivity and Capacity Building, with UNICEF and UNDP, respectively, and participating </w:t>
      </w:r>
      <w:r w:rsidR="00D33B11">
        <w:rPr>
          <w:rFonts w:asciiTheme="minorHAnsi" w:hAnsiTheme="minorHAnsi" w:cstheme="minorHAnsi"/>
          <w:szCs w:val="24"/>
          <w:lang w:eastAsia="en-GB"/>
        </w:rPr>
        <w:t xml:space="preserve">in </w:t>
      </w:r>
      <w:r w:rsidRPr="00D26A35">
        <w:rPr>
          <w:rFonts w:asciiTheme="minorHAnsi" w:hAnsiTheme="minorHAnsi" w:cstheme="minorHAnsi"/>
          <w:szCs w:val="24"/>
          <w:lang w:eastAsia="en-GB"/>
        </w:rPr>
        <w:t xml:space="preserve">other Roundtable groups, for </w:t>
      </w:r>
      <w:r w:rsidR="00D33B11">
        <w:rPr>
          <w:rFonts w:asciiTheme="minorHAnsi" w:hAnsiTheme="minorHAnsi" w:cstheme="minorHAnsi"/>
          <w:szCs w:val="24"/>
          <w:lang w:eastAsia="en-GB"/>
        </w:rPr>
        <w:t>the other areas</w:t>
      </w:r>
      <w:r w:rsidRPr="00D26A35">
        <w:rPr>
          <w:rFonts w:asciiTheme="minorHAnsi" w:hAnsiTheme="minorHAnsi" w:cstheme="minorHAnsi"/>
          <w:szCs w:val="24"/>
          <w:lang w:eastAsia="en-GB"/>
        </w:rPr>
        <w:t>, such as Digital Inclusion, Digital Public Goods, Trust and Security, Artificial Intelligence and Digital Cooperation Architecture, to implement and support key actions outlined in the Roadmap. In particular, responding to the Roadmap’s call to ensure Universal Connectivity and Digital Capacity Building, ITU has been leading the various activities on Connectivity, for example through the Partner2Connect Digital Coalition and the ongoing development of a framework for connectivity, and the activities on Capacity Building, for example through the launch of ITU-UNDP’s Joint Facility, which includes an online platform (</w:t>
      </w:r>
      <w:hyperlink r:id="rId59" w:history="1">
        <w:r w:rsidRPr="00D26A35">
          <w:rPr>
            <w:rStyle w:val="Hyperlink"/>
            <w:rFonts w:asciiTheme="minorHAnsi" w:hAnsiTheme="minorHAnsi" w:cstheme="minorHAnsi"/>
            <w:szCs w:val="24"/>
            <w:lang w:eastAsia="en-GB"/>
          </w:rPr>
          <w:t>www.digital-capacity.org</w:t>
        </w:r>
      </w:hyperlink>
      <w:r w:rsidRPr="00D26A35">
        <w:rPr>
          <w:rFonts w:asciiTheme="minorHAnsi" w:hAnsiTheme="minorHAnsi" w:cstheme="minorHAnsi"/>
          <w:szCs w:val="24"/>
          <w:lang w:eastAsia="en-GB"/>
        </w:rPr>
        <w:t xml:space="preserve">) to serve the Multistakeholder Network on Digital Capacity Building. </w:t>
      </w:r>
    </w:p>
    <w:p w14:paraId="2CE9A716" w14:textId="68E09A21" w:rsidR="00041D51" w:rsidRPr="00D26A35" w:rsidRDefault="00D16557" w:rsidP="00564318">
      <w:pPr>
        <w:shd w:val="clear" w:color="auto" w:fill="FFFFFF"/>
        <w:tabs>
          <w:tab w:val="clear" w:pos="567"/>
          <w:tab w:val="left" w:pos="720"/>
        </w:tabs>
        <w:spacing w:after="120"/>
        <w:jc w:val="both"/>
        <w:rPr>
          <w:rFonts w:asciiTheme="minorHAnsi" w:hAnsiTheme="minorHAnsi" w:cstheme="minorHAnsi"/>
          <w:szCs w:val="24"/>
          <w:lang w:eastAsia="en-GB"/>
        </w:rPr>
      </w:pPr>
      <w:r w:rsidRPr="00D26A35">
        <w:rPr>
          <w:rFonts w:asciiTheme="minorHAnsi" w:hAnsiTheme="minorHAnsi" w:cstheme="minorHAnsi"/>
          <w:szCs w:val="24"/>
          <w:lang w:eastAsia="en-GB"/>
        </w:rPr>
        <w:t>8.3</w:t>
      </w:r>
      <w:r w:rsidR="00564318">
        <w:rPr>
          <w:rFonts w:asciiTheme="minorHAnsi" w:hAnsiTheme="minorHAnsi" w:cstheme="minorHAnsi"/>
          <w:szCs w:val="24"/>
          <w:lang w:eastAsia="en-GB"/>
        </w:rPr>
        <w:tab/>
      </w:r>
      <w:r w:rsidRPr="00D26A35">
        <w:rPr>
          <w:rFonts w:asciiTheme="minorHAnsi" w:hAnsiTheme="minorHAnsi" w:cstheme="minorHAnsi"/>
          <w:szCs w:val="24"/>
          <w:lang w:eastAsia="en-GB"/>
        </w:rPr>
        <w:t>In addition, in line with</w:t>
      </w:r>
      <w:r w:rsidR="00D33B11">
        <w:rPr>
          <w:rFonts w:asciiTheme="minorHAnsi" w:hAnsiTheme="minorHAnsi" w:cstheme="minorHAnsi"/>
          <w:szCs w:val="24"/>
          <w:lang w:eastAsia="en-GB"/>
        </w:rPr>
        <w:t>,</w:t>
      </w:r>
      <w:r w:rsidRPr="00D26A35">
        <w:rPr>
          <w:rFonts w:asciiTheme="minorHAnsi" w:hAnsiTheme="minorHAnsi" w:cstheme="minorHAnsi"/>
          <w:szCs w:val="24"/>
          <w:lang w:eastAsia="en-GB"/>
        </w:rPr>
        <w:t xml:space="preserve"> but going further than</w:t>
      </w:r>
      <w:r w:rsidR="00D33B11">
        <w:rPr>
          <w:rFonts w:asciiTheme="minorHAnsi" w:hAnsiTheme="minorHAnsi" w:cstheme="minorHAnsi"/>
          <w:szCs w:val="24"/>
          <w:lang w:eastAsia="en-GB"/>
        </w:rPr>
        <w:t>,</w:t>
      </w:r>
      <w:r w:rsidRPr="00D26A35">
        <w:rPr>
          <w:rFonts w:asciiTheme="minorHAnsi" w:hAnsiTheme="minorHAnsi" w:cstheme="minorHAnsi"/>
          <w:szCs w:val="24"/>
          <w:lang w:eastAsia="en-GB"/>
        </w:rPr>
        <w:t xml:space="preserve"> the implementation of the Roadmap, ITU is </w:t>
      </w:r>
      <w:r w:rsidR="00D33B11">
        <w:rPr>
          <w:rFonts w:asciiTheme="minorHAnsi" w:hAnsiTheme="minorHAnsi" w:cstheme="minorHAnsi"/>
          <w:szCs w:val="24"/>
          <w:lang w:eastAsia="en-GB"/>
        </w:rPr>
        <w:t xml:space="preserve">working </w:t>
      </w:r>
      <w:r w:rsidRPr="00D26A35">
        <w:rPr>
          <w:rFonts w:asciiTheme="minorHAnsi" w:hAnsiTheme="minorHAnsi" w:cstheme="minorHAnsi"/>
          <w:szCs w:val="24"/>
          <w:lang w:eastAsia="en-GB"/>
        </w:rPr>
        <w:t xml:space="preserve">closely with the Office of the UN Secretary-General’s Special Envoy on Technology and other UN agencies, which have been tasked to lead on the proposal to explore </w:t>
      </w:r>
      <w:r w:rsidR="00D33B11">
        <w:rPr>
          <w:rFonts w:asciiTheme="minorHAnsi" w:hAnsiTheme="minorHAnsi" w:cstheme="minorHAnsi"/>
          <w:szCs w:val="24"/>
          <w:lang w:eastAsia="en-GB"/>
        </w:rPr>
        <w:t xml:space="preserve">a </w:t>
      </w:r>
      <w:r w:rsidRPr="00D26A35">
        <w:rPr>
          <w:rFonts w:asciiTheme="minorHAnsi" w:hAnsiTheme="minorHAnsi" w:cstheme="minorHAnsi"/>
          <w:szCs w:val="24"/>
          <w:lang w:eastAsia="en-GB"/>
        </w:rPr>
        <w:t xml:space="preserve">“multi-stakeholder digital technology track” to agree on a Global Digital Compact, to be discussed at the proposed Summit of the Future in 2023, as </w:t>
      </w:r>
      <w:r w:rsidR="00D33B11">
        <w:rPr>
          <w:rFonts w:asciiTheme="minorHAnsi" w:hAnsiTheme="minorHAnsi" w:cstheme="minorHAnsi"/>
          <w:szCs w:val="24"/>
          <w:lang w:eastAsia="en-GB"/>
        </w:rPr>
        <w:t xml:space="preserve">a </w:t>
      </w:r>
      <w:r w:rsidRPr="00D26A35">
        <w:rPr>
          <w:rFonts w:asciiTheme="minorHAnsi" w:hAnsiTheme="minorHAnsi" w:cstheme="minorHAnsi"/>
          <w:szCs w:val="24"/>
          <w:lang w:eastAsia="en-GB"/>
        </w:rPr>
        <w:t xml:space="preserve">core part of the </w:t>
      </w:r>
      <w:r w:rsidR="00D33B11">
        <w:rPr>
          <w:rFonts w:asciiTheme="minorHAnsi" w:hAnsiTheme="minorHAnsi" w:cstheme="minorHAnsi"/>
          <w:szCs w:val="24"/>
          <w:lang w:eastAsia="en-GB"/>
        </w:rPr>
        <w:t>follow up to</w:t>
      </w:r>
      <w:r w:rsidRPr="00D26A35">
        <w:rPr>
          <w:rFonts w:asciiTheme="minorHAnsi" w:hAnsiTheme="minorHAnsi" w:cstheme="minorHAnsi"/>
          <w:szCs w:val="24"/>
          <w:lang w:eastAsia="en-GB"/>
        </w:rPr>
        <w:t xml:space="preserve"> the UN Secretary-General’s Report </w:t>
      </w:r>
      <w:r w:rsidRPr="00D26A35">
        <w:rPr>
          <w:rFonts w:asciiTheme="minorHAnsi" w:hAnsiTheme="minorHAnsi" w:cstheme="minorHAnsi"/>
          <w:szCs w:val="24"/>
          <w:lang w:eastAsia="en-GB"/>
        </w:rPr>
        <w:lastRenderedPageBreak/>
        <w:t>on “Our Common Agenda” (</w:t>
      </w:r>
      <w:hyperlink r:id="rId60" w:history="1">
        <w:r w:rsidRPr="00D26A35">
          <w:rPr>
            <w:rStyle w:val="Hyperlink"/>
            <w:rFonts w:asciiTheme="minorHAnsi" w:hAnsiTheme="minorHAnsi" w:cstheme="minorHAnsi"/>
            <w:szCs w:val="24"/>
            <w:lang w:eastAsia="en-GB"/>
          </w:rPr>
          <w:t>A/75/982</w:t>
        </w:r>
      </w:hyperlink>
      <w:r w:rsidRPr="00D26A35">
        <w:rPr>
          <w:rFonts w:asciiTheme="minorHAnsi" w:hAnsiTheme="minorHAnsi" w:cstheme="minorHAnsi"/>
          <w:szCs w:val="24"/>
          <w:lang w:eastAsia="en-GB"/>
        </w:rPr>
        <w:t xml:space="preserve">). As strongly suggested by Member States during the CWG-SFP, ITU will continue to </w:t>
      </w:r>
      <w:r w:rsidR="00D33B11">
        <w:rPr>
          <w:rFonts w:asciiTheme="minorHAnsi" w:hAnsiTheme="minorHAnsi" w:cstheme="minorHAnsi"/>
          <w:szCs w:val="24"/>
          <w:lang w:eastAsia="en-GB"/>
        </w:rPr>
        <w:t>work</w:t>
      </w:r>
      <w:r w:rsidRPr="00D26A35">
        <w:rPr>
          <w:rFonts w:asciiTheme="minorHAnsi" w:hAnsiTheme="minorHAnsi" w:cstheme="minorHAnsi"/>
          <w:szCs w:val="24"/>
          <w:lang w:eastAsia="en-GB"/>
        </w:rPr>
        <w:t xml:space="preserve"> very closely with the Office of UN Secretary-General, Office of the Secretary-General’s Envoy on </w:t>
      </w:r>
      <w:proofErr w:type="gramStart"/>
      <w:r w:rsidRPr="00D26A35">
        <w:rPr>
          <w:rFonts w:asciiTheme="minorHAnsi" w:hAnsiTheme="minorHAnsi" w:cstheme="minorHAnsi"/>
          <w:szCs w:val="24"/>
          <w:lang w:eastAsia="en-GB"/>
        </w:rPr>
        <w:t>Technology</w:t>
      </w:r>
      <w:proofErr w:type="gramEnd"/>
      <w:r w:rsidRPr="00D26A35">
        <w:rPr>
          <w:rFonts w:asciiTheme="minorHAnsi" w:hAnsiTheme="minorHAnsi" w:cstheme="minorHAnsi"/>
          <w:szCs w:val="24"/>
          <w:lang w:eastAsia="en-GB"/>
        </w:rPr>
        <w:t xml:space="preserve"> and other UN agencies on the acceleration of digital cooperation and digital issues in Our Common Agenda.</w:t>
      </w:r>
    </w:p>
    <w:p w14:paraId="06C91DEC" w14:textId="0F899633" w:rsidR="00DA4743" w:rsidRPr="00D26A35" w:rsidRDefault="00EA4C80" w:rsidP="00564318">
      <w:pPr>
        <w:shd w:val="clear" w:color="auto" w:fill="FFFFFF"/>
        <w:spacing w:before="240" w:after="120"/>
        <w:rPr>
          <w:rFonts w:asciiTheme="minorHAnsi" w:hAnsiTheme="minorHAnsi" w:cstheme="minorHAnsi"/>
          <w:szCs w:val="24"/>
          <w:lang w:eastAsia="en-GB"/>
        </w:rPr>
      </w:pPr>
      <w:r w:rsidRPr="00D26A35">
        <w:rPr>
          <w:rFonts w:asciiTheme="minorHAnsi" w:hAnsiTheme="minorHAnsi" w:cstheme="minorHAnsi"/>
          <w:b/>
          <w:bCs/>
          <w:szCs w:val="24"/>
          <w:lang w:val="en-US"/>
        </w:rPr>
        <w:t>9</w:t>
      </w:r>
      <w:r w:rsidR="00DA4743" w:rsidRPr="00D26A35">
        <w:rPr>
          <w:rFonts w:asciiTheme="minorHAnsi" w:hAnsiTheme="minorHAnsi" w:cstheme="minorHAnsi"/>
          <w:b/>
          <w:bCs/>
          <w:szCs w:val="24"/>
          <w:lang w:val="en-US"/>
        </w:rPr>
        <w:t>.</w:t>
      </w:r>
      <w:r w:rsidR="00DA4743" w:rsidRPr="00D26A35">
        <w:rPr>
          <w:rFonts w:asciiTheme="minorHAnsi" w:hAnsiTheme="minorHAnsi" w:cstheme="minorHAnsi"/>
          <w:b/>
          <w:bCs/>
          <w:szCs w:val="24"/>
          <w:lang w:val="en-US"/>
        </w:rPr>
        <w:tab/>
      </w:r>
      <w:r w:rsidR="00DA4743" w:rsidRPr="00D26A35">
        <w:rPr>
          <w:rFonts w:asciiTheme="minorHAnsi" w:hAnsiTheme="minorHAnsi" w:cstheme="minorHAnsi"/>
          <w:b/>
          <w:bCs/>
          <w:szCs w:val="24"/>
          <w:lang w:eastAsia="zh-CN"/>
        </w:rPr>
        <w:t xml:space="preserve">Collaboration with the Joint Inspection Unit of the United Nations system (JIU) </w:t>
      </w:r>
    </w:p>
    <w:p w14:paraId="6C8DA599" w14:textId="3300B1E2" w:rsidR="00DA4743" w:rsidRPr="00D26A35" w:rsidRDefault="00EA4C80" w:rsidP="00564318">
      <w:pPr>
        <w:keepNext/>
        <w:spacing w:after="120"/>
        <w:jc w:val="both"/>
        <w:rPr>
          <w:rFonts w:asciiTheme="minorHAnsi" w:hAnsiTheme="minorHAnsi" w:cstheme="minorHAnsi"/>
          <w:szCs w:val="24"/>
          <w:lang w:val="en-US"/>
        </w:rPr>
      </w:pPr>
      <w:r w:rsidRPr="00D26A35">
        <w:rPr>
          <w:rFonts w:asciiTheme="minorHAnsi" w:hAnsiTheme="minorHAnsi" w:cstheme="minorHAnsi"/>
          <w:szCs w:val="24"/>
          <w:lang w:val="en-US"/>
        </w:rPr>
        <w:t>9</w:t>
      </w:r>
      <w:r w:rsidR="002B60DB" w:rsidRPr="00D26A35">
        <w:rPr>
          <w:rFonts w:asciiTheme="minorHAnsi" w:hAnsiTheme="minorHAnsi" w:cstheme="minorHAnsi"/>
          <w:szCs w:val="24"/>
          <w:lang w:val="en-US"/>
        </w:rPr>
        <w:t>.1</w:t>
      </w:r>
      <w:r w:rsidR="002B60DB" w:rsidRPr="00D26A35">
        <w:rPr>
          <w:rFonts w:asciiTheme="minorHAnsi" w:hAnsiTheme="minorHAnsi" w:cstheme="minorHAnsi"/>
          <w:szCs w:val="24"/>
          <w:lang w:val="en-US"/>
        </w:rPr>
        <w:tab/>
      </w:r>
      <w:r w:rsidR="008F65CB" w:rsidRPr="00D26A35">
        <w:rPr>
          <w:rFonts w:asciiTheme="minorHAnsi" w:hAnsiTheme="minorHAnsi" w:cstheme="minorHAnsi"/>
          <w:szCs w:val="24"/>
          <w:lang w:val="en-US"/>
        </w:rPr>
        <w:t xml:space="preserve">ITU participated in the JIU UN system wide reviews programmed for the Unit’s 2021 </w:t>
      </w:r>
      <w:proofErr w:type="spellStart"/>
      <w:r w:rsidR="008F65CB" w:rsidRPr="00D26A35">
        <w:rPr>
          <w:rFonts w:asciiTheme="minorHAnsi" w:hAnsiTheme="minorHAnsi" w:cstheme="minorHAnsi"/>
          <w:szCs w:val="24"/>
          <w:lang w:val="en-US"/>
        </w:rPr>
        <w:t>programme</w:t>
      </w:r>
      <w:proofErr w:type="spellEnd"/>
      <w:r w:rsidR="008F65CB" w:rsidRPr="00D26A35">
        <w:rPr>
          <w:rFonts w:asciiTheme="minorHAnsi" w:hAnsiTheme="minorHAnsi" w:cstheme="minorHAnsi"/>
          <w:szCs w:val="24"/>
          <w:lang w:val="en-US"/>
        </w:rPr>
        <w:t xml:space="preserve"> of work. </w:t>
      </w:r>
      <w:r w:rsidR="00DA4743" w:rsidRPr="00D26A35">
        <w:rPr>
          <w:rFonts w:asciiTheme="minorHAnsi" w:hAnsiTheme="minorHAnsi" w:cstheme="minorHAnsi"/>
          <w:szCs w:val="24"/>
          <w:lang w:val="en-US"/>
        </w:rPr>
        <w:t>Through the Inter Sectoral Coordination – Task Force (ISC-TF), ITU reviewed</w:t>
      </w:r>
      <w:r w:rsidR="008F65CB" w:rsidRPr="00D26A35">
        <w:rPr>
          <w:rFonts w:asciiTheme="minorHAnsi" w:hAnsiTheme="minorHAnsi" w:cstheme="minorHAnsi"/>
          <w:szCs w:val="24"/>
          <w:lang w:val="en-US"/>
        </w:rPr>
        <w:t xml:space="preserve"> the available</w:t>
      </w:r>
      <w:r w:rsidR="00DA4743" w:rsidRPr="00D26A35">
        <w:rPr>
          <w:rFonts w:asciiTheme="minorHAnsi" w:hAnsiTheme="minorHAnsi" w:cstheme="minorHAnsi"/>
          <w:szCs w:val="24"/>
          <w:lang w:val="en-US"/>
        </w:rPr>
        <w:t xml:space="preserve"> reports</w:t>
      </w:r>
      <w:r w:rsidR="0034162B" w:rsidRPr="00D26A35">
        <w:rPr>
          <w:rFonts w:asciiTheme="minorHAnsi" w:hAnsiTheme="minorHAnsi" w:cstheme="minorHAnsi"/>
          <w:szCs w:val="24"/>
          <w:lang w:val="en-US"/>
        </w:rPr>
        <w:t xml:space="preserve"> and recommendations </w:t>
      </w:r>
      <w:r w:rsidR="00DA4743" w:rsidRPr="00D26A35">
        <w:rPr>
          <w:rFonts w:asciiTheme="minorHAnsi" w:hAnsiTheme="minorHAnsi" w:cstheme="minorHAnsi"/>
          <w:szCs w:val="24"/>
          <w:lang w:val="en-US"/>
        </w:rPr>
        <w:t xml:space="preserve">from the </w:t>
      </w:r>
      <w:hyperlink r:id="rId61" w:history="1">
        <w:r w:rsidR="00DA4743" w:rsidRPr="00D26A35">
          <w:rPr>
            <w:rStyle w:val="Hyperlink"/>
            <w:rFonts w:asciiTheme="minorHAnsi" w:hAnsiTheme="minorHAnsi" w:cstheme="minorHAnsi"/>
            <w:szCs w:val="24"/>
            <w:lang w:val="en-US"/>
          </w:rPr>
          <w:t>JIU</w:t>
        </w:r>
        <w:r w:rsidR="007222FB" w:rsidRPr="00D26A35">
          <w:rPr>
            <w:rStyle w:val="Hyperlink"/>
            <w:rFonts w:asciiTheme="minorHAnsi" w:hAnsiTheme="minorHAnsi" w:cstheme="minorHAnsi"/>
            <w:szCs w:val="24"/>
            <w:lang w:val="en-US"/>
          </w:rPr>
          <w:t>’</w:t>
        </w:r>
        <w:r w:rsidR="00DA4743" w:rsidRPr="00D26A35">
          <w:rPr>
            <w:rStyle w:val="Hyperlink"/>
            <w:rFonts w:asciiTheme="minorHAnsi" w:hAnsiTheme="minorHAnsi" w:cstheme="minorHAnsi"/>
            <w:szCs w:val="24"/>
            <w:lang w:val="en-US"/>
          </w:rPr>
          <w:t xml:space="preserve">s </w:t>
        </w:r>
        <w:r w:rsidR="00A14580" w:rsidRPr="00D26A35">
          <w:rPr>
            <w:rStyle w:val="Hyperlink"/>
            <w:rFonts w:asciiTheme="minorHAnsi" w:hAnsiTheme="minorHAnsi" w:cstheme="minorHAnsi"/>
            <w:szCs w:val="24"/>
            <w:lang w:val="en-US"/>
          </w:rPr>
          <w:t xml:space="preserve">2020 </w:t>
        </w:r>
        <w:r w:rsidR="00DA4743" w:rsidRPr="00D26A35">
          <w:rPr>
            <w:rStyle w:val="Hyperlink"/>
            <w:rFonts w:asciiTheme="minorHAnsi" w:hAnsiTheme="minorHAnsi" w:cstheme="minorHAnsi"/>
            <w:szCs w:val="24"/>
            <w:lang w:val="en-US"/>
          </w:rPr>
          <w:t xml:space="preserve">and </w:t>
        </w:r>
        <w:r w:rsidR="00A14580" w:rsidRPr="00D26A35">
          <w:rPr>
            <w:rStyle w:val="Hyperlink"/>
            <w:rFonts w:asciiTheme="minorHAnsi" w:hAnsiTheme="minorHAnsi" w:cstheme="minorHAnsi"/>
            <w:szCs w:val="24"/>
            <w:lang w:val="en-US"/>
          </w:rPr>
          <w:t xml:space="preserve">2021 </w:t>
        </w:r>
        <w:r w:rsidR="00DA4743" w:rsidRPr="00D26A35">
          <w:rPr>
            <w:rStyle w:val="Hyperlink"/>
            <w:rFonts w:asciiTheme="minorHAnsi" w:hAnsiTheme="minorHAnsi" w:cstheme="minorHAnsi"/>
            <w:szCs w:val="24"/>
            <w:lang w:val="en-US"/>
          </w:rPr>
          <w:t>UN system-wide report</w:t>
        </w:r>
        <w:r w:rsidR="0034162B" w:rsidRPr="00D26A35">
          <w:rPr>
            <w:rStyle w:val="Hyperlink"/>
            <w:rFonts w:asciiTheme="minorHAnsi" w:hAnsiTheme="minorHAnsi" w:cstheme="minorHAnsi"/>
            <w:szCs w:val="24"/>
            <w:lang w:val="en-US"/>
          </w:rPr>
          <w:t>s.</w:t>
        </w:r>
      </w:hyperlink>
      <w:r w:rsidR="0034162B" w:rsidRPr="00D26A35">
        <w:rPr>
          <w:rFonts w:asciiTheme="minorHAnsi" w:hAnsiTheme="minorHAnsi" w:cstheme="minorHAnsi"/>
          <w:szCs w:val="24"/>
          <w:lang w:val="en-US"/>
        </w:rPr>
        <w:t xml:space="preserve">  </w:t>
      </w:r>
      <w:r w:rsidR="006251AF" w:rsidRPr="00D26A35">
        <w:rPr>
          <w:rFonts w:asciiTheme="minorHAnsi" w:hAnsiTheme="minorHAnsi" w:cstheme="minorHAnsi"/>
          <w:szCs w:val="24"/>
          <w:lang w:val="en-US"/>
        </w:rPr>
        <w:t xml:space="preserve">A full list of JIU reports and recommendations, including acceptance and implementation status was presented to the </w:t>
      </w:r>
      <w:r w:rsidR="00A14580" w:rsidRPr="00D26A35">
        <w:rPr>
          <w:rFonts w:asciiTheme="minorHAnsi" w:hAnsiTheme="minorHAnsi" w:cstheme="minorHAnsi"/>
          <w:szCs w:val="24"/>
          <w:lang w:val="en-US"/>
        </w:rPr>
        <w:t xml:space="preserve">Fourteenth </w:t>
      </w:r>
      <w:r w:rsidR="006251AF" w:rsidRPr="00D26A35">
        <w:rPr>
          <w:rFonts w:asciiTheme="minorHAnsi" w:hAnsiTheme="minorHAnsi" w:cstheme="minorHAnsi"/>
          <w:szCs w:val="24"/>
          <w:lang w:val="en-US"/>
        </w:rPr>
        <w:t xml:space="preserve">session of the Council Working Group on Finance and Human Resources (CWG-FHR).  </w:t>
      </w:r>
    </w:p>
    <w:p w14:paraId="2E0AF3AB" w14:textId="77777777" w:rsidR="003F4F52" w:rsidRPr="00D26A35" w:rsidRDefault="003F4F52" w:rsidP="00AD22FF">
      <w:pPr>
        <w:jc w:val="center"/>
        <w:rPr>
          <w:lang w:val="en-US"/>
        </w:rPr>
        <w:sectPr w:rsidR="003F4F52" w:rsidRPr="00D26A35" w:rsidSect="0041764F">
          <w:headerReference w:type="default" r:id="rId62"/>
          <w:footerReference w:type="first" r:id="rId63"/>
          <w:pgSz w:w="11907" w:h="16834"/>
          <w:pgMar w:top="1418" w:right="1134" w:bottom="993" w:left="1134" w:header="720" w:footer="720" w:gutter="0"/>
          <w:paperSrc w:first="15" w:other="15"/>
          <w:cols w:space="720"/>
          <w:titlePg/>
        </w:sectPr>
      </w:pPr>
    </w:p>
    <w:tbl>
      <w:tblPr>
        <w:tblStyle w:val="TableGrid"/>
        <w:tblW w:w="14884" w:type="dxa"/>
        <w:jc w:val="center"/>
        <w:tblLook w:val="04A0" w:firstRow="1" w:lastRow="0" w:firstColumn="1" w:lastColumn="0" w:noHBand="0" w:noVBand="1"/>
      </w:tblPr>
      <w:tblGrid>
        <w:gridCol w:w="1907"/>
        <w:gridCol w:w="3850"/>
        <w:gridCol w:w="3457"/>
        <w:gridCol w:w="1843"/>
        <w:gridCol w:w="1984"/>
        <w:gridCol w:w="1843"/>
      </w:tblGrid>
      <w:tr w:rsidR="003F4F52" w:rsidRPr="00D26A35" w14:paraId="23AEF61A" w14:textId="77777777" w:rsidTr="00DF2C2F">
        <w:trPr>
          <w:tblHeader/>
          <w:jc w:val="center"/>
        </w:trPr>
        <w:tc>
          <w:tcPr>
            <w:tcW w:w="14884" w:type="dxa"/>
            <w:gridSpan w:val="6"/>
            <w:shd w:val="clear" w:color="auto" w:fill="DBE5F1" w:themeFill="accent1" w:themeFillTint="33"/>
          </w:tcPr>
          <w:p w14:paraId="1691F519" w14:textId="00C3BF37" w:rsidR="00DF2C2F" w:rsidRPr="00D26A35" w:rsidRDefault="00DF2C2F" w:rsidP="007222FB">
            <w:pPr>
              <w:jc w:val="center"/>
              <w:rPr>
                <w:b/>
                <w:bCs/>
                <w:sz w:val="28"/>
                <w:szCs w:val="28"/>
              </w:rPr>
            </w:pPr>
            <w:bookmarkStart w:id="11" w:name="_Hlk25310868"/>
            <w:bookmarkStart w:id="12" w:name="_Hlk35433911"/>
            <w:r w:rsidRPr="00D26A35">
              <w:rPr>
                <w:b/>
                <w:bCs/>
                <w:sz w:val="28"/>
                <w:szCs w:val="28"/>
              </w:rPr>
              <w:lastRenderedPageBreak/>
              <w:t>ANNEX</w:t>
            </w:r>
          </w:p>
          <w:p w14:paraId="7E0512CB" w14:textId="5C752ED1" w:rsidR="003F4F52" w:rsidRPr="00D26A35" w:rsidRDefault="003F4F52" w:rsidP="007222FB">
            <w:pPr>
              <w:jc w:val="center"/>
              <w:rPr>
                <w:b/>
                <w:bCs/>
                <w:sz w:val="28"/>
                <w:szCs w:val="28"/>
              </w:rPr>
            </w:pPr>
            <w:r w:rsidRPr="00D26A35">
              <w:rPr>
                <w:b/>
                <w:bCs/>
                <w:sz w:val="28"/>
                <w:szCs w:val="28"/>
              </w:rPr>
              <w:t>UN Inter-Agency Coordination Mechanisms, Networks and Groups</w:t>
            </w:r>
          </w:p>
        </w:tc>
        <w:bookmarkEnd w:id="11"/>
      </w:tr>
      <w:tr w:rsidR="003F4F52" w:rsidRPr="00D26A35" w14:paraId="3AE47157" w14:textId="77777777" w:rsidTr="00DF2C2F">
        <w:trPr>
          <w:tblHeader/>
          <w:jc w:val="center"/>
        </w:trPr>
        <w:tc>
          <w:tcPr>
            <w:tcW w:w="14884" w:type="dxa"/>
            <w:gridSpan w:val="6"/>
            <w:shd w:val="clear" w:color="auto" w:fill="DBE5F1" w:themeFill="accent1" w:themeFillTint="33"/>
          </w:tcPr>
          <w:p w14:paraId="0A23FCC5" w14:textId="77777777" w:rsidR="003F4F52" w:rsidRPr="00D26A35" w:rsidRDefault="003F4F52" w:rsidP="007222FB">
            <w:pPr>
              <w:pStyle w:val="NoSpacing"/>
            </w:pPr>
            <w:r w:rsidRPr="00D26A35">
              <w:t xml:space="preserve">General key activities </w:t>
            </w:r>
            <w:r w:rsidRPr="00D26A35">
              <w:rPr>
                <w:color w:val="215868" w:themeColor="accent5" w:themeShade="80"/>
              </w:rPr>
              <w:t xml:space="preserve">and benefits </w:t>
            </w:r>
            <w:r w:rsidRPr="00D26A35">
              <w:t>of coordination mechanisms, networks and groups include, among other, the following:</w:t>
            </w:r>
          </w:p>
          <w:p w14:paraId="21A4C352" w14:textId="77777777" w:rsidR="003F4F52" w:rsidRPr="00D26A35" w:rsidRDefault="003F4F52" w:rsidP="007222FB">
            <w:pPr>
              <w:pStyle w:val="NoSpacing"/>
            </w:pPr>
            <w:r w:rsidRPr="00D26A35">
              <w:t>1. Information and knowledge sharing, best practices</w:t>
            </w:r>
          </w:p>
          <w:p w14:paraId="48E5EBA4" w14:textId="77777777" w:rsidR="003F4F52" w:rsidRPr="00D26A35" w:rsidRDefault="003F4F52" w:rsidP="007222FB">
            <w:pPr>
              <w:pStyle w:val="NoSpacing"/>
            </w:pPr>
            <w:r w:rsidRPr="00D26A35">
              <w:t xml:space="preserve">2. Coordination, collaboration </w:t>
            </w:r>
            <w:r w:rsidRPr="00D26A35">
              <w:rPr>
                <w:color w:val="215868" w:themeColor="accent5" w:themeShade="80"/>
              </w:rPr>
              <w:t>and networking</w:t>
            </w:r>
            <w:r w:rsidRPr="00D26A35">
              <w:t xml:space="preserve"> - maximizing synergies, coherence and efficiencies as one UN, within respective mandates</w:t>
            </w:r>
          </w:p>
          <w:p w14:paraId="378DDE07" w14:textId="77777777" w:rsidR="003F4F52" w:rsidRPr="00D26A35" w:rsidRDefault="003F4F52" w:rsidP="007222FB">
            <w:pPr>
              <w:pStyle w:val="NoSpacing"/>
            </w:pPr>
            <w:r w:rsidRPr="00D26A35">
              <w:t>3. Leadership, guidance and strategic direction</w:t>
            </w:r>
          </w:p>
          <w:p w14:paraId="588B7826" w14:textId="77777777" w:rsidR="003F4F52" w:rsidRPr="00D26A35" w:rsidRDefault="003F4F52" w:rsidP="007222FB">
            <w:pPr>
              <w:pStyle w:val="NoSpacing"/>
            </w:pPr>
            <w:r w:rsidRPr="00D26A35">
              <w:t>4. Promotion and advocacy</w:t>
            </w:r>
          </w:p>
          <w:p w14:paraId="798D4030" w14:textId="77777777" w:rsidR="003F4F52" w:rsidRPr="00D26A35" w:rsidRDefault="003F4F52" w:rsidP="007222FB">
            <w:pPr>
              <w:pStyle w:val="NoSpacing"/>
            </w:pPr>
            <w:r w:rsidRPr="00D26A35">
              <w:t>5. Draft, and implementation of UN system-wide plans, projects, decisions and recommendations, with respective mandates</w:t>
            </w:r>
          </w:p>
        </w:tc>
      </w:tr>
      <w:tr w:rsidR="003F4F52" w:rsidRPr="00D26A35" w14:paraId="15E1789A" w14:textId="77777777" w:rsidTr="00DF2C2F">
        <w:trPr>
          <w:tblHeader/>
          <w:jc w:val="center"/>
        </w:trPr>
        <w:tc>
          <w:tcPr>
            <w:tcW w:w="1907" w:type="dxa"/>
          </w:tcPr>
          <w:p w14:paraId="68DCF2D7" w14:textId="77777777" w:rsidR="003F4F52" w:rsidRPr="00D26A35" w:rsidRDefault="003F4F52" w:rsidP="007222FB">
            <w:pPr>
              <w:rPr>
                <w:rFonts w:eastAsia="Calibri" w:cs="Calibri"/>
                <w:b/>
                <w:bCs/>
                <w:sz w:val="20"/>
                <w:szCs w:val="20"/>
              </w:rPr>
            </w:pPr>
            <w:r w:rsidRPr="00D26A35">
              <w:rPr>
                <w:rFonts w:eastAsia="Calibri" w:cs="Calibri"/>
                <w:b/>
                <w:bCs/>
                <w:sz w:val="20"/>
                <w:szCs w:val="20"/>
              </w:rPr>
              <w:t>Name</w:t>
            </w:r>
          </w:p>
        </w:tc>
        <w:tc>
          <w:tcPr>
            <w:tcW w:w="3850" w:type="dxa"/>
          </w:tcPr>
          <w:p w14:paraId="7F5D12F2" w14:textId="77777777" w:rsidR="003F4F52" w:rsidRPr="00D26A35" w:rsidRDefault="003F4F52" w:rsidP="007222FB">
            <w:pPr>
              <w:rPr>
                <w:rFonts w:eastAsia="Calibri" w:cs="Calibri"/>
                <w:b/>
                <w:bCs/>
                <w:sz w:val="20"/>
                <w:szCs w:val="20"/>
              </w:rPr>
            </w:pPr>
            <w:r w:rsidRPr="00D26A35">
              <w:rPr>
                <w:rFonts w:eastAsia="Calibri" w:cs="Calibri"/>
                <w:b/>
                <w:bCs/>
                <w:sz w:val="20"/>
                <w:szCs w:val="20"/>
              </w:rPr>
              <w:t>Key Activity</w:t>
            </w:r>
          </w:p>
        </w:tc>
        <w:tc>
          <w:tcPr>
            <w:tcW w:w="3457" w:type="dxa"/>
          </w:tcPr>
          <w:p w14:paraId="30ACBCE2" w14:textId="77777777" w:rsidR="003F4F52" w:rsidRPr="00D26A35" w:rsidRDefault="003F4F52" w:rsidP="007222FB">
            <w:pPr>
              <w:rPr>
                <w:rFonts w:eastAsia="Calibri" w:cs="Calibri"/>
                <w:b/>
                <w:bCs/>
                <w:sz w:val="20"/>
                <w:szCs w:val="20"/>
              </w:rPr>
            </w:pPr>
            <w:r w:rsidRPr="00D26A35">
              <w:rPr>
                <w:rFonts w:eastAsia="Calibri" w:cs="Calibri"/>
                <w:b/>
                <w:bCs/>
                <w:sz w:val="20"/>
                <w:szCs w:val="20"/>
              </w:rPr>
              <w:t>Key ITU relevance / Specific benefit brought to ITU</w:t>
            </w:r>
          </w:p>
        </w:tc>
        <w:tc>
          <w:tcPr>
            <w:tcW w:w="1843" w:type="dxa"/>
          </w:tcPr>
          <w:p w14:paraId="6DD70463" w14:textId="77777777" w:rsidR="003F4F52" w:rsidRPr="00D26A35" w:rsidRDefault="003F4F52" w:rsidP="007222FB">
            <w:pPr>
              <w:rPr>
                <w:rFonts w:eastAsia="Calibri" w:cs="Calibri"/>
                <w:b/>
                <w:bCs/>
                <w:sz w:val="20"/>
                <w:szCs w:val="20"/>
              </w:rPr>
            </w:pPr>
            <w:r w:rsidRPr="00D26A35">
              <w:rPr>
                <w:rFonts w:eastAsia="Calibri" w:cs="Calibri"/>
                <w:b/>
                <w:bCs/>
                <w:sz w:val="20"/>
                <w:szCs w:val="20"/>
              </w:rPr>
              <w:t>Frequency of meetings*</w:t>
            </w:r>
          </w:p>
        </w:tc>
        <w:tc>
          <w:tcPr>
            <w:tcW w:w="1984" w:type="dxa"/>
          </w:tcPr>
          <w:p w14:paraId="6CD04572" w14:textId="77777777" w:rsidR="003F4F52" w:rsidRPr="00D26A35" w:rsidRDefault="003F4F52" w:rsidP="007222FB">
            <w:pPr>
              <w:rPr>
                <w:rFonts w:eastAsia="Calibri" w:cs="Calibri"/>
                <w:b/>
                <w:bCs/>
                <w:sz w:val="20"/>
                <w:szCs w:val="20"/>
              </w:rPr>
            </w:pPr>
            <w:r w:rsidRPr="00D26A35">
              <w:rPr>
                <w:rFonts w:eastAsia="Calibri" w:cs="Calibri"/>
                <w:b/>
                <w:bCs/>
                <w:sz w:val="20"/>
                <w:szCs w:val="20"/>
              </w:rPr>
              <w:t>Time spent</w:t>
            </w:r>
          </w:p>
        </w:tc>
        <w:tc>
          <w:tcPr>
            <w:tcW w:w="1843" w:type="dxa"/>
          </w:tcPr>
          <w:p w14:paraId="0D050D72" w14:textId="77777777" w:rsidR="003F4F52" w:rsidRPr="00D26A35" w:rsidRDefault="003F4F52" w:rsidP="007222FB">
            <w:pPr>
              <w:rPr>
                <w:rFonts w:eastAsia="Calibri" w:cs="Calibri"/>
                <w:b/>
                <w:bCs/>
                <w:sz w:val="20"/>
                <w:szCs w:val="20"/>
              </w:rPr>
            </w:pPr>
            <w:r w:rsidRPr="00D26A35">
              <w:rPr>
                <w:rFonts w:eastAsia="Calibri" w:cs="Calibri"/>
                <w:b/>
                <w:bCs/>
                <w:sz w:val="20"/>
                <w:szCs w:val="20"/>
              </w:rPr>
              <w:t>Financial implications*</w:t>
            </w:r>
          </w:p>
        </w:tc>
      </w:tr>
      <w:tr w:rsidR="003F4F52" w:rsidRPr="00D26A35" w14:paraId="02EDE0BF" w14:textId="77777777" w:rsidTr="00DF2C2F">
        <w:trPr>
          <w:trHeight w:val="728"/>
          <w:tblHeader/>
          <w:jc w:val="center"/>
        </w:trPr>
        <w:tc>
          <w:tcPr>
            <w:tcW w:w="1907" w:type="dxa"/>
          </w:tcPr>
          <w:p w14:paraId="05DC698A" w14:textId="77777777" w:rsidR="003F4F52" w:rsidRPr="00D26A35" w:rsidRDefault="00CA2100" w:rsidP="007222FB">
            <w:pPr>
              <w:rPr>
                <w:rFonts w:eastAsia="Calibri" w:cs="Calibri"/>
                <w:sz w:val="20"/>
                <w:szCs w:val="20"/>
              </w:rPr>
            </w:pPr>
            <w:hyperlink r:id="rId64">
              <w:r w:rsidR="003F4F52" w:rsidRPr="00D26A35">
                <w:rPr>
                  <w:rStyle w:val="Hyperlink"/>
                  <w:rFonts w:eastAsia="Calibri" w:cs="Calibri"/>
                  <w:sz w:val="20"/>
                  <w:szCs w:val="20"/>
                </w:rPr>
                <w:t>Chief Executive Board for Coordination (CEB)</w:t>
              </w:r>
            </w:hyperlink>
          </w:p>
        </w:tc>
        <w:tc>
          <w:tcPr>
            <w:tcW w:w="3850" w:type="dxa"/>
          </w:tcPr>
          <w:p w14:paraId="73C99272" w14:textId="77777777" w:rsidR="003F4F52" w:rsidRPr="00D26A35" w:rsidRDefault="003F4F52" w:rsidP="007222FB">
            <w:pPr>
              <w:rPr>
                <w:rFonts w:eastAsia="Calibri" w:cs="Calibri"/>
                <w:sz w:val="20"/>
                <w:szCs w:val="20"/>
              </w:rPr>
            </w:pPr>
            <w:r w:rsidRPr="00D26A35">
              <w:rPr>
                <w:rFonts w:eastAsia="Calibri" w:cs="Calibri"/>
                <w:sz w:val="20"/>
                <w:szCs w:val="20"/>
              </w:rPr>
              <w:t>Provides coordination and strategic direction for the system as a whole in areas under the responsibility of executive heads.</w:t>
            </w:r>
          </w:p>
        </w:tc>
        <w:tc>
          <w:tcPr>
            <w:tcW w:w="3457" w:type="dxa"/>
          </w:tcPr>
          <w:p w14:paraId="17040BEA" w14:textId="77777777" w:rsidR="003F4F52" w:rsidRPr="00D26A35" w:rsidRDefault="003F4F52" w:rsidP="007222FB">
            <w:pPr>
              <w:rPr>
                <w:rFonts w:eastAsia="Calibri" w:cs="Calibri"/>
                <w:sz w:val="20"/>
                <w:szCs w:val="20"/>
              </w:rPr>
            </w:pPr>
            <w:r w:rsidRPr="00D26A35">
              <w:rPr>
                <w:rFonts w:eastAsia="Calibri" w:cs="Calibri"/>
                <w:sz w:val="20"/>
                <w:szCs w:val="20"/>
              </w:rPr>
              <w:t>ICT4SDG, emerging technologies, cybersecurity</w:t>
            </w:r>
          </w:p>
          <w:p w14:paraId="1149C416" w14:textId="4CA4663A" w:rsidR="003F4F52" w:rsidRPr="00D26A35" w:rsidRDefault="00CA2100" w:rsidP="007222FB">
            <w:pPr>
              <w:rPr>
                <w:rFonts w:eastAsia="Calibri" w:cs="Calibri"/>
                <w:sz w:val="20"/>
                <w:szCs w:val="20"/>
              </w:rPr>
            </w:pPr>
            <w:hyperlink r:id="rId65" w:history="1">
              <w:r w:rsidR="003F4F52" w:rsidRPr="00D26A35">
                <w:rPr>
                  <w:rStyle w:val="Hyperlink"/>
                  <w:rFonts w:eastAsia="Calibri" w:cs="Calibri"/>
                  <w:sz w:val="20"/>
                  <w:szCs w:val="20"/>
                </w:rPr>
                <w:t>PP R</w:t>
              </w:r>
              <w:r w:rsidR="00DF2C2F" w:rsidRPr="00D26A35">
                <w:rPr>
                  <w:rStyle w:val="Hyperlink"/>
                  <w:rFonts w:eastAsia="Calibri" w:cs="Calibri"/>
                  <w:sz w:val="20"/>
                  <w:szCs w:val="20"/>
                </w:rPr>
                <w:t>es</w:t>
              </w:r>
              <w:r w:rsidR="003F4F52" w:rsidRPr="00D26A35">
                <w:rPr>
                  <w:rStyle w:val="Hyperlink"/>
                  <w:rFonts w:eastAsia="Calibri" w:cs="Calibri"/>
                  <w:sz w:val="20"/>
                  <w:szCs w:val="20"/>
                </w:rPr>
                <w:t>. 64 (R</w:t>
              </w:r>
              <w:r w:rsidR="00DF2C2F" w:rsidRPr="00D26A35">
                <w:rPr>
                  <w:rStyle w:val="Hyperlink"/>
                  <w:rFonts w:eastAsia="Calibri" w:cs="Calibri"/>
                  <w:sz w:val="20"/>
                  <w:szCs w:val="20"/>
                </w:rPr>
                <w:t>ev. Dubai</w:t>
              </w:r>
              <w:r w:rsidR="003F4F52" w:rsidRPr="00D26A35">
                <w:rPr>
                  <w:rStyle w:val="Hyperlink"/>
                  <w:rFonts w:eastAsia="Calibri" w:cs="Calibri"/>
                  <w:sz w:val="20"/>
                  <w:szCs w:val="20"/>
                </w:rPr>
                <w:t>, 2018)</w:t>
              </w:r>
            </w:hyperlink>
          </w:p>
          <w:p w14:paraId="15C8E45D" w14:textId="4C7EE1B1" w:rsidR="003F4F52" w:rsidRPr="00D26A35" w:rsidRDefault="003F4F52" w:rsidP="00DF2C2F">
            <w:pPr>
              <w:rPr>
                <w:rFonts w:eastAsia="Calibri" w:cs="Calibri"/>
                <w:sz w:val="20"/>
                <w:szCs w:val="20"/>
              </w:rPr>
            </w:pPr>
            <w:r w:rsidRPr="00D26A35">
              <w:rPr>
                <w:rFonts w:eastAsia="Calibri" w:cs="Calibri"/>
                <w:sz w:val="20"/>
                <w:szCs w:val="20"/>
              </w:rPr>
              <w:t>Non-discriminatory access to modern telecommunication/information and communication technology facilities, services</w:t>
            </w:r>
            <w:r w:rsidR="00DF2C2F" w:rsidRPr="00D26A35">
              <w:rPr>
                <w:rFonts w:eastAsia="Calibri" w:cs="Calibri"/>
                <w:sz w:val="20"/>
                <w:szCs w:val="20"/>
              </w:rPr>
              <w:t xml:space="preserve"> </w:t>
            </w:r>
            <w:r w:rsidRPr="00D26A35">
              <w:rPr>
                <w:rFonts w:eastAsia="Calibri" w:cs="Calibri"/>
                <w:sz w:val="20"/>
                <w:szCs w:val="20"/>
              </w:rPr>
              <w:t>and applications, including applied research and transfer of technology, and e-meetings, on mutually agreed terms</w:t>
            </w:r>
          </w:p>
        </w:tc>
        <w:tc>
          <w:tcPr>
            <w:tcW w:w="1843" w:type="dxa"/>
          </w:tcPr>
          <w:p w14:paraId="56ED6EA5" w14:textId="77777777" w:rsidR="003F4F52" w:rsidRPr="00D26A35" w:rsidRDefault="003F4F52" w:rsidP="007222FB">
            <w:pPr>
              <w:rPr>
                <w:rFonts w:eastAsia="Calibri" w:cs="Calibri"/>
                <w:sz w:val="20"/>
                <w:szCs w:val="20"/>
              </w:rPr>
            </w:pPr>
            <w:r w:rsidRPr="00D26A35">
              <w:rPr>
                <w:rFonts w:eastAsia="Calibri" w:cs="Calibri"/>
                <w:sz w:val="20"/>
                <w:szCs w:val="20"/>
              </w:rPr>
              <w:t>Twice per year</w:t>
            </w:r>
          </w:p>
        </w:tc>
        <w:tc>
          <w:tcPr>
            <w:tcW w:w="1984" w:type="dxa"/>
          </w:tcPr>
          <w:p w14:paraId="6DBA85E2" w14:textId="77777777" w:rsidR="003F4F52" w:rsidRPr="00D26A35" w:rsidRDefault="003F4F52" w:rsidP="007222FB">
            <w:pPr>
              <w:rPr>
                <w:rFonts w:eastAsia="Calibri" w:cs="Calibri"/>
                <w:sz w:val="20"/>
                <w:szCs w:val="20"/>
              </w:rPr>
            </w:pPr>
            <w:r w:rsidRPr="00D26A35">
              <w:rPr>
                <w:rFonts w:eastAsia="Calibri" w:cs="Calibri"/>
                <w:sz w:val="20"/>
                <w:szCs w:val="20"/>
              </w:rPr>
              <w:t>2 days per meeting; coordination of briefing book with Talking Points</w:t>
            </w:r>
          </w:p>
        </w:tc>
        <w:tc>
          <w:tcPr>
            <w:tcW w:w="1843" w:type="dxa"/>
          </w:tcPr>
          <w:p w14:paraId="27AF160E" w14:textId="77777777" w:rsidR="003F4F52" w:rsidRPr="00D26A35" w:rsidRDefault="003F4F52" w:rsidP="007222FB">
            <w:pPr>
              <w:rPr>
                <w:rFonts w:eastAsia="Calibri" w:cs="Calibri"/>
                <w:sz w:val="20"/>
                <w:szCs w:val="20"/>
              </w:rPr>
            </w:pPr>
            <w:r w:rsidRPr="00D26A35">
              <w:rPr>
                <w:rFonts w:eastAsia="Calibri" w:cs="Calibri"/>
                <w:sz w:val="20"/>
                <w:szCs w:val="20"/>
              </w:rPr>
              <w:t>Travel and DSA for executive head</w:t>
            </w:r>
          </w:p>
        </w:tc>
      </w:tr>
      <w:tr w:rsidR="003F4F52" w:rsidRPr="00D26A35" w14:paraId="1002E956" w14:textId="77777777" w:rsidTr="00DF2C2F">
        <w:trPr>
          <w:trHeight w:val="332"/>
          <w:tblHeader/>
          <w:jc w:val="center"/>
        </w:trPr>
        <w:tc>
          <w:tcPr>
            <w:tcW w:w="1907" w:type="dxa"/>
          </w:tcPr>
          <w:p w14:paraId="7AD3A1B3" w14:textId="77777777" w:rsidR="003F4F52" w:rsidRPr="00D26A35" w:rsidRDefault="00CA2100" w:rsidP="007222FB">
            <w:pPr>
              <w:rPr>
                <w:rFonts w:eastAsia="Calibri" w:cs="Calibri"/>
                <w:sz w:val="20"/>
                <w:szCs w:val="20"/>
              </w:rPr>
            </w:pPr>
            <w:hyperlink r:id="rId66">
              <w:r w:rsidR="003F4F52" w:rsidRPr="00D26A35">
                <w:rPr>
                  <w:rStyle w:val="Hyperlink"/>
                  <w:rFonts w:eastAsia="Calibri" w:cs="Calibri"/>
                  <w:sz w:val="20"/>
                  <w:szCs w:val="20"/>
                </w:rPr>
                <w:t xml:space="preserve">High-level Committee on Programmes </w:t>
              </w:r>
              <w:r w:rsidR="003F4F52" w:rsidRPr="00D26A35">
                <w:rPr>
                  <w:rStyle w:val="Hyperlink"/>
                  <w:rFonts w:eastAsia="Calibri" w:cs="Calibri"/>
                  <w:b/>
                  <w:bCs/>
                  <w:sz w:val="20"/>
                  <w:szCs w:val="20"/>
                </w:rPr>
                <w:t>(HLCP)</w:t>
              </w:r>
            </w:hyperlink>
          </w:p>
        </w:tc>
        <w:tc>
          <w:tcPr>
            <w:tcW w:w="3850" w:type="dxa"/>
          </w:tcPr>
          <w:p w14:paraId="23EF5794" w14:textId="77777777" w:rsidR="003F4F52" w:rsidRPr="00D26A35" w:rsidRDefault="003F4F52" w:rsidP="007222FB">
            <w:pPr>
              <w:rPr>
                <w:rFonts w:eastAsia="Calibri" w:cs="Calibri"/>
                <w:sz w:val="20"/>
                <w:szCs w:val="20"/>
              </w:rPr>
            </w:pPr>
            <w:r w:rsidRPr="00D26A35">
              <w:rPr>
                <w:rFonts w:eastAsia="Calibri" w:cs="Calibri"/>
                <w:sz w:val="20"/>
                <w:szCs w:val="20"/>
              </w:rPr>
              <w:t>Promotes system-wide cooperation, coordination and knowledge sharing in programme and operational areas.</w:t>
            </w:r>
          </w:p>
        </w:tc>
        <w:tc>
          <w:tcPr>
            <w:tcW w:w="3457" w:type="dxa"/>
          </w:tcPr>
          <w:p w14:paraId="2FFF8370" w14:textId="2D7912E5" w:rsidR="003F4F52" w:rsidRPr="00D26A35" w:rsidRDefault="003F4F52" w:rsidP="007222FB">
            <w:pPr>
              <w:rPr>
                <w:rFonts w:eastAsia="Calibri" w:cs="Calibri"/>
                <w:sz w:val="20"/>
                <w:szCs w:val="20"/>
              </w:rPr>
            </w:pPr>
            <w:r w:rsidRPr="00D26A35">
              <w:rPr>
                <w:rFonts w:eastAsia="Calibri" w:cs="Calibri"/>
                <w:sz w:val="20"/>
                <w:szCs w:val="20"/>
              </w:rPr>
              <w:t>-Enhance ITU</w:t>
            </w:r>
            <w:r w:rsidR="007222FB" w:rsidRPr="00D26A35">
              <w:rPr>
                <w:rFonts w:eastAsia="Calibri" w:cs="Calibri"/>
                <w:sz w:val="20"/>
                <w:szCs w:val="20"/>
              </w:rPr>
              <w:t>’</w:t>
            </w:r>
            <w:r w:rsidRPr="00D26A35">
              <w:rPr>
                <w:rFonts w:eastAsia="Calibri" w:cs="Calibri"/>
                <w:sz w:val="20"/>
                <w:szCs w:val="20"/>
              </w:rPr>
              <w:t>s visibility and lead on key areas in UN agencies, such as ICT4SDG, digital cooperation, AI, cybersecurity, digital skills, digital literacy, climate change, smart cities</w:t>
            </w:r>
          </w:p>
          <w:p w14:paraId="78621BC7" w14:textId="7DD7FD80" w:rsidR="003F4F52" w:rsidRPr="00D26A35" w:rsidRDefault="003F4F52" w:rsidP="007222FB">
            <w:pPr>
              <w:rPr>
                <w:rFonts w:eastAsia="Calibri" w:cs="Calibri"/>
                <w:sz w:val="20"/>
                <w:szCs w:val="20"/>
              </w:rPr>
            </w:pPr>
            <w:r w:rsidRPr="00D26A35">
              <w:rPr>
                <w:rFonts w:eastAsia="Calibri" w:cs="Calibri"/>
                <w:sz w:val="20"/>
                <w:szCs w:val="20"/>
              </w:rPr>
              <w:t>-Share and introduce UN best practice to ITU</w:t>
            </w:r>
            <w:r w:rsidR="007222FB" w:rsidRPr="00D26A35">
              <w:rPr>
                <w:rFonts w:eastAsia="Calibri" w:cs="Calibri"/>
                <w:sz w:val="20"/>
                <w:szCs w:val="20"/>
              </w:rPr>
              <w:t>’</w:t>
            </w:r>
            <w:r w:rsidRPr="00D26A35">
              <w:rPr>
                <w:rFonts w:eastAsia="Calibri" w:cs="Calibri"/>
                <w:sz w:val="20"/>
                <w:szCs w:val="20"/>
              </w:rPr>
              <w:t>s activities, such as</w:t>
            </w:r>
            <w:r w:rsidRPr="00D26A35">
              <w:rPr>
                <w:rFonts w:eastAsia="Calibri" w:cs="Calibri"/>
              </w:rPr>
              <w:t xml:space="preserve"> </w:t>
            </w:r>
            <w:r w:rsidRPr="00D26A35">
              <w:rPr>
                <w:rFonts w:eastAsia="Calibri" w:cs="Calibri"/>
                <w:sz w:val="20"/>
                <w:szCs w:val="20"/>
              </w:rPr>
              <w:t>strategic Foresight.</w:t>
            </w:r>
          </w:p>
        </w:tc>
        <w:tc>
          <w:tcPr>
            <w:tcW w:w="1843" w:type="dxa"/>
          </w:tcPr>
          <w:p w14:paraId="66D0950E" w14:textId="77777777" w:rsidR="003F4F52" w:rsidRPr="00D26A35" w:rsidRDefault="003F4F52" w:rsidP="007222FB">
            <w:pPr>
              <w:rPr>
                <w:rFonts w:eastAsia="Calibri" w:cs="Calibri"/>
                <w:sz w:val="20"/>
                <w:szCs w:val="20"/>
              </w:rPr>
            </w:pPr>
            <w:r w:rsidRPr="00D26A35">
              <w:rPr>
                <w:rFonts w:eastAsia="Calibri" w:cs="Calibri"/>
                <w:sz w:val="20"/>
                <w:szCs w:val="20"/>
              </w:rPr>
              <w:t>Twice per year</w:t>
            </w:r>
          </w:p>
        </w:tc>
        <w:tc>
          <w:tcPr>
            <w:tcW w:w="1984" w:type="dxa"/>
          </w:tcPr>
          <w:p w14:paraId="0DF9529D" w14:textId="05FD2750" w:rsidR="003F4F52" w:rsidRPr="00D26A35" w:rsidRDefault="003F4F52" w:rsidP="00B33C77">
            <w:pPr>
              <w:rPr>
                <w:rFonts w:eastAsia="Calibri" w:cs="Calibri"/>
                <w:sz w:val="20"/>
                <w:szCs w:val="20"/>
              </w:rPr>
            </w:pPr>
            <w:r w:rsidRPr="00D26A35">
              <w:rPr>
                <w:rFonts w:eastAsia="Calibri" w:cs="Calibri"/>
                <w:sz w:val="20"/>
                <w:szCs w:val="20"/>
              </w:rPr>
              <w:t>2 days per meeting</w:t>
            </w:r>
            <w:r w:rsidR="00B33C77" w:rsidRPr="00D26A35">
              <w:rPr>
                <w:rFonts w:eastAsia="Calibri" w:cs="Calibri"/>
                <w:sz w:val="20"/>
                <w:szCs w:val="20"/>
              </w:rPr>
              <w:t xml:space="preserve">; </w:t>
            </w:r>
            <w:r w:rsidRPr="00D26A35">
              <w:rPr>
                <w:rFonts w:eastAsia="Calibri" w:cs="Calibri"/>
                <w:sz w:val="20"/>
                <w:szCs w:val="20"/>
              </w:rPr>
              <w:t>coordination of briefing book</w:t>
            </w:r>
            <w:r w:rsidRPr="00D26A35">
              <w:rPr>
                <w:rFonts w:eastAsia="Calibri" w:cs="Calibri"/>
              </w:rPr>
              <w:t xml:space="preserve"> </w:t>
            </w:r>
            <w:r w:rsidRPr="00D26A35">
              <w:rPr>
                <w:rFonts w:eastAsia="Calibri" w:cs="Calibri"/>
                <w:sz w:val="20"/>
                <w:szCs w:val="20"/>
              </w:rPr>
              <w:t>with Talking Points</w:t>
            </w:r>
          </w:p>
        </w:tc>
        <w:tc>
          <w:tcPr>
            <w:tcW w:w="1843" w:type="dxa"/>
          </w:tcPr>
          <w:p w14:paraId="30E30350" w14:textId="77777777" w:rsidR="003F4F52" w:rsidRPr="00D26A35" w:rsidRDefault="003F4F52" w:rsidP="007222FB">
            <w:pPr>
              <w:rPr>
                <w:rFonts w:eastAsia="Calibri" w:cs="Calibri"/>
                <w:sz w:val="20"/>
                <w:szCs w:val="20"/>
              </w:rPr>
            </w:pPr>
            <w:r w:rsidRPr="00D26A35">
              <w:rPr>
                <w:rFonts w:eastAsia="Calibri" w:cs="Calibri"/>
                <w:sz w:val="20"/>
                <w:szCs w:val="20"/>
              </w:rPr>
              <w:t>Travel and DSA for approx. 2 staff</w:t>
            </w:r>
          </w:p>
        </w:tc>
      </w:tr>
      <w:tr w:rsidR="003F4F52" w:rsidRPr="00D26A35" w14:paraId="215BC60C" w14:textId="77777777" w:rsidTr="00DF2C2F">
        <w:trPr>
          <w:trHeight w:val="396"/>
          <w:tblHeader/>
          <w:jc w:val="center"/>
        </w:trPr>
        <w:tc>
          <w:tcPr>
            <w:tcW w:w="1907" w:type="dxa"/>
          </w:tcPr>
          <w:p w14:paraId="5ABE307A" w14:textId="77777777" w:rsidR="003F4F52" w:rsidRPr="00D26A35" w:rsidRDefault="00CA2100" w:rsidP="007222FB">
            <w:pPr>
              <w:rPr>
                <w:rFonts w:eastAsia="Calibri" w:cs="Calibri"/>
                <w:sz w:val="20"/>
                <w:szCs w:val="20"/>
              </w:rPr>
            </w:pPr>
            <w:hyperlink r:id="rId67">
              <w:r w:rsidR="003F4F52" w:rsidRPr="00D26A35">
                <w:rPr>
                  <w:rStyle w:val="Hyperlink"/>
                  <w:rFonts w:eastAsia="Calibri" w:cs="Calibri"/>
                  <w:sz w:val="20"/>
                  <w:szCs w:val="20"/>
                </w:rPr>
                <w:t xml:space="preserve">High-Level Committee on Management </w:t>
              </w:r>
              <w:r w:rsidR="003F4F52" w:rsidRPr="00D26A35">
                <w:rPr>
                  <w:rStyle w:val="Hyperlink"/>
                  <w:rFonts w:eastAsia="Calibri" w:cs="Calibri"/>
                  <w:b/>
                  <w:bCs/>
                  <w:sz w:val="20"/>
                  <w:szCs w:val="20"/>
                </w:rPr>
                <w:t>(HLCM)</w:t>
              </w:r>
            </w:hyperlink>
          </w:p>
        </w:tc>
        <w:tc>
          <w:tcPr>
            <w:tcW w:w="3850" w:type="dxa"/>
          </w:tcPr>
          <w:p w14:paraId="4D56A6EA" w14:textId="77777777" w:rsidR="003F4F52" w:rsidRPr="00D26A35" w:rsidRDefault="003F4F52" w:rsidP="007222FB">
            <w:pPr>
              <w:rPr>
                <w:rFonts w:eastAsia="Calibri" w:cs="Calibri"/>
                <w:sz w:val="20"/>
                <w:szCs w:val="20"/>
              </w:rPr>
            </w:pPr>
            <w:r w:rsidRPr="00D26A35">
              <w:rPr>
                <w:rFonts w:eastAsia="Calibri" w:cs="Calibri"/>
                <w:sz w:val="20"/>
                <w:szCs w:val="20"/>
              </w:rPr>
              <w:t>Identifies and analyses administrative management reforms with the aim of improving efficiency and simplifying business practices.</w:t>
            </w:r>
          </w:p>
        </w:tc>
        <w:tc>
          <w:tcPr>
            <w:tcW w:w="3457" w:type="dxa"/>
          </w:tcPr>
          <w:p w14:paraId="104E3CBF" w14:textId="77777777" w:rsidR="003F4F52" w:rsidRPr="00D26A35" w:rsidRDefault="003F4F52" w:rsidP="007222FB">
            <w:pPr>
              <w:rPr>
                <w:rFonts w:eastAsia="Calibri" w:cs="Calibri"/>
                <w:sz w:val="20"/>
                <w:szCs w:val="20"/>
              </w:rPr>
            </w:pPr>
            <w:r w:rsidRPr="00D26A35">
              <w:rPr>
                <w:rFonts w:eastAsia="Calibri" w:cs="Calibri"/>
                <w:sz w:val="20"/>
                <w:szCs w:val="20"/>
              </w:rPr>
              <w:t>Ensure coherence and implementation of the UN common system</w:t>
            </w:r>
          </w:p>
        </w:tc>
        <w:tc>
          <w:tcPr>
            <w:tcW w:w="1843" w:type="dxa"/>
          </w:tcPr>
          <w:p w14:paraId="247D27C8" w14:textId="77777777" w:rsidR="003F4F52" w:rsidRPr="00D26A35" w:rsidRDefault="003F4F52" w:rsidP="007222FB">
            <w:pPr>
              <w:rPr>
                <w:rFonts w:eastAsia="Calibri" w:cs="Calibri"/>
                <w:sz w:val="20"/>
                <w:szCs w:val="20"/>
              </w:rPr>
            </w:pPr>
            <w:r w:rsidRPr="00D26A35">
              <w:rPr>
                <w:rFonts w:eastAsia="Calibri" w:cs="Calibri"/>
                <w:sz w:val="20"/>
                <w:szCs w:val="20"/>
              </w:rPr>
              <w:t>Twice per year</w:t>
            </w:r>
          </w:p>
        </w:tc>
        <w:tc>
          <w:tcPr>
            <w:tcW w:w="1984" w:type="dxa"/>
          </w:tcPr>
          <w:p w14:paraId="706BE691" w14:textId="77777777" w:rsidR="003F4F52" w:rsidRPr="00D26A35" w:rsidRDefault="003F4F52" w:rsidP="007222FB">
            <w:pPr>
              <w:rPr>
                <w:rFonts w:eastAsia="Calibri" w:cs="Calibri"/>
                <w:sz w:val="20"/>
                <w:szCs w:val="20"/>
              </w:rPr>
            </w:pPr>
            <w:r w:rsidRPr="00D26A35">
              <w:rPr>
                <w:rFonts w:eastAsia="Calibri" w:cs="Calibri"/>
                <w:sz w:val="20"/>
                <w:szCs w:val="20"/>
              </w:rPr>
              <w:t>2 days per meeting</w:t>
            </w:r>
          </w:p>
        </w:tc>
        <w:tc>
          <w:tcPr>
            <w:tcW w:w="1843" w:type="dxa"/>
          </w:tcPr>
          <w:p w14:paraId="76792A61" w14:textId="77777777" w:rsidR="003F4F52" w:rsidRPr="00D26A35" w:rsidRDefault="003F4F52" w:rsidP="007222FB">
            <w:pPr>
              <w:rPr>
                <w:rFonts w:eastAsia="Calibri" w:cs="Calibri"/>
                <w:sz w:val="20"/>
                <w:szCs w:val="20"/>
              </w:rPr>
            </w:pPr>
            <w:r w:rsidRPr="00D26A35">
              <w:rPr>
                <w:rFonts w:eastAsia="Calibri" w:cs="Calibri"/>
                <w:sz w:val="20"/>
                <w:szCs w:val="20"/>
              </w:rPr>
              <w:t>Travel and DSA for approx. 2 staff</w:t>
            </w:r>
          </w:p>
        </w:tc>
      </w:tr>
      <w:tr w:rsidR="003F4F52" w:rsidRPr="00D26A35" w14:paraId="1A6BDA5E" w14:textId="77777777" w:rsidTr="00DF2C2F">
        <w:trPr>
          <w:trHeight w:val="396"/>
          <w:tblHeader/>
          <w:jc w:val="center"/>
        </w:trPr>
        <w:tc>
          <w:tcPr>
            <w:tcW w:w="1907" w:type="dxa"/>
          </w:tcPr>
          <w:p w14:paraId="58C9891C" w14:textId="77777777" w:rsidR="003F4F52" w:rsidRPr="00D26A35" w:rsidRDefault="00CA2100" w:rsidP="007222FB">
            <w:pPr>
              <w:spacing w:line="259" w:lineRule="auto"/>
              <w:rPr>
                <w:rFonts w:eastAsia="Calibri" w:cs="Calibri"/>
                <w:sz w:val="20"/>
                <w:szCs w:val="20"/>
              </w:rPr>
            </w:pPr>
            <w:hyperlink r:id="rId68">
              <w:r w:rsidR="003F4F52" w:rsidRPr="00D26A35">
                <w:rPr>
                  <w:rStyle w:val="Hyperlink"/>
                  <w:rFonts w:eastAsia="Calibri" w:cs="Calibri"/>
                  <w:sz w:val="20"/>
                  <w:szCs w:val="20"/>
                </w:rPr>
                <w:t>Digital Technology Network</w:t>
              </w:r>
            </w:hyperlink>
          </w:p>
        </w:tc>
        <w:tc>
          <w:tcPr>
            <w:tcW w:w="3850" w:type="dxa"/>
          </w:tcPr>
          <w:p w14:paraId="469DCD57" w14:textId="77777777" w:rsidR="003F4F52" w:rsidRPr="00D26A35" w:rsidRDefault="003F4F52" w:rsidP="007222FB">
            <w:pPr>
              <w:rPr>
                <w:rFonts w:eastAsia="Calibri" w:cs="Calibri"/>
              </w:rPr>
            </w:pPr>
            <w:r w:rsidRPr="00D26A35">
              <w:rPr>
                <w:rFonts w:eastAsia="Calibri" w:cs="Calibri"/>
                <w:color w:val="333333"/>
                <w:sz w:val="20"/>
                <w:szCs w:val="20"/>
              </w:rPr>
              <w:t xml:space="preserve">The Digital &amp; Technology Network (DTN) brings together the CIOs from UN System organizations to advise the HLCM on system-wide approaches to leveraging technology and functions as a forum to coordinate system-wide ICT policy and practices. </w:t>
            </w:r>
            <w:hyperlink r:id="rId69">
              <w:r w:rsidRPr="00D26A35">
                <w:rPr>
                  <w:rStyle w:val="Hyperlink"/>
                  <w:rFonts w:eastAsia="Calibri" w:cs="Calibri"/>
                  <w:sz w:val="20"/>
                  <w:szCs w:val="20"/>
                </w:rPr>
                <w:t>https://www.unsystem.org/content/digital-and-technology-network</w:t>
              </w:r>
            </w:hyperlink>
          </w:p>
        </w:tc>
        <w:tc>
          <w:tcPr>
            <w:tcW w:w="3457" w:type="dxa"/>
          </w:tcPr>
          <w:p w14:paraId="2EDB581A" w14:textId="77777777" w:rsidR="003F4F52" w:rsidRPr="00D26A35" w:rsidRDefault="003F4F52" w:rsidP="007222FB">
            <w:pPr>
              <w:rPr>
                <w:rFonts w:eastAsia="Calibri" w:cs="Calibri"/>
                <w:sz w:val="20"/>
                <w:szCs w:val="20"/>
              </w:rPr>
            </w:pPr>
            <w:r w:rsidRPr="00D26A35">
              <w:rPr>
                <w:rFonts w:eastAsia="Calibri" w:cs="Calibri"/>
                <w:sz w:val="20"/>
                <w:szCs w:val="20"/>
              </w:rPr>
              <w:t>Ensure coherence and implementation of the UN common system (meeting arranged together with UNICC management committee)</w:t>
            </w:r>
          </w:p>
        </w:tc>
        <w:tc>
          <w:tcPr>
            <w:tcW w:w="1843" w:type="dxa"/>
          </w:tcPr>
          <w:p w14:paraId="2FCF9A97" w14:textId="77777777" w:rsidR="003F4F52" w:rsidRPr="00D26A35" w:rsidRDefault="003F4F52" w:rsidP="007222FB">
            <w:pPr>
              <w:rPr>
                <w:rFonts w:eastAsia="Calibri" w:cs="Calibri"/>
                <w:sz w:val="20"/>
                <w:szCs w:val="20"/>
              </w:rPr>
            </w:pPr>
            <w:r w:rsidRPr="00D26A35">
              <w:rPr>
                <w:rFonts w:eastAsia="Calibri" w:cs="Calibri"/>
                <w:sz w:val="20"/>
                <w:szCs w:val="20"/>
              </w:rPr>
              <w:t>Twice per year</w:t>
            </w:r>
          </w:p>
        </w:tc>
        <w:tc>
          <w:tcPr>
            <w:tcW w:w="1984" w:type="dxa"/>
          </w:tcPr>
          <w:p w14:paraId="4A6A4EB9" w14:textId="77777777" w:rsidR="003F4F52" w:rsidRPr="00D26A35" w:rsidRDefault="003F4F52" w:rsidP="007222FB">
            <w:pPr>
              <w:rPr>
                <w:rFonts w:eastAsia="Calibri" w:cs="Calibri"/>
                <w:sz w:val="20"/>
                <w:szCs w:val="20"/>
              </w:rPr>
            </w:pPr>
            <w:r w:rsidRPr="00D26A35">
              <w:rPr>
                <w:rFonts w:eastAsia="Calibri" w:cs="Calibri"/>
                <w:sz w:val="20"/>
                <w:szCs w:val="20"/>
              </w:rPr>
              <w:t>1.5 days</w:t>
            </w:r>
          </w:p>
        </w:tc>
        <w:tc>
          <w:tcPr>
            <w:tcW w:w="1843" w:type="dxa"/>
          </w:tcPr>
          <w:p w14:paraId="6B5AEE10" w14:textId="77777777" w:rsidR="003F4F52" w:rsidRPr="00D26A35" w:rsidRDefault="003F4F52" w:rsidP="007222FB">
            <w:pPr>
              <w:rPr>
                <w:rFonts w:eastAsia="Calibri" w:cs="Calibri"/>
                <w:sz w:val="20"/>
                <w:szCs w:val="20"/>
              </w:rPr>
            </w:pPr>
            <w:r w:rsidRPr="00D26A35">
              <w:rPr>
                <w:rFonts w:eastAsia="Calibri" w:cs="Calibri"/>
                <w:sz w:val="20"/>
                <w:szCs w:val="20"/>
              </w:rPr>
              <w:t>Travel/DSA</w:t>
            </w:r>
          </w:p>
        </w:tc>
      </w:tr>
      <w:tr w:rsidR="003F4F52" w:rsidRPr="00D26A35" w14:paraId="4D0F595B" w14:textId="77777777" w:rsidTr="00DF2C2F">
        <w:trPr>
          <w:trHeight w:val="396"/>
          <w:tblHeader/>
          <w:jc w:val="center"/>
        </w:trPr>
        <w:tc>
          <w:tcPr>
            <w:tcW w:w="1907" w:type="dxa"/>
          </w:tcPr>
          <w:p w14:paraId="36A51A0C" w14:textId="77777777" w:rsidR="003F4F52" w:rsidRPr="00D26A35" w:rsidRDefault="003F4F52" w:rsidP="007222FB">
            <w:pPr>
              <w:spacing w:line="259" w:lineRule="auto"/>
              <w:rPr>
                <w:rFonts w:eastAsia="Calibri" w:cs="Calibri"/>
                <w:sz w:val="20"/>
                <w:szCs w:val="20"/>
              </w:rPr>
            </w:pPr>
            <w:r w:rsidRPr="00D26A35">
              <w:rPr>
                <w:rFonts w:eastAsia="Calibri" w:cs="Calibri"/>
                <w:sz w:val="20"/>
                <w:szCs w:val="20"/>
              </w:rPr>
              <w:t>UNICC management committee</w:t>
            </w:r>
          </w:p>
        </w:tc>
        <w:tc>
          <w:tcPr>
            <w:tcW w:w="3850" w:type="dxa"/>
          </w:tcPr>
          <w:p w14:paraId="76E5064A" w14:textId="77777777" w:rsidR="003F4F52" w:rsidRPr="00D26A35" w:rsidRDefault="003F4F52" w:rsidP="007222FB">
            <w:pPr>
              <w:rPr>
                <w:rFonts w:eastAsia="Calibri" w:cs="Calibri"/>
                <w:sz w:val="20"/>
                <w:szCs w:val="20"/>
                <w:lang w:val="de-AT"/>
              </w:rPr>
            </w:pPr>
            <w:r w:rsidRPr="00D26A35">
              <w:rPr>
                <w:rFonts w:eastAsia="Calibri" w:cs="Calibri"/>
                <w:sz w:val="20"/>
                <w:szCs w:val="20"/>
                <w:lang w:val="de-AT"/>
              </w:rPr>
              <w:t>UN wide computer services</w:t>
            </w:r>
          </w:p>
          <w:p w14:paraId="4B2F2D1C" w14:textId="77777777" w:rsidR="003F4F52" w:rsidRPr="00D26A35" w:rsidRDefault="00CA2100" w:rsidP="007222FB">
            <w:pPr>
              <w:rPr>
                <w:rFonts w:eastAsia="Calibri" w:cs="Calibri"/>
                <w:sz w:val="20"/>
                <w:szCs w:val="20"/>
              </w:rPr>
            </w:pPr>
            <w:hyperlink r:id="rId70">
              <w:r w:rsidR="003F4F52" w:rsidRPr="00D26A35">
                <w:rPr>
                  <w:rStyle w:val="Hyperlink"/>
                  <w:rFonts w:eastAsia="Calibri" w:cs="Calibri"/>
                  <w:sz w:val="20"/>
                  <w:szCs w:val="20"/>
                  <w:lang w:val="de-AT"/>
                </w:rPr>
                <w:t>https://www.unicc.org/who-we-are/governance/</w:t>
              </w:r>
            </w:hyperlink>
          </w:p>
        </w:tc>
        <w:tc>
          <w:tcPr>
            <w:tcW w:w="3457" w:type="dxa"/>
          </w:tcPr>
          <w:p w14:paraId="6BE2581F" w14:textId="77777777" w:rsidR="003F4F52" w:rsidRPr="00D26A35" w:rsidRDefault="003F4F52" w:rsidP="007222FB">
            <w:pPr>
              <w:spacing w:line="257" w:lineRule="auto"/>
              <w:rPr>
                <w:rFonts w:eastAsia="Calibri" w:cs="Calibri"/>
                <w:sz w:val="20"/>
                <w:szCs w:val="20"/>
              </w:rPr>
            </w:pPr>
            <w:r w:rsidRPr="00D26A35">
              <w:rPr>
                <w:rFonts w:eastAsia="Calibri" w:cs="Calibri"/>
                <w:sz w:val="20"/>
                <w:szCs w:val="20"/>
              </w:rPr>
              <w:t>Governance of UNICC</w:t>
            </w:r>
          </w:p>
          <w:p w14:paraId="655B8C01" w14:textId="77777777" w:rsidR="003F4F52" w:rsidRPr="00D26A35" w:rsidRDefault="003F4F52" w:rsidP="007222FB">
            <w:pPr>
              <w:rPr>
                <w:rFonts w:eastAsia="Calibri" w:cs="Calibri"/>
                <w:sz w:val="20"/>
                <w:szCs w:val="20"/>
              </w:rPr>
            </w:pPr>
            <w:r w:rsidRPr="00D26A35">
              <w:rPr>
                <w:rFonts w:eastAsia="Calibri" w:cs="Calibri"/>
                <w:sz w:val="20"/>
                <w:szCs w:val="20"/>
              </w:rPr>
              <w:t>(meeting arranged together with DTN management committee)</w:t>
            </w:r>
          </w:p>
        </w:tc>
        <w:tc>
          <w:tcPr>
            <w:tcW w:w="1843" w:type="dxa"/>
          </w:tcPr>
          <w:p w14:paraId="0416EE30" w14:textId="77777777" w:rsidR="003F4F52" w:rsidRPr="00D26A35" w:rsidRDefault="003F4F52" w:rsidP="007222FB">
            <w:pPr>
              <w:rPr>
                <w:rFonts w:eastAsia="Calibri" w:cs="Calibri"/>
                <w:sz w:val="20"/>
                <w:szCs w:val="20"/>
              </w:rPr>
            </w:pPr>
            <w:r w:rsidRPr="00D26A35">
              <w:rPr>
                <w:rFonts w:eastAsia="Calibri" w:cs="Calibri"/>
                <w:sz w:val="20"/>
                <w:szCs w:val="20"/>
              </w:rPr>
              <w:t>Twice per year</w:t>
            </w:r>
          </w:p>
        </w:tc>
        <w:tc>
          <w:tcPr>
            <w:tcW w:w="1984" w:type="dxa"/>
          </w:tcPr>
          <w:p w14:paraId="7EBC6985" w14:textId="77777777" w:rsidR="003F4F52" w:rsidRPr="00D26A35" w:rsidRDefault="003F4F52" w:rsidP="007222FB">
            <w:pPr>
              <w:rPr>
                <w:rFonts w:eastAsia="Calibri" w:cs="Calibri"/>
                <w:sz w:val="20"/>
                <w:szCs w:val="20"/>
              </w:rPr>
            </w:pPr>
            <w:r w:rsidRPr="00D26A35">
              <w:rPr>
                <w:rFonts w:eastAsia="Calibri" w:cs="Calibri"/>
                <w:sz w:val="20"/>
                <w:szCs w:val="20"/>
              </w:rPr>
              <w:t>1.5 days</w:t>
            </w:r>
          </w:p>
        </w:tc>
        <w:tc>
          <w:tcPr>
            <w:tcW w:w="1843" w:type="dxa"/>
          </w:tcPr>
          <w:p w14:paraId="1D291B77" w14:textId="77777777" w:rsidR="003F4F52" w:rsidRPr="00D26A35" w:rsidRDefault="003F4F52" w:rsidP="007222FB">
            <w:pPr>
              <w:rPr>
                <w:rFonts w:eastAsia="Calibri" w:cs="Calibri"/>
                <w:sz w:val="20"/>
                <w:szCs w:val="20"/>
              </w:rPr>
            </w:pPr>
            <w:r w:rsidRPr="00D26A35">
              <w:rPr>
                <w:rFonts w:eastAsia="Calibri" w:cs="Calibri"/>
                <w:sz w:val="20"/>
                <w:szCs w:val="20"/>
              </w:rPr>
              <w:t>Travel/DSA</w:t>
            </w:r>
          </w:p>
        </w:tc>
      </w:tr>
      <w:tr w:rsidR="003F4F52" w:rsidRPr="00D26A35" w14:paraId="331C1690" w14:textId="77777777" w:rsidTr="00DF2C2F">
        <w:trPr>
          <w:trHeight w:val="396"/>
          <w:tblHeader/>
          <w:jc w:val="center"/>
        </w:trPr>
        <w:tc>
          <w:tcPr>
            <w:tcW w:w="1907" w:type="dxa"/>
          </w:tcPr>
          <w:p w14:paraId="60E3C994" w14:textId="77777777" w:rsidR="003F4F52" w:rsidRPr="00D26A35" w:rsidRDefault="003F4F52" w:rsidP="007222FB">
            <w:pPr>
              <w:rPr>
                <w:rFonts w:eastAsia="Calibri" w:cs="Calibri"/>
                <w:sz w:val="20"/>
                <w:szCs w:val="20"/>
              </w:rPr>
            </w:pPr>
            <w:r w:rsidRPr="00D26A35">
              <w:rPr>
                <w:rFonts w:eastAsia="Calibri" w:cs="Calibri"/>
                <w:sz w:val="20"/>
                <w:szCs w:val="20"/>
              </w:rPr>
              <w:t>UN Legal Network</w:t>
            </w:r>
          </w:p>
        </w:tc>
        <w:tc>
          <w:tcPr>
            <w:tcW w:w="3850" w:type="dxa"/>
          </w:tcPr>
          <w:p w14:paraId="1DB92496" w14:textId="7E57FFEF" w:rsidR="003F4F52" w:rsidRPr="00D26A35" w:rsidRDefault="007655E9" w:rsidP="007222FB">
            <w:pPr>
              <w:rPr>
                <w:rFonts w:eastAsia="Calibri" w:cs="Calibri"/>
                <w:sz w:val="20"/>
                <w:szCs w:val="20"/>
              </w:rPr>
            </w:pPr>
            <w:r w:rsidRPr="00D26A35">
              <w:rPr>
                <w:rFonts w:eastAsia="Calibri" w:cs="Calibri"/>
                <w:sz w:val="20"/>
                <w:szCs w:val="20"/>
              </w:rPr>
              <w:t>Aims to increase communication among legal advisers across the system, develop consultation and knowledge sharing mechanisms to address issues of common concern and ensure, where appropriate, a better dissemination of relevant guidelines, policies and practices. It also supports a better understanding of the needs of the various bodies for which the Office of Legal Affairs (OLA) provides central legal services.</w:t>
            </w:r>
          </w:p>
        </w:tc>
        <w:tc>
          <w:tcPr>
            <w:tcW w:w="3457" w:type="dxa"/>
          </w:tcPr>
          <w:p w14:paraId="62BD3E98" w14:textId="73CF7C71" w:rsidR="003F4F52" w:rsidRPr="00D26A35" w:rsidRDefault="007655E9" w:rsidP="007222FB">
            <w:pPr>
              <w:rPr>
                <w:rFonts w:eastAsia="Calibri" w:cs="Calibri"/>
                <w:sz w:val="20"/>
                <w:szCs w:val="20"/>
              </w:rPr>
            </w:pPr>
            <w:r w:rsidRPr="00D26A35">
              <w:rPr>
                <w:rFonts w:eastAsia="Calibri" w:cs="Calibri"/>
                <w:sz w:val="20"/>
                <w:szCs w:val="20"/>
              </w:rPr>
              <w:t>ITU benefits from the exchange of information and experiences, as well as collaborates on issues of common interest.</w:t>
            </w:r>
          </w:p>
        </w:tc>
        <w:tc>
          <w:tcPr>
            <w:tcW w:w="1843" w:type="dxa"/>
          </w:tcPr>
          <w:p w14:paraId="11173E97" w14:textId="77777777" w:rsidR="003F4F52" w:rsidRPr="00D26A35" w:rsidRDefault="003F4F52" w:rsidP="007222FB">
            <w:pPr>
              <w:rPr>
                <w:rFonts w:eastAsia="Calibri" w:cs="Calibri"/>
                <w:sz w:val="20"/>
                <w:szCs w:val="20"/>
              </w:rPr>
            </w:pPr>
            <w:r w:rsidRPr="00D26A35">
              <w:rPr>
                <w:rFonts w:eastAsia="Calibri" w:cs="Calibri"/>
                <w:sz w:val="20"/>
                <w:szCs w:val="20"/>
              </w:rPr>
              <w:t>Once a year</w:t>
            </w:r>
          </w:p>
        </w:tc>
        <w:tc>
          <w:tcPr>
            <w:tcW w:w="1984" w:type="dxa"/>
          </w:tcPr>
          <w:p w14:paraId="43C8D383" w14:textId="77777777" w:rsidR="003F4F52" w:rsidRPr="00D26A35" w:rsidRDefault="003F4F52" w:rsidP="007222FB">
            <w:pPr>
              <w:rPr>
                <w:rFonts w:eastAsia="Calibri" w:cs="Calibri"/>
                <w:sz w:val="20"/>
                <w:szCs w:val="20"/>
              </w:rPr>
            </w:pPr>
            <w:r w:rsidRPr="00D26A35">
              <w:rPr>
                <w:rFonts w:eastAsia="Calibri" w:cs="Calibri"/>
                <w:sz w:val="20"/>
                <w:szCs w:val="20"/>
              </w:rPr>
              <w:t>2-3 days per meeting</w:t>
            </w:r>
          </w:p>
        </w:tc>
        <w:tc>
          <w:tcPr>
            <w:tcW w:w="1843" w:type="dxa"/>
          </w:tcPr>
          <w:p w14:paraId="0A672C53" w14:textId="77777777" w:rsidR="003F4F52" w:rsidRPr="00D26A35" w:rsidRDefault="003F4F52" w:rsidP="007222FB">
            <w:pPr>
              <w:rPr>
                <w:rFonts w:eastAsia="Calibri" w:cs="Calibri"/>
                <w:sz w:val="20"/>
                <w:szCs w:val="20"/>
              </w:rPr>
            </w:pPr>
            <w:r w:rsidRPr="00D26A35">
              <w:rPr>
                <w:rFonts w:eastAsia="Calibri" w:cs="Calibri"/>
                <w:sz w:val="20"/>
                <w:szCs w:val="20"/>
              </w:rPr>
              <w:t>Travel and DSA for approx. 2 staff</w:t>
            </w:r>
          </w:p>
        </w:tc>
      </w:tr>
      <w:tr w:rsidR="003F4F52" w:rsidRPr="00D26A35" w14:paraId="5068B8C4" w14:textId="77777777" w:rsidTr="00DF2C2F">
        <w:trPr>
          <w:trHeight w:val="396"/>
          <w:tblHeader/>
          <w:jc w:val="center"/>
        </w:trPr>
        <w:tc>
          <w:tcPr>
            <w:tcW w:w="1907" w:type="dxa"/>
          </w:tcPr>
          <w:p w14:paraId="579A64CF" w14:textId="77777777" w:rsidR="003F4F52" w:rsidRPr="00D26A35" w:rsidRDefault="003F4F52" w:rsidP="007222FB">
            <w:pPr>
              <w:rPr>
                <w:rFonts w:eastAsia="Calibri" w:cs="Calibri"/>
                <w:sz w:val="20"/>
                <w:szCs w:val="20"/>
              </w:rPr>
            </w:pPr>
            <w:r w:rsidRPr="00D26A35">
              <w:rPr>
                <w:rFonts w:eastAsia="Calibri" w:cs="Calibri"/>
                <w:sz w:val="20"/>
                <w:szCs w:val="20"/>
              </w:rPr>
              <w:t>Human Resources network</w:t>
            </w:r>
          </w:p>
        </w:tc>
        <w:tc>
          <w:tcPr>
            <w:tcW w:w="3850" w:type="dxa"/>
          </w:tcPr>
          <w:p w14:paraId="591A3283" w14:textId="4EAE5B7A" w:rsidR="003F4F52" w:rsidRPr="00D26A35" w:rsidRDefault="00B33C77" w:rsidP="007222FB">
            <w:pPr>
              <w:rPr>
                <w:rFonts w:eastAsia="Calibri" w:cs="Calibri"/>
                <w:sz w:val="20"/>
                <w:szCs w:val="20"/>
              </w:rPr>
            </w:pPr>
            <w:r w:rsidRPr="00D26A35">
              <w:rPr>
                <w:rFonts w:eastAsia="Calibri" w:cs="Calibri"/>
                <w:color w:val="222222"/>
                <w:sz w:val="20"/>
                <w:szCs w:val="20"/>
              </w:rPr>
              <w:t>P</w:t>
            </w:r>
            <w:r w:rsidR="003F4F52" w:rsidRPr="00D26A35">
              <w:rPr>
                <w:rFonts w:eastAsia="Calibri" w:cs="Calibri"/>
                <w:color w:val="222222"/>
                <w:sz w:val="20"/>
                <w:szCs w:val="20"/>
              </w:rPr>
              <w:t>rovides strategic advice and leadership in the management of human resources, focusing on specific strategic issues of interest to HR Directors, as well as preparing views and proposals to the HLCM and ICSC as well as liaising with the Federations of Staff Associations.</w:t>
            </w:r>
          </w:p>
          <w:p w14:paraId="5D10B935" w14:textId="77777777" w:rsidR="003F4F52" w:rsidRPr="00D26A35" w:rsidRDefault="00CA2100" w:rsidP="007222FB">
            <w:pPr>
              <w:rPr>
                <w:rFonts w:eastAsia="Calibri" w:cs="Calibri"/>
                <w:sz w:val="20"/>
                <w:szCs w:val="20"/>
              </w:rPr>
            </w:pPr>
            <w:hyperlink r:id="rId71">
              <w:r w:rsidR="003F4F52" w:rsidRPr="00D26A35">
                <w:rPr>
                  <w:rStyle w:val="Hyperlink"/>
                  <w:rFonts w:eastAsia="Calibri" w:cs="Calibri"/>
                  <w:sz w:val="20"/>
                  <w:szCs w:val="20"/>
                </w:rPr>
                <w:t>https://www.unsystem.org/content/human-resources-network</w:t>
              </w:r>
            </w:hyperlink>
          </w:p>
        </w:tc>
        <w:tc>
          <w:tcPr>
            <w:tcW w:w="3457" w:type="dxa"/>
          </w:tcPr>
          <w:p w14:paraId="659E1C7D" w14:textId="11F844F2" w:rsidR="003F4F52" w:rsidRPr="00D26A35" w:rsidRDefault="003F4F52" w:rsidP="007222FB">
            <w:pPr>
              <w:rPr>
                <w:rFonts w:eastAsia="Calibri" w:cs="Calibri"/>
                <w:sz w:val="20"/>
                <w:szCs w:val="20"/>
              </w:rPr>
            </w:pPr>
            <w:r w:rsidRPr="00D26A35">
              <w:rPr>
                <w:rFonts w:eastAsia="Calibri" w:cs="Calibri"/>
                <w:sz w:val="20"/>
                <w:szCs w:val="20"/>
              </w:rPr>
              <w:t>Access to information of polices and best practices in other UN agencies.  Assists in aligning the ITU policies with the UN system. Assists in ensuring that the ITU specific needs are taken into consideration in developing coordinated proposals and approaches for UN HR policies and Regulations</w:t>
            </w:r>
            <w:r w:rsidR="00B33C77" w:rsidRPr="00D26A35">
              <w:rPr>
                <w:rFonts w:eastAsia="Calibri" w:cs="Calibri"/>
                <w:sz w:val="20"/>
                <w:szCs w:val="20"/>
              </w:rPr>
              <w:t>.</w:t>
            </w:r>
          </w:p>
        </w:tc>
        <w:tc>
          <w:tcPr>
            <w:tcW w:w="1843" w:type="dxa"/>
          </w:tcPr>
          <w:p w14:paraId="7DB7D95F" w14:textId="77777777" w:rsidR="003F4F52" w:rsidRPr="00D26A35" w:rsidRDefault="003F4F52" w:rsidP="007222FB">
            <w:pPr>
              <w:rPr>
                <w:rFonts w:eastAsia="Calibri" w:cs="Calibri"/>
                <w:sz w:val="20"/>
                <w:szCs w:val="20"/>
              </w:rPr>
            </w:pPr>
            <w:r w:rsidRPr="00D26A35">
              <w:rPr>
                <w:rFonts w:eastAsia="Calibri" w:cs="Calibri"/>
                <w:sz w:val="20"/>
                <w:szCs w:val="20"/>
              </w:rPr>
              <w:t>Twice a year</w:t>
            </w:r>
          </w:p>
        </w:tc>
        <w:tc>
          <w:tcPr>
            <w:tcW w:w="1984" w:type="dxa"/>
          </w:tcPr>
          <w:p w14:paraId="111B1C48" w14:textId="77777777" w:rsidR="003F4F52" w:rsidRPr="00D26A35" w:rsidRDefault="003F4F52" w:rsidP="007222FB">
            <w:pPr>
              <w:rPr>
                <w:rFonts w:eastAsia="Calibri" w:cs="Calibri"/>
                <w:sz w:val="20"/>
                <w:szCs w:val="20"/>
              </w:rPr>
            </w:pPr>
            <w:r w:rsidRPr="00D26A35">
              <w:rPr>
                <w:rFonts w:eastAsia="Calibri" w:cs="Calibri"/>
                <w:sz w:val="20"/>
                <w:szCs w:val="20"/>
              </w:rPr>
              <w:t>2-3 days per meeting</w:t>
            </w:r>
          </w:p>
          <w:p w14:paraId="5818B8EB" w14:textId="77777777" w:rsidR="003F4F52" w:rsidRPr="00D26A35" w:rsidRDefault="003F4F52" w:rsidP="007222FB">
            <w:pPr>
              <w:rPr>
                <w:rFonts w:eastAsia="Calibri" w:cs="Calibri"/>
                <w:sz w:val="20"/>
                <w:szCs w:val="20"/>
              </w:rPr>
            </w:pPr>
          </w:p>
        </w:tc>
        <w:tc>
          <w:tcPr>
            <w:tcW w:w="1843" w:type="dxa"/>
          </w:tcPr>
          <w:p w14:paraId="477AE324" w14:textId="77777777" w:rsidR="003F4F52" w:rsidRPr="00D26A35" w:rsidRDefault="003F4F52" w:rsidP="007222FB">
            <w:pPr>
              <w:rPr>
                <w:rFonts w:eastAsia="Calibri" w:cs="Calibri"/>
                <w:sz w:val="20"/>
                <w:szCs w:val="20"/>
              </w:rPr>
            </w:pPr>
            <w:r w:rsidRPr="00D26A35">
              <w:rPr>
                <w:rFonts w:eastAsia="Calibri" w:cs="Calibri"/>
                <w:sz w:val="20"/>
                <w:szCs w:val="20"/>
              </w:rPr>
              <w:t>Travel and DSA for one staff</w:t>
            </w:r>
          </w:p>
        </w:tc>
      </w:tr>
      <w:tr w:rsidR="003F4F52" w:rsidRPr="00D26A35" w14:paraId="0616EA2C" w14:textId="77777777" w:rsidTr="00DF2C2F">
        <w:trPr>
          <w:trHeight w:val="396"/>
          <w:tblHeader/>
          <w:jc w:val="center"/>
        </w:trPr>
        <w:tc>
          <w:tcPr>
            <w:tcW w:w="1907" w:type="dxa"/>
          </w:tcPr>
          <w:p w14:paraId="5C850521" w14:textId="77777777" w:rsidR="003F4F52" w:rsidRPr="00D26A35" w:rsidRDefault="003F4F52" w:rsidP="007222FB">
            <w:pPr>
              <w:rPr>
                <w:rFonts w:eastAsia="Calibri" w:cs="Calibri"/>
                <w:sz w:val="20"/>
                <w:szCs w:val="20"/>
              </w:rPr>
            </w:pPr>
            <w:r w:rsidRPr="00D26A35">
              <w:rPr>
                <w:rFonts w:eastAsia="Calibri" w:cs="Calibri"/>
                <w:sz w:val="20"/>
                <w:szCs w:val="20"/>
              </w:rPr>
              <w:t>Finance and Budget Network</w:t>
            </w:r>
          </w:p>
        </w:tc>
        <w:tc>
          <w:tcPr>
            <w:tcW w:w="3850" w:type="dxa"/>
          </w:tcPr>
          <w:p w14:paraId="7622993A" w14:textId="77777777" w:rsidR="003F4F52" w:rsidRPr="00D26A35" w:rsidRDefault="003F4F52" w:rsidP="007222FB">
            <w:pPr>
              <w:rPr>
                <w:rFonts w:eastAsia="Calibri" w:cs="Calibri"/>
                <w:sz w:val="20"/>
                <w:szCs w:val="20"/>
              </w:rPr>
            </w:pPr>
            <w:r w:rsidRPr="00D26A35">
              <w:rPr>
                <w:rFonts w:eastAsia="Calibri" w:cs="Calibri"/>
                <w:sz w:val="20"/>
                <w:szCs w:val="20"/>
              </w:rPr>
              <w:t>Exchange information and discuss Financial matters</w:t>
            </w:r>
          </w:p>
        </w:tc>
        <w:tc>
          <w:tcPr>
            <w:tcW w:w="3457" w:type="dxa"/>
          </w:tcPr>
          <w:p w14:paraId="285D48E6" w14:textId="77777777" w:rsidR="003F4F52" w:rsidRPr="00D26A35" w:rsidRDefault="003F4F52" w:rsidP="007222FB">
            <w:pPr>
              <w:rPr>
                <w:rFonts w:eastAsia="Calibri" w:cs="Calibri"/>
                <w:sz w:val="20"/>
                <w:szCs w:val="20"/>
              </w:rPr>
            </w:pPr>
            <w:r w:rsidRPr="00D26A35">
              <w:rPr>
                <w:rFonts w:eastAsia="Calibri" w:cs="Calibri"/>
                <w:sz w:val="20"/>
                <w:szCs w:val="20"/>
              </w:rPr>
              <w:t>Ensure and approve the common budget of UN cost sharing activities</w:t>
            </w:r>
          </w:p>
        </w:tc>
        <w:tc>
          <w:tcPr>
            <w:tcW w:w="1843" w:type="dxa"/>
          </w:tcPr>
          <w:p w14:paraId="1DC258BA" w14:textId="77777777" w:rsidR="003F4F52" w:rsidRPr="00D26A35" w:rsidRDefault="003F4F52" w:rsidP="007222FB">
            <w:pPr>
              <w:rPr>
                <w:rFonts w:eastAsia="Calibri" w:cs="Calibri"/>
                <w:sz w:val="20"/>
                <w:szCs w:val="20"/>
              </w:rPr>
            </w:pPr>
            <w:r w:rsidRPr="00D26A35">
              <w:rPr>
                <w:rFonts w:eastAsia="Calibri" w:cs="Calibri"/>
                <w:sz w:val="20"/>
                <w:szCs w:val="20"/>
              </w:rPr>
              <w:t>Once</w:t>
            </w:r>
          </w:p>
        </w:tc>
        <w:tc>
          <w:tcPr>
            <w:tcW w:w="1984" w:type="dxa"/>
          </w:tcPr>
          <w:p w14:paraId="43D2A1C0" w14:textId="77777777" w:rsidR="003F4F52" w:rsidRPr="00D26A35" w:rsidRDefault="003F4F52" w:rsidP="007222FB">
            <w:pPr>
              <w:rPr>
                <w:rFonts w:eastAsia="Calibri" w:cs="Calibri"/>
                <w:sz w:val="20"/>
                <w:szCs w:val="20"/>
              </w:rPr>
            </w:pPr>
            <w:r w:rsidRPr="00D26A35">
              <w:rPr>
                <w:rFonts w:eastAsia="Calibri" w:cs="Calibri"/>
                <w:sz w:val="20"/>
                <w:szCs w:val="20"/>
              </w:rPr>
              <w:t>2 days</w:t>
            </w:r>
          </w:p>
        </w:tc>
        <w:tc>
          <w:tcPr>
            <w:tcW w:w="1843" w:type="dxa"/>
          </w:tcPr>
          <w:p w14:paraId="029415D9" w14:textId="77777777" w:rsidR="003F4F52" w:rsidRPr="00D26A35" w:rsidRDefault="003F4F52" w:rsidP="007222FB">
            <w:pPr>
              <w:rPr>
                <w:rFonts w:eastAsia="Calibri" w:cs="Calibri"/>
                <w:sz w:val="20"/>
                <w:szCs w:val="20"/>
              </w:rPr>
            </w:pPr>
            <w:r w:rsidRPr="00D26A35">
              <w:rPr>
                <w:rFonts w:eastAsia="Calibri" w:cs="Calibri"/>
                <w:sz w:val="20"/>
                <w:szCs w:val="20"/>
              </w:rPr>
              <w:t>Travel and DSA</w:t>
            </w:r>
          </w:p>
        </w:tc>
      </w:tr>
      <w:tr w:rsidR="003F4F52" w:rsidRPr="00D26A35" w14:paraId="353F80BC" w14:textId="77777777" w:rsidTr="00DF2C2F">
        <w:trPr>
          <w:trHeight w:val="396"/>
          <w:tblHeader/>
          <w:jc w:val="center"/>
        </w:trPr>
        <w:tc>
          <w:tcPr>
            <w:tcW w:w="1907" w:type="dxa"/>
          </w:tcPr>
          <w:p w14:paraId="38224047" w14:textId="77777777" w:rsidR="003F4F52" w:rsidRPr="00D26A35" w:rsidRDefault="003F4F52" w:rsidP="007222FB">
            <w:pPr>
              <w:rPr>
                <w:rFonts w:eastAsia="Calibri" w:cs="Calibri"/>
                <w:sz w:val="20"/>
                <w:szCs w:val="20"/>
              </w:rPr>
            </w:pPr>
            <w:r w:rsidRPr="00D26A35">
              <w:rPr>
                <w:rFonts w:eastAsia="Calibri" w:cs="Calibri"/>
                <w:sz w:val="20"/>
                <w:szCs w:val="20"/>
              </w:rPr>
              <w:lastRenderedPageBreak/>
              <w:t>Procurement network</w:t>
            </w:r>
          </w:p>
        </w:tc>
        <w:tc>
          <w:tcPr>
            <w:tcW w:w="3850" w:type="dxa"/>
          </w:tcPr>
          <w:p w14:paraId="1508A74C" w14:textId="77777777" w:rsidR="003F4F52" w:rsidRPr="00D26A35" w:rsidRDefault="003F4F52" w:rsidP="007222FB">
            <w:pPr>
              <w:rPr>
                <w:rFonts w:eastAsia="Calibri" w:cs="Calibri"/>
                <w:sz w:val="20"/>
                <w:szCs w:val="20"/>
              </w:rPr>
            </w:pPr>
            <w:r w:rsidRPr="00D26A35">
              <w:rPr>
                <w:rFonts w:eastAsia="Calibri" w:cs="Calibri"/>
                <w:sz w:val="20"/>
                <w:szCs w:val="20"/>
              </w:rPr>
              <w:t>Mandate is to promote the strategic role of Procurement and Supply Chain Management in programme and service delivery in a transparent and accountable manner.</w:t>
            </w:r>
          </w:p>
        </w:tc>
        <w:tc>
          <w:tcPr>
            <w:tcW w:w="3457" w:type="dxa"/>
          </w:tcPr>
          <w:p w14:paraId="0806CC0E" w14:textId="77777777" w:rsidR="003F4F52" w:rsidRPr="00D26A35" w:rsidRDefault="003F4F52" w:rsidP="007222FB">
            <w:pPr>
              <w:rPr>
                <w:rFonts w:eastAsia="Calibri" w:cs="Calibri"/>
                <w:sz w:val="20"/>
                <w:szCs w:val="20"/>
              </w:rPr>
            </w:pPr>
            <w:r w:rsidRPr="00D26A35">
              <w:rPr>
                <w:rFonts w:eastAsia="Calibri" w:cs="Calibri"/>
                <w:sz w:val="20"/>
                <w:szCs w:val="20"/>
              </w:rPr>
              <w:t>Improving the efficiency and effectiveness of the procurement function within the ITU, through collaborative arrangements, simplification and harmonisation of procurement practices.</w:t>
            </w:r>
          </w:p>
        </w:tc>
        <w:tc>
          <w:tcPr>
            <w:tcW w:w="1843" w:type="dxa"/>
          </w:tcPr>
          <w:p w14:paraId="07CEE678" w14:textId="77777777" w:rsidR="003F4F52" w:rsidRPr="00D26A35" w:rsidRDefault="003F4F52" w:rsidP="007222FB">
            <w:pPr>
              <w:rPr>
                <w:rFonts w:eastAsia="Calibri" w:cs="Calibri"/>
                <w:sz w:val="20"/>
                <w:szCs w:val="20"/>
              </w:rPr>
            </w:pPr>
            <w:r w:rsidRPr="00D26A35">
              <w:rPr>
                <w:rFonts w:eastAsia="Calibri" w:cs="Calibri"/>
                <w:sz w:val="20"/>
                <w:szCs w:val="20"/>
              </w:rPr>
              <w:t>Twice per year</w:t>
            </w:r>
          </w:p>
        </w:tc>
        <w:tc>
          <w:tcPr>
            <w:tcW w:w="1984" w:type="dxa"/>
          </w:tcPr>
          <w:p w14:paraId="276C319B" w14:textId="77777777" w:rsidR="003F4F52" w:rsidRPr="00D26A35" w:rsidRDefault="003F4F52" w:rsidP="007222FB">
            <w:pPr>
              <w:rPr>
                <w:rFonts w:eastAsia="Calibri" w:cs="Calibri"/>
                <w:sz w:val="20"/>
                <w:szCs w:val="20"/>
              </w:rPr>
            </w:pPr>
            <w:r w:rsidRPr="00D26A35">
              <w:rPr>
                <w:rFonts w:eastAsia="Calibri" w:cs="Calibri"/>
                <w:sz w:val="20"/>
                <w:szCs w:val="20"/>
              </w:rPr>
              <w:t>2 days</w:t>
            </w:r>
          </w:p>
        </w:tc>
        <w:tc>
          <w:tcPr>
            <w:tcW w:w="1843" w:type="dxa"/>
          </w:tcPr>
          <w:p w14:paraId="7CB7E0FF" w14:textId="77777777" w:rsidR="003F4F52" w:rsidRPr="00D26A35" w:rsidRDefault="003F4F52" w:rsidP="007222FB">
            <w:pPr>
              <w:rPr>
                <w:rFonts w:eastAsia="Calibri" w:cs="Calibri"/>
                <w:sz w:val="20"/>
                <w:szCs w:val="20"/>
              </w:rPr>
            </w:pPr>
            <w:r w:rsidRPr="00D26A35">
              <w:rPr>
                <w:rFonts w:eastAsia="Calibri" w:cs="Calibri"/>
                <w:sz w:val="20"/>
                <w:szCs w:val="20"/>
              </w:rPr>
              <w:t>Travel and DSA</w:t>
            </w:r>
          </w:p>
        </w:tc>
      </w:tr>
      <w:tr w:rsidR="003F4F52" w:rsidRPr="00D26A35" w14:paraId="33268199" w14:textId="77777777" w:rsidTr="00DF2C2F">
        <w:trPr>
          <w:trHeight w:val="396"/>
          <w:tblHeader/>
          <w:jc w:val="center"/>
        </w:trPr>
        <w:tc>
          <w:tcPr>
            <w:tcW w:w="1907" w:type="dxa"/>
          </w:tcPr>
          <w:p w14:paraId="603A8DED" w14:textId="77777777" w:rsidR="003F4F52" w:rsidRPr="00D26A35" w:rsidRDefault="003F4F52" w:rsidP="007222FB">
            <w:pPr>
              <w:rPr>
                <w:rFonts w:eastAsia="Calibri" w:cs="Calibri"/>
                <w:sz w:val="20"/>
                <w:szCs w:val="20"/>
              </w:rPr>
            </w:pPr>
            <w:r w:rsidRPr="00D26A35">
              <w:rPr>
                <w:rFonts w:eastAsia="Calibri" w:cs="Calibri"/>
                <w:sz w:val="20"/>
                <w:szCs w:val="20"/>
              </w:rPr>
              <w:t xml:space="preserve">IPSAS Task Force </w:t>
            </w:r>
          </w:p>
        </w:tc>
        <w:tc>
          <w:tcPr>
            <w:tcW w:w="3850" w:type="dxa"/>
          </w:tcPr>
          <w:p w14:paraId="4163B0F0" w14:textId="77777777" w:rsidR="003F4F52" w:rsidRPr="00D26A35" w:rsidRDefault="003F4F52" w:rsidP="007222FB">
            <w:pPr>
              <w:rPr>
                <w:rFonts w:eastAsia="Calibri" w:cs="Calibri"/>
                <w:sz w:val="20"/>
                <w:szCs w:val="20"/>
              </w:rPr>
            </w:pPr>
            <w:r w:rsidRPr="00D26A35">
              <w:rPr>
                <w:rFonts w:eastAsia="Calibri" w:cs="Calibri"/>
                <w:sz w:val="20"/>
                <w:szCs w:val="20"/>
              </w:rPr>
              <w:t xml:space="preserve">Mandated to provide support, coordination and leadership to the implementation of International Public Sector Accounting Standards (IPSAS) in the United Nations (UN) system. </w:t>
            </w:r>
          </w:p>
        </w:tc>
        <w:tc>
          <w:tcPr>
            <w:tcW w:w="3457" w:type="dxa"/>
          </w:tcPr>
          <w:p w14:paraId="2887B9FC" w14:textId="77777777" w:rsidR="003F4F52" w:rsidRPr="00D26A35" w:rsidRDefault="003F4F52" w:rsidP="007222FB">
            <w:pPr>
              <w:rPr>
                <w:rFonts w:eastAsia="Calibri" w:cs="Calibri"/>
                <w:sz w:val="20"/>
                <w:szCs w:val="20"/>
              </w:rPr>
            </w:pPr>
            <w:r w:rsidRPr="00D26A35">
              <w:rPr>
                <w:rFonts w:eastAsia="Calibri" w:cs="Calibri"/>
                <w:sz w:val="20"/>
                <w:szCs w:val="20"/>
              </w:rPr>
              <w:t>Twenty-five UN system organizations, including ITU are involved in IPSAS implementation.</w:t>
            </w:r>
          </w:p>
        </w:tc>
        <w:tc>
          <w:tcPr>
            <w:tcW w:w="1843" w:type="dxa"/>
          </w:tcPr>
          <w:p w14:paraId="79F6C75E" w14:textId="77777777" w:rsidR="003F4F52" w:rsidRPr="00D26A35" w:rsidRDefault="003F4F52" w:rsidP="007222FB">
            <w:pPr>
              <w:rPr>
                <w:rFonts w:eastAsia="Calibri" w:cs="Calibri"/>
                <w:sz w:val="20"/>
                <w:szCs w:val="20"/>
              </w:rPr>
            </w:pPr>
            <w:r w:rsidRPr="00D26A35">
              <w:rPr>
                <w:rFonts w:eastAsia="Calibri" w:cs="Calibri"/>
                <w:sz w:val="20"/>
                <w:szCs w:val="20"/>
              </w:rPr>
              <w:t>Once</w:t>
            </w:r>
          </w:p>
        </w:tc>
        <w:tc>
          <w:tcPr>
            <w:tcW w:w="1984" w:type="dxa"/>
          </w:tcPr>
          <w:p w14:paraId="0B4B64A7" w14:textId="77777777" w:rsidR="003F4F52" w:rsidRPr="00D26A35" w:rsidRDefault="003F4F52" w:rsidP="007222FB">
            <w:pPr>
              <w:rPr>
                <w:rFonts w:eastAsia="Calibri" w:cs="Calibri"/>
                <w:sz w:val="20"/>
                <w:szCs w:val="20"/>
              </w:rPr>
            </w:pPr>
            <w:r w:rsidRPr="00D26A35">
              <w:rPr>
                <w:rFonts w:eastAsia="Calibri" w:cs="Calibri"/>
                <w:sz w:val="20"/>
                <w:szCs w:val="20"/>
              </w:rPr>
              <w:t>2 days</w:t>
            </w:r>
          </w:p>
        </w:tc>
        <w:tc>
          <w:tcPr>
            <w:tcW w:w="1843" w:type="dxa"/>
          </w:tcPr>
          <w:p w14:paraId="666105C0" w14:textId="77777777" w:rsidR="003F4F52" w:rsidRPr="00D26A35" w:rsidRDefault="003F4F52" w:rsidP="007222FB">
            <w:pPr>
              <w:rPr>
                <w:rFonts w:eastAsia="Calibri" w:cs="Calibri"/>
                <w:sz w:val="20"/>
                <w:szCs w:val="20"/>
              </w:rPr>
            </w:pPr>
            <w:r w:rsidRPr="00D26A35">
              <w:rPr>
                <w:rFonts w:eastAsia="Calibri" w:cs="Calibri"/>
                <w:sz w:val="20"/>
                <w:szCs w:val="20"/>
              </w:rPr>
              <w:t>Travel and DSA</w:t>
            </w:r>
          </w:p>
        </w:tc>
      </w:tr>
      <w:tr w:rsidR="003F4F52" w:rsidRPr="00D26A35" w14:paraId="1015D681" w14:textId="77777777" w:rsidTr="00DF2C2F">
        <w:trPr>
          <w:trHeight w:val="647"/>
          <w:tblHeader/>
          <w:jc w:val="center"/>
        </w:trPr>
        <w:tc>
          <w:tcPr>
            <w:tcW w:w="1907" w:type="dxa"/>
          </w:tcPr>
          <w:p w14:paraId="6746A52B" w14:textId="77777777" w:rsidR="003F4F52" w:rsidRPr="00D26A35" w:rsidRDefault="003F4F52" w:rsidP="007222FB">
            <w:pPr>
              <w:rPr>
                <w:rFonts w:eastAsia="Calibri" w:cs="Calibri"/>
                <w:sz w:val="20"/>
                <w:szCs w:val="20"/>
              </w:rPr>
            </w:pPr>
            <w:r w:rsidRPr="00D26A35">
              <w:rPr>
                <w:rFonts w:eastAsia="Calibri" w:cs="Calibri"/>
                <w:sz w:val="20"/>
                <w:szCs w:val="20"/>
              </w:rPr>
              <w:t xml:space="preserve">United Nations Sustainable Development Group </w:t>
            </w:r>
            <w:r w:rsidRPr="00D26A35">
              <w:rPr>
                <w:rFonts w:eastAsia="Calibri" w:cs="Calibri"/>
                <w:b/>
                <w:bCs/>
                <w:sz w:val="20"/>
                <w:szCs w:val="20"/>
              </w:rPr>
              <w:t>(UNSDG)</w:t>
            </w:r>
          </w:p>
        </w:tc>
        <w:tc>
          <w:tcPr>
            <w:tcW w:w="3850" w:type="dxa"/>
          </w:tcPr>
          <w:p w14:paraId="1C3B539E" w14:textId="77777777" w:rsidR="003F4F52" w:rsidRPr="00D26A35" w:rsidRDefault="003F4F52" w:rsidP="007222FB">
            <w:pPr>
              <w:rPr>
                <w:rFonts w:eastAsia="Calibri" w:cs="Calibri"/>
                <w:sz w:val="20"/>
                <w:szCs w:val="20"/>
              </w:rPr>
            </w:pPr>
            <w:r w:rsidRPr="00D26A35">
              <w:rPr>
                <w:rFonts w:eastAsia="Calibri" w:cs="Calibri"/>
                <w:sz w:val="20"/>
                <w:szCs w:val="20"/>
              </w:rPr>
              <w:t>Provide leadership, strategic guidance and support to Resident Coordinators and UN Country Teams for the achievement of country level results.</w:t>
            </w:r>
          </w:p>
        </w:tc>
        <w:tc>
          <w:tcPr>
            <w:tcW w:w="3457" w:type="dxa"/>
          </w:tcPr>
          <w:p w14:paraId="2B038494" w14:textId="67CDE72B" w:rsidR="003F4F52" w:rsidRPr="00D26A35" w:rsidRDefault="00CA2100" w:rsidP="007222FB">
            <w:pPr>
              <w:rPr>
                <w:rFonts w:eastAsia="Calibri" w:cs="Calibri"/>
                <w:sz w:val="20"/>
                <w:szCs w:val="20"/>
              </w:rPr>
            </w:pPr>
            <w:hyperlink r:id="rId72" w:history="1">
              <w:r w:rsidR="003F4F52" w:rsidRPr="00D26A35">
                <w:rPr>
                  <w:rStyle w:val="Hyperlink"/>
                  <w:rFonts w:eastAsia="Calibri" w:cs="Calibri"/>
                  <w:sz w:val="20"/>
                  <w:szCs w:val="20"/>
                </w:rPr>
                <w:t>P</w:t>
              </w:r>
              <w:r w:rsidR="00DF2C2F" w:rsidRPr="00D26A35">
                <w:rPr>
                  <w:rStyle w:val="Hyperlink"/>
                  <w:rFonts w:eastAsia="Calibri" w:cs="Calibri"/>
                  <w:sz w:val="20"/>
                  <w:szCs w:val="20"/>
                </w:rPr>
                <w:t>P</w:t>
              </w:r>
              <w:r w:rsidR="003F4F52" w:rsidRPr="00D26A35">
                <w:rPr>
                  <w:rStyle w:val="Hyperlink"/>
                  <w:rFonts w:eastAsia="Calibri" w:cs="Calibri"/>
                  <w:sz w:val="20"/>
                  <w:szCs w:val="20"/>
                </w:rPr>
                <w:t xml:space="preserve"> </w:t>
              </w:r>
              <w:r w:rsidR="00DF2C2F" w:rsidRPr="00D26A35">
                <w:rPr>
                  <w:rStyle w:val="Hyperlink"/>
                  <w:rFonts w:eastAsia="Calibri" w:cs="Calibri"/>
                  <w:sz w:val="20"/>
                  <w:szCs w:val="20"/>
                </w:rPr>
                <w:t>Res.</w:t>
              </w:r>
              <w:r w:rsidR="003F4F52" w:rsidRPr="00D26A35">
                <w:rPr>
                  <w:rStyle w:val="Hyperlink"/>
                  <w:rFonts w:eastAsia="Calibri" w:cs="Calibri"/>
                  <w:sz w:val="20"/>
                  <w:szCs w:val="20"/>
                </w:rPr>
                <w:t xml:space="preserve"> 200 (R</w:t>
              </w:r>
              <w:r w:rsidR="00DF2C2F" w:rsidRPr="00D26A35">
                <w:rPr>
                  <w:rStyle w:val="Hyperlink"/>
                  <w:rFonts w:eastAsia="Calibri" w:cs="Calibri"/>
                  <w:sz w:val="20"/>
                  <w:szCs w:val="20"/>
                </w:rPr>
                <w:t>ev. Dubai</w:t>
              </w:r>
              <w:r w:rsidR="003F4F52" w:rsidRPr="00D26A35">
                <w:rPr>
                  <w:rStyle w:val="Hyperlink"/>
                  <w:rFonts w:eastAsia="Calibri" w:cs="Calibri"/>
                  <w:sz w:val="20"/>
                  <w:szCs w:val="20"/>
                </w:rPr>
                <w:t>, 2018)</w:t>
              </w:r>
            </w:hyperlink>
          </w:p>
          <w:p w14:paraId="4101F3BD" w14:textId="77777777" w:rsidR="003F4F52" w:rsidRPr="00D26A35" w:rsidRDefault="003F4F52" w:rsidP="007222FB">
            <w:pPr>
              <w:rPr>
                <w:rFonts w:eastAsia="Calibri" w:cs="Calibri"/>
                <w:sz w:val="20"/>
                <w:szCs w:val="20"/>
              </w:rPr>
            </w:pPr>
            <w:r w:rsidRPr="00D26A35">
              <w:rPr>
                <w:rFonts w:eastAsia="Calibri" w:cs="Calibri"/>
                <w:sz w:val="20"/>
                <w:szCs w:val="20"/>
              </w:rPr>
              <w:t>Connect 2030 Agenda for global telecommunication/information and communication technology, including broadband, for sustainable development</w:t>
            </w:r>
          </w:p>
        </w:tc>
        <w:tc>
          <w:tcPr>
            <w:tcW w:w="1843" w:type="dxa"/>
          </w:tcPr>
          <w:p w14:paraId="02F06890" w14:textId="1B475301" w:rsidR="003F4F52" w:rsidRPr="00D26A35" w:rsidRDefault="003F4F52" w:rsidP="007222FB">
            <w:pPr>
              <w:rPr>
                <w:rFonts w:eastAsia="Calibri" w:cs="Calibri"/>
                <w:sz w:val="20"/>
                <w:szCs w:val="20"/>
              </w:rPr>
            </w:pPr>
            <w:r w:rsidRPr="00D26A35">
              <w:rPr>
                <w:rFonts w:eastAsia="Calibri" w:cs="Calibri"/>
                <w:sz w:val="20"/>
                <w:szCs w:val="20"/>
              </w:rPr>
              <w:t>Twice per year at Princip</w:t>
            </w:r>
            <w:r w:rsidR="00285953">
              <w:rPr>
                <w:rFonts w:eastAsia="Calibri" w:cs="Calibri"/>
                <w:sz w:val="20"/>
                <w:szCs w:val="20"/>
              </w:rPr>
              <w:t>als</w:t>
            </w:r>
            <w:r w:rsidRPr="00D26A35">
              <w:rPr>
                <w:rFonts w:eastAsia="Calibri" w:cs="Calibri"/>
                <w:sz w:val="20"/>
                <w:szCs w:val="20"/>
              </w:rPr>
              <w:t xml:space="preserve"> level</w:t>
            </w:r>
          </w:p>
        </w:tc>
        <w:tc>
          <w:tcPr>
            <w:tcW w:w="1984" w:type="dxa"/>
          </w:tcPr>
          <w:p w14:paraId="5BE81A0D" w14:textId="77777777" w:rsidR="003F4F52" w:rsidRPr="00D26A35" w:rsidRDefault="003F4F52" w:rsidP="007222FB">
            <w:pPr>
              <w:rPr>
                <w:rFonts w:eastAsia="Calibri" w:cs="Calibri"/>
                <w:sz w:val="20"/>
                <w:szCs w:val="20"/>
              </w:rPr>
            </w:pPr>
            <w:r w:rsidRPr="00D26A35">
              <w:rPr>
                <w:rFonts w:eastAsia="Calibri" w:cs="Calibri"/>
                <w:sz w:val="20"/>
                <w:szCs w:val="20"/>
              </w:rPr>
              <w:t>Weekly meetings done remotely</w:t>
            </w:r>
          </w:p>
        </w:tc>
        <w:tc>
          <w:tcPr>
            <w:tcW w:w="1843" w:type="dxa"/>
          </w:tcPr>
          <w:p w14:paraId="723C5856" w14:textId="6DEBEF01" w:rsidR="003F4F52" w:rsidRPr="00D26A35" w:rsidRDefault="003F4F52" w:rsidP="007222FB">
            <w:pPr>
              <w:rPr>
                <w:rFonts w:eastAsia="Calibri" w:cs="Calibri"/>
                <w:sz w:val="20"/>
                <w:szCs w:val="20"/>
              </w:rPr>
            </w:pPr>
            <w:r w:rsidRPr="00D26A35">
              <w:rPr>
                <w:rFonts w:eastAsia="Calibri" w:cs="Calibri"/>
                <w:sz w:val="20"/>
                <w:szCs w:val="20"/>
              </w:rPr>
              <w:t>As approved by ITU Council, ITU contributes US</w:t>
            </w:r>
            <w:r w:rsidR="00B33C77" w:rsidRPr="00D26A35">
              <w:rPr>
                <w:rFonts w:eastAsia="Calibri" w:cs="Calibri"/>
                <w:sz w:val="20"/>
                <w:szCs w:val="20"/>
              </w:rPr>
              <w:t xml:space="preserve">D </w:t>
            </w:r>
            <w:r w:rsidRPr="00D26A35">
              <w:rPr>
                <w:rFonts w:eastAsia="Calibri" w:cs="Calibri"/>
                <w:sz w:val="20"/>
                <w:szCs w:val="20"/>
              </w:rPr>
              <w:t>200,000 annually</w:t>
            </w:r>
          </w:p>
        </w:tc>
      </w:tr>
      <w:tr w:rsidR="003F4F52" w:rsidRPr="00D26A35" w14:paraId="566514FB" w14:textId="77777777" w:rsidTr="00DF2C2F">
        <w:trPr>
          <w:tblHeader/>
          <w:jc w:val="center"/>
        </w:trPr>
        <w:tc>
          <w:tcPr>
            <w:tcW w:w="1907" w:type="dxa"/>
          </w:tcPr>
          <w:p w14:paraId="30D2BEB3" w14:textId="77777777" w:rsidR="003F4F52" w:rsidRPr="00D26A35" w:rsidRDefault="00CA2100" w:rsidP="007222FB">
            <w:pPr>
              <w:rPr>
                <w:rFonts w:eastAsia="Calibri" w:cs="Calibri"/>
                <w:sz w:val="20"/>
                <w:szCs w:val="20"/>
              </w:rPr>
            </w:pPr>
            <w:hyperlink r:id="rId73">
              <w:r w:rsidR="003F4F52" w:rsidRPr="00D26A35">
                <w:rPr>
                  <w:rStyle w:val="Hyperlink"/>
                  <w:rFonts w:eastAsia="Calibri" w:cs="Calibri"/>
                  <w:sz w:val="20"/>
                  <w:szCs w:val="20"/>
                </w:rPr>
                <w:t xml:space="preserve">United Nations Group Information Society </w:t>
              </w:r>
              <w:r w:rsidR="003F4F52" w:rsidRPr="00D26A35">
                <w:rPr>
                  <w:rStyle w:val="Hyperlink"/>
                  <w:rFonts w:eastAsia="Calibri" w:cs="Calibri"/>
                  <w:b/>
                  <w:bCs/>
                  <w:sz w:val="20"/>
                  <w:szCs w:val="20"/>
                </w:rPr>
                <w:t>(UNGIS)</w:t>
              </w:r>
            </w:hyperlink>
          </w:p>
        </w:tc>
        <w:tc>
          <w:tcPr>
            <w:tcW w:w="3850" w:type="dxa"/>
          </w:tcPr>
          <w:p w14:paraId="1FEA9679" w14:textId="77777777" w:rsidR="003F4F52" w:rsidRPr="00D26A35" w:rsidRDefault="003F4F52" w:rsidP="007222FB">
            <w:pPr>
              <w:rPr>
                <w:rFonts w:eastAsia="Calibri" w:cs="Calibri"/>
                <w:sz w:val="20"/>
                <w:szCs w:val="20"/>
              </w:rPr>
            </w:pPr>
            <w:r w:rsidRPr="00D26A35">
              <w:rPr>
                <w:rFonts w:eastAsia="Calibri" w:cs="Calibri"/>
                <w:sz w:val="20"/>
                <w:szCs w:val="20"/>
              </w:rPr>
              <w:t>Collaboration and partnerships among the CEB members in order to contribute to the achievement of the WSIS objectives</w:t>
            </w:r>
          </w:p>
        </w:tc>
        <w:tc>
          <w:tcPr>
            <w:tcW w:w="3457" w:type="dxa"/>
          </w:tcPr>
          <w:p w14:paraId="6D5F2EAD" w14:textId="60AAD8DC" w:rsidR="00DF2C2F" w:rsidRPr="00D26A35" w:rsidRDefault="00CA2100" w:rsidP="00DF2C2F">
            <w:pPr>
              <w:rPr>
                <w:rFonts w:eastAsia="Calibri" w:cs="Calibri"/>
                <w:sz w:val="20"/>
                <w:szCs w:val="20"/>
              </w:rPr>
            </w:pPr>
            <w:hyperlink r:id="rId74" w:history="1">
              <w:r w:rsidR="00DF2C2F" w:rsidRPr="00D26A35">
                <w:rPr>
                  <w:rStyle w:val="Hyperlink"/>
                  <w:rFonts w:eastAsia="Calibri" w:cs="Calibri"/>
                  <w:sz w:val="20"/>
                  <w:szCs w:val="20"/>
                </w:rPr>
                <w:t>PP Res. 140 (Rev. Dubai, 2018)</w:t>
              </w:r>
            </w:hyperlink>
          </w:p>
          <w:p w14:paraId="328C1E9E" w14:textId="433F0F3F" w:rsidR="003F4F52" w:rsidRPr="00D26A35" w:rsidRDefault="003F4F52" w:rsidP="007222FB">
            <w:pPr>
              <w:rPr>
                <w:rFonts w:eastAsia="Calibri" w:cs="Calibri"/>
                <w:sz w:val="20"/>
                <w:szCs w:val="20"/>
              </w:rPr>
            </w:pPr>
            <w:r w:rsidRPr="00D26A35">
              <w:rPr>
                <w:rFonts w:eastAsia="Calibri" w:cs="Calibri"/>
                <w:sz w:val="20"/>
                <w:szCs w:val="20"/>
              </w:rPr>
              <w:t>ITU</w:t>
            </w:r>
            <w:r w:rsidR="007222FB" w:rsidRPr="00D26A35">
              <w:rPr>
                <w:rFonts w:eastAsia="Calibri" w:cs="Calibri"/>
                <w:sz w:val="20"/>
                <w:szCs w:val="20"/>
              </w:rPr>
              <w:t>’</w:t>
            </w:r>
            <w:r w:rsidRPr="00D26A35">
              <w:rPr>
                <w:rFonts w:eastAsia="Calibri" w:cs="Calibri"/>
                <w:sz w:val="20"/>
                <w:szCs w:val="20"/>
              </w:rPr>
              <w:t>s role in implementing the outcomes of the World Summit on the Information Society and the 2030 Agenda for Sustainable Development, as well as in their follow-up and review processes</w:t>
            </w:r>
          </w:p>
        </w:tc>
        <w:tc>
          <w:tcPr>
            <w:tcW w:w="1843" w:type="dxa"/>
          </w:tcPr>
          <w:p w14:paraId="447F6D16" w14:textId="77777777" w:rsidR="003F4F52" w:rsidRPr="00D26A35" w:rsidRDefault="003F4F52" w:rsidP="007222FB">
            <w:pPr>
              <w:rPr>
                <w:rFonts w:eastAsia="Calibri" w:cs="Calibri"/>
                <w:sz w:val="20"/>
                <w:szCs w:val="20"/>
              </w:rPr>
            </w:pPr>
            <w:r w:rsidRPr="00D26A35">
              <w:rPr>
                <w:rFonts w:eastAsia="Calibri" w:cs="Calibri"/>
                <w:sz w:val="20"/>
                <w:szCs w:val="20"/>
              </w:rPr>
              <w:t>Regular remote meeting.</w:t>
            </w:r>
          </w:p>
          <w:p w14:paraId="067D86FE" w14:textId="77777777" w:rsidR="003F4F52" w:rsidRPr="00D26A35" w:rsidRDefault="003F4F52" w:rsidP="007222FB">
            <w:pPr>
              <w:rPr>
                <w:rFonts w:eastAsia="Calibri" w:cs="Calibri"/>
                <w:sz w:val="20"/>
                <w:szCs w:val="20"/>
              </w:rPr>
            </w:pPr>
            <w:r w:rsidRPr="00D26A35">
              <w:rPr>
                <w:rFonts w:eastAsia="Calibri" w:cs="Calibri"/>
                <w:sz w:val="20"/>
                <w:szCs w:val="20"/>
              </w:rPr>
              <w:t>2 meetings at the WSIS Forum</w:t>
            </w:r>
          </w:p>
          <w:p w14:paraId="422E59C3" w14:textId="77777777" w:rsidR="003F4F52" w:rsidRPr="00D26A35" w:rsidRDefault="003F4F52" w:rsidP="007222FB">
            <w:pPr>
              <w:rPr>
                <w:rFonts w:eastAsia="Calibri" w:cs="Calibri"/>
                <w:sz w:val="20"/>
                <w:szCs w:val="20"/>
              </w:rPr>
            </w:pPr>
            <w:r w:rsidRPr="00D26A35">
              <w:rPr>
                <w:rFonts w:eastAsia="Calibri" w:cs="Calibri"/>
                <w:sz w:val="20"/>
                <w:szCs w:val="20"/>
              </w:rPr>
              <w:t xml:space="preserve">Meeting and side event at the HLPF and STI (planned) </w:t>
            </w:r>
          </w:p>
        </w:tc>
        <w:tc>
          <w:tcPr>
            <w:tcW w:w="1984" w:type="dxa"/>
          </w:tcPr>
          <w:p w14:paraId="07365CAB" w14:textId="58E941EA" w:rsidR="003F4F52" w:rsidRPr="00D26A35" w:rsidRDefault="003F4F52" w:rsidP="007222FB">
            <w:pPr>
              <w:rPr>
                <w:rFonts w:eastAsia="Calibri" w:cs="Calibri"/>
                <w:sz w:val="20"/>
                <w:szCs w:val="20"/>
              </w:rPr>
            </w:pPr>
            <w:r w:rsidRPr="00D26A35">
              <w:rPr>
                <w:rFonts w:eastAsia="Calibri" w:cs="Calibri"/>
                <w:sz w:val="20"/>
                <w:szCs w:val="20"/>
              </w:rPr>
              <w:t>2 days</w:t>
            </w:r>
            <w:r w:rsidR="002629EA" w:rsidRPr="00D26A35">
              <w:rPr>
                <w:rFonts w:eastAsia="Calibri" w:cs="Calibri"/>
                <w:sz w:val="20"/>
                <w:szCs w:val="20"/>
              </w:rPr>
              <w:br/>
            </w:r>
          </w:p>
          <w:p w14:paraId="4B8DC2E5" w14:textId="0E783C5F" w:rsidR="003F4F52" w:rsidRPr="00D26A35" w:rsidRDefault="003F4F52" w:rsidP="007222FB">
            <w:pPr>
              <w:rPr>
                <w:rFonts w:eastAsia="Calibri" w:cs="Calibri"/>
                <w:sz w:val="20"/>
                <w:szCs w:val="20"/>
              </w:rPr>
            </w:pPr>
            <w:r w:rsidRPr="00D26A35">
              <w:rPr>
                <w:rFonts w:eastAsia="Calibri" w:cs="Calibri"/>
                <w:sz w:val="20"/>
                <w:szCs w:val="20"/>
              </w:rPr>
              <w:t>High level and working level</w:t>
            </w:r>
          </w:p>
          <w:p w14:paraId="32D52431" w14:textId="77777777" w:rsidR="003F4F52" w:rsidRPr="00D26A35" w:rsidRDefault="003F4F52" w:rsidP="007222FB">
            <w:pPr>
              <w:rPr>
                <w:rFonts w:eastAsia="Calibri" w:cs="Calibri"/>
                <w:sz w:val="20"/>
                <w:szCs w:val="20"/>
              </w:rPr>
            </w:pPr>
            <w:r w:rsidRPr="00D26A35">
              <w:rPr>
                <w:rFonts w:eastAsia="Calibri" w:cs="Calibri"/>
                <w:sz w:val="20"/>
                <w:szCs w:val="20"/>
              </w:rPr>
              <w:t>2-3 Days</w:t>
            </w:r>
          </w:p>
        </w:tc>
        <w:tc>
          <w:tcPr>
            <w:tcW w:w="1843" w:type="dxa"/>
          </w:tcPr>
          <w:p w14:paraId="35DA4A83" w14:textId="77777777" w:rsidR="003F4F52" w:rsidRPr="00D26A35" w:rsidRDefault="003F4F52" w:rsidP="007222FB">
            <w:pPr>
              <w:rPr>
                <w:rFonts w:eastAsia="Calibri" w:cs="Calibri"/>
                <w:sz w:val="20"/>
                <w:szCs w:val="20"/>
              </w:rPr>
            </w:pPr>
            <w:r w:rsidRPr="00D26A35">
              <w:rPr>
                <w:rFonts w:eastAsia="Calibri" w:cs="Calibri"/>
                <w:sz w:val="20"/>
                <w:szCs w:val="20"/>
              </w:rPr>
              <w:t>No additional costs</w:t>
            </w:r>
          </w:p>
          <w:p w14:paraId="12694DD9" w14:textId="77777777" w:rsidR="003F4F52" w:rsidRPr="00D26A35" w:rsidRDefault="003F4F52" w:rsidP="007222FB">
            <w:pPr>
              <w:rPr>
                <w:rFonts w:eastAsia="Calibri" w:cs="Calibri"/>
                <w:sz w:val="20"/>
                <w:szCs w:val="20"/>
              </w:rPr>
            </w:pPr>
          </w:p>
          <w:p w14:paraId="6CDC3188" w14:textId="77777777" w:rsidR="003F4F52" w:rsidRPr="00D26A35" w:rsidRDefault="003F4F52" w:rsidP="007222FB">
            <w:pPr>
              <w:rPr>
                <w:rFonts w:eastAsia="Calibri" w:cs="Calibri"/>
                <w:sz w:val="20"/>
                <w:szCs w:val="20"/>
              </w:rPr>
            </w:pPr>
            <w:r w:rsidRPr="00D26A35">
              <w:rPr>
                <w:rFonts w:eastAsia="Calibri" w:cs="Calibri"/>
                <w:sz w:val="20"/>
                <w:szCs w:val="20"/>
              </w:rPr>
              <w:t>DSA</w:t>
            </w:r>
          </w:p>
        </w:tc>
      </w:tr>
      <w:tr w:rsidR="003F4F52" w:rsidRPr="00D26A35" w14:paraId="7A316299" w14:textId="77777777" w:rsidTr="00DF2C2F">
        <w:trPr>
          <w:tblHeader/>
          <w:jc w:val="center"/>
        </w:trPr>
        <w:tc>
          <w:tcPr>
            <w:tcW w:w="1907" w:type="dxa"/>
          </w:tcPr>
          <w:p w14:paraId="7EE2D4A5" w14:textId="77777777" w:rsidR="003F4F52" w:rsidRPr="00D26A35" w:rsidRDefault="00CA2100" w:rsidP="007222FB">
            <w:pPr>
              <w:rPr>
                <w:rFonts w:eastAsia="Calibri" w:cs="Calibri"/>
                <w:sz w:val="20"/>
                <w:szCs w:val="20"/>
              </w:rPr>
            </w:pPr>
            <w:hyperlink r:id="rId75" w:history="1">
              <w:r w:rsidR="003F4F52" w:rsidRPr="00D26A35">
                <w:rPr>
                  <w:rStyle w:val="Hyperlink"/>
                  <w:rFonts w:eastAsia="Calibri" w:cs="Calibri"/>
                  <w:sz w:val="20"/>
                  <w:szCs w:val="20"/>
                  <w:bdr w:val="none" w:sz="0" w:space="0" w:color="auto" w:frame="1"/>
                </w:rPr>
                <w:t xml:space="preserve">Executive Committee on Economic and Social Affairs </w:t>
              </w:r>
              <w:r w:rsidR="003F4F52" w:rsidRPr="00D26A35">
                <w:rPr>
                  <w:rStyle w:val="Hyperlink"/>
                  <w:rFonts w:eastAsia="Calibri" w:cs="Calibri"/>
                  <w:b/>
                  <w:bCs/>
                  <w:sz w:val="20"/>
                  <w:szCs w:val="20"/>
                  <w:bdr w:val="none" w:sz="0" w:space="0" w:color="auto" w:frame="1"/>
                </w:rPr>
                <w:t>(ECESA)</w:t>
              </w:r>
              <w:r w:rsidR="003F4F52" w:rsidRPr="00D26A35">
                <w:rPr>
                  <w:rStyle w:val="Hyperlink"/>
                  <w:rFonts w:eastAsia="Calibri" w:cs="Calibri"/>
                  <w:sz w:val="20"/>
                  <w:szCs w:val="20"/>
                </w:rPr>
                <w:t xml:space="preserve"> </w:t>
              </w:r>
              <w:r w:rsidR="003F4F52" w:rsidRPr="00D26A35">
                <w:rPr>
                  <w:rStyle w:val="Hyperlink"/>
                  <w:rFonts w:eastAsia="Calibri" w:cs="Calibri"/>
                  <w:b/>
                  <w:bCs/>
                  <w:sz w:val="20"/>
                  <w:szCs w:val="20"/>
                </w:rPr>
                <w:t>Plus</w:t>
              </w:r>
            </w:hyperlink>
            <w:r w:rsidR="003F4F52" w:rsidRPr="00D26A35">
              <w:rPr>
                <w:rFonts w:eastAsia="Calibri" w:cs="Calibri"/>
                <w:b/>
                <w:bCs/>
                <w:sz w:val="20"/>
                <w:szCs w:val="20"/>
                <w:bdr w:val="none" w:sz="0" w:space="0" w:color="auto" w:frame="1"/>
              </w:rPr>
              <w:t xml:space="preserve"> </w:t>
            </w:r>
          </w:p>
        </w:tc>
        <w:tc>
          <w:tcPr>
            <w:tcW w:w="3850" w:type="dxa"/>
          </w:tcPr>
          <w:p w14:paraId="53784931" w14:textId="05B94B2F" w:rsidR="003F4F52" w:rsidRPr="00D26A35" w:rsidRDefault="007655E9" w:rsidP="007222FB">
            <w:pPr>
              <w:rPr>
                <w:rFonts w:eastAsia="Calibri" w:cs="Calibri"/>
                <w:sz w:val="20"/>
                <w:szCs w:val="20"/>
              </w:rPr>
            </w:pPr>
            <w:r w:rsidRPr="00D26A35">
              <w:rPr>
                <w:rFonts w:eastAsia="Times New Roman" w:cstheme="minorHAnsi"/>
                <w:color w:val="000000"/>
                <w:sz w:val="20"/>
                <w:szCs w:val="20"/>
                <w:lang w:eastAsia="en-GB"/>
              </w:rPr>
              <w:t>As a coordination vehicle for the United Nations in Economic and Social Affairs, ECESA commits itself to the following objectives: Ensuring greater coherence within the United Nations; Facilitating more effective participation of developing countries in global processes; Achieving a better balance between the global and regional dimensions of development, in terms of analysis, norm and standard setting, and technical assistance; Strengthening the linkages among the UN normative, analytical, and operational work.</w:t>
            </w:r>
          </w:p>
        </w:tc>
        <w:tc>
          <w:tcPr>
            <w:tcW w:w="3457" w:type="dxa"/>
          </w:tcPr>
          <w:p w14:paraId="489CB810" w14:textId="29A4936A" w:rsidR="003F4F52" w:rsidRPr="00D26A35" w:rsidRDefault="007655E9" w:rsidP="007222FB">
            <w:pPr>
              <w:rPr>
                <w:rFonts w:eastAsia="Calibri" w:cs="Calibri"/>
                <w:b/>
                <w:bCs/>
                <w:sz w:val="20"/>
                <w:szCs w:val="20"/>
              </w:rPr>
            </w:pPr>
            <w:r w:rsidRPr="00D26A35">
              <w:rPr>
                <w:rFonts w:eastAsia="Calibri" w:cs="Calibri"/>
                <w:sz w:val="20"/>
                <w:szCs w:val="20"/>
              </w:rPr>
              <w:t>ITU benefits by High-Level exchange of information towards ensuring greater coherence within the United Nations, including on ICT related issues.</w:t>
            </w:r>
          </w:p>
        </w:tc>
        <w:tc>
          <w:tcPr>
            <w:tcW w:w="1843" w:type="dxa"/>
          </w:tcPr>
          <w:p w14:paraId="3F4E20CB" w14:textId="77777777" w:rsidR="003F4F52" w:rsidRPr="00D26A35" w:rsidRDefault="003F4F52" w:rsidP="007222FB">
            <w:pPr>
              <w:rPr>
                <w:rFonts w:eastAsia="Calibri" w:cs="Calibri"/>
                <w:sz w:val="20"/>
                <w:szCs w:val="20"/>
              </w:rPr>
            </w:pPr>
            <w:r w:rsidRPr="00D26A35">
              <w:rPr>
                <w:rFonts w:eastAsia="Calibri" w:cs="Calibri"/>
                <w:sz w:val="20"/>
                <w:szCs w:val="20"/>
              </w:rPr>
              <w:t>Once per year – usually during HLPF at Principles level</w:t>
            </w:r>
          </w:p>
        </w:tc>
        <w:tc>
          <w:tcPr>
            <w:tcW w:w="1984" w:type="dxa"/>
          </w:tcPr>
          <w:p w14:paraId="334CE390" w14:textId="77777777" w:rsidR="003F4F52" w:rsidRPr="00D26A35" w:rsidRDefault="003F4F52" w:rsidP="007222FB">
            <w:pPr>
              <w:rPr>
                <w:rFonts w:eastAsia="Calibri" w:cs="Calibri"/>
                <w:sz w:val="20"/>
                <w:szCs w:val="20"/>
              </w:rPr>
            </w:pPr>
            <w:r w:rsidRPr="00D26A35">
              <w:rPr>
                <w:rFonts w:eastAsia="Calibri" w:cs="Calibri"/>
                <w:sz w:val="20"/>
                <w:szCs w:val="20"/>
              </w:rPr>
              <w:t>One morning or afternoon</w:t>
            </w:r>
          </w:p>
        </w:tc>
        <w:tc>
          <w:tcPr>
            <w:tcW w:w="1843" w:type="dxa"/>
          </w:tcPr>
          <w:p w14:paraId="27C2E0A8" w14:textId="77777777" w:rsidR="003F4F52" w:rsidRPr="00D26A35" w:rsidRDefault="003F4F52" w:rsidP="007222FB">
            <w:pPr>
              <w:rPr>
                <w:rFonts w:eastAsia="Calibri" w:cs="Calibri"/>
                <w:sz w:val="20"/>
                <w:szCs w:val="20"/>
              </w:rPr>
            </w:pPr>
            <w:r w:rsidRPr="00D26A35">
              <w:rPr>
                <w:rFonts w:eastAsia="Calibri" w:cs="Calibri"/>
                <w:sz w:val="20"/>
                <w:szCs w:val="20"/>
              </w:rPr>
              <w:t>No additional cost</w:t>
            </w:r>
          </w:p>
        </w:tc>
      </w:tr>
      <w:tr w:rsidR="003F4F52" w:rsidRPr="00D26A35" w14:paraId="63A54238" w14:textId="77777777" w:rsidTr="00DF2C2F">
        <w:trPr>
          <w:tblHeader/>
          <w:jc w:val="center"/>
        </w:trPr>
        <w:tc>
          <w:tcPr>
            <w:tcW w:w="1907" w:type="dxa"/>
          </w:tcPr>
          <w:p w14:paraId="53A0720E" w14:textId="77777777" w:rsidR="003F4F52" w:rsidRPr="00D26A35" w:rsidRDefault="00CA2100" w:rsidP="007222FB">
            <w:pPr>
              <w:shd w:val="clear" w:color="auto" w:fill="FFFFFF" w:themeFill="background1"/>
              <w:outlineLvl w:val="2"/>
              <w:rPr>
                <w:rFonts w:eastAsia="Calibri" w:cs="Calibri"/>
                <w:sz w:val="20"/>
                <w:szCs w:val="20"/>
              </w:rPr>
            </w:pPr>
            <w:hyperlink r:id="rId76" w:history="1">
              <w:r w:rsidR="003F4F52" w:rsidRPr="00D26A35">
                <w:rPr>
                  <w:rStyle w:val="Hyperlink"/>
                  <w:rFonts w:eastAsia="Calibri" w:cs="Calibri"/>
                  <w:sz w:val="20"/>
                  <w:szCs w:val="20"/>
                  <w:bdr w:val="none" w:sz="0" w:space="0" w:color="auto" w:frame="1"/>
                </w:rPr>
                <w:t xml:space="preserve">Committee for the Coordination of Statistical Activities </w:t>
              </w:r>
              <w:r w:rsidR="003F4F52" w:rsidRPr="00D26A35">
                <w:rPr>
                  <w:rStyle w:val="Hyperlink"/>
                  <w:rFonts w:eastAsia="Calibri" w:cs="Calibri"/>
                  <w:b/>
                  <w:bCs/>
                  <w:sz w:val="20"/>
                  <w:szCs w:val="20"/>
                  <w:bdr w:val="none" w:sz="0" w:space="0" w:color="auto" w:frame="1"/>
                </w:rPr>
                <w:t>(CCSA)</w:t>
              </w:r>
            </w:hyperlink>
            <w:r w:rsidR="003F4F52" w:rsidRPr="00D26A35">
              <w:rPr>
                <w:rFonts w:eastAsia="Calibri" w:cs="Calibri"/>
                <w:sz w:val="20"/>
                <w:szCs w:val="20"/>
                <w:bdr w:val="none" w:sz="0" w:space="0" w:color="auto" w:frame="1"/>
              </w:rPr>
              <w:t xml:space="preserve"> </w:t>
            </w:r>
          </w:p>
        </w:tc>
        <w:tc>
          <w:tcPr>
            <w:tcW w:w="3850" w:type="dxa"/>
          </w:tcPr>
          <w:p w14:paraId="53547A45" w14:textId="41C68759" w:rsidR="003F4F52" w:rsidRPr="00D26A35" w:rsidRDefault="003F4F52" w:rsidP="002629EA">
            <w:pPr>
              <w:rPr>
                <w:rFonts w:eastAsia="Calibri" w:cs="Calibri"/>
                <w:b/>
                <w:bCs/>
                <w:sz w:val="20"/>
                <w:szCs w:val="20"/>
              </w:rPr>
            </w:pPr>
            <w:r w:rsidRPr="00D26A35">
              <w:rPr>
                <w:rFonts w:eastAsia="Calibri" w:cs="Calibri"/>
                <w:sz w:val="20"/>
                <w:szCs w:val="20"/>
              </w:rPr>
              <w:t>Efficient functioning of the statistical system; Common standards and platforms; Development of methodologies; Inter-institutional support</w:t>
            </w:r>
            <w:r w:rsidR="002629EA" w:rsidRPr="00D26A35">
              <w:rPr>
                <w:rFonts w:eastAsia="Calibri" w:cs="Calibri"/>
                <w:sz w:val="20"/>
                <w:szCs w:val="20"/>
              </w:rPr>
              <w:t xml:space="preserve"> </w:t>
            </w:r>
            <w:r w:rsidRPr="00D26A35">
              <w:rPr>
                <w:rFonts w:eastAsia="Calibri" w:cs="Calibri"/>
                <w:sz w:val="20"/>
                <w:szCs w:val="20"/>
              </w:rPr>
              <w:t>Outreach; Advocacy for statistics</w:t>
            </w:r>
          </w:p>
        </w:tc>
        <w:tc>
          <w:tcPr>
            <w:tcW w:w="3457" w:type="dxa"/>
          </w:tcPr>
          <w:p w14:paraId="154E54DA" w14:textId="0A7CC62A" w:rsidR="00DF2C2F" w:rsidRPr="00D26A35" w:rsidRDefault="00CA2100" w:rsidP="00DF2C2F">
            <w:pPr>
              <w:rPr>
                <w:rFonts w:eastAsia="Calibri" w:cs="Calibri"/>
                <w:sz w:val="20"/>
                <w:szCs w:val="20"/>
              </w:rPr>
            </w:pPr>
            <w:hyperlink r:id="rId77" w:history="1">
              <w:r w:rsidR="00DF2C2F" w:rsidRPr="00D26A35">
                <w:rPr>
                  <w:rStyle w:val="Hyperlink"/>
                  <w:rFonts w:eastAsia="Calibri" w:cs="Calibri"/>
                  <w:sz w:val="20"/>
                  <w:szCs w:val="20"/>
                </w:rPr>
                <w:t>PP Res. 131 (Rev. Dubai, 2018)</w:t>
              </w:r>
            </w:hyperlink>
          </w:p>
          <w:p w14:paraId="33BD5FFE" w14:textId="77777777" w:rsidR="003F4F52" w:rsidRPr="00D26A35" w:rsidRDefault="003F4F52" w:rsidP="007222FB">
            <w:pPr>
              <w:rPr>
                <w:rFonts w:eastAsia="Calibri" w:cs="Calibri"/>
                <w:sz w:val="20"/>
                <w:szCs w:val="20"/>
              </w:rPr>
            </w:pPr>
            <w:r w:rsidRPr="00D26A35">
              <w:rPr>
                <w:rFonts w:eastAsia="Calibri" w:cs="Calibri"/>
                <w:sz w:val="20"/>
                <w:szCs w:val="20"/>
              </w:rPr>
              <w:t>Measuring information and communication technologies to build an integrating and inclusive information society</w:t>
            </w:r>
          </w:p>
        </w:tc>
        <w:tc>
          <w:tcPr>
            <w:tcW w:w="1843" w:type="dxa"/>
          </w:tcPr>
          <w:p w14:paraId="031852BE" w14:textId="77777777" w:rsidR="003F4F52" w:rsidRPr="00D26A35" w:rsidRDefault="003F4F52" w:rsidP="007222FB">
            <w:pPr>
              <w:rPr>
                <w:rFonts w:eastAsia="Calibri" w:cs="Calibri"/>
                <w:sz w:val="20"/>
                <w:szCs w:val="20"/>
              </w:rPr>
            </w:pPr>
            <w:r w:rsidRPr="00D26A35">
              <w:rPr>
                <w:rFonts w:eastAsia="Calibri" w:cs="Calibri"/>
                <w:sz w:val="20"/>
                <w:szCs w:val="20"/>
              </w:rPr>
              <w:t>Twice per year</w:t>
            </w:r>
          </w:p>
          <w:p w14:paraId="572AF0BB" w14:textId="77777777" w:rsidR="003F4F52" w:rsidRPr="00D26A35" w:rsidRDefault="003F4F52" w:rsidP="007222FB">
            <w:pPr>
              <w:rPr>
                <w:rFonts w:eastAsia="Calibri" w:cs="Calibri"/>
                <w:sz w:val="20"/>
                <w:szCs w:val="20"/>
              </w:rPr>
            </w:pPr>
          </w:p>
        </w:tc>
        <w:tc>
          <w:tcPr>
            <w:tcW w:w="1984" w:type="dxa"/>
          </w:tcPr>
          <w:p w14:paraId="25620822" w14:textId="77777777" w:rsidR="003F4F52" w:rsidRPr="00D26A35" w:rsidRDefault="003F4F52" w:rsidP="007222FB">
            <w:pPr>
              <w:rPr>
                <w:rFonts w:eastAsia="Calibri" w:cs="Calibri"/>
                <w:sz w:val="20"/>
                <w:szCs w:val="20"/>
              </w:rPr>
            </w:pPr>
            <w:r w:rsidRPr="00D26A35">
              <w:rPr>
                <w:rFonts w:eastAsia="Calibri" w:cs="Calibri"/>
                <w:sz w:val="20"/>
                <w:szCs w:val="20"/>
              </w:rPr>
              <w:t>One afternoon in March, 2 days in autumn</w:t>
            </w:r>
          </w:p>
        </w:tc>
        <w:tc>
          <w:tcPr>
            <w:tcW w:w="1843" w:type="dxa"/>
          </w:tcPr>
          <w:p w14:paraId="3CDED4CC" w14:textId="77777777" w:rsidR="003F4F52" w:rsidRPr="00D26A35" w:rsidRDefault="003F4F52" w:rsidP="007222FB">
            <w:pPr>
              <w:rPr>
                <w:rFonts w:eastAsia="Calibri" w:cs="Calibri"/>
                <w:color w:val="000000" w:themeColor="text1"/>
                <w:sz w:val="20"/>
                <w:szCs w:val="20"/>
              </w:rPr>
            </w:pPr>
            <w:r w:rsidRPr="00D26A35">
              <w:rPr>
                <w:rFonts w:eastAsia="Calibri" w:cs="Calibri"/>
                <w:color w:val="000000" w:themeColor="text1"/>
                <w:sz w:val="20"/>
                <w:szCs w:val="20"/>
              </w:rPr>
              <w:t>Travel and DSA for one staff</w:t>
            </w:r>
          </w:p>
          <w:p w14:paraId="4B9664C9" w14:textId="77777777" w:rsidR="003F4F52" w:rsidRPr="00D26A35" w:rsidRDefault="003F4F52" w:rsidP="007222FB">
            <w:pPr>
              <w:rPr>
                <w:rFonts w:eastAsia="Calibri" w:cs="Calibri"/>
                <w:sz w:val="20"/>
                <w:szCs w:val="20"/>
              </w:rPr>
            </w:pPr>
          </w:p>
        </w:tc>
      </w:tr>
      <w:tr w:rsidR="003F4F52" w:rsidRPr="00D26A35" w14:paraId="4ED5967A" w14:textId="77777777" w:rsidTr="00DF2C2F">
        <w:trPr>
          <w:tblHeader/>
          <w:jc w:val="center"/>
        </w:trPr>
        <w:tc>
          <w:tcPr>
            <w:tcW w:w="1907" w:type="dxa"/>
          </w:tcPr>
          <w:p w14:paraId="55EA37F5" w14:textId="77777777" w:rsidR="003F4F52" w:rsidRPr="00D26A35" w:rsidRDefault="00CA2100" w:rsidP="007222FB">
            <w:pPr>
              <w:rPr>
                <w:rFonts w:eastAsia="Calibri" w:cs="Calibri"/>
                <w:sz w:val="20"/>
                <w:szCs w:val="20"/>
              </w:rPr>
            </w:pPr>
            <w:hyperlink r:id="rId78">
              <w:r w:rsidR="003F4F52" w:rsidRPr="00D26A35">
                <w:rPr>
                  <w:rStyle w:val="Hyperlink"/>
                  <w:rFonts w:eastAsia="Calibri" w:cs="Calibri"/>
                  <w:sz w:val="20"/>
                  <w:szCs w:val="20"/>
                </w:rPr>
                <w:t>UN Statistical Commission</w:t>
              </w:r>
            </w:hyperlink>
          </w:p>
        </w:tc>
        <w:tc>
          <w:tcPr>
            <w:tcW w:w="3850" w:type="dxa"/>
          </w:tcPr>
          <w:p w14:paraId="15719523" w14:textId="77777777" w:rsidR="003F4F52" w:rsidRPr="00D26A35" w:rsidRDefault="003F4F52" w:rsidP="007222FB">
            <w:r w:rsidRPr="00D26A35">
              <w:rPr>
                <w:rFonts w:eastAsia="Calibri" w:cs="Calibri"/>
                <w:sz w:val="20"/>
                <w:szCs w:val="20"/>
              </w:rPr>
              <w:t>Highest decision-making body for international statistical activities especially in setting of statistical standards, development of concepts and methods and their implementation at the national and international level.</w:t>
            </w:r>
          </w:p>
        </w:tc>
        <w:tc>
          <w:tcPr>
            <w:tcW w:w="3457" w:type="dxa"/>
          </w:tcPr>
          <w:p w14:paraId="54875563" w14:textId="77777777" w:rsidR="00DF2C2F" w:rsidRPr="00D26A35" w:rsidRDefault="00CA2100" w:rsidP="00DF2C2F">
            <w:pPr>
              <w:rPr>
                <w:rFonts w:eastAsia="Calibri" w:cs="Calibri"/>
                <w:sz w:val="20"/>
                <w:szCs w:val="20"/>
              </w:rPr>
            </w:pPr>
            <w:hyperlink r:id="rId79" w:history="1">
              <w:r w:rsidR="00DF2C2F" w:rsidRPr="00D26A35">
                <w:rPr>
                  <w:rStyle w:val="Hyperlink"/>
                  <w:rFonts w:eastAsia="Calibri" w:cs="Calibri"/>
                  <w:sz w:val="20"/>
                  <w:szCs w:val="20"/>
                </w:rPr>
                <w:t>PP Res. 131 (Rev. Dubai, 2018)</w:t>
              </w:r>
            </w:hyperlink>
          </w:p>
          <w:p w14:paraId="72A48FF6" w14:textId="0F3CE976" w:rsidR="003F4F52" w:rsidRPr="00D26A35" w:rsidRDefault="003F4F52" w:rsidP="00B33C77">
            <w:pPr>
              <w:rPr>
                <w:rFonts w:eastAsia="Calibri" w:cs="Calibri"/>
                <w:sz w:val="20"/>
                <w:szCs w:val="20"/>
              </w:rPr>
            </w:pPr>
            <w:r w:rsidRPr="00D26A35">
              <w:rPr>
                <w:rFonts w:eastAsia="Calibri" w:cs="Calibri"/>
                <w:sz w:val="20"/>
                <w:szCs w:val="20"/>
              </w:rPr>
              <w:t>Measuring information and communication technologies to build an integrating and inclusive information society</w:t>
            </w:r>
          </w:p>
        </w:tc>
        <w:tc>
          <w:tcPr>
            <w:tcW w:w="1843" w:type="dxa"/>
          </w:tcPr>
          <w:p w14:paraId="2E33B3CC" w14:textId="77777777" w:rsidR="003F4F52" w:rsidRPr="00D26A35" w:rsidRDefault="003F4F52" w:rsidP="007222FB">
            <w:pPr>
              <w:rPr>
                <w:rFonts w:eastAsia="Calibri" w:cs="Calibri"/>
                <w:sz w:val="20"/>
                <w:szCs w:val="20"/>
              </w:rPr>
            </w:pPr>
            <w:r w:rsidRPr="00D26A35">
              <w:rPr>
                <w:rFonts w:eastAsia="Calibri" w:cs="Calibri"/>
                <w:sz w:val="20"/>
                <w:szCs w:val="20"/>
              </w:rPr>
              <w:t>Once per year</w:t>
            </w:r>
          </w:p>
        </w:tc>
        <w:tc>
          <w:tcPr>
            <w:tcW w:w="1984" w:type="dxa"/>
          </w:tcPr>
          <w:p w14:paraId="10857473" w14:textId="77777777" w:rsidR="003F4F52" w:rsidRPr="00D26A35" w:rsidRDefault="003F4F52" w:rsidP="007222FB">
            <w:pPr>
              <w:rPr>
                <w:rFonts w:eastAsia="Calibri" w:cs="Calibri"/>
                <w:sz w:val="20"/>
                <w:szCs w:val="20"/>
              </w:rPr>
            </w:pPr>
            <w:r w:rsidRPr="00D26A35">
              <w:rPr>
                <w:rFonts w:eastAsia="Calibri" w:cs="Calibri"/>
                <w:sz w:val="20"/>
                <w:szCs w:val="20"/>
              </w:rPr>
              <w:t>Five days</w:t>
            </w:r>
          </w:p>
        </w:tc>
        <w:tc>
          <w:tcPr>
            <w:tcW w:w="1843" w:type="dxa"/>
          </w:tcPr>
          <w:p w14:paraId="6AD1235C" w14:textId="77777777" w:rsidR="003F4F52" w:rsidRPr="00D26A35" w:rsidRDefault="003F4F52" w:rsidP="007222FB">
            <w:pPr>
              <w:rPr>
                <w:rFonts w:eastAsia="Calibri" w:cs="Calibri"/>
                <w:color w:val="000000" w:themeColor="text1"/>
                <w:sz w:val="20"/>
                <w:szCs w:val="20"/>
              </w:rPr>
            </w:pPr>
            <w:r w:rsidRPr="00D26A35">
              <w:rPr>
                <w:rFonts w:eastAsia="Calibri" w:cs="Calibri"/>
                <w:color w:val="000000" w:themeColor="text1"/>
                <w:sz w:val="20"/>
                <w:szCs w:val="20"/>
              </w:rPr>
              <w:t>Travel and DSA for one staff</w:t>
            </w:r>
          </w:p>
          <w:p w14:paraId="74467A7A" w14:textId="77777777" w:rsidR="003F4F52" w:rsidRPr="00D26A35" w:rsidRDefault="003F4F52" w:rsidP="007222FB">
            <w:pPr>
              <w:rPr>
                <w:rFonts w:eastAsia="Calibri" w:cs="Calibri"/>
                <w:color w:val="000000" w:themeColor="text1"/>
                <w:sz w:val="20"/>
                <w:szCs w:val="20"/>
              </w:rPr>
            </w:pPr>
          </w:p>
        </w:tc>
      </w:tr>
      <w:tr w:rsidR="003F4F52" w:rsidRPr="00D26A35" w14:paraId="56CF3689" w14:textId="77777777" w:rsidTr="00DF2C2F">
        <w:trPr>
          <w:trHeight w:val="504"/>
          <w:tblHeader/>
          <w:jc w:val="center"/>
        </w:trPr>
        <w:tc>
          <w:tcPr>
            <w:tcW w:w="1907" w:type="dxa"/>
          </w:tcPr>
          <w:p w14:paraId="72FA9F68" w14:textId="77777777" w:rsidR="003F4F52" w:rsidRPr="00D26A35" w:rsidRDefault="00CA2100" w:rsidP="007222FB">
            <w:pPr>
              <w:pStyle w:val="NoSpacing"/>
              <w:tabs>
                <w:tab w:val="clear" w:pos="567"/>
              </w:tabs>
              <w:rPr>
                <w:rFonts w:eastAsia="Calibri" w:cs="Calibri"/>
                <w:sz w:val="20"/>
              </w:rPr>
            </w:pPr>
            <w:hyperlink r:id="rId80">
              <w:r w:rsidR="003F4F52" w:rsidRPr="00D26A35">
                <w:rPr>
                  <w:rStyle w:val="Hyperlink"/>
                  <w:rFonts w:eastAsia="Calibri" w:cs="Calibri"/>
                  <w:sz w:val="20"/>
                  <w:lang w:eastAsia="zh-CN"/>
                </w:rPr>
                <w:t xml:space="preserve">Inter-Agency and Expert Group on SDG Indicators </w:t>
              </w:r>
              <w:r w:rsidR="003F4F52" w:rsidRPr="00D26A35">
                <w:rPr>
                  <w:rStyle w:val="Hyperlink"/>
                  <w:rFonts w:eastAsia="Calibri" w:cs="Calibri"/>
                  <w:b/>
                  <w:bCs/>
                  <w:sz w:val="20"/>
                  <w:lang w:eastAsia="zh-CN"/>
                </w:rPr>
                <w:t>(IAEG-SDGs)</w:t>
              </w:r>
            </w:hyperlink>
            <w:r w:rsidR="003F4F52" w:rsidRPr="00D26A35">
              <w:rPr>
                <w:rFonts w:eastAsia="Calibri" w:cs="Calibri"/>
                <w:sz w:val="20"/>
                <w:lang w:eastAsia="zh-CN"/>
              </w:rPr>
              <w:t xml:space="preserve"> </w:t>
            </w:r>
          </w:p>
        </w:tc>
        <w:tc>
          <w:tcPr>
            <w:tcW w:w="3850" w:type="dxa"/>
          </w:tcPr>
          <w:p w14:paraId="13C257DD" w14:textId="77777777" w:rsidR="003F4F52" w:rsidRPr="00D26A35" w:rsidRDefault="003F4F52" w:rsidP="007222FB">
            <w:pPr>
              <w:rPr>
                <w:rFonts w:eastAsia="Calibri" w:cs="Calibri"/>
                <w:sz w:val="20"/>
                <w:szCs w:val="20"/>
              </w:rPr>
            </w:pPr>
            <w:r w:rsidRPr="00D26A35">
              <w:rPr>
                <w:rFonts w:eastAsia="Calibri" w:cs="Calibri"/>
                <w:sz w:val="20"/>
                <w:szCs w:val="20"/>
              </w:rPr>
              <w:t>Develop and implement the global indicator framework for the Goals and targets of the 2030 Agenda.</w:t>
            </w:r>
          </w:p>
        </w:tc>
        <w:tc>
          <w:tcPr>
            <w:tcW w:w="3457" w:type="dxa"/>
          </w:tcPr>
          <w:p w14:paraId="66E387CF" w14:textId="77777777" w:rsidR="00DF2C2F" w:rsidRPr="00D26A35" w:rsidRDefault="00CA2100" w:rsidP="00DF2C2F">
            <w:pPr>
              <w:rPr>
                <w:rFonts w:eastAsia="Calibri" w:cs="Calibri"/>
                <w:sz w:val="20"/>
                <w:szCs w:val="20"/>
              </w:rPr>
            </w:pPr>
            <w:hyperlink r:id="rId81" w:history="1">
              <w:r w:rsidR="00DF2C2F" w:rsidRPr="00D26A35">
                <w:rPr>
                  <w:rStyle w:val="Hyperlink"/>
                  <w:rFonts w:eastAsia="Calibri" w:cs="Calibri"/>
                  <w:sz w:val="20"/>
                  <w:szCs w:val="20"/>
                </w:rPr>
                <w:t>PP Res. 131 (Rev. Dubai, 2018)</w:t>
              </w:r>
            </w:hyperlink>
          </w:p>
          <w:p w14:paraId="2F024260" w14:textId="77777777" w:rsidR="003F4F52" w:rsidRPr="00D26A35" w:rsidRDefault="003F4F52" w:rsidP="007222FB">
            <w:pPr>
              <w:rPr>
                <w:rFonts w:eastAsia="Calibri" w:cs="Calibri"/>
                <w:sz w:val="20"/>
                <w:szCs w:val="20"/>
              </w:rPr>
            </w:pPr>
            <w:r w:rsidRPr="00D26A35">
              <w:rPr>
                <w:rFonts w:eastAsia="Calibri" w:cs="Calibri"/>
                <w:sz w:val="20"/>
                <w:szCs w:val="20"/>
              </w:rPr>
              <w:t>Measuring information and communication technologies to build an integrating and inclusive information society</w:t>
            </w:r>
          </w:p>
        </w:tc>
        <w:tc>
          <w:tcPr>
            <w:tcW w:w="1843" w:type="dxa"/>
          </w:tcPr>
          <w:p w14:paraId="04B9257C" w14:textId="77777777" w:rsidR="003F4F52" w:rsidRPr="00D26A35" w:rsidRDefault="003F4F52" w:rsidP="007222FB">
            <w:pPr>
              <w:rPr>
                <w:rFonts w:eastAsia="Calibri" w:cs="Calibri"/>
                <w:sz w:val="20"/>
                <w:szCs w:val="20"/>
              </w:rPr>
            </w:pPr>
            <w:r w:rsidRPr="00D26A35">
              <w:rPr>
                <w:rFonts w:eastAsia="Calibri" w:cs="Calibri"/>
                <w:sz w:val="20"/>
                <w:szCs w:val="20"/>
              </w:rPr>
              <w:t>Twice per year</w:t>
            </w:r>
          </w:p>
        </w:tc>
        <w:tc>
          <w:tcPr>
            <w:tcW w:w="1984" w:type="dxa"/>
          </w:tcPr>
          <w:p w14:paraId="4DDFB9E6" w14:textId="77777777" w:rsidR="003F4F52" w:rsidRPr="00D26A35" w:rsidRDefault="003F4F52" w:rsidP="007222FB">
            <w:pPr>
              <w:rPr>
                <w:rFonts w:eastAsia="Calibri" w:cs="Calibri"/>
                <w:color w:val="000000" w:themeColor="text1"/>
                <w:sz w:val="20"/>
                <w:szCs w:val="20"/>
              </w:rPr>
            </w:pPr>
            <w:r w:rsidRPr="00D26A35">
              <w:rPr>
                <w:rFonts w:eastAsia="Calibri" w:cs="Calibri"/>
                <w:color w:val="000000" w:themeColor="text1"/>
                <w:sz w:val="20"/>
                <w:szCs w:val="20"/>
              </w:rPr>
              <w:t xml:space="preserve">Three days per meeting </w:t>
            </w:r>
          </w:p>
        </w:tc>
        <w:tc>
          <w:tcPr>
            <w:tcW w:w="1843" w:type="dxa"/>
          </w:tcPr>
          <w:p w14:paraId="1AEB7AB5" w14:textId="77777777" w:rsidR="003F4F52" w:rsidRPr="00D26A35" w:rsidRDefault="003F4F52" w:rsidP="007222FB">
            <w:pPr>
              <w:rPr>
                <w:rFonts w:eastAsia="Calibri" w:cs="Calibri"/>
                <w:color w:val="000000" w:themeColor="text1"/>
                <w:sz w:val="20"/>
                <w:szCs w:val="20"/>
              </w:rPr>
            </w:pPr>
            <w:r w:rsidRPr="00D26A35">
              <w:rPr>
                <w:rFonts w:eastAsia="Calibri" w:cs="Calibri"/>
                <w:color w:val="000000" w:themeColor="text1"/>
                <w:sz w:val="20"/>
                <w:szCs w:val="20"/>
              </w:rPr>
              <w:t>Travel and DSA for one staff</w:t>
            </w:r>
          </w:p>
        </w:tc>
      </w:tr>
      <w:tr w:rsidR="003F4F52" w:rsidRPr="00D26A35" w14:paraId="601151D4" w14:textId="77777777" w:rsidTr="00DF2C2F">
        <w:trPr>
          <w:tblHeader/>
          <w:jc w:val="center"/>
        </w:trPr>
        <w:tc>
          <w:tcPr>
            <w:tcW w:w="1907" w:type="dxa"/>
          </w:tcPr>
          <w:p w14:paraId="666C1C3B" w14:textId="77777777" w:rsidR="003F4F52" w:rsidRPr="00D26A35" w:rsidRDefault="00CA2100" w:rsidP="007222FB">
            <w:pPr>
              <w:pStyle w:val="NoSpacing"/>
              <w:tabs>
                <w:tab w:val="clear" w:pos="567"/>
              </w:tabs>
              <w:rPr>
                <w:rFonts w:eastAsia="Calibri" w:cs="Calibri"/>
                <w:sz w:val="20"/>
                <w:lang w:eastAsia="zh-CN"/>
              </w:rPr>
            </w:pPr>
            <w:hyperlink r:id="rId82">
              <w:r w:rsidR="003F4F52" w:rsidRPr="00D26A35">
                <w:rPr>
                  <w:rStyle w:val="Hyperlink"/>
                  <w:rFonts w:eastAsia="Calibri" w:cs="Calibri"/>
                  <w:sz w:val="20"/>
                  <w:lang w:eastAsia="zh-CN"/>
                </w:rPr>
                <w:t>UN Global Working Group (</w:t>
              </w:r>
              <w:r w:rsidR="003F4F52" w:rsidRPr="00D26A35">
                <w:rPr>
                  <w:rStyle w:val="Hyperlink"/>
                  <w:rFonts w:eastAsia="Calibri" w:cs="Calibri"/>
                  <w:b/>
                  <w:bCs/>
                  <w:sz w:val="20"/>
                  <w:lang w:eastAsia="zh-CN"/>
                </w:rPr>
                <w:t>GWG</w:t>
              </w:r>
              <w:r w:rsidR="003F4F52" w:rsidRPr="00D26A35">
                <w:rPr>
                  <w:rStyle w:val="Hyperlink"/>
                  <w:rFonts w:eastAsia="Calibri" w:cs="Calibri"/>
                  <w:sz w:val="20"/>
                  <w:lang w:eastAsia="zh-CN"/>
                </w:rPr>
                <w:t>) on Big Data for Official Statistics</w:t>
              </w:r>
            </w:hyperlink>
            <w:r w:rsidR="003F4F52" w:rsidRPr="00D26A35">
              <w:rPr>
                <w:rFonts w:eastAsia="Calibri" w:cs="Calibri"/>
                <w:sz w:val="20"/>
              </w:rPr>
              <w:t xml:space="preserve"> </w:t>
            </w:r>
          </w:p>
        </w:tc>
        <w:tc>
          <w:tcPr>
            <w:tcW w:w="3850" w:type="dxa"/>
          </w:tcPr>
          <w:p w14:paraId="4ACC6C97" w14:textId="4E6646CE" w:rsidR="003F4F52" w:rsidRPr="00D26A35" w:rsidRDefault="003F4F52" w:rsidP="002629EA">
            <w:pPr>
              <w:rPr>
                <w:rFonts w:eastAsia="Calibri" w:cs="Calibri"/>
                <w:sz w:val="20"/>
                <w:szCs w:val="20"/>
              </w:rPr>
            </w:pPr>
            <w:r w:rsidRPr="00D26A35">
              <w:rPr>
                <w:rFonts w:eastAsia="Calibri" w:cs="Calibri"/>
                <w:sz w:val="20"/>
                <w:szCs w:val="20"/>
              </w:rPr>
              <w:t>Provide a strategic vision, direction and coordination for a global</w:t>
            </w:r>
            <w:r w:rsidR="002629EA" w:rsidRPr="00D26A35">
              <w:rPr>
                <w:rFonts w:eastAsia="Calibri" w:cs="Calibri"/>
                <w:sz w:val="20"/>
                <w:szCs w:val="20"/>
              </w:rPr>
              <w:t xml:space="preserve"> </w:t>
            </w:r>
            <w:r w:rsidRPr="00D26A35">
              <w:rPr>
                <w:rFonts w:eastAsia="Calibri" w:cs="Calibri"/>
                <w:sz w:val="20"/>
                <w:szCs w:val="20"/>
              </w:rPr>
              <w:t>programme on big data for official statistics; promote practical use of big data sources; promote capacity-building, training and sharing of experience; foster communication and advocacy of the use of big data for policy; build public trust in the use of big data for official statistics.</w:t>
            </w:r>
          </w:p>
        </w:tc>
        <w:tc>
          <w:tcPr>
            <w:tcW w:w="3457" w:type="dxa"/>
          </w:tcPr>
          <w:p w14:paraId="1F6EC71B" w14:textId="77777777" w:rsidR="003F4F52" w:rsidRPr="00D26A35" w:rsidRDefault="003F4F52" w:rsidP="007222FB">
            <w:pPr>
              <w:rPr>
                <w:rFonts w:eastAsia="Calibri" w:cs="Calibri"/>
                <w:sz w:val="20"/>
                <w:szCs w:val="20"/>
              </w:rPr>
            </w:pPr>
            <w:r w:rsidRPr="00D26A35">
              <w:rPr>
                <w:rFonts w:eastAsia="Calibri" w:cs="Calibri"/>
                <w:sz w:val="20"/>
                <w:szCs w:val="20"/>
              </w:rPr>
              <w:t>Mobile phone data; A.I. summit</w:t>
            </w:r>
          </w:p>
        </w:tc>
        <w:tc>
          <w:tcPr>
            <w:tcW w:w="1843" w:type="dxa"/>
          </w:tcPr>
          <w:p w14:paraId="77D92003" w14:textId="77777777" w:rsidR="003F4F52" w:rsidRPr="00D26A35" w:rsidRDefault="003F4F52" w:rsidP="007222FB">
            <w:pPr>
              <w:rPr>
                <w:rFonts w:eastAsia="Calibri" w:cs="Calibri"/>
                <w:sz w:val="20"/>
                <w:szCs w:val="20"/>
              </w:rPr>
            </w:pPr>
            <w:r w:rsidRPr="00D26A35">
              <w:rPr>
                <w:rFonts w:eastAsia="Calibri" w:cs="Calibri"/>
                <w:sz w:val="20"/>
                <w:szCs w:val="20"/>
              </w:rPr>
              <w:t>Once per year</w:t>
            </w:r>
          </w:p>
        </w:tc>
        <w:tc>
          <w:tcPr>
            <w:tcW w:w="1984" w:type="dxa"/>
          </w:tcPr>
          <w:p w14:paraId="5FADFEAF" w14:textId="77777777" w:rsidR="003F4F52" w:rsidRPr="00D26A35" w:rsidRDefault="003F4F52" w:rsidP="007222FB">
            <w:pPr>
              <w:rPr>
                <w:rFonts w:eastAsia="Calibri" w:cs="Calibri"/>
                <w:sz w:val="20"/>
                <w:szCs w:val="20"/>
              </w:rPr>
            </w:pPr>
            <w:r w:rsidRPr="00D26A35">
              <w:rPr>
                <w:rFonts w:eastAsia="Calibri" w:cs="Calibri"/>
                <w:sz w:val="20"/>
                <w:szCs w:val="20"/>
              </w:rPr>
              <w:t>Four days per meeting</w:t>
            </w:r>
          </w:p>
        </w:tc>
        <w:tc>
          <w:tcPr>
            <w:tcW w:w="1843" w:type="dxa"/>
          </w:tcPr>
          <w:p w14:paraId="3110797C" w14:textId="77777777" w:rsidR="003F4F52" w:rsidRPr="00D26A35" w:rsidRDefault="003F4F52" w:rsidP="007222FB">
            <w:pPr>
              <w:rPr>
                <w:rFonts w:eastAsia="Calibri" w:cs="Calibri"/>
                <w:color w:val="000000" w:themeColor="text1"/>
                <w:sz w:val="20"/>
                <w:szCs w:val="20"/>
              </w:rPr>
            </w:pPr>
            <w:r w:rsidRPr="00D26A35">
              <w:rPr>
                <w:rFonts w:eastAsia="Calibri" w:cs="Calibri"/>
                <w:color w:val="000000" w:themeColor="text1"/>
                <w:sz w:val="20"/>
                <w:szCs w:val="20"/>
              </w:rPr>
              <w:t>Travel and DSA for one staff</w:t>
            </w:r>
          </w:p>
        </w:tc>
      </w:tr>
      <w:tr w:rsidR="003F4F52" w:rsidRPr="00D26A35" w14:paraId="0C82DEB2" w14:textId="77777777" w:rsidTr="00DF2C2F">
        <w:trPr>
          <w:tblHeader/>
          <w:jc w:val="center"/>
        </w:trPr>
        <w:tc>
          <w:tcPr>
            <w:tcW w:w="1907" w:type="dxa"/>
          </w:tcPr>
          <w:p w14:paraId="137D0C4F" w14:textId="77777777" w:rsidR="003F4F52" w:rsidRPr="00D26A35" w:rsidRDefault="00CA2100" w:rsidP="007222FB">
            <w:pPr>
              <w:shd w:val="clear" w:color="auto" w:fill="FFFFFF" w:themeFill="background1"/>
              <w:outlineLvl w:val="2"/>
              <w:rPr>
                <w:rFonts w:eastAsia="Calibri" w:cs="Calibri"/>
                <w:sz w:val="20"/>
                <w:szCs w:val="20"/>
              </w:rPr>
            </w:pPr>
            <w:hyperlink r:id="rId83">
              <w:r w:rsidR="003F4F52" w:rsidRPr="00D26A35">
                <w:rPr>
                  <w:rStyle w:val="Hyperlink"/>
                  <w:rFonts w:eastAsia="Calibri" w:cs="Calibri"/>
                  <w:sz w:val="20"/>
                  <w:szCs w:val="20"/>
                </w:rPr>
                <w:t>Inter-Agency and Expert Group on Gender Statistics</w:t>
              </w:r>
            </w:hyperlink>
          </w:p>
        </w:tc>
        <w:tc>
          <w:tcPr>
            <w:tcW w:w="3850" w:type="dxa"/>
          </w:tcPr>
          <w:p w14:paraId="71D525B4" w14:textId="4C490A8E" w:rsidR="003F4F52" w:rsidRPr="00D26A35" w:rsidRDefault="003F4F52" w:rsidP="002629EA">
            <w:pPr>
              <w:rPr>
                <w:rFonts w:eastAsia="Calibri" w:cs="Calibri"/>
                <w:b/>
                <w:bCs/>
                <w:sz w:val="20"/>
                <w:szCs w:val="20"/>
              </w:rPr>
            </w:pPr>
            <w:r w:rsidRPr="00D26A35">
              <w:rPr>
                <w:rFonts w:eastAsia="Calibri" w:cs="Calibri"/>
                <w:sz w:val="20"/>
                <w:szCs w:val="20"/>
              </w:rPr>
              <w:t>Serve as the coordination mechanism for the Global Programme on Gender</w:t>
            </w:r>
            <w:r w:rsidR="002629EA" w:rsidRPr="00D26A35">
              <w:rPr>
                <w:rFonts w:eastAsia="Calibri" w:cs="Calibri"/>
                <w:sz w:val="20"/>
                <w:szCs w:val="20"/>
              </w:rPr>
              <w:t xml:space="preserve"> </w:t>
            </w:r>
            <w:r w:rsidRPr="00D26A35">
              <w:rPr>
                <w:rFonts w:eastAsia="Calibri" w:cs="Calibri"/>
                <w:sz w:val="20"/>
                <w:szCs w:val="20"/>
              </w:rPr>
              <w:t>Statistics; provide guidance for the development of manuals and methodological guidelines</w:t>
            </w:r>
            <w:r w:rsidR="002629EA" w:rsidRPr="00D26A35">
              <w:rPr>
                <w:rFonts w:eastAsia="Calibri" w:cs="Calibri"/>
                <w:sz w:val="20"/>
                <w:szCs w:val="20"/>
              </w:rPr>
              <w:t xml:space="preserve"> </w:t>
            </w:r>
            <w:r w:rsidRPr="00D26A35">
              <w:rPr>
                <w:rFonts w:eastAsia="Calibri" w:cs="Calibri"/>
                <w:sz w:val="20"/>
                <w:szCs w:val="20"/>
              </w:rPr>
              <w:t>for the production and use of gender statistics; and review gender statistics with the aim of establishing a minimum set of gender</w:t>
            </w:r>
            <w:r w:rsidR="002629EA" w:rsidRPr="00D26A35">
              <w:rPr>
                <w:rFonts w:eastAsia="Calibri" w:cs="Calibri"/>
                <w:sz w:val="20"/>
                <w:szCs w:val="20"/>
              </w:rPr>
              <w:t xml:space="preserve"> </w:t>
            </w:r>
            <w:r w:rsidRPr="00D26A35">
              <w:rPr>
                <w:rFonts w:eastAsia="Calibri" w:cs="Calibri"/>
                <w:sz w:val="20"/>
                <w:szCs w:val="20"/>
              </w:rPr>
              <w:t xml:space="preserve">indicators. </w:t>
            </w:r>
          </w:p>
        </w:tc>
        <w:tc>
          <w:tcPr>
            <w:tcW w:w="3457" w:type="dxa"/>
          </w:tcPr>
          <w:p w14:paraId="41DE1007" w14:textId="77777777" w:rsidR="00DF2C2F" w:rsidRPr="00D26A35" w:rsidRDefault="00CA2100" w:rsidP="00DF2C2F">
            <w:pPr>
              <w:rPr>
                <w:rFonts w:eastAsia="Calibri" w:cs="Calibri"/>
                <w:sz w:val="20"/>
                <w:szCs w:val="20"/>
              </w:rPr>
            </w:pPr>
            <w:hyperlink r:id="rId84" w:history="1">
              <w:r w:rsidR="00DF2C2F" w:rsidRPr="00D26A35">
                <w:rPr>
                  <w:rStyle w:val="Hyperlink"/>
                  <w:rFonts w:eastAsia="Calibri" w:cs="Calibri"/>
                  <w:sz w:val="20"/>
                  <w:szCs w:val="20"/>
                </w:rPr>
                <w:t>PP Res. 131 (Rev. Dubai, 2018)</w:t>
              </w:r>
            </w:hyperlink>
          </w:p>
          <w:p w14:paraId="3BEEA18F" w14:textId="77777777" w:rsidR="003F4F52" w:rsidRPr="00D26A35" w:rsidRDefault="003F4F52" w:rsidP="007222FB">
            <w:pPr>
              <w:rPr>
                <w:rFonts w:eastAsia="Calibri" w:cs="Calibri"/>
                <w:sz w:val="20"/>
                <w:szCs w:val="20"/>
              </w:rPr>
            </w:pPr>
            <w:r w:rsidRPr="00D26A35">
              <w:rPr>
                <w:rFonts w:eastAsia="Calibri" w:cs="Calibri"/>
                <w:sz w:val="20"/>
                <w:szCs w:val="20"/>
              </w:rPr>
              <w:t>Measuring information and communication technologies to build an integrating and inclusive information society</w:t>
            </w:r>
          </w:p>
          <w:p w14:paraId="7F19B1BC" w14:textId="3689DD12" w:rsidR="00DF2C2F" w:rsidRPr="00D26A35" w:rsidRDefault="00CA2100" w:rsidP="00DF2C2F">
            <w:pPr>
              <w:rPr>
                <w:rFonts w:eastAsia="Calibri" w:cs="Calibri"/>
                <w:sz w:val="20"/>
                <w:szCs w:val="20"/>
              </w:rPr>
            </w:pPr>
            <w:hyperlink r:id="rId85" w:history="1">
              <w:r w:rsidR="00DF2C2F" w:rsidRPr="00D26A35">
                <w:rPr>
                  <w:rStyle w:val="Hyperlink"/>
                  <w:rFonts w:eastAsia="Calibri" w:cs="Calibri"/>
                  <w:sz w:val="20"/>
                  <w:szCs w:val="20"/>
                </w:rPr>
                <w:t>PP Res. 70 (Rev. Dubai, 2018)</w:t>
              </w:r>
            </w:hyperlink>
          </w:p>
          <w:p w14:paraId="0F6A1EB3" w14:textId="60416551" w:rsidR="003F4F52" w:rsidRPr="00D26A35" w:rsidRDefault="003F4F52" w:rsidP="002629EA">
            <w:pPr>
              <w:rPr>
                <w:rFonts w:eastAsia="Calibri" w:cs="Calibri"/>
                <w:sz w:val="20"/>
                <w:szCs w:val="20"/>
              </w:rPr>
            </w:pPr>
            <w:r w:rsidRPr="00D26A35">
              <w:rPr>
                <w:rFonts w:eastAsia="Calibri" w:cs="Calibri"/>
                <w:sz w:val="20"/>
                <w:szCs w:val="20"/>
              </w:rPr>
              <w:t>Mainstreaming a gender perspective in ITU and promotion of gender equality and the empowerment of women through</w:t>
            </w:r>
            <w:r w:rsidR="002629EA" w:rsidRPr="00D26A35">
              <w:rPr>
                <w:rFonts w:eastAsia="Calibri" w:cs="Calibri"/>
                <w:sz w:val="20"/>
                <w:szCs w:val="20"/>
              </w:rPr>
              <w:t xml:space="preserve"> </w:t>
            </w:r>
            <w:r w:rsidRPr="00D26A35">
              <w:rPr>
                <w:rFonts w:eastAsia="Calibri" w:cs="Calibri"/>
                <w:sz w:val="20"/>
                <w:szCs w:val="20"/>
              </w:rPr>
              <w:t>telecommunications/</w:t>
            </w:r>
            <w:r w:rsidR="002629EA" w:rsidRPr="00D26A35">
              <w:rPr>
                <w:rFonts w:eastAsia="Calibri" w:cs="Calibri"/>
                <w:sz w:val="20"/>
                <w:szCs w:val="20"/>
              </w:rPr>
              <w:t xml:space="preserve"> </w:t>
            </w:r>
            <w:r w:rsidRPr="00D26A35">
              <w:rPr>
                <w:rFonts w:eastAsia="Calibri" w:cs="Calibri"/>
                <w:sz w:val="20"/>
                <w:szCs w:val="20"/>
              </w:rPr>
              <w:t>information and communication technologies</w:t>
            </w:r>
          </w:p>
        </w:tc>
        <w:tc>
          <w:tcPr>
            <w:tcW w:w="1843" w:type="dxa"/>
          </w:tcPr>
          <w:p w14:paraId="752882FB" w14:textId="77777777" w:rsidR="003F4F52" w:rsidRPr="00D26A35" w:rsidRDefault="003F4F52" w:rsidP="007222FB">
            <w:pPr>
              <w:rPr>
                <w:rFonts w:eastAsia="Calibri" w:cs="Calibri"/>
                <w:sz w:val="20"/>
                <w:szCs w:val="20"/>
              </w:rPr>
            </w:pPr>
            <w:r w:rsidRPr="00D26A35">
              <w:rPr>
                <w:rFonts w:eastAsia="Calibri" w:cs="Calibri"/>
                <w:sz w:val="20"/>
                <w:szCs w:val="20"/>
              </w:rPr>
              <w:t>Once per year</w:t>
            </w:r>
          </w:p>
        </w:tc>
        <w:tc>
          <w:tcPr>
            <w:tcW w:w="1984" w:type="dxa"/>
          </w:tcPr>
          <w:p w14:paraId="2E35BBBD" w14:textId="77777777" w:rsidR="003F4F52" w:rsidRPr="00D26A35" w:rsidRDefault="003F4F52" w:rsidP="007222FB">
            <w:pPr>
              <w:rPr>
                <w:rFonts w:eastAsia="Calibri" w:cs="Calibri"/>
                <w:sz w:val="20"/>
                <w:szCs w:val="20"/>
              </w:rPr>
            </w:pPr>
            <w:r w:rsidRPr="00D26A35">
              <w:rPr>
                <w:rFonts w:eastAsia="Calibri" w:cs="Calibri"/>
                <w:sz w:val="20"/>
                <w:szCs w:val="20"/>
              </w:rPr>
              <w:t>2 days</w:t>
            </w:r>
          </w:p>
        </w:tc>
        <w:tc>
          <w:tcPr>
            <w:tcW w:w="1843" w:type="dxa"/>
          </w:tcPr>
          <w:p w14:paraId="5E701282" w14:textId="77777777" w:rsidR="003F4F52" w:rsidRPr="00D26A35" w:rsidRDefault="003F4F52" w:rsidP="007222FB">
            <w:pPr>
              <w:rPr>
                <w:rFonts w:eastAsia="Calibri" w:cs="Calibri"/>
                <w:color w:val="000000" w:themeColor="text1"/>
                <w:sz w:val="20"/>
                <w:szCs w:val="20"/>
              </w:rPr>
            </w:pPr>
            <w:r w:rsidRPr="00D26A35">
              <w:rPr>
                <w:rFonts w:eastAsia="Calibri" w:cs="Calibri"/>
                <w:color w:val="000000" w:themeColor="text1"/>
                <w:sz w:val="20"/>
                <w:szCs w:val="20"/>
              </w:rPr>
              <w:t>Travel and DSA for one staff</w:t>
            </w:r>
          </w:p>
        </w:tc>
      </w:tr>
      <w:tr w:rsidR="003F4F52" w:rsidRPr="00D26A35" w14:paraId="3B27EB63" w14:textId="77777777" w:rsidTr="00DF2C2F">
        <w:trPr>
          <w:tblHeader/>
          <w:jc w:val="center"/>
        </w:trPr>
        <w:tc>
          <w:tcPr>
            <w:tcW w:w="1907" w:type="dxa"/>
          </w:tcPr>
          <w:p w14:paraId="13A6017F" w14:textId="77777777" w:rsidR="003F4F52" w:rsidRPr="00D26A35" w:rsidRDefault="003F4F52" w:rsidP="007222FB">
            <w:pPr>
              <w:shd w:val="clear" w:color="auto" w:fill="FFFFFF" w:themeFill="background1"/>
              <w:outlineLvl w:val="2"/>
              <w:rPr>
                <w:rStyle w:val="Hyperlink"/>
                <w:rFonts w:eastAsia="Calibri" w:cs="Calibri"/>
                <w:sz w:val="20"/>
                <w:szCs w:val="20"/>
              </w:rPr>
            </w:pPr>
            <w:r w:rsidRPr="00D26A35">
              <w:fldChar w:fldCharType="begin"/>
            </w:r>
            <w:r w:rsidRPr="00D26A35">
              <w:rPr>
                <w:rFonts w:eastAsia="Times New Roman" w:cs="Helvetica"/>
                <w:sz w:val="20"/>
                <w:szCs w:val="20"/>
                <w:bdr w:val="none" w:sz="0" w:space="0" w:color="auto" w:frame="1"/>
              </w:rPr>
              <w:instrText xml:space="preserve"> HYPERLINK "https://www.unsceb.org/content/inter-agency-network-women-and-gender-equality-ianwge-0" </w:instrText>
            </w:r>
            <w:r w:rsidRPr="00D26A35">
              <w:rPr>
                <w:rFonts w:cs="Helvetica"/>
                <w:sz w:val="20"/>
                <w:bdr w:val="none" w:sz="0" w:space="0" w:color="auto" w:frame="1"/>
              </w:rPr>
              <w:fldChar w:fldCharType="separate"/>
            </w:r>
            <w:r w:rsidRPr="00D26A35">
              <w:rPr>
                <w:rStyle w:val="Hyperlink"/>
                <w:rFonts w:eastAsia="Times New Roman" w:cs="Helvetica"/>
                <w:sz w:val="20"/>
                <w:szCs w:val="20"/>
                <w:bdr w:val="none" w:sz="0" w:space="0" w:color="auto" w:frame="1"/>
              </w:rPr>
              <w:t xml:space="preserve">Inter-Agency Network on Women and Gender Equality </w:t>
            </w:r>
            <w:r w:rsidRPr="00D26A35">
              <w:rPr>
                <w:rStyle w:val="Hyperlink"/>
                <w:rFonts w:eastAsia="Times New Roman" w:cs="Helvetica"/>
                <w:b/>
                <w:bCs/>
                <w:sz w:val="20"/>
                <w:szCs w:val="20"/>
                <w:bdr w:val="none" w:sz="0" w:space="0" w:color="auto" w:frame="1"/>
              </w:rPr>
              <w:t>(IANWGE</w:t>
            </w:r>
            <w:r w:rsidRPr="00D26A35">
              <w:rPr>
                <w:rStyle w:val="Hyperlink"/>
                <w:rFonts w:eastAsia="Times New Roman" w:cs="Helvetica"/>
                <w:sz w:val="20"/>
                <w:szCs w:val="20"/>
                <w:bdr w:val="none" w:sz="0" w:space="0" w:color="auto" w:frame="1"/>
              </w:rPr>
              <w:t>)</w:t>
            </w:r>
            <w:r w:rsidRPr="00D26A35">
              <w:rPr>
                <w:rStyle w:val="Hyperlink"/>
                <w:rFonts w:eastAsia="Times New Roman" w:cs="Arial"/>
                <w:sz w:val="20"/>
                <w:szCs w:val="20"/>
                <w:bdr w:val="none" w:sz="0" w:space="0" w:color="auto" w:frame="1"/>
              </w:rPr>
              <w:t xml:space="preserve"> </w:t>
            </w:r>
          </w:p>
          <w:p w14:paraId="62942CC4" w14:textId="77777777" w:rsidR="003F4F52" w:rsidRPr="00D26A35" w:rsidRDefault="003F4F52" w:rsidP="007222FB">
            <w:pPr>
              <w:shd w:val="clear" w:color="auto" w:fill="FFFFFF" w:themeFill="background1"/>
              <w:outlineLvl w:val="2"/>
              <w:rPr>
                <w:rFonts w:eastAsia="Calibri" w:cs="Calibri"/>
                <w:sz w:val="20"/>
                <w:szCs w:val="20"/>
              </w:rPr>
            </w:pPr>
            <w:r w:rsidRPr="00D26A35">
              <w:fldChar w:fldCharType="end"/>
            </w:r>
          </w:p>
        </w:tc>
        <w:tc>
          <w:tcPr>
            <w:tcW w:w="3850" w:type="dxa"/>
          </w:tcPr>
          <w:p w14:paraId="69864DEB" w14:textId="77777777" w:rsidR="003F4F52" w:rsidRPr="00D26A35" w:rsidRDefault="003F4F52" w:rsidP="007222FB">
            <w:pPr>
              <w:rPr>
                <w:rFonts w:eastAsia="Calibri" w:cs="Calibri"/>
                <w:sz w:val="20"/>
                <w:szCs w:val="20"/>
              </w:rPr>
            </w:pPr>
            <w:r w:rsidRPr="00D26A35">
              <w:rPr>
                <w:rFonts w:eastAsia="Calibri" w:cs="Calibri"/>
                <w:sz w:val="20"/>
                <w:szCs w:val="20"/>
              </w:rPr>
              <w:t>The network supports and monitors the implementation of the Beijing Platform for Action; gender-related recommendations emanating from other recent UN General Assembly special sessions, conferences and summits, especially by ensuring effective co-operation and coordination throughout the UN system.</w:t>
            </w:r>
          </w:p>
        </w:tc>
        <w:tc>
          <w:tcPr>
            <w:tcW w:w="3457" w:type="dxa"/>
          </w:tcPr>
          <w:p w14:paraId="39A38D6D" w14:textId="77777777" w:rsidR="00DF2C2F" w:rsidRPr="00D26A35" w:rsidRDefault="00CA2100" w:rsidP="00DF2C2F">
            <w:pPr>
              <w:rPr>
                <w:rFonts w:eastAsia="Calibri" w:cs="Calibri"/>
                <w:sz w:val="20"/>
                <w:szCs w:val="20"/>
              </w:rPr>
            </w:pPr>
            <w:hyperlink r:id="rId86" w:history="1">
              <w:r w:rsidR="00DF2C2F" w:rsidRPr="00D26A35">
                <w:rPr>
                  <w:rStyle w:val="Hyperlink"/>
                  <w:rFonts w:eastAsia="Calibri" w:cs="Calibri"/>
                  <w:sz w:val="20"/>
                  <w:szCs w:val="20"/>
                </w:rPr>
                <w:t>PP Res. 70 (Rev. Dubai, 2018)</w:t>
              </w:r>
            </w:hyperlink>
          </w:p>
          <w:p w14:paraId="4245E022" w14:textId="5CD4544B" w:rsidR="003F4F52" w:rsidRPr="00D26A35" w:rsidRDefault="003F4F52" w:rsidP="007222FB">
            <w:pPr>
              <w:rPr>
                <w:rFonts w:eastAsia="Calibri" w:cs="Calibri"/>
                <w:sz w:val="20"/>
                <w:szCs w:val="20"/>
              </w:rPr>
            </w:pPr>
            <w:r w:rsidRPr="00D26A35">
              <w:rPr>
                <w:rFonts w:eastAsia="Calibri" w:cs="Calibri"/>
                <w:sz w:val="20"/>
                <w:szCs w:val="20"/>
              </w:rPr>
              <w:t>Mainstreaming a gender perspective in ITU and promotion of gender equality and the empowerment of women through</w:t>
            </w:r>
            <w:r w:rsidR="002629EA" w:rsidRPr="00D26A35">
              <w:rPr>
                <w:rFonts w:eastAsia="Calibri" w:cs="Calibri"/>
                <w:sz w:val="20"/>
                <w:szCs w:val="20"/>
              </w:rPr>
              <w:t xml:space="preserve"> </w:t>
            </w:r>
            <w:r w:rsidRPr="00D26A35">
              <w:rPr>
                <w:rFonts w:eastAsia="Calibri" w:cs="Calibri"/>
                <w:sz w:val="20"/>
                <w:szCs w:val="20"/>
              </w:rPr>
              <w:t>telecommunications/</w:t>
            </w:r>
            <w:r w:rsidR="002629EA" w:rsidRPr="00D26A35">
              <w:rPr>
                <w:rFonts w:eastAsia="Calibri" w:cs="Calibri"/>
                <w:sz w:val="20"/>
                <w:szCs w:val="20"/>
              </w:rPr>
              <w:t xml:space="preserve"> </w:t>
            </w:r>
            <w:r w:rsidRPr="00D26A35">
              <w:rPr>
                <w:rFonts w:eastAsia="Calibri" w:cs="Calibri"/>
                <w:sz w:val="20"/>
                <w:szCs w:val="20"/>
              </w:rPr>
              <w:t>information and communication technologies</w:t>
            </w:r>
          </w:p>
          <w:p w14:paraId="52755FBF" w14:textId="31675F78" w:rsidR="00DF2C2F" w:rsidRPr="00D26A35" w:rsidRDefault="00CA2100" w:rsidP="00DF2C2F">
            <w:pPr>
              <w:rPr>
                <w:rFonts w:eastAsia="Calibri" w:cs="Calibri"/>
                <w:sz w:val="20"/>
                <w:szCs w:val="20"/>
              </w:rPr>
            </w:pPr>
            <w:hyperlink r:id="rId87" w:history="1">
              <w:r w:rsidR="00DF2C2F" w:rsidRPr="00D26A35">
                <w:rPr>
                  <w:rStyle w:val="Hyperlink"/>
                  <w:rFonts w:eastAsia="Calibri" w:cs="Calibri"/>
                  <w:sz w:val="20"/>
                  <w:szCs w:val="20"/>
                </w:rPr>
                <w:t>PP Res. 71 (Rev. Dubai, 2018)</w:t>
              </w:r>
            </w:hyperlink>
          </w:p>
          <w:p w14:paraId="76A75999" w14:textId="77777777" w:rsidR="003F4F52" w:rsidRPr="00D26A35" w:rsidRDefault="003F4F52" w:rsidP="007222FB">
            <w:pPr>
              <w:rPr>
                <w:rFonts w:eastAsia="Calibri" w:cs="Calibri"/>
                <w:b/>
                <w:bCs/>
                <w:sz w:val="20"/>
                <w:szCs w:val="20"/>
              </w:rPr>
            </w:pPr>
            <w:r w:rsidRPr="00D26A35">
              <w:rPr>
                <w:rFonts w:eastAsia="Calibri" w:cs="Calibri"/>
                <w:sz w:val="20"/>
                <w:szCs w:val="20"/>
              </w:rPr>
              <w:t>Strategic plan for the Union for 2020-2023 - Goal 2 – Inclusiveness: Bridge the digital divide and provide broadband access for all</w:t>
            </w:r>
          </w:p>
        </w:tc>
        <w:tc>
          <w:tcPr>
            <w:tcW w:w="1843" w:type="dxa"/>
          </w:tcPr>
          <w:p w14:paraId="0D252EC8" w14:textId="77777777" w:rsidR="003F4F52" w:rsidRPr="00D26A35" w:rsidRDefault="003F4F52" w:rsidP="007222FB">
            <w:pPr>
              <w:rPr>
                <w:rFonts w:eastAsia="Calibri" w:cs="Calibri"/>
                <w:sz w:val="20"/>
                <w:szCs w:val="20"/>
              </w:rPr>
            </w:pPr>
            <w:r w:rsidRPr="00D26A35">
              <w:rPr>
                <w:rFonts w:eastAsia="Calibri" w:cs="Calibri"/>
                <w:sz w:val="20"/>
                <w:szCs w:val="20"/>
              </w:rPr>
              <w:t>1 per year</w:t>
            </w:r>
          </w:p>
        </w:tc>
        <w:tc>
          <w:tcPr>
            <w:tcW w:w="1984" w:type="dxa"/>
          </w:tcPr>
          <w:p w14:paraId="66806D38" w14:textId="77777777" w:rsidR="003F4F52" w:rsidRPr="00D26A35" w:rsidRDefault="003F4F52" w:rsidP="007222FB">
            <w:pPr>
              <w:rPr>
                <w:rFonts w:eastAsia="Calibri" w:cs="Calibri"/>
                <w:sz w:val="20"/>
                <w:szCs w:val="20"/>
              </w:rPr>
            </w:pPr>
            <w:r w:rsidRPr="00D26A35">
              <w:rPr>
                <w:rFonts w:eastAsia="Calibri" w:cs="Calibri"/>
                <w:sz w:val="20"/>
                <w:szCs w:val="20"/>
              </w:rPr>
              <w:t xml:space="preserve">3 days </w:t>
            </w:r>
          </w:p>
        </w:tc>
        <w:tc>
          <w:tcPr>
            <w:tcW w:w="1843" w:type="dxa"/>
          </w:tcPr>
          <w:p w14:paraId="67EAF0E2" w14:textId="77777777" w:rsidR="003F4F52" w:rsidRPr="00D26A35" w:rsidRDefault="003F4F52" w:rsidP="007222FB">
            <w:pPr>
              <w:rPr>
                <w:rFonts w:eastAsia="Calibri" w:cs="Calibri"/>
                <w:sz w:val="20"/>
                <w:szCs w:val="20"/>
              </w:rPr>
            </w:pPr>
            <w:r w:rsidRPr="00D26A35">
              <w:rPr>
                <w:rFonts w:eastAsia="Calibri" w:cs="Calibri"/>
                <w:sz w:val="20"/>
                <w:szCs w:val="20"/>
              </w:rPr>
              <w:t>Travel &amp; DSA</w:t>
            </w:r>
          </w:p>
        </w:tc>
      </w:tr>
      <w:tr w:rsidR="003F4F52" w:rsidRPr="00D26A35" w14:paraId="79F2F94B" w14:textId="77777777" w:rsidTr="00DF2C2F">
        <w:trPr>
          <w:trHeight w:val="2251"/>
          <w:tblHeader/>
          <w:jc w:val="center"/>
        </w:trPr>
        <w:tc>
          <w:tcPr>
            <w:tcW w:w="1907" w:type="dxa"/>
          </w:tcPr>
          <w:p w14:paraId="057E1447" w14:textId="77777777" w:rsidR="003F4F52" w:rsidRPr="00D26A35" w:rsidRDefault="003F4F52" w:rsidP="007222FB">
            <w:pPr>
              <w:shd w:val="clear" w:color="auto" w:fill="FFFFFF" w:themeFill="background1"/>
              <w:outlineLvl w:val="2"/>
              <w:rPr>
                <w:rStyle w:val="Hyperlink"/>
                <w:rFonts w:eastAsia="Calibri" w:cs="Calibri"/>
                <w:sz w:val="20"/>
                <w:szCs w:val="20"/>
              </w:rPr>
            </w:pPr>
            <w:r w:rsidRPr="00D26A35">
              <w:lastRenderedPageBreak/>
              <w:fldChar w:fldCharType="begin"/>
            </w:r>
            <w:r w:rsidRPr="00D26A35">
              <w:rPr>
                <w:rFonts w:eastAsia="Times New Roman" w:cs="Helvetica"/>
                <w:sz w:val="20"/>
                <w:szCs w:val="20"/>
                <w:bdr w:val="none" w:sz="0" w:space="0" w:color="auto" w:frame="1"/>
              </w:rPr>
              <w:instrText xml:space="preserve"> HYPERLINK "https://www.unsceb.org/content/inter-agency-network-youth-development-ianyd" </w:instrText>
            </w:r>
            <w:r w:rsidRPr="00D26A35">
              <w:rPr>
                <w:rFonts w:cs="Helvetica"/>
                <w:sz w:val="20"/>
                <w:bdr w:val="none" w:sz="0" w:space="0" w:color="auto" w:frame="1"/>
              </w:rPr>
              <w:fldChar w:fldCharType="separate"/>
            </w:r>
            <w:r w:rsidRPr="00D26A35">
              <w:rPr>
                <w:rStyle w:val="Hyperlink"/>
                <w:rFonts w:eastAsia="Times New Roman" w:cs="Helvetica"/>
                <w:sz w:val="20"/>
                <w:szCs w:val="20"/>
                <w:bdr w:val="none" w:sz="0" w:space="0" w:color="auto" w:frame="1"/>
              </w:rPr>
              <w:t>Inter-Agency Network on Youth Development (IANYD)</w:t>
            </w:r>
            <w:r w:rsidRPr="00D26A35">
              <w:rPr>
                <w:rStyle w:val="Hyperlink"/>
                <w:rFonts w:eastAsia="Times New Roman" w:cs="Arial"/>
                <w:sz w:val="20"/>
                <w:szCs w:val="20"/>
                <w:bdr w:val="none" w:sz="0" w:space="0" w:color="auto" w:frame="1"/>
              </w:rPr>
              <w:t xml:space="preserve"> </w:t>
            </w:r>
          </w:p>
          <w:p w14:paraId="50DC9D11" w14:textId="77777777" w:rsidR="003F4F52" w:rsidRPr="00D26A35" w:rsidRDefault="003F4F52" w:rsidP="007222FB">
            <w:pPr>
              <w:shd w:val="clear" w:color="auto" w:fill="FFFFFF" w:themeFill="background1"/>
              <w:outlineLvl w:val="2"/>
              <w:rPr>
                <w:rFonts w:eastAsia="Calibri" w:cs="Calibri"/>
                <w:sz w:val="20"/>
                <w:szCs w:val="20"/>
              </w:rPr>
            </w:pPr>
            <w:r w:rsidRPr="00D26A35">
              <w:fldChar w:fldCharType="end"/>
            </w:r>
          </w:p>
        </w:tc>
        <w:tc>
          <w:tcPr>
            <w:tcW w:w="3850" w:type="dxa"/>
          </w:tcPr>
          <w:p w14:paraId="3A8274A3" w14:textId="77777777" w:rsidR="003F4F52" w:rsidRPr="00D26A35" w:rsidRDefault="003F4F52" w:rsidP="007222FB">
            <w:pPr>
              <w:rPr>
                <w:rFonts w:eastAsia="Calibri" w:cs="Calibri"/>
                <w:sz w:val="20"/>
                <w:szCs w:val="20"/>
              </w:rPr>
            </w:pPr>
            <w:r w:rsidRPr="00D26A35">
              <w:rPr>
                <w:rFonts w:eastAsia="Calibri" w:cs="Calibri"/>
                <w:sz w:val="20"/>
                <w:szCs w:val="20"/>
              </w:rPr>
              <w:t>Increase the effectiveness of UN work in youth development by strengthening collaboration and exchange among all relevant UN entities, while respecting and harnessing the benefits of their individual strengths and unique approaches and mandates.</w:t>
            </w:r>
          </w:p>
        </w:tc>
        <w:tc>
          <w:tcPr>
            <w:tcW w:w="3457" w:type="dxa"/>
          </w:tcPr>
          <w:p w14:paraId="65C65C2D" w14:textId="75809D29" w:rsidR="00DF2C2F" w:rsidRPr="00D26A35" w:rsidRDefault="00CA2100" w:rsidP="00DF2C2F">
            <w:pPr>
              <w:rPr>
                <w:rFonts w:eastAsia="Calibri" w:cs="Calibri"/>
                <w:sz w:val="20"/>
                <w:szCs w:val="20"/>
              </w:rPr>
            </w:pPr>
            <w:hyperlink r:id="rId88" w:history="1">
              <w:r w:rsidR="00DF2C2F" w:rsidRPr="00D26A35">
                <w:rPr>
                  <w:rStyle w:val="Hyperlink"/>
                  <w:rFonts w:eastAsia="Calibri" w:cs="Calibri"/>
                  <w:sz w:val="20"/>
                  <w:szCs w:val="20"/>
                </w:rPr>
                <w:t>PP Res. 198 (Rev. Dubai, 2018)</w:t>
              </w:r>
            </w:hyperlink>
          </w:p>
          <w:p w14:paraId="091C05E4" w14:textId="595E70DC" w:rsidR="003F4F52" w:rsidRPr="00D26A35" w:rsidRDefault="003F4F52" w:rsidP="007222FB">
            <w:pPr>
              <w:rPr>
                <w:rFonts w:eastAsia="Calibri" w:cs="Calibri"/>
                <w:sz w:val="20"/>
                <w:szCs w:val="20"/>
              </w:rPr>
            </w:pPr>
            <w:r w:rsidRPr="00D26A35">
              <w:rPr>
                <w:rFonts w:eastAsia="Calibri" w:cs="Calibri"/>
                <w:sz w:val="20"/>
                <w:szCs w:val="20"/>
              </w:rPr>
              <w:t>Empowerment of youth through telecommunication/information</w:t>
            </w:r>
            <w:r w:rsidR="002629EA" w:rsidRPr="00D26A35">
              <w:rPr>
                <w:rFonts w:eastAsia="Calibri" w:cs="Calibri"/>
                <w:sz w:val="20"/>
                <w:szCs w:val="20"/>
              </w:rPr>
              <w:t xml:space="preserve"> </w:t>
            </w:r>
            <w:r w:rsidRPr="00D26A35">
              <w:rPr>
                <w:rFonts w:eastAsia="Calibri" w:cs="Calibri"/>
                <w:sz w:val="20"/>
                <w:szCs w:val="20"/>
              </w:rPr>
              <w:t>and communication technology</w:t>
            </w:r>
          </w:p>
          <w:p w14:paraId="780C3F07" w14:textId="7DA27F74" w:rsidR="00DF2C2F" w:rsidRPr="00D26A35" w:rsidRDefault="00CA2100" w:rsidP="00DF2C2F">
            <w:pPr>
              <w:rPr>
                <w:rFonts w:eastAsia="Calibri" w:cs="Calibri"/>
                <w:sz w:val="20"/>
                <w:szCs w:val="20"/>
              </w:rPr>
            </w:pPr>
            <w:hyperlink r:id="rId89" w:history="1">
              <w:r w:rsidR="00DF2C2F" w:rsidRPr="00D26A35">
                <w:rPr>
                  <w:rStyle w:val="Hyperlink"/>
                  <w:rFonts w:eastAsia="Calibri" w:cs="Calibri"/>
                  <w:sz w:val="20"/>
                  <w:szCs w:val="20"/>
                </w:rPr>
                <w:t>PP Res. 71 (Rev. Dubai, 2018)</w:t>
              </w:r>
            </w:hyperlink>
          </w:p>
          <w:p w14:paraId="7FA817F6" w14:textId="77777777" w:rsidR="003F4F52" w:rsidRPr="00D26A35" w:rsidRDefault="003F4F52" w:rsidP="002629EA">
            <w:pPr>
              <w:rPr>
                <w:rFonts w:eastAsia="Calibri" w:cs="Calibri"/>
                <w:sz w:val="20"/>
                <w:szCs w:val="20"/>
              </w:rPr>
            </w:pPr>
            <w:r w:rsidRPr="00D26A35">
              <w:rPr>
                <w:rFonts w:eastAsia="Calibri" w:cs="Calibri"/>
                <w:sz w:val="20"/>
                <w:szCs w:val="20"/>
              </w:rPr>
              <w:t>Strategic plan for the Union for 2020-2023 - Goal 2 – Inclusiveness: Bridge the digital divide and provide broadband access</w:t>
            </w:r>
            <w:r w:rsidR="002629EA" w:rsidRPr="00D26A35">
              <w:rPr>
                <w:rFonts w:eastAsia="Calibri" w:cs="Calibri"/>
                <w:sz w:val="20"/>
                <w:szCs w:val="20"/>
              </w:rPr>
              <w:t xml:space="preserve"> </w:t>
            </w:r>
            <w:r w:rsidRPr="00D26A35">
              <w:rPr>
                <w:rFonts w:eastAsia="Calibri" w:cs="Calibri"/>
                <w:sz w:val="20"/>
                <w:szCs w:val="20"/>
              </w:rPr>
              <w:t>for all</w:t>
            </w:r>
          </w:p>
          <w:p w14:paraId="3727DBAF" w14:textId="77777777" w:rsidR="00557844" w:rsidRPr="00D26A35" w:rsidRDefault="00557844" w:rsidP="00557844">
            <w:pPr>
              <w:spacing w:before="240"/>
              <w:rPr>
                <w:rFonts w:eastAsia="Calibri" w:cs="Calibri"/>
                <w:sz w:val="20"/>
                <w:szCs w:val="20"/>
                <w:u w:val="single"/>
              </w:rPr>
            </w:pPr>
            <w:r w:rsidRPr="00D26A35">
              <w:rPr>
                <w:rFonts w:eastAsia="Calibri" w:cs="Calibri"/>
                <w:sz w:val="20"/>
                <w:szCs w:val="20"/>
                <w:u w:val="single"/>
              </w:rPr>
              <w:t xml:space="preserve">Gender Declaration (Sharm </w:t>
            </w:r>
            <w:proofErr w:type="spellStart"/>
            <w:r w:rsidRPr="00D26A35">
              <w:rPr>
                <w:rFonts w:eastAsia="Calibri" w:cs="Calibri"/>
                <w:sz w:val="20"/>
                <w:szCs w:val="20"/>
                <w:u w:val="single"/>
              </w:rPr>
              <w:t>el</w:t>
            </w:r>
            <w:proofErr w:type="spellEnd"/>
            <w:r w:rsidRPr="00D26A35">
              <w:rPr>
                <w:rFonts w:eastAsia="Calibri" w:cs="Calibri"/>
                <w:sz w:val="20"/>
                <w:szCs w:val="20"/>
                <w:u w:val="single"/>
              </w:rPr>
              <w:t>-Sheik, 2019)</w:t>
            </w:r>
          </w:p>
          <w:p w14:paraId="0A7D2DF9" w14:textId="0F23A617" w:rsidR="00557844" w:rsidRPr="00D26A35" w:rsidRDefault="00557844" w:rsidP="00557844">
            <w:pPr>
              <w:rPr>
                <w:rFonts w:eastAsia="Calibri" w:cs="Calibri"/>
                <w:sz w:val="20"/>
                <w:szCs w:val="20"/>
              </w:rPr>
            </w:pPr>
            <w:r w:rsidRPr="00D26A35">
              <w:rPr>
                <w:rFonts w:eastAsia="Calibri" w:cs="Calibri"/>
                <w:sz w:val="20"/>
                <w:szCs w:val="20"/>
              </w:rPr>
              <w:t>Promotion of Gender Equality, Equity and Parity in the ITU Radiocommunication Sector.</w:t>
            </w:r>
          </w:p>
        </w:tc>
        <w:tc>
          <w:tcPr>
            <w:tcW w:w="1843" w:type="dxa"/>
          </w:tcPr>
          <w:p w14:paraId="7F595729" w14:textId="77777777" w:rsidR="003F4F52" w:rsidRPr="00D26A35" w:rsidRDefault="003F4F52" w:rsidP="007222FB">
            <w:pPr>
              <w:spacing w:line="259" w:lineRule="auto"/>
              <w:rPr>
                <w:rFonts w:eastAsia="Calibri" w:cs="Calibri"/>
                <w:sz w:val="20"/>
                <w:szCs w:val="20"/>
              </w:rPr>
            </w:pPr>
            <w:r w:rsidRPr="00D26A35">
              <w:rPr>
                <w:rFonts w:eastAsia="Calibri" w:cs="Calibri"/>
                <w:sz w:val="20"/>
                <w:szCs w:val="20"/>
              </w:rPr>
              <w:t>1 per year</w:t>
            </w:r>
          </w:p>
        </w:tc>
        <w:tc>
          <w:tcPr>
            <w:tcW w:w="1984" w:type="dxa"/>
          </w:tcPr>
          <w:p w14:paraId="2171B875" w14:textId="77777777" w:rsidR="003F4F52" w:rsidRPr="00D26A35" w:rsidRDefault="003F4F52" w:rsidP="007222FB">
            <w:pPr>
              <w:rPr>
                <w:rFonts w:eastAsia="Calibri" w:cs="Calibri"/>
                <w:sz w:val="20"/>
                <w:szCs w:val="20"/>
              </w:rPr>
            </w:pPr>
            <w:r w:rsidRPr="00D26A35">
              <w:rPr>
                <w:rFonts w:eastAsia="Calibri" w:cs="Calibri"/>
                <w:sz w:val="20"/>
                <w:szCs w:val="20"/>
              </w:rPr>
              <w:t>1.5 days</w:t>
            </w:r>
          </w:p>
          <w:p w14:paraId="22BE1E06" w14:textId="77777777" w:rsidR="003F4F52" w:rsidRPr="00D26A35" w:rsidRDefault="003F4F52" w:rsidP="007222FB">
            <w:pPr>
              <w:rPr>
                <w:rFonts w:eastAsia="Calibri" w:cs="Calibri"/>
                <w:sz w:val="20"/>
                <w:szCs w:val="20"/>
              </w:rPr>
            </w:pPr>
            <w:r w:rsidRPr="00D26A35">
              <w:rPr>
                <w:rFonts w:eastAsia="Calibri" w:cs="Calibri"/>
                <w:sz w:val="20"/>
                <w:szCs w:val="20"/>
              </w:rPr>
              <w:t>plus monthly conference calls</w:t>
            </w:r>
          </w:p>
        </w:tc>
        <w:tc>
          <w:tcPr>
            <w:tcW w:w="1843" w:type="dxa"/>
          </w:tcPr>
          <w:p w14:paraId="72928486" w14:textId="77777777" w:rsidR="003F4F52" w:rsidRPr="00D26A35" w:rsidRDefault="003F4F52" w:rsidP="007222FB">
            <w:pPr>
              <w:rPr>
                <w:rFonts w:eastAsia="Calibri" w:cs="Calibri"/>
                <w:sz w:val="20"/>
                <w:szCs w:val="20"/>
              </w:rPr>
            </w:pPr>
            <w:r w:rsidRPr="00D26A35">
              <w:rPr>
                <w:rFonts w:eastAsia="Calibri" w:cs="Calibri"/>
                <w:sz w:val="20"/>
                <w:szCs w:val="20"/>
              </w:rPr>
              <w:t>Travel &amp; DSA</w:t>
            </w:r>
          </w:p>
        </w:tc>
      </w:tr>
      <w:tr w:rsidR="003F4F52" w:rsidRPr="00D26A35" w14:paraId="62E09F7D" w14:textId="77777777" w:rsidTr="00DF2C2F">
        <w:trPr>
          <w:tblHeader/>
          <w:jc w:val="center"/>
        </w:trPr>
        <w:tc>
          <w:tcPr>
            <w:tcW w:w="1907" w:type="dxa"/>
          </w:tcPr>
          <w:p w14:paraId="026022CF" w14:textId="77777777" w:rsidR="003F4F52" w:rsidRPr="00D26A35" w:rsidRDefault="00CA2100" w:rsidP="007222FB">
            <w:pPr>
              <w:shd w:val="clear" w:color="auto" w:fill="FFFFFF" w:themeFill="background1"/>
              <w:outlineLvl w:val="2"/>
              <w:rPr>
                <w:rStyle w:val="Hyperlink"/>
                <w:rFonts w:eastAsia="Calibri" w:cs="Calibri"/>
                <w:sz w:val="20"/>
              </w:rPr>
            </w:pPr>
            <w:hyperlink r:id="rId90">
              <w:r w:rsidR="003F4F52" w:rsidRPr="00D26A35">
                <w:rPr>
                  <w:rStyle w:val="Hyperlink"/>
                  <w:rFonts w:eastAsia="Calibri" w:cs="Calibri"/>
                  <w:sz w:val="20"/>
                  <w:szCs w:val="20"/>
                </w:rPr>
                <w:t>Young UN Network</w:t>
              </w:r>
            </w:hyperlink>
          </w:p>
          <w:p w14:paraId="7952B2BF" w14:textId="1C8701E3" w:rsidR="00A2034F" w:rsidRPr="00D26A35" w:rsidRDefault="00A2034F" w:rsidP="007222FB">
            <w:pPr>
              <w:shd w:val="clear" w:color="auto" w:fill="FFFFFF" w:themeFill="background1"/>
              <w:outlineLvl w:val="2"/>
              <w:rPr>
                <w:rFonts w:eastAsia="Calibri" w:cs="Calibri"/>
                <w:sz w:val="20"/>
                <w:szCs w:val="20"/>
              </w:rPr>
            </w:pPr>
          </w:p>
        </w:tc>
        <w:tc>
          <w:tcPr>
            <w:tcW w:w="3850" w:type="dxa"/>
          </w:tcPr>
          <w:p w14:paraId="74A03701" w14:textId="77777777" w:rsidR="003F4F52" w:rsidRPr="00D26A35" w:rsidRDefault="003F4F52" w:rsidP="007222FB">
            <w:pPr>
              <w:rPr>
                <w:rFonts w:eastAsia="Calibri" w:cs="Calibri"/>
                <w:sz w:val="20"/>
                <w:szCs w:val="20"/>
              </w:rPr>
            </w:pPr>
            <w:r w:rsidRPr="00D26A35">
              <w:rPr>
                <w:rFonts w:eastAsia="Calibri" w:cs="Calibri"/>
                <w:sz w:val="20"/>
                <w:szCs w:val="20"/>
              </w:rPr>
              <w:t>Crowdsource ideas, a platform to pilot and drive innovation and experimentation, and a bottom-up mechanism for cultural change for UN values and the Sustainable Development Goals (SDGs).</w:t>
            </w:r>
          </w:p>
        </w:tc>
        <w:tc>
          <w:tcPr>
            <w:tcW w:w="3457" w:type="dxa"/>
          </w:tcPr>
          <w:p w14:paraId="58DED7DE" w14:textId="77777777" w:rsidR="00DF2C2F" w:rsidRPr="00D26A35" w:rsidRDefault="00CA2100" w:rsidP="00DF2C2F">
            <w:pPr>
              <w:rPr>
                <w:rFonts w:eastAsia="Calibri" w:cs="Calibri"/>
                <w:sz w:val="20"/>
                <w:szCs w:val="20"/>
              </w:rPr>
            </w:pPr>
            <w:hyperlink r:id="rId91" w:history="1">
              <w:r w:rsidR="00DF2C2F" w:rsidRPr="00D26A35">
                <w:rPr>
                  <w:rStyle w:val="Hyperlink"/>
                  <w:rFonts w:eastAsia="Calibri" w:cs="Calibri"/>
                  <w:sz w:val="20"/>
                  <w:szCs w:val="20"/>
                </w:rPr>
                <w:t>PP Res. 198 (Rev. Dubai, 2018)</w:t>
              </w:r>
            </w:hyperlink>
          </w:p>
          <w:p w14:paraId="4E9D3B06" w14:textId="716FE141" w:rsidR="003F4F52" w:rsidRPr="00D26A35" w:rsidRDefault="003F4F52" w:rsidP="007222FB">
            <w:pPr>
              <w:rPr>
                <w:rFonts w:eastAsia="Calibri" w:cs="Calibri"/>
                <w:sz w:val="20"/>
                <w:szCs w:val="20"/>
              </w:rPr>
            </w:pPr>
            <w:r w:rsidRPr="00D26A35">
              <w:rPr>
                <w:rFonts w:eastAsia="Calibri" w:cs="Calibri"/>
                <w:sz w:val="20"/>
                <w:szCs w:val="20"/>
              </w:rPr>
              <w:t>Empowerment of youth through telecommunication/information</w:t>
            </w:r>
            <w:r w:rsidR="002629EA" w:rsidRPr="00D26A35">
              <w:rPr>
                <w:rFonts w:eastAsia="Calibri" w:cs="Calibri"/>
                <w:sz w:val="20"/>
                <w:szCs w:val="20"/>
              </w:rPr>
              <w:t xml:space="preserve"> </w:t>
            </w:r>
            <w:r w:rsidRPr="00D26A35">
              <w:rPr>
                <w:rFonts w:eastAsia="Calibri" w:cs="Calibri"/>
                <w:sz w:val="20"/>
                <w:szCs w:val="20"/>
              </w:rPr>
              <w:t>and communication technology</w:t>
            </w:r>
          </w:p>
          <w:p w14:paraId="529B6EA6" w14:textId="77777777" w:rsidR="00DF2C2F" w:rsidRPr="00D26A35" w:rsidRDefault="00CA2100" w:rsidP="00DF2C2F">
            <w:pPr>
              <w:rPr>
                <w:rFonts w:eastAsia="Calibri" w:cs="Calibri"/>
                <w:sz w:val="20"/>
                <w:szCs w:val="20"/>
              </w:rPr>
            </w:pPr>
            <w:hyperlink r:id="rId92" w:history="1">
              <w:r w:rsidR="00DF2C2F" w:rsidRPr="00D26A35">
                <w:rPr>
                  <w:rStyle w:val="Hyperlink"/>
                  <w:rFonts w:eastAsia="Calibri" w:cs="Calibri"/>
                  <w:sz w:val="20"/>
                  <w:szCs w:val="20"/>
                </w:rPr>
                <w:t>PP Res. 71 (Rev. Dubai, 2018)</w:t>
              </w:r>
            </w:hyperlink>
          </w:p>
          <w:p w14:paraId="6DA4DBF6" w14:textId="77777777" w:rsidR="003F4F52" w:rsidRPr="00D26A35" w:rsidRDefault="003F4F52" w:rsidP="007222FB">
            <w:pPr>
              <w:rPr>
                <w:rFonts w:eastAsia="Calibri" w:cs="Calibri"/>
                <w:sz w:val="20"/>
                <w:szCs w:val="20"/>
              </w:rPr>
            </w:pPr>
            <w:r w:rsidRPr="00D26A35">
              <w:rPr>
                <w:rFonts w:eastAsia="Calibri" w:cs="Calibri"/>
                <w:sz w:val="20"/>
                <w:szCs w:val="20"/>
              </w:rPr>
              <w:t>Strategic plan for the Union for 2020-2023 - Goal 2 – Inclusiveness</w:t>
            </w:r>
          </w:p>
        </w:tc>
        <w:tc>
          <w:tcPr>
            <w:tcW w:w="1843" w:type="dxa"/>
          </w:tcPr>
          <w:p w14:paraId="68975963" w14:textId="77777777" w:rsidR="003F4F52" w:rsidRPr="00D26A35" w:rsidRDefault="003F4F52" w:rsidP="007222FB">
            <w:pPr>
              <w:rPr>
                <w:rFonts w:eastAsia="Calibri" w:cs="Calibri"/>
                <w:sz w:val="20"/>
                <w:szCs w:val="20"/>
              </w:rPr>
            </w:pPr>
            <w:r w:rsidRPr="00D26A35">
              <w:rPr>
                <w:rFonts w:eastAsia="Calibri" w:cs="Calibri"/>
                <w:sz w:val="20"/>
                <w:szCs w:val="20"/>
              </w:rPr>
              <w:t>It is an informal network. The communication is mainly through online channels.</w:t>
            </w:r>
          </w:p>
        </w:tc>
        <w:tc>
          <w:tcPr>
            <w:tcW w:w="1984" w:type="dxa"/>
          </w:tcPr>
          <w:p w14:paraId="5467915E" w14:textId="7A7E1AA4" w:rsidR="003F4F52" w:rsidRPr="00D26A35" w:rsidRDefault="003F4F52" w:rsidP="002629EA">
            <w:pPr>
              <w:rPr>
                <w:rFonts w:eastAsia="Calibri" w:cs="Calibri"/>
                <w:sz w:val="20"/>
                <w:szCs w:val="20"/>
              </w:rPr>
            </w:pPr>
            <w:r w:rsidRPr="00D26A35">
              <w:rPr>
                <w:rFonts w:eastAsia="Calibri" w:cs="Calibri"/>
                <w:sz w:val="20"/>
                <w:szCs w:val="20"/>
              </w:rPr>
              <w:t>Voluntary approach of ITU staff (during lunch time and outside working hours)</w:t>
            </w:r>
          </w:p>
        </w:tc>
        <w:tc>
          <w:tcPr>
            <w:tcW w:w="1843" w:type="dxa"/>
          </w:tcPr>
          <w:p w14:paraId="5E57A1A2" w14:textId="52D0F54C" w:rsidR="003F4F52" w:rsidRPr="00D26A35" w:rsidRDefault="003F4F52" w:rsidP="002629EA">
            <w:pPr>
              <w:rPr>
                <w:rFonts w:eastAsia="Calibri" w:cs="Calibri"/>
                <w:sz w:val="20"/>
                <w:szCs w:val="20"/>
              </w:rPr>
            </w:pPr>
            <w:r w:rsidRPr="00D26A35">
              <w:rPr>
                <w:rFonts w:eastAsia="Calibri" w:cs="Calibri"/>
                <w:sz w:val="20"/>
                <w:szCs w:val="20"/>
              </w:rPr>
              <w:t>None at the current stage</w:t>
            </w:r>
          </w:p>
        </w:tc>
      </w:tr>
      <w:tr w:rsidR="00A2034F" w:rsidRPr="00D26A35" w14:paraId="5D6D0BF8" w14:textId="77777777" w:rsidTr="005B4CAF">
        <w:trPr>
          <w:tblHeader/>
          <w:jc w:val="center"/>
        </w:trPr>
        <w:tc>
          <w:tcPr>
            <w:tcW w:w="1907" w:type="dxa"/>
            <w:shd w:val="clear" w:color="auto" w:fill="FFFFFF" w:themeFill="background1"/>
          </w:tcPr>
          <w:p w14:paraId="3C6F6C51" w14:textId="5E898A6D" w:rsidR="00A2034F" w:rsidRPr="00D26A35" w:rsidRDefault="00CA2100" w:rsidP="007222FB">
            <w:pPr>
              <w:shd w:val="clear" w:color="auto" w:fill="FFFFFF" w:themeFill="background1"/>
              <w:outlineLvl w:val="2"/>
              <w:rPr>
                <w:sz w:val="20"/>
                <w:szCs w:val="20"/>
              </w:rPr>
            </w:pPr>
            <w:hyperlink r:id="rId93" w:history="1">
              <w:r w:rsidR="00C44394" w:rsidRPr="00D26A35">
                <w:rPr>
                  <w:rStyle w:val="Hyperlink"/>
                  <w:sz w:val="20"/>
                </w:rPr>
                <w:t>United Nations Joint Staff Pension Board (UNJSPB)</w:t>
              </w:r>
            </w:hyperlink>
          </w:p>
        </w:tc>
        <w:tc>
          <w:tcPr>
            <w:tcW w:w="3850" w:type="dxa"/>
            <w:shd w:val="clear" w:color="auto" w:fill="FFFFFF" w:themeFill="background1"/>
          </w:tcPr>
          <w:p w14:paraId="6818E647" w14:textId="775E5F9E" w:rsidR="00D32AB6" w:rsidRPr="00D26A35" w:rsidRDefault="00CB09FE" w:rsidP="007222FB">
            <w:pPr>
              <w:rPr>
                <w:rFonts w:eastAsia="Calibri" w:cs="Calibri"/>
                <w:sz w:val="20"/>
              </w:rPr>
            </w:pPr>
            <w:r w:rsidRPr="00D26A35">
              <w:rPr>
                <w:rFonts w:eastAsia="Calibri" w:cs="Calibri"/>
                <w:sz w:val="20"/>
              </w:rPr>
              <w:t xml:space="preserve">The United Nations Joint Staff Pension Board (UNJSPB) has the ultimate responsibility for the administration of the United Nations Joint Staff Pension Fund (UNJSPF) </w:t>
            </w:r>
          </w:p>
          <w:p w14:paraId="199B25DC" w14:textId="718ABBCA" w:rsidR="00A2034F" w:rsidRPr="00D26A35" w:rsidRDefault="00A2034F" w:rsidP="007222FB">
            <w:pPr>
              <w:rPr>
                <w:rFonts w:eastAsia="Calibri" w:cs="Calibri"/>
                <w:sz w:val="20"/>
              </w:rPr>
            </w:pPr>
          </w:p>
        </w:tc>
        <w:tc>
          <w:tcPr>
            <w:tcW w:w="3457" w:type="dxa"/>
            <w:shd w:val="clear" w:color="auto" w:fill="FFFFFF" w:themeFill="background1"/>
          </w:tcPr>
          <w:p w14:paraId="700838DE" w14:textId="699AC687" w:rsidR="00A2034F" w:rsidRPr="00D26A35" w:rsidRDefault="00717668" w:rsidP="00DF2C2F">
            <w:r w:rsidRPr="00D26A35">
              <w:rPr>
                <w:rFonts w:eastAsia="Calibri" w:cs="Calibri"/>
                <w:sz w:val="20"/>
              </w:rPr>
              <w:t xml:space="preserve">UNJSPB protects the interest of the UNJSPF participants and beneficiaries by setting strategic goals and policies, providing general oversight and monitoring. </w:t>
            </w:r>
            <w:r w:rsidR="00994ED4" w:rsidRPr="00D26A35">
              <w:rPr>
                <w:rFonts w:eastAsia="Calibri" w:cs="Calibri"/>
                <w:sz w:val="20"/>
              </w:rPr>
              <w:t>Representatives from the ITU Staff Pension Committee sit yearly on the Pension Board sessions and the Standing Subcommittee of the Board. Since 2019 ITU has also had one representative sit on the Pension Board Budget Working Group.</w:t>
            </w:r>
          </w:p>
        </w:tc>
        <w:tc>
          <w:tcPr>
            <w:tcW w:w="1843" w:type="dxa"/>
            <w:shd w:val="clear" w:color="auto" w:fill="FFFFFF" w:themeFill="background1"/>
          </w:tcPr>
          <w:p w14:paraId="067A9596" w14:textId="1A9DA445" w:rsidR="00A2034F" w:rsidRPr="00D26A35" w:rsidRDefault="00931B12" w:rsidP="007222FB">
            <w:pPr>
              <w:rPr>
                <w:rFonts w:eastAsia="Calibri" w:cs="Calibri"/>
                <w:sz w:val="20"/>
              </w:rPr>
            </w:pPr>
            <w:r w:rsidRPr="00D26A35">
              <w:rPr>
                <w:rFonts w:eastAsia="Calibri" w:cs="Calibri"/>
                <w:sz w:val="20"/>
              </w:rPr>
              <w:t>UNJSPB meetings take place in July of every year.</w:t>
            </w:r>
          </w:p>
        </w:tc>
        <w:tc>
          <w:tcPr>
            <w:tcW w:w="1984" w:type="dxa"/>
            <w:shd w:val="clear" w:color="auto" w:fill="FFFFFF" w:themeFill="background1"/>
          </w:tcPr>
          <w:p w14:paraId="27C95590" w14:textId="3226DF71" w:rsidR="00A2034F" w:rsidRPr="00D26A35" w:rsidRDefault="00221C65" w:rsidP="002629EA">
            <w:pPr>
              <w:rPr>
                <w:rFonts w:eastAsia="Calibri" w:cs="Calibri"/>
                <w:sz w:val="20"/>
              </w:rPr>
            </w:pPr>
            <w:r w:rsidRPr="00D26A35">
              <w:rPr>
                <w:rFonts w:eastAsia="Calibri" w:cs="Calibri"/>
                <w:sz w:val="20"/>
              </w:rPr>
              <w:t xml:space="preserve">1 to 2 weeks a year in annual meeting. Plus preparation via the ITU SPC all </w:t>
            </w:r>
            <w:proofErr w:type="spellStart"/>
            <w:r w:rsidRPr="00D26A35">
              <w:rPr>
                <w:rFonts w:eastAsia="Calibri" w:cs="Calibri"/>
                <w:sz w:val="20"/>
              </w:rPr>
              <w:t>through out</w:t>
            </w:r>
            <w:proofErr w:type="spellEnd"/>
            <w:r w:rsidRPr="00D26A35">
              <w:rPr>
                <w:rFonts w:eastAsia="Calibri" w:cs="Calibri"/>
                <w:sz w:val="20"/>
              </w:rPr>
              <w:t xml:space="preserve"> the year</w:t>
            </w:r>
          </w:p>
        </w:tc>
        <w:tc>
          <w:tcPr>
            <w:tcW w:w="1843" w:type="dxa"/>
            <w:shd w:val="clear" w:color="auto" w:fill="FFFFFF" w:themeFill="background1"/>
          </w:tcPr>
          <w:p w14:paraId="71E44662" w14:textId="13CE5E70" w:rsidR="00A2034F" w:rsidRPr="00D26A35" w:rsidRDefault="00221C65" w:rsidP="002629EA">
            <w:pPr>
              <w:rPr>
                <w:rFonts w:eastAsia="Calibri" w:cs="Calibri"/>
                <w:sz w:val="20"/>
              </w:rPr>
            </w:pPr>
            <w:r w:rsidRPr="00D26A35">
              <w:rPr>
                <w:rFonts w:eastAsia="Calibri" w:cs="Calibri"/>
                <w:sz w:val="20"/>
              </w:rPr>
              <w:t xml:space="preserve">Travel and DSA for 1 Executive Head representative, 1 Participant </w:t>
            </w:r>
            <w:proofErr w:type="spellStart"/>
            <w:r w:rsidRPr="00D26A35">
              <w:rPr>
                <w:rFonts w:eastAsia="Calibri" w:cs="Calibri"/>
                <w:sz w:val="20"/>
              </w:rPr>
              <w:t>Represetnative</w:t>
            </w:r>
            <w:proofErr w:type="spellEnd"/>
            <w:r w:rsidRPr="00D26A35">
              <w:rPr>
                <w:rFonts w:eastAsia="Calibri" w:cs="Calibri"/>
                <w:sz w:val="20"/>
              </w:rPr>
              <w:t>, 1 Governing Bod</w:t>
            </w:r>
            <w:r w:rsidR="00BA6DD3" w:rsidRPr="00D26A35">
              <w:rPr>
                <w:rFonts w:eastAsia="Calibri" w:cs="Calibri"/>
                <w:sz w:val="20"/>
              </w:rPr>
              <w:t>y</w:t>
            </w:r>
            <w:r w:rsidRPr="00D26A35">
              <w:rPr>
                <w:rFonts w:eastAsia="Calibri" w:cs="Calibri"/>
                <w:sz w:val="20"/>
              </w:rPr>
              <w:t xml:space="preserve"> representative and the SPC Secretary</w:t>
            </w:r>
          </w:p>
        </w:tc>
      </w:tr>
      <w:tr w:rsidR="003F4F52" w:rsidRPr="00D26A35" w14:paraId="770854BE" w14:textId="77777777" w:rsidTr="00DF2C2F">
        <w:trPr>
          <w:tblHeader/>
          <w:jc w:val="center"/>
        </w:trPr>
        <w:tc>
          <w:tcPr>
            <w:tcW w:w="1907" w:type="dxa"/>
          </w:tcPr>
          <w:p w14:paraId="5E535DDE" w14:textId="77777777" w:rsidR="003F4F52" w:rsidRPr="00D26A35" w:rsidRDefault="003F4F52" w:rsidP="007222FB">
            <w:pPr>
              <w:shd w:val="clear" w:color="auto" w:fill="FFFFFF" w:themeFill="background1"/>
              <w:outlineLvl w:val="2"/>
              <w:rPr>
                <w:rFonts w:eastAsia="Calibri" w:cs="Calibri"/>
                <w:sz w:val="20"/>
                <w:szCs w:val="20"/>
              </w:rPr>
            </w:pPr>
            <w:r w:rsidRPr="00D26A35">
              <w:rPr>
                <w:rFonts w:eastAsia="Calibri" w:cs="Calibri"/>
                <w:sz w:val="20"/>
                <w:szCs w:val="20"/>
                <w:bdr w:val="none" w:sz="0" w:space="0" w:color="auto" w:frame="1"/>
              </w:rPr>
              <w:lastRenderedPageBreak/>
              <w:t>Inter-Agency Group on Ageing (IAGA)</w:t>
            </w:r>
          </w:p>
        </w:tc>
        <w:tc>
          <w:tcPr>
            <w:tcW w:w="3850" w:type="dxa"/>
          </w:tcPr>
          <w:p w14:paraId="3F44F739" w14:textId="77777777" w:rsidR="003F4F52" w:rsidRPr="00D26A35" w:rsidRDefault="003F4F52" w:rsidP="007222FB">
            <w:pPr>
              <w:rPr>
                <w:rFonts w:eastAsia="Calibri" w:cs="Calibri"/>
                <w:sz w:val="20"/>
                <w:szCs w:val="20"/>
              </w:rPr>
            </w:pPr>
            <w:r w:rsidRPr="00D26A35">
              <w:rPr>
                <w:rFonts w:eastAsia="Calibri" w:cs="Calibri"/>
                <w:sz w:val="20"/>
                <w:szCs w:val="20"/>
              </w:rPr>
              <w:t>Facilitate and promote the Madrid International Plan of Action on Ageing, including designing guidelines for policy development and implementation; advocating means to mainstream ageing issues into development and inclusiveness agendas; engaging in dialogue with all Parties including civil society and the private sector; and call for information exchange.</w:t>
            </w:r>
          </w:p>
          <w:p w14:paraId="53CD1CEC" w14:textId="77777777" w:rsidR="003F4F52" w:rsidRPr="00D26A35" w:rsidRDefault="003F4F52" w:rsidP="007222FB">
            <w:pPr>
              <w:rPr>
                <w:rFonts w:eastAsia="Calibri" w:cs="Calibri"/>
                <w:sz w:val="20"/>
                <w:szCs w:val="20"/>
              </w:rPr>
            </w:pPr>
            <w:r w:rsidRPr="00D26A35">
              <w:rPr>
                <w:rFonts w:eastAsia="Calibri" w:cs="Calibri"/>
                <w:sz w:val="20"/>
                <w:szCs w:val="20"/>
              </w:rPr>
              <w:t xml:space="preserve">Due to age related disabilities the IAGA is also linked and influenced by the work done by UNDIS and IASG (see below) </w:t>
            </w:r>
          </w:p>
        </w:tc>
        <w:tc>
          <w:tcPr>
            <w:tcW w:w="3457" w:type="dxa"/>
          </w:tcPr>
          <w:p w14:paraId="7EDB740E" w14:textId="3C7AAEB6" w:rsidR="003F4F52" w:rsidRPr="00D26A35" w:rsidRDefault="00CA2100" w:rsidP="007222FB">
            <w:pPr>
              <w:rPr>
                <w:rFonts w:eastAsia="Calibri" w:cs="Calibri"/>
                <w:sz w:val="20"/>
                <w:szCs w:val="20"/>
                <w:lang w:val="en-US"/>
              </w:rPr>
            </w:pPr>
            <w:hyperlink r:id="rId94" w:anchor="page=481">
              <w:r w:rsidR="003F4F52" w:rsidRPr="00D26A35">
                <w:rPr>
                  <w:rFonts w:eastAsia="Calibri" w:cs="Calibri"/>
                  <w:sz w:val="20"/>
                  <w:szCs w:val="20"/>
                  <w:lang w:val="en-US"/>
                </w:rPr>
                <w:t>WTDC RESOLUTION 58 (Rev. Buenos Aires, 2017)</w:t>
              </w:r>
            </w:hyperlink>
            <w:r w:rsidR="003F4F52" w:rsidRPr="00D26A35">
              <w:rPr>
                <w:rFonts w:eastAsia="Calibri" w:cs="Calibri"/>
                <w:sz w:val="20"/>
                <w:szCs w:val="20"/>
                <w:lang w:val="en-US"/>
              </w:rPr>
              <w:t xml:space="preserve"> &amp; </w:t>
            </w:r>
            <w:hyperlink r:id="rId95">
              <w:r w:rsidR="003F4F52" w:rsidRPr="00D26A35">
                <w:rPr>
                  <w:rFonts w:eastAsia="Calibri" w:cs="Calibri"/>
                  <w:sz w:val="20"/>
                  <w:szCs w:val="20"/>
                  <w:lang w:val="en-US"/>
                </w:rPr>
                <w:t>PP R</w:t>
              </w:r>
              <w:r w:rsidR="00DF2C2F" w:rsidRPr="00D26A35">
                <w:rPr>
                  <w:rFonts w:eastAsia="Calibri" w:cs="Calibri"/>
                  <w:sz w:val="20"/>
                  <w:szCs w:val="20"/>
                  <w:lang w:val="en-US"/>
                </w:rPr>
                <w:t>es.</w:t>
              </w:r>
              <w:r w:rsidR="003F4F52" w:rsidRPr="00D26A35">
                <w:rPr>
                  <w:rFonts w:eastAsia="Calibri" w:cs="Calibri"/>
                  <w:sz w:val="20"/>
                  <w:szCs w:val="20"/>
                  <w:lang w:val="en-US"/>
                </w:rPr>
                <w:t xml:space="preserve"> 175 (Rev. Dubai (2018) on </w:t>
              </w:r>
            </w:hyperlink>
            <w:r w:rsidR="003F4F52" w:rsidRPr="00D26A35">
              <w:rPr>
                <w:rFonts w:eastAsia="Calibri" w:cs="Calibri"/>
                <w:sz w:val="20"/>
                <w:szCs w:val="20"/>
                <w:lang w:val="en-US"/>
              </w:rPr>
              <w:t>Telecommunication/information and communication technology accessibility for persons with disabilities and persons with specific needs</w:t>
            </w:r>
          </w:p>
          <w:p w14:paraId="4400339F" w14:textId="4035EE12" w:rsidR="003F4F52" w:rsidRPr="00D26A35" w:rsidRDefault="003F4F52" w:rsidP="007222FB">
            <w:pPr>
              <w:rPr>
                <w:rFonts w:eastAsia="Calibri" w:cs="Calibri"/>
                <w:sz w:val="20"/>
                <w:szCs w:val="20"/>
                <w:lang w:val="en-US"/>
              </w:rPr>
            </w:pPr>
            <w:r w:rsidRPr="00D26A35">
              <w:br/>
            </w:r>
            <w:r w:rsidRPr="00D26A35">
              <w:rPr>
                <w:rFonts w:eastAsia="Calibri" w:cs="Calibri"/>
                <w:sz w:val="20"/>
                <w:szCs w:val="20"/>
                <w:lang w:val="en-US"/>
              </w:rPr>
              <w:t>ITU Strategic Goal Nr 2 Inclusiveness target 2.9</w:t>
            </w:r>
            <w:r w:rsidR="007222FB" w:rsidRPr="00D26A35">
              <w:rPr>
                <w:rFonts w:eastAsia="Calibri" w:cs="Calibri"/>
                <w:i/>
                <w:iCs/>
                <w:sz w:val="20"/>
                <w:szCs w:val="20"/>
                <w:lang w:val="en-US"/>
              </w:rPr>
              <w:t>”</w:t>
            </w:r>
            <w:r w:rsidRPr="00D26A35">
              <w:rPr>
                <w:rFonts w:eastAsia="Calibri" w:cs="Calibri"/>
                <w:i/>
                <w:iCs/>
                <w:sz w:val="20"/>
                <w:szCs w:val="20"/>
                <w:lang w:val="en-US"/>
              </w:rPr>
              <w:t>Enabling environments ensuring accessible telecommunication/ICT for persons with disabilities should be established in all countries by 2023</w:t>
            </w:r>
            <w:r w:rsidR="007222FB" w:rsidRPr="00D26A35">
              <w:rPr>
                <w:rFonts w:eastAsia="Calibri" w:cs="Calibri"/>
                <w:i/>
                <w:iCs/>
                <w:sz w:val="20"/>
                <w:szCs w:val="20"/>
                <w:lang w:val="en-US"/>
              </w:rPr>
              <w:t>”</w:t>
            </w:r>
          </w:p>
          <w:p w14:paraId="56C94263" w14:textId="77777777" w:rsidR="003F4F52" w:rsidRPr="00D26A35" w:rsidRDefault="003F4F52" w:rsidP="007222FB">
            <w:pPr>
              <w:rPr>
                <w:rFonts w:eastAsia="Calibri" w:cs="Calibri"/>
                <w:sz w:val="20"/>
                <w:szCs w:val="20"/>
                <w:lang w:val="en-US"/>
              </w:rPr>
            </w:pPr>
            <w:r w:rsidRPr="00D26A35">
              <w:br/>
            </w:r>
            <w:r w:rsidRPr="00D26A35">
              <w:rPr>
                <w:rFonts w:eastAsia="Calibri" w:cs="Calibri"/>
                <w:sz w:val="20"/>
                <w:szCs w:val="20"/>
                <w:lang w:val="en-US"/>
              </w:rPr>
              <w:t>United Nations Disability Inclusion Strategy (CEB/2019/1/Add.6)</w:t>
            </w:r>
          </w:p>
        </w:tc>
        <w:tc>
          <w:tcPr>
            <w:tcW w:w="1843" w:type="dxa"/>
          </w:tcPr>
          <w:p w14:paraId="0204B1D3" w14:textId="77777777" w:rsidR="003F4F52" w:rsidRPr="00D26A35" w:rsidRDefault="003F4F52" w:rsidP="007222FB">
            <w:pPr>
              <w:rPr>
                <w:rFonts w:eastAsia="Calibri" w:cs="Calibri"/>
                <w:sz w:val="20"/>
                <w:szCs w:val="20"/>
              </w:rPr>
            </w:pPr>
            <w:r w:rsidRPr="00D26A35">
              <w:rPr>
                <w:rFonts w:eastAsia="Calibri" w:cs="Calibri"/>
                <w:color w:val="000000" w:themeColor="text1"/>
                <w:sz w:val="19"/>
                <w:szCs w:val="19"/>
              </w:rPr>
              <w:t>a)</w:t>
            </w:r>
            <w:r w:rsidRPr="00D26A35">
              <w:rPr>
                <w:rFonts w:eastAsia="Calibri" w:cs="Calibri"/>
                <w:sz w:val="20"/>
                <w:szCs w:val="20"/>
              </w:rPr>
              <w:t xml:space="preserve"> 1 or 2 physical meetings.</w:t>
            </w:r>
          </w:p>
          <w:p w14:paraId="2AFB37EC" w14:textId="77777777" w:rsidR="003F4F52" w:rsidRPr="00D26A35" w:rsidRDefault="003F4F52" w:rsidP="007222FB">
            <w:pPr>
              <w:rPr>
                <w:rFonts w:eastAsia="Calibri" w:cs="Calibri"/>
                <w:sz w:val="20"/>
                <w:szCs w:val="20"/>
              </w:rPr>
            </w:pPr>
            <w:r w:rsidRPr="00D26A35">
              <w:rPr>
                <w:rFonts w:eastAsia="Calibri" w:cs="Calibri"/>
                <w:color w:val="000000" w:themeColor="text1"/>
                <w:sz w:val="19"/>
                <w:szCs w:val="19"/>
              </w:rPr>
              <w:t>b)</w:t>
            </w:r>
            <w:r w:rsidRPr="00D26A35">
              <w:rPr>
                <w:rFonts w:eastAsia="Calibri" w:cs="Calibri"/>
                <w:sz w:val="20"/>
                <w:szCs w:val="20"/>
              </w:rPr>
              <w:t xml:space="preserve"> online monthly or regular meetings.</w:t>
            </w:r>
          </w:p>
          <w:p w14:paraId="53CAF2E3" w14:textId="7BE8C8AA" w:rsidR="003F4F52" w:rsidRPr="00D26A35" w:rsidRDefault="003F4F52" w:rsidP="002629EA">
            <w:pPr>
              <w:rPr>
                <w:rFonts w:eastAsia="Calibri" w:cs="Calibri"/>
                <w:sz w:val="20"/>
                <w:szCs w:val="20"/>
              </w:rPr>
            </w:pPr>
            <w:r w:rsidRPr="00D26A35">
              <w:rPr>
                <w:rFonts w:eastAsia="Calibri" w:cs="Calibri"/>
                <w:color w:val="000000" w:themeColor="text1"/>
                <w:sz w:val="19"/>
                <w:szCs w:val="19"/>
              </w:rPr>
              <w:t>c)</w:t>
            </w:r>
            <w:r w:rsidRPr="00D26A35">
              <w:rPr>
                <w:rFonts w:eastAsia="Calibri" w:cs="Calibri"/>
                <w:sz w:val="20"/>
                <w:szCs w:val="20"/>
              </w:rPr>
              <w:t xml:space="preserve"> reporting and requests for inputs </w:t>
            </w:r>
          </w:p>
        </w:tc>
        <w:tc>
          <w:tcPr>
            <w:tcW w:w="1984" w:type="dxa"/>
          </w:tcPr>
          <w:p w14:paraId="2BD4D651" w14:textId="77777777" w:rsidR="003F4F52" w:rsidRPr="00D26A35" w:rsidRDefault="003F4F52" w:rsidP="007222FB">
            <w:pPr>
              <w:rPr>
                <w:rFonts w:eastAsia="Calibri" w:cs="Calibri"/>
                <w:sz w:val="20"/>
                <w:szCs w:val="20"/>
              </w:rPr>
            </w:pPr>
            <w:r w:rsidRPr="00D26A35">
              <w:rPr>
                <w:rFonts w:eastAsia="Calibri" w:cs="Calibri"/>
                <w:sz w:val="20"/>
                <w:szCs w:val="20"/>
              </w:rPr>
              <w:t xml:space="preserve">Min. 10 working days/year </w:t>
            </w:r>
          </w:p>
        </w:tc>
        <w:tc>
          <w:tcPr>
            <w:tcW w:w="1843" w:type="dxa"/>
          </w:tcPr>
          <w:p w14:paraId="1F2EB1D3" w14:textId="77777777" w:rsidR="003F4F52" w:rsidRPr="00D26A35" w:rsidRDefault="003F4F52" w:rsidP="007222FB">
            <w:pPr>
              <w:rPr>
                <w:rFonts w:eastAsia="Calibri" w:cs="Calibri"/>
                <w:sz w:val="20"/>
                <w:szCs w:val="20"/>
              </w:rPr>
            </w:pPr>
            <w:r w:rsidRPr="00D26A35">
              <w:rPr>
                <w:rFonts w:eastAsia="Calibri" w:cs="Calibri"/>
                <w:sz w:val="20"/>
                <w:szCs w:val="20"/>
              </w:rPr>
              <w:t xml:space="preserve">Travel +DSA </w:t>
            </w:r>
          </w:p>
          <w:p w14:paraId="5D68C1AB" w14:textId="2ED4FD27" w:rsidR="003F4F52" w:rsidRPr="00D26A35" w:rsidRDefault="003F4F52" w:rsidP="007222FB">
            <w:pPr>
              <w:rPr>
                <w:rFonts w:eastAsia="Calibri" w:cs="Calibri"/>
                <w:sz w:val="20"/>
                <w:szCs w:val="20"/>
              </w:rPr>
            </w:pPr>
            <w:r w:rsidRPr="00D26A35">
              <w:rPr>
                <w:rFonts w:eastAsia="Calibri" w:cs="Calibri"/>
                <w:sz w:val="20"/>
                <w:szCs w:val="20"/>
              </w:rPr>
              <w:t>(Ap</w:t>
            </w:r>
            <w:r w:rsidR="00DF2C2F" w:rsidRPr="00D26A35">
              <w:rPr>
                <w:rFonts w:eastAsia="Calibri" w:cs="Calibri"/>
                <w:sz w:val="20"/>
                <w:szCs w:val="20"/>
              </w:rPr>
              <w:t>p</w:t>
            </w:r>
            <w:r w:rsidRPr="00D26A35">
              <w:rPr>
                <w:rFonts w:eastAsia="Calibri" w:cs="Calibri"/>
                <w:sz w:val="20"/>
                <w:szCs w:val="20"/>
              </w:rPr>
              <w:t>r</w:t>
            </w:r>
            <w:r w:rsidR="002629EA" w:rsidRPr="00D26A35">
              <w:rPr>
                <w:rFonts w:eastAsia="Calibri" w:cs="Calibri"/>
                <w:sz w:val="20"/>
                <w:szCs w:val="20"/>
              </w:rPr>
              <w:t>o</w:t>
            </w:r>
            <w:r w:rsidRPr="00D26A35">
              <w:rPr>
                <w:rFonts w:eastAsia="Calibri" w:cs="Calibri"/>
                <w:sz w:val="20"/>
                <w:szCs w:val="20"/>
              </w:rPr>
              <w:t>x.</w:t>
            </w:r>
            <w:r w:rsidR="00B33C77" w:rsidRPr="00D26A35">
              <w:rPr>
                <w:rFonts w:eastAsia="Calibri" w:cs="Calibri"/>
                <w:sz w:val="20"/>
                <w:szCs w:val="20"/>
              </w:rPr>
              <w:t xml:space="preserve"> </w:t>
            </w:r>
            <w:r w:rsidRPr="00D26A35">
              <w:rPr>
                <w:rFonts w:eastAsia="Calibri" w:cs="Calibri"/>
                <w:sz w:val="20"/>
                <w:szCs w:val="20"/>
              </w:rPr>
              <w:t>3 days)</w:t>
            </w:r>
          </w:p>
          <w:p w14:paraId="16DAAB0B" w14:textId="77777777" w:rsidR="003F4F52" w:rsidRPr="00D26A35" w:rsidRDefault="003F4F52" w:rsidP="007222FB">
            <w:pPr>
              <w:rPr>
                <w:rFonts w:eastAsia="Calibri" w:cs="Calibri"/>
                <w:i/>
                <w:iCs/>
                <w:sz w:val="20"/>
                <w:szCs w:val="20"/>
              </w:rPr>
            </w:pPr>
            <w:r w:rsidRPr="00D26A35">
              <w:rPr>
                <w:rFonts w:eastAsia="Calibri" w:cs="Calibri"/>
                <w:i/>
                <w:iCs/>
                <w:sz w:val="20"/>
                <w:szCs w:val="20"/>
              </w:rPr>
              <w:t>Financial implications not fully known at present)</w:t>
            </w:r>
          </w:p>
          <w:p w14:paraId="0A298CB9" w14:textId="77777777" w:rsidR="003F4F52" w:rsidRPr="00D26A35" w:rsidRDefault="003F4F52" w:rsidP="007222FB">
            <w:pPr>
              <w:rPr>
                <w:rFonts w:eastAsia="Calibri" w:cs="Calibri"/>
                <w:sz w:val="20"/>
                <w:szCs w:val="20"/>
              </w:rPr>
            </w:pPr>
          </w:p>
        </w:tc>
      </w:tr>
      <w:tr w:rsidR="003F4F52" w:rsidRPr="00D26A35" w14:paraId="116081A8" w14:textId="77777777" w:rsidTr="00DF2C2F">
        <w:trPr>
          <w:tblHeader/>
          <w:jc w:val="center"/>
        </w:trPr>
        <w:tc>
          <w:tcPr>
            <w:tcW w:w="1907" w:type="dxa"/>
          </w:tcPr>
          <w:p w14:paraId="15A7FE6D" w14:textId="77777777" w:rsidR="003F4F52" w:rsidRPr="00D26A35" w:rsidRDefault="003F4F52" w:rsidP="007222FB">
            <w:pPr>
              <w:rPr>
                <w:rFonts w:eastAsia="Calibri" w:cs="Calibri"/>
                <w:sz w:val="20"/>
                <w:szCs w:val="20"/>
              </w:rPr>
            </w:pPr>
            <w:r w:rsidRPr="00D26A35">
              <w:rPr>
                <w:rFonts w:eastAsia="Calibri" w:cs="Calibri"/>
                <w:sz w:val="20"/>
                <w:szCs w:val="20"/>
                <w:lang w:val="en-US"/>
              </w:rPr>
              <w:t>United Nations Disability Inclusion Strategy (</w:t>
            </w:r>
            <w:r w:rsidRPr="00D26A35">
              <w:rPr>
                <w:rFonts w:eastAsia="Calibri" w:cs="Calibri"/>
                <w:sz w:val="20"/>
                <w:szCs w:val="20"/>
              </w:rPr>
              <w:t>UNDIS)</w:t>
            </w:r>
          </w:p>
        </w:tc>
        <w:tc>
          <w:tcPr>
            <w:tcW w:w="3850" w:type="dxa"/>
          </w:tcPr>
          <w:p w14:paraId="68D869BF" w14:textId="77777777" w:rsidR="003F4F52" w:rsidRPr="00D26A35" w:rsidRDefault="003F4F52" w:rsidP="007222FB">
            <w:pPr>
              <w:rPr>
                <w:rFonts w:eastAsia="Calibri" w:cs="Calibri"/>
                <w:sz w:val="20"/>
                <w:szCs w:val="20"/>
              </w:rPr>
            </w:pPr>
            <w:r w:rsidRPr="00D26A35">
              <w:rPr>
                <w:rFonts w:eastAsia="Calibri" w:cs="Calibri"/>
                <w:sz w:val="20"/>
                <w:szCs w:val="20"/>
              </w:rPr>
              <w:t xml:space="preserve">The Strategy provides the foundation for sustainable and transformative progress on disability inclusion through all pillars of the work of the United Nations and target to strengthen system-wide accessibility for persons with disabilities and the mainstreaming of their rights.    </w:t>
            </w:r>
          </w:p>
        </w:tc>
        <w:tc>
          <w:tcPr>
            <w:tcW w:w="3457" w:type="dxa"/>
          </w:tcPr>
          <w:p w14:paraId="515DAF89" w14:textId="77777777" w:rsidR="003F4F52" w:rsidRPr="00D26A35" w:rsidRDefault="003F4F52" w:rsidP="007222FB">
            <w:pPr>
              <w:rPr>
                <w:rFonts w:eastAsia="Calibri" w:cs="Calibri"/>
                <w:sz w:val="20"/>
                <w:szCs w:val="20"/>
                <w:lang w:val="en-US"/>
              </w:rPr>
            </w:pPr>
            <w:r w:rsidRPr="00D26A35">
              <w:rPr>
                <w:rFonts w:eastAsia="Calibri" w:cs="Calibri"/>
                <w:sz w:val="20"/>
                <w:szCs w:val="20"/>
                <w:lang w:val="en-US"/>
              </w:rPr>
              <w:t>Disability Inclusion Strategy (CEB/2019/1/Add.6)</w:t>
            </w:r>
          </w:p>
        </w:tc>
        <w:tc>
          <w:tcPr>
            <w:tcW w:w="1843" w:type="dxa"/>
          </w:tcPr>
          <w:p w14:paraId="06F62729" w14:textId="0974D633" w:rsidR="003F4F52" w:rsidRPr="00D26A35" w:rsidRDefault="003F4F52" w:rsidP="007222FB">
            <w:pPr>
              <w:rPr>
                <w:rFonts w:eastAsia="Calibri" w:cs="Calibri"/>
                <w:sz w:val="20"/>
                <w:szCs w:val="20"/>
              </w:rPr>
            </w:pPr>
            <w:r w:rsidRPr="00D26A35">
              <w:rPr>
                <w:rFonts w:eastAsia="Calibri" w:cs="Calibri"/>
                <w:color w:val="000000" w:themeColor="text1"/>
                <w:sz w:val="19"/>
                <w:szCs w:val="19"/>
              </w:rPr>
              <w:t>a)</w:t>
            </w:r>
            <w:r w:rsidRPr="00D26A35">
              <w:rPr>
                <w:rFonts w:eastAsia="Calibri" w:cs="Calibri"/>
                <w:sz w:val="20"/>
                <w:szCs w:val="20"/>
              </w:rPr>
              <w:t xml:space="preserve"> possible</w:t>
            </w:r>
            <w:r w:rsidR="00B33C77" w:rsidRPr="00D26A35">
              <w:rPr>
                <w:rFonts w:eastAsia="Calibri" w:cs="Calibri"/>
                <w:sz w:val="20"/>
                <w:szCs w:val="20"/>
              </w:rPr>
              <w:t xml:space="preserve"> </w:t>
            </w:r>
            <w:r w:rsidRPr="00D26A35">
              <w:rPr>
                <w:rFonts w:eastAsia="Calibri" w:cs="Calibri"/>
                <w:sz w:val="20"/>
                <w:szCs w:val="20"/>
              </w:rPr>
              <w:t>1 physical meeting</w:t>
            </w:r>
          </w:p>
          <w:p w14:paraId="07CE284B" w14:textId="77777777" w:rsidR="003F4F52" w:rsidRPr="00D26A35" w:rsidRDefault="003F4F52" w:rsidP="007222FB">
            <w:pPr>
              <w:rPr>
                <w:rFonts w:eastAsia="Calibri" w:cs="Calibri"/>
                <w:sz w:val="20"/>
                <w:szCs w:val="20"/>
              </w:rPr>
            </w:pPr>
            <w:r w:rsidRPr="00D26A35">
              <w:rPr>
                <w:rFonts w:eastAsia="Calibri" w:cs="Calibri"/>
                <w:color w:val="000000" w:themeColor="text1"/>
                <w:sz w:val="19"/>
                <w:szCs w:val="19"/>
              </w:rPr>
              <w:t>b)</w:t>
            </w:r>
            <w:r w:rsidRPr="00D26A35">
              <w:rPr>
                <w:rFonts w:eastAsia="Calibri" w:cs="Calibri"/>
                <w:sz w:val="20"/>
                <w:szCs w:val="20"/>
              </w:rPr>
              <w:t xml:space="preserve"> online monthly or regular meetings</w:t>
            </w:r>
          </w:p>
          <w:p w14:paraId="0C971767" w14:textId="2F7BC3EA" w:rsidR="003F4F52" w:rsidRPr="00D26A35" w:rsidRDefault="003F4F52" w:rsidP="002629EA">
            <w:pPr>
              <w:rPr>
                <w:rFonts w:eastAsia="Calibri" w:cs="Calibri"/>
                <w:sz w:val="20"/>
                <w:szCs w:val="20"/>
              </w:rPr>
            </w:pPr>
            <w:r w:rsidRPr="00D26A35">
              <w:rPr>
                <w:rFonts w:eastAsia="Calibri" w:cs="Calibri"/>
                <w:color w:val="000000" w:themeColor="text1"/>
                <w:sz w:val="19"/>
                <w:szCs w:val="19"/>
              </w:rPr>
              <w:t xml:space="preserve">c) </w:t>
            </w:r>
            <w:r w:rsidRPr="00D26A35">
              <w:rPr>
                <w:rFonts w:eastAsia="Calibri" w:cs="Calibri"/>
                <w:sz w:val="20"/>
                <w:szCs w:val="20"/>
              </w:rPr>
              <w:t xml:space="preserve">reporting and requests for inputs </w:t>
            </w:r>
          </w:p>
        </w:tc>
        <w:tc>
          <w:tcPr>
            <w:tcW w:w="1984" w:type="dxa"/>
          </w:tcPr>
          <w:p w14:paraId="1B699234" w14:textId="3C009E3B" w:rsidR="003F4F52" w:rsidRPr="00D26A35" w:rsidRDefault="003F4F52" w:rsidP="007222FB">
            <w:pPr>
              <w:rPr>
                <w:rFonts w:eastAsia="Calibri" w:cs="Calibri"/>
                <w:sz w:val="20"/>
                <w:szCs w:val="20"/>
              </w:rPr>
            </w:pPr>
            <w:r w:rsidRPr="00D26A35">
              <w:rPr>
                <w:rFonts w:eastAsia="Calibri" w:cs="Calibri"/>
                <w:sz w:val="20"/>
                <w:szCs w:val="20"/>
              </w:rPr>
              <w:t>A</w:t>
            </w:r>
            <w:r w:rsidR="00DF2C2F" w:rsidRPr="00D26A35">
              <w:rPr>
                <w:rFonts w:eastAsia="Calibri" w:cs="Calibri"/>
                <w:sz w:val="20"/>
                <w:szCs w:val="20"/>
              </w:rPr>
              <w:t>p</w:t>
            </w:r>
            <w:r w:rsidRPr="00D26A35">
              <w:rPr>
                <w:rFonts w:eastAsia="Calibri" w:cs="Calibri"/>
                <w:sz w:val="20"/>
                <w:szCs w:val="20"/>
              </w:rPr>
              <w:t>prox.</w:t>
            </w:r>
            <w:r w:rsidR="00B33C77" w:rsidRPr="00D26A35">
              <w:rPr>
                <w:rFonts w:eastAsia="Calibri" w:cs="Calibri"/>
                <w:sz w:val="20"/>
                <w:szCs w:val="20"/>
              </w:rPr>
              <w:t xml:space="preserve"> </w:t>
            </w:r>
            <w:r w:rsidRPr="00D26A35">
              <w:rPr>
                <w:rFonts w:eastAsia="Calibri" w:cs="Calibri"/>
                <w:sz w:val="20"/>
                <w:szCs w:val="20"/>
              </w:rPr>
              <w:t xml:space="preserve">10 working days/year </w:t>
            </w:r>
          </w:p>
          <w:p w14:paraId="3C1A88D1" w14:textId="77777777" w:rsidR="003F4F52" w:rsidRPr="00D26A35" w:rsidRDefault="003F4F52" w:rsidP="007222FB">
            <w:pPr>
              <w:rPr>
                <w:rFonts w:eastAsia="Calibri" w:cs="Calibri"/>
                <w:i/>
                <w:iCs/>
                <w:sz w:val="20"/>
                <w:szCs w:val="20"/>
              </w:rPr>
            </w:pPr>
          </w:p>
        </w:tc>
        <w:tc>
          <w:tcPr>
            <w:tcW w:w="1843" w:type="dxa"/>
          </w:tcPr>
          <w:p w14:paraId="60FF8F0B" w14:textId="7EC307D5" w:rsidR="003F4F52" w:rsidRPr="00D26A35" w:rsidRDefault="003F4F52" w:rsidP="007222FB">
            <w:pPr>
              <w:rPr>
                <w:rFonts w:eastAsia="Calibri" w:cs="Calibri"/>
                <w:sz w:val="20"/>
                <w:szCs w:val="20"/>
              </w:rPr>
            </w:pPr>
            <w:r w:rsidRPr="00D26A35">
              <w:rPr>
                <w:rFonts w:eastAsia="Calibri" w:cs="Calibri"/>
                <w:sz w:val="20"/>
                <w:szCs w:val="20"/>
              </w:rPr>
              <w:t xml:space="preserve">Possible travel + DSA </w:t>
            </w:r>
            <w:r w:rsidRPr="00D26A35">
              <w:br/>
            </w:r>
            <w:r w:rsidRPr="00D26A35">
              <w:rPr>
                <w:rFonts w:eastAsia="Calibri" w:cs="Calibri"/>
                <w:sz w:val="20"/>
                <w:szCs w:val="20"/>
              </w:rPr>
              <w:t>(Ap</w:t>
            </w:r>
            <w:r w:rsidR="00DF2C2F" w:rsidRPr="00D26A35">
              <w:rPr>
                <w:rFonts w:eastAsia="Calibri" w:cs="Calibri"/>
                <w:sz w:val="20"/>
                <w:szCs w:val="20"/>
              </w:rPr>
              <w:t>p</w:t>
            </w:r>
            <w:r w:rsidRPr="00D26A35">
              <w:rPr>
                <w:rFonts w:eastAsia="Calibri" w:cs="Calibri"/>
                <w:sz w:val="20"/>
                <w:szCs w:val="20"/>
              </w:rPr>
              <w:t>rox.</w:t>
            </w:r>
            <w:r w:rsidR="00B33C77" w:rsidRPr="00D26A35">
              <w:rPr>
                <w:rFonts w:eastAsia="Calibri" w:cs="Calibri"/>
                <w:sz w:val="20"/>
                <w:szCs w:val="20"/>
              </w:rPr>
              <w:t xml:space="preserve"> </w:t>
            </w:r>
            <w:r w:rsidRPr="00D26A35">
              <w:rPr>
                <w:rFonts w:eastAsia="Calibri" w:cs="Calibri"/>
                <w:sz w:val="20"/>
                <w:szCs w:val="20"/>
              </w:rPr>
              <w:t>2 or 3 days)</w:t>
            </w:r>
          </w:p>
          <w:p w14:paraId="1E7F36A8" w14:textId="3ED94012" w:rsidR="003F4F52" w:rsidRPr="00D26A35" w:rsidRDefault="003F4F52" w:rsidP="007222FB">
            <w:pPr>
              <w:rPr>
                <w:rFonts w:eastAsia="Calibri" w:cs="Calibri"/>
                <w:i/>
                <w:iCs/>
                <w:sz w:val="20"/>
                <w:szCs w:val="20"/>
              </w:rPr>
            </w:pPr>
            <w:r w:rsidRPr="00D26A35">
              <w:rPr>
                <w:rFonts w:eastAsia="Calibri" w:cs="Calibri"/>
                <w:i/>
                <w:iCs/>
                <w:sz w:val="20"/>
                <w:szCs w:val="20"/>
              </w:rPr>
              <w:t>Fina</w:t>
            </w:r>
            <w:r w:rsidR="002629EA" w:rsidRPr="00D26A35">
              <w:rPr>
                <w:rFonts w:eastAsia="Calibri" w:cs="Calibri"/>
                <w:i/>
                <w:iCs/>
                <w:sz w:val="20"/>
                <w:szCs w:val="20"/>
              </w:rPr>
              <w:t>n</w:t>
            </w:r>
            <w:r w:rsidRPr="00D26A35">
              <w:rPr>
                <w:rFonts w:eastAsia="Calibri" w:cs="Calibri"/>
                <w:i/>
                <w:iCs/>
                <w:sz w:val="20"/>
                <w:szCs w:val="20"/>
              </w:rPr>
              <w:t>cial implications not fully known at present)</w:t>
            </w:r>
          </w:p>
        </w:tc>
      </w:tr>
      <w:tr w:rsidR="003F4F52" w:rsidRPr="00D26A35" w14:paraId="3294D9C2" w14:textId="77777777" w:rsidTr="00DF2C2F">
        <w:trPr>
          <w:tblHeader/>
          <w:jc w:val="center"/>
        </w:trPr>
        <w:tc>
          <w:tcPr>
            <w:tcW w:w="1907" w:type="dxa"/>
          </w:tcPr>
          <w:p w14:paraId="3C893A5A" w14:textId="624A2AD5" w:rsidR="003F4F52" w:rsidRPr="00D26A35" w:rsidRDefault="00CA2100" w:rsidP="00B33C77">
            <w:pPr>
              <w:rPr>
                <w:rFonts w:eastAsia="Calibri" w:cs="Calibri"/>
                <w:sz w:val="20"/>
                <w:szCs w:val="20"/>
                <w:lang w:val="en-US"/>
              </w:rPr>
            </w:pPr>
            <w:hyperlink r:id="rId96">
              <w:r w:rsidR="003F4F52" w:rsidRPr="00D26A35">
                <w:rPr>
                  <w:rStyle w:val="Hyperlink"/>
                  <w:rFonts w:eastAsia="Calibri" w:cs="Calibri"/>
                  <w:color w:val="000000" w:themeColor="text1"/>
                  <w:sz w:val="20"/>
                  <w:szCs w:val="20"/>
                  <w:lang w:val="en-US"/>
                </w:rPr>
                <w:t>Inter-Agency Support Group on Indigenous Issues (IASG – Indigenous Issues</w:t>
              </w:r>
            </w:hyperlink>
            <w:r w:rsidR="003F4F52" w:rsidRPr="00D26A35">
              <w:rPr>
                <w:rFonts w:eastAsia="Calibri" w:cs="Calibri"/>
                <w:color w:val="000000" w:themeColor="text1"/>
                <w:sz w:val="20"/>
                <w:szCs w:val="20"/>
                <w:lang w:val="en-US"/>
              </w:rPr>
              <w:t>)</w:t>
            </w:r>
            <w:r w:rsidR="003F4F52" w:rsidRPr="00D26A35">
              <w:rPr>
                <w:rFonts w:eastAsia="Calibri" w:cs="Calibri"/>
                <w:sz w:val="20"/>
                <w:szCs w:val="20"/>
                <w:lang w:val="en-US"/>
              </w:rPr>
              <w:t xml:space="preserve"> </w:t>
            </w:r>
          </w:p>
        </w:tc>
        <w:tc>
          <w:tcPr>
            <w:tcW w:w="3850" w:type="dxa"/>
          </w:tcPr>
          <w:p w14:paraId="77906CA7" w14:textId="77777777" w:rsidR="003F4F52" w:rsidRPr="00D26A35" w:rsidRDefault="003F4F52" w:rsidP="007222FB">
            <w:pPr>
              <w:rPr>
                <w:rFonts w:eastAsia="Calibri" w:cs="Calibri"/>
                <w:sz w:val="20"/>
                <w:szCs w:val="20"/>
              </w:rPr>
            </w:pPr>
            <w:r w:rsidRPr="00D26A35">
              <w:rPr>
                <w:rFonts w:eastAsia="Calibri" w:cs="Calibri"/>
                <w:sz w:val="20"/>
                <w:szCs w:val="20"/>
              </w:rPr>
              <w:t xml:space="preserve">Tasked to ensure that Indigenous People cultural legacy and needs are </w:t>
            </w:r>
            <w:proofErr w:type="gramStart"/>
            <w:r w:rsidRPr="00D26A35">
              <w:rPr>
                <w:rFonts w:eastAsia="Calibri" w:cs="Calibri"/>
                <w:sz w:val="20"/>
                <w:szCs w:val="20"/>
              </w:rPr>
              <w:t>taken into account</w:t>
            </w:r>
            <w:proofErr w:type="gramEnd"/>
            <w:r w:rsidRPr="00D26A35">
              <w:rPr>
                <w:rFonts w:eastAsia="Calibri" w:cs="Calibri"/>
                <w:sz w:val="20"/>
                <w:szCs w:val="20"/>
              </w:rPr>
              <w:t xml:space="preserve"> and addressed within the global 4</w:t>
            </w:r>
            <w:r w:rsidRPr="00D26A35">
              <w:rPr>
                <w:rFonts w:eastAsia="Calibri" w:cs="Calibri"/>
                <w:sz w:val="20"/>
                <w:szCs w:val="20"/>
                <w:vertAlign w:val="superscript"/>
              </w:rPr>
              <w:t>th</w:t>
            </w:r>
            <w:r w:rsidRPr="00D26A35">
              <w:rPr>
                <w:rFonts w:eastAsia="Calibri" w:cs="Calibri"/>
                <w:sz w:val="20"/>
                <w:szCs w:val="20"/>
              </w:rPr>
              <w:t xml:space="preserve"> Industrial revolution. </w:t>
            </w:r>
          </w:p>
        </w:tc>
        <w:tc>
          <w:tcPr>
            <w:tcW w:w="3457" w:type="dxa"/>
          </w:tcPr>
          <w:p w14:paraId="7AA53A53" w14:textId="77777777" w:rsidR="003F4F52" w:rsidRPr="00D26A35" w:rsidRDefault="00CA2100" w:rsidP="007222FB">
            <w:hyperlink r:id="rId97">
              <w:r w:rsidR="003F4F52" w:rsidRPr="00D26A35">
                <w:rPr>
                  <w:rStyle w:val="Hyperlink"/>
                  <w:rFonts w:eastAsia="Calibri" w:cs="Calibri"/>
                  <w:sz w:val="20"/>
                  <w:szCs w:val="20"/>
                  <w:lang w:val="en-US"/>
                </w:rPr>
                <w:t xml:space="preserve">RESOLUTION 1225405 UN Resolution </w:t>
              </w:r>
              <w:r w:rsidR="003F4F52" w:rsidRPr="00D26A35">
                <w:br/>
              </w:r>
              <w:r w:rsidR="003F4F52" w:rsidRPr="00D26A35">
                <w:rPr>
                  <w:rStyle w:val="Hyperlink"/>
                  <w:rFonts w:eastAsia="Calibri" w:cs="Calibri"/>
                  <w:sz w:val="20"/>
                  <w:szCs w:val="20"/>
                  <w:lang w:val="en-US"/>
                </w:rPr>
                <w:t xml:space="preserve">(2012) </w:t>
              </w:r>
            </w:hyperlink>
            <w:r w:rsidR="003F4F52" w:rsidRPr="00D26A35">
              <w:rPr>
                <w:rFonts w:eastAsia="Calibri" w:cs="Calibri"/>
                <w:sz w:val="20"/>
                <w:szCs w:val="20"/>
                <w:lang w:val="en-US"/>
              </w:rPr>
              <w:t xml:space="preserve">- Indigenous women: key actors in poverty and hunger eradication </w:t>
            </w:r>
          </w:p>
          <w:p w14:paraId="2FBB8581" w14:textId="77777777" w:rsidR="003F4F52" w:rsidRPr="00D26A35" w:rsidRDefault="00CA2100" w:rsidP="007222FB">
            <w:hyperlink r:id="rId98">
              <w:r w:rsidR="003F4F52" w:rsidRPr="00D26A35">
                <w:rPr>
                  <w:rStyle w:val="Hyperlink"/>
                  <w:rFonts w:eastAsia="Calibri" w:cs="Calibri"/>
                  <w:sz w:val="20"/>
                  <w:szCs w:val="20"/>
                  <w:lang w:val="en-US"/>
                </w:rPr>
                <w:t>PP RESOLUTION  184  (Guadalajara, 2010)</w:t>
              </w:r>
            </w:hyperlink>
            <w:r w:rsidR="003F4F52" w:rsidRPr="00D26A35">
              <w:rPr>
                <w:rFonts w:eastAsia="Calibri" w:cs="Calibri"/>
                <w:sz w:val="20"/>
                <w:szCs w:val="20"/>
                <w:lang w:val="en-US"/>
              </w:rPr>
              <w:t xml:space="preserve"> - Facilitating digital inclusion initiatives for indigenous peoples</w:t>
            </w:r>
          </w:p>
          <w:p w14:paraId="47FD6960" w14:textId="77777777" w:rsidR="003F4F52" w:rsidRPr="00D26A35" w:rsidRDefault="00CA2100" w:rsidP="007222FB">
            <w:hyperlink r:id="rId99" w:anchor="page=296">
              <w:r w:rsidR="003F4F52" w:rsidRPr="00D26A35">
                <w:rPr>
                  <w:rStyle w:val="Hyperlink"/>
                  <w:rFonts w:eastAsia="Calibri" w:cs="Calibri"/>
                  <w:sz w:val="20"/>
                  <w:szCs w:val="20"/>
                  <w:lang w:val="en-US"/>
                </w:rPr>
                <w:t xml:space="preserve">WTDC RESOLUTION 11 (Rev. Buenos Aires, 2017) </w:t>
              </w:r>
            </w:hyperlink>
            <w:r w:rsidR="003F4F52" w:rsidRPr="00D26A35">
              <w:rPr>
                <w:rFonts w:eastAsia="Calibri" w:cs="Calibri"/>
                <w:sz w:val="20"/>
                <w:szCs w:val="20"/>
                <w:lang w:val="en-US"/>
              </w:rPr>
              <w:t xml:space="preserve">-Telecommunication/information and communication technology services in rural, </w:t>
            </w:r>
            <w:proofErr w:type="gramStart"/>
            <w:r w:rsidR="003F4F52" w:rsidRPr="00D26A35">
              <w:rPr>
                <w:rFonts w:eastAsia="Calibri" w:cs="Calibri"/>
                <w:sz w:val="20"/>
                <w:szCs w:val="20"/>
                <w:lang w:val="en-US"/>
              </w:rPr>
              <w:t>isolated</w:t>
            </w:r>
            <w:proofErr w:type="gramEnd"/>
            <w:r w:rsidR="003F4F52" w:rsidRPr="00D26A35">
              <w:rPr>
                <w:rFonts w:eastAsia="Calibri" w:cs="Calibri"/>
                <w:sz w:val="20"/>
                <w:szCs w:val="20"/>
                <w:lang w:val="en-US"/>
              </w:rPr>
              <w:t xml:space="preserve"> and poorly served areas and indigenous communities</w:t>
            </w:r>
          </w:p>
          <w:p w14:paraId="5FC0549A" w14:textId="77777777" w:rsidR="003F4F52" w:rsidRPr="00D26A35" w:rsidRDefault="00CA2100" w:rsidP="007222FB">
            <w:pPr>
              <w:spacing w:line="270" w:lineRule="exact"/>
              <w:rPr>
                <w:rFonts w:eastAsia="Calibri" w:cs="Calibri"/>
                <w:sz w:val="20"/>
                <w:szCs w:val="20"/>
                <w:lang w:val="en-US"/>
              </w:rPr>
            </w:pPr>
            <w:hyperlink r:id="rId100" w:anchor="page=433">
              <w:r w:rsidR="003F4F52" w:rsidRPr="00D26A35">
                <w:rPr>
                  <w:rStyle w:val="Hyperlink"/>
                  <w:rFonts w:eastAsia="Calibri" w:cs="Calibri"/>
                  <w:sz w:val="20"/>
                  <w:szCs w:val="20"/>
                  <w:lang w:val="en-US"/>
                </w:rPr>
                <w:t>WTDC RESOLUTION 46 (Rev. Buenos Aires, 2017)</w:t>
              </w:r>
            </w:hyperlink>
            <w:r w:rsidR="003F4F52" w:rsidRPr="00D26A35">
              <w:rPr>
                <w:rFonts w:eastAsia="Calibri" w:cs="Calibri"/>
                <w:sz w:val="20"/>
                <w:szCs w:val="20"/>
                <w:lang w:val="en-US"/>
              </w:rPr>
              <w:t xml:space="preserve"> - Assistance to indigenous peoples and communities through information and communication technology.</w:t>
            </w:r>
          </w:p>
        </w:tc>
        <w:tc>
          <w:tcPr>
            <w:tcW w:w="1843" w:type="dxa"/>
          </w:tcPr>
          <w:p w14:paraId="707A71C8" w14:textId="77777777" w:rsidR="003F4F52" w:rsidRPr="00D26A35" w:rsidRDefault="003F4F52" w:rsidP="007222FB">
            <w:pPr>
              <w:rPr>
                <w:rFonts w:eastAsia="Calibri" w:cs="Calibri"/>
                <w:sz w:val="20"/>
                <w:szCs w:val="20"/>
              </w:rPr>
            </w:pPr>
            <w:r w:rsidRPr="00D26A35">
              <w:rPr>
                <w:rFonts w:eastAsia="Calibri" w:cs="Calibri"/>
                <w:color w:val="000000" w:themeColor="text1"/>
                <w:sz w:val="19"/>
                <w:szCs w:val="19"/>
              </w:rPr>
              <w:t>a)</w:t>
            </w:r>
            <w:r w:rsidRPr="00D26A35">
              <w:rPr>
                <w:rFonts w:eastAsia="Calibri" w:cs="Calibri"/>
                <w:sz w:val="20"/>
                <w:szCs w:val="20"/>
              </w:rPr>
              <w:t xml:space="preserve"> 1 physical meeting</w:t>
            </w:r>
          </w:p>
          <w:p w14:paraId="5DF048D7" w14:textId="77777777" w:rsidR="003F4F52" w:rsidRPr="00D26A35" w:rsidRDefault="003F4F52" w:rsidP="007222FB">
            <w:pPr>
              <w:rPr>
                <w:rFonts w:eastAsia="Calibri" w:cs="Calibri"/>
                <w:sz w:val="20"/>
                <w:szCs w:val="20"/>
              </w:rPr>
            </w:pPr>
            <w:r w:rsidRPr="00D26A35">
              <w:rPr>
                <w:rFonts w:eastAsia="Calibri" w:cs="Calibri"/>
                <w:color w:val="000000" w:themeColor="text1"/>
                <w:sz w:val="19"/>
                <w:szCs w:val="19"/>
              </w:rPr>
              <w:t>b)</w:t>
            </w:r>
            <w:r w:rsidRPr="00D26A35">
              <w:rPr>
                <w:rFonts w:eastAsia="Calibri" w:cs="Calibri"/>
                <w:sz w:val="20"/>
                <w:szCs w:val="20"/>
              </w:rPr>
              <w:t xml:space="preserve"> online monthly or regular meetings</w:t>
            </w:r>
          </w:p>
          <w:p w14:paraId="03650FB6" w14:textId="3A17A586" w:rsidR="003F4F52" w:rsidRPr="00D26A35" w:rsidRDefault="003F4F52" w:rsidP="002629EA">
            <w:pPr>
              <w:rPr>
                <w:rFonts w:eastAsia="Calibri" w:cs="Calibri"/>
                <w:color w:val="000000" w:themeColor="text1"/>
                <w:sz w:val="19"/>
                <w:szCs w:val="19"/>
              </w:rPr>
            </w:pPr>
            <w:r w:rsidRPr="00D26A35">
              <w:rPr>
                <w:rFonts w:eastAsia="Calibri" w:cs="Calibri"/>
                <w:color w:val="000000" w:themeColor="text1"/>
                <w:sz w:val="19"/>
                <w:szCs w:val="19"/>
              </w:rPr>
              <w:t xml:space="preserve">c) </w:t>
            </w:r>
            <w:r w:rsidRPr="00D26A35">
              <w:rPr>
                <w:rFonts w:eastAsia="Calibri" w:cs="Calibri"/>
                <w:sz w:val="20"/>
                <w:szCs w:val="20"/>
              </w:rPr>
              <w:t>reporting and requests for inputs</w:t>
            </w:r>
          </w:p>
        </w:tc>
        <w:tc>
          <w:tcPr>
            <w:tcW w:w="1984" w:type="dxa"/>
          </w:tcPr>
          <w:p w14:paraId="57186C4B" w14:textId="77777777" w:rsidR="003F4F52" w:rsidRPr="00D26A35" w:rsidRDefault="003F4F52" w:rsidP="007222FB">
            <w:pPr>
              <w:rPr>
                <w:rFonts w:eastAsia="Calibri" w:cs="Calibri"/>
                <w:i/>
                <w:iCs/>
                <w:sz w:val="20"/>
                <w:szCs w:val="20"/>
              </w:rPr>
            </w:pPr>
            <w:r w:rsidRPr="00D26A35">
              <w:rPr>
                <w:rFonts w:eastAsia="Calibri" w:cs="Calibri"/>
                <w:sz w:val="20"/>
                <w:szCs w:val="20"/>
              </w:rPr>
              <w:t>Min. 10 working days/year</w:t>
            </w:r>
            <w:r w:rsidRPr="00D26A35">
              <w:rPr>
                <w:rFonts w:eastAsia="Calibri" w:cs="Calibri"/>
                <w:i/>
                <w:iCs/>
                <w:sz w:val="20"/>
                <w:szCs w:val="20"/>
              </w:rPr>
              <w:t xml:space="preserve"> </w:t>
            </w:r>
          </w:p>
        </w:tc>
        <w:tc>
          <w:tcPr>
            <w:tcW w:w="1843" w:type="dxa"/>
          </w:tcPr>
          <w:p w14:paraId="047C60A9" w14:textId="1B1084BF" w:rsidR="003F4F52" w:rsidRPr="00D26A35" w:rsidRDefault="003F4F52" w:rsidP="002629EA">
            <w:pPr>
              <w:rPr>
                <w:rFonts w:eastAsia="Calibri" w:cs="Calibri"/>
                <w:sz w:val="20"/>
                <w:szCs w:val="20"/>
              </w:rPr>
            </w:pPr>
            <w:r w:rsidRPr="00D26A35">
              <w:rPr>
                <w:rFonts w:eastAsia="Calibri" w:cs="Calibri"/>
                <w:sz w:val="20"/>
                <w:szCs w:val="20"/>
              </w:rPr>
              <w:t xml:space="preserve">Possible travel + DSA </w:t>
            </w:r>
            <w:r w:rsidRPr="00D26A35">
              <w:br/>
            </w:r>
            <w:r w:rsidRPr="00D26A35">
              <w:rPr>
                <w:rFonts w:eastAsia="Calibri" w:cs="Calibri"/>
                <w:sz w:val="20"/>
                <w:szCs w:val="20"/>
              </w:rPr>
              <w:t>(A</w:t>
            </w:r>
            <w:r w:rsidR="00DF2C2F" w:rsidRPr="00D26A35">
              <w:rPr>
                <w:rFonts w:eastAsia="Calibri" w:cs="Calibri"/>
                <w:sz w:val="20"/>
                <w:szCs w:val="20"/>
              </w:rPr>
              <w:t>p</w:t>
            </w:r>
            <w:r w:rsidRPr="00D26A35">
              <w:rPr>
                <w:rFonts w:eastAsia="Calibri" w:cs="Calibri"/>
                <w:sz w:val="20"/>
                <w:szCs w:val="20"/>
              </w:rPr>
              <w:t>prox.</w:t>
            </w:r>
            <w:r w:rsidR="00B33C77" w:rsidRPr="00D26A35">
              <w:rPr>
                <w:rFonts w:eastAsia="Calibri" w:cs="Calibri"/>
                <w:sz w:val="20"/>
                <w:szCs w:val="20"/>
              </w:rPr>
              <w:t xml:space="preserve"> </w:t>
            </w:r>
            <w:r w:rsidRPr="00D26A35">
              <w:rPr>
                <w:rFonts w:eastAsia="Calibri" w:cs="Calibri"/>
                <w:sz w:val="20"/>
                <w:szCs w:val="20"/>
              </w:rPr>
              <w:t>2 or 3 days)</w:t>
            </w:r>
          </w:p>
        </w:tc>
      </w:tr>
      <w:tr w:rsidR="003F4F52" w:rsidRPr="00D26A35" w14:paraId="2788FF43" w14:textId="77777777" w:rsidTr="00DF2C2F">
        <w:trPr>
          <w:tblHeader/>
          <w:jc w:val="center"/>
        </w:trPr>
        <w:tc>
          <w:tcPr>
            <w:tcW w:w="1907" w:type="dxa"/>
          </w:tcPr>
          <w:p w14:paraId="1372C152" w14:textId="77777777" w:rsidR="003F4F52" w:rsidRPr="00D26A35" w:rsidRDefault="00CA2100" w:rsidP="007222FB">
            <w:pPr>
              <w:pStyle w:val="NoSpacing"/>
              <w:tabs>
                <w:tab w:val="clear" w:pos="567"/>
              </w:tabs>
              <w:rPr>
                <w:rFonts w:eastAsia="Calibri" w:cs="Calibri"/>
                <w:sz w:val="20"/>
              </w:rPr>
            </w:pPr>
            <w:hyperlink r:id="rId101">
              <w:r w:rsidR="003F4F52" w:rsidRPr="00D26A35">
                <w:rPr>
                  <w:rStyle w:val="Hyperlink"/>
                  <w:rFonts w:eastAsia="Calibri" w:cs="Calibri"/>
                  <w:sz w:val="20"/>
                  <w:lang w:eastAsia="zh-CN"/>
                </w:rPr>
                <w:t>Inter-Agency Support Group on the Convention on the Rights of Persons with Disabilities (IASG)</w:t>
              </w:r>
            </w:hyperlink>
            <w:r w:rsidR="003F4F52" w:rsidRPr="00D26A35">
              <w:rPr>
                <w:rFonts w:eastAsia="Calibri" w:cs="Calibri"/>
                <w:sz w:val="20"/>
                <w:lang w:eastAsia="zh-CN"/>
              </w:rPr>
              <w:t xml:space="preserve"> </w:t>
            </w:r>
          </w:p>
        </w:tc>
        <w:tc>
          <w:tcPr>
            <w:tcW w:w="3850" w:type="dxa"/>
          </w:tcPr>
          <w:p w14:paraId="346F1219" w14:textId="4A9D13B8" w:rsidR="003F4F52" w:rsidRPr="00D26A35" w:rsidRDefault="003F4F52" w:rsidP="007222FB">
            <w:pPr>
              <w:rPr>
                <w:rFonts w:eastAsia="Calibri" w:cs="Calibri"/>
                <w:sz w:val="20"/>
                <w:szCs w:val="20"/>
              </w:rPr>
            </w:pPr>
            <w:r w:rsidRPr="00D26A35">
              <w:rPr>
                <w:rFonts w:eastAsia="Calibri" w:cs="Calibri"/>
                <w:sz w:val="20"/>
                <w:szCs w:val="20"/>
              </w:rPr>
              <w:t>Tasked with promoting compliance with the Principles of the Convention on the Rights of Persons with Disabilities (CRPD) and increasing the scale and effectiveness of the United Nations</w:t>
            </w:r>
            <w:r w:rsidR="007222FB" w:rsidRPr="00D26A35">
              <w:rPr>
                <w:rFonts w:eastAsia="Calibri" w:cs="Calibri"/>
                <w:sz w:val="20"/>
                <w:szCs w:val="20"/>
              </w:rPr>
              <w:t>’</w:t>
            </w:r>
            <w:r w:rsidRPr="00D26A35">
              <w:rPr>
                <w:rFonts w:eastAsia="Calibri" w:cs="Calibri"/>
                <w:sz w:val="20"/>
                <w:szCs w:val="20"/>
              </w:rPr>
              <w:t xml:space="preserve"> involvement in the global implementation processes related to disability and accessibility issues to ensure independent life and inclusiveness of persons with disabilities (PWDs) in society.</w:t>
            </w:r>
          </w:p>
        </w:tc>
        <w:tc>
          <w:tcPr>
            <w:tcW w:w="3457" w:type="dxa"/>
          </w:tcPr>
          <w:p w14:paraId="24162279" w14:textId="1E28ECCD" w:rsidR="003F4F52" w:rsidRPr="00D26A35" w:rsidRDefault="00CA2100" w:rsidP="007222FB">
            <w:pPr>
              <w:rPr>
                <w:rFonts w:eastAsia="Calibri" w:cs="Calibri"/>
                <w:sz w:val="20"/>
                <w:szCs w:val="20"/>
              </w:rPr>
            </w:pPr>
            <w:hyperlink r:id="rId102" w:history="1">
              <w:r w:rsidR="003F4F52" w:rsidRPr="00D26A35">
                <w:rPr>
                  <w:rStyle w:val="Hyperlink"/>
                  <w:rFonts w:eastAsia="Calibri" w:cs="Calibri"/>
                  <w:sz w:val="20"/>
                  <w:szCs w:val="20"/>
                </w:rPr>
                <w:t>PP R</w:t>
              </w:r>
              <w:r w:rsidR="00DF2C2F" w:rsidRPr="00D26A35">
                <w:rPr>
                  <w:rStyle w:val="Hyperlink"/>
                  <w:rFonts w:eastAsia="Calibri" w:cs="Calibri"/>
                  <w:sz w:val="20"/>
                  <w:szCs w:val="20"/>
                </w:rPr>
                <w:t>e</w:t>
              </w:r>
              <w:r w:rsidR="00DF2C2F" w:rsidRPr="00D26A35">
                <w:rPr>
                  <w:rStyle w:val="Hyperlink"/>
                  <w:sz w:val="20"/>
                </w:rPr>
                <w:t>s</w:t>
              </w:r>
              <w:r w:rsidR="003F4F52" w:rsidRPr="00D26A35">
                <w:rPr>
                  <w:rStyle w:val="Hyperlink"/>
                  <w:rFonts w:eastAsia="Calibri" w:cs="Calibri"/>
                  <w:sz w:val="20"/>
                  <w:szCs w:val="20"/>
                </w:rPr>
                <w:t>. 175 (R</w:t>
              </w:r>
              <w:r w:rsidR="002629EA" w:rsidRPr="00D26A35">
                <w:rPr>
                  <w:rStyle w:val="Hyperlink"/>
                  <w:rFonts w:eastAsia="Calibri" w:cs="Calibri"/>
                  <w:sz w:val="20"/>
                  <w:szCs w:val="20"/>
                </w:rPr>
                <w:t>ev.</w:t>
              </w:r>
              <w:r w:rsidR="003F4F52" w:rsidRPr="00D26A35">
                <w:rPr>
                  <w:rStyle w:val="Hyperlink"/>
                  <w:rFonts w:eastAsia="Calibri" w:cs="Calibri"/>
                  <w:sz w:val="20"/>
                  <w:szCs w:val="20"/>
                </w:rPr>
                <w:t xml:space="preserve"> D</w:t>
              </w:r>
              <w:r w:rsidR="002629EA" w:rsidRPr="00D26A35">
                <w:rPr>
                  <w:rStyle w:val="Hyperlink"/>
                  <w:rFonts w:eastAsia="Calibri" w:cs="Calibri"/>
                  <w:sz w:val="20"/>
                  <w:szCs w:val="20"/>
                </w:rPr>
                <w:t>ubai</w:t>
              </w:r>
              <w:r w:rsidR="003F4F52" w:rsidRPr="00D26A35">
                <w:rPr>
                  <w:rStyle w:val="Hyperlink"/>
                  <w:rFonts w:eastAsia="Calibri" w:cs="Calibri"/>
                  <w:sz w:val="20"/>
                  <w:szCs w:val="20"/>
                </w:rPr>
                <w:t>, 2018)</w:t>
              </w:r>
            </w:hyperlink>
            <w:r w:rsidR="003F4F52" w:rsidRPr="00D26A35">
              <w:rPr>
                <w:rFonts w:eastAsia="Calibri" w:cs="Calibri"/>
                <w:sz w:val="20"/>
                <w:szCs w:val="20"/>
              </w:rPr>
              <w:t xml:space="preserve"> &amp;  </w:t>
            </w:r>
            <w:hyperlink r:id="rId103" w:anchor="page=481">
              <w:r w:rsidR="003F4F52" w:rsidRPr="00D26A35">
                <w:rPr>
                  <w:rFonts w:eastAsia="Calibri" w:cs="Calibri"/>
                  <w:sz w:val="20"/>
                  <w:szCs w:val="20"/>
                  <w:lang w:val="en-US"/>
                </w:rPr>
                <w:t>WTDC RESOLUTION 58 (Rev. Buenos Aires, 2017) on</w:t>
              </w:r>
            </w:hyperlink>
            <w:r w:rsidR="003F4F52" w:rsidRPr="00D26A35">
              <w:rPr>
                <w:rFonts w:eastAsia="Calibri" w:cs="Calibri"/>
                <w:sz w:val="20"/>
                <w:szCs w:val="20"/>
                <w:lang w:val="en-US"/>
              </w:rPr>
              <w:t xml:space="preserve"> Telecommunication</w:t>
            </w:r>
            <w:r w:rsidR="003F4F52" w:rsidRPr="00D26A35">
              <w:rPr>
                <w:rFonts w:eastAsia="Calibri" w:cs="Calibri"/>
                <w:sz w:val="20"/>
                <w:szCs w:val="20"/>
              </w:rPr>
              <w:t xml:space="preserve"> /information and communication technology accessibility for persons with disabilities and persons with specific needs</w:t>
            </w:r>
          </w:p>
          <w:p w14:paraId="00354A30" w14:textId="18D5B7EC" w:rsidR="003F4F52" w:rsidRPr="00D26A35" w:rsidRDefault="003F4F52" w:rsidP="007222FB">
            <w:pPr>
              <w:rPr>
                <w:rFonts w:eastAsia="Calibri" w:cs="Calibri"/>
                <w:i/>
                <w:iCs/>
                <w:sz w:val="20"/>
                <w:szCs w:val="20"/>
                <w:lang w:val="en-US"/>
              </w:rPr>
            </w:pPr>
            <w:r w:rsidRPr="00D26A35">
              <w:rPr>
                <w:rFonts w:eastAsia="Calibri" w:cs="Calibri"/>
                <w:sz w:val="20"/>
                <w:szCs w:val="20"/>
                <w:lang w:val="en-US"/>
              </w:rPr>
              <w:t>ITU Strategic Goal Nr 2 Inclusiveness target 2.9</w:t>
            </w:r>
            <w:r w:rsidR="00B33C77" w:rsidRPr="00D26A35">
              <w:rPr>
                <w:rFonts w:eastAsia="Calibri" w:cs="Calibri"/>
                <w:i/>
                <w:iCs/>
                <w:sz w:val="20"/>
                <w:szCs w:val="20"/>
                <w:lang w:val="en-US"/>
              </w:rPr>
              <w:t xml:space="preserve"> “</w:t>
            </w:r>
            <w:r w:rsidRPr="00D26A35">
              <w:rPr>
                <w:rFonts w:eastAsia="Calibri" w:cs="Calibri"/>
                <w:i/>
                <w:iCs/>
                <w:sz w:val="20"/>
                <w:szCs w:val="20"/>
                <w:lang w:val="en-US"/>
              </w:rPr>
              <w:t>Enabling environments ensuring accessible telecommunication /ICT for persons with disabilities should be established in all countries by 2023</w:t>
            </w:r>
            <w:r w:rsidR="007222FB" w:rsidRPr="00D26A35">
              <w:rPr>
                <w:rFonts w:eastAsia="Calibri" w:cs="Calibri"/>
                <w:i/>
                <w:iCs/>
                <w:sz w:val="20"/>
                <w:szCs w:val="20"/>
                <w:lang w:val="en-US"/>
              </w:rPr>
              <w:t>”</w:t>
            </w:r>
          </w:p>
          <w:p w14:paraId="176BB8D4" w14:textId="1B422032" w:rsidR="003F4F52" w:rsidRPr="00D26A35" w:rsidRDefault="003F4F52" w:rsidP="007222FB">
            <w:pPr>
              <w:rPr>
                <w:rFonts w:eastAsia="Calibri" w:cs="Calibri"/>
                <w:sz w:val="20"/>
                <w:szCs w:val="20"/>
                <w:lang w:val="en-US"/>
              </w:rPr>
            </w:pPr>
            <w:r w:rsidRPr="00D26A35">
              <w:rPr>
                <w:rFonts w:eastAsia="Calibri" w:cs="Calibri"/>
                <w:sz w:val="20"/>
                <w:szCs w:val="20"/>
                <w:lang w:val="en-US"/>
              </w:rPr>
              <w:t>United Nations Disability Inclusion Strategy (CEB/2019/1/Add.6)</w:t>
            </w:r>
          </w:p>
        </w:tc>
        <w:tc>
          <w:tcPr>
            <w:tcW w:w="1843" w:type="dxa"/>
          </w:tcPr>
          <w:p w14:paraId="1A9E68FF" w14:textId="77777777" w:rsidR="003F4F52" w:rsidRPr="00D26A35" w:rsidRDefault="003F4F52" w:rsidP="007222FB">
            <w:pPr>
              <w:rPr>
                <w:rFonts w:eastAsia="Calibri" w:cs="Calibri"/>
                <w:sz w:val="20"/>
                <w:szCs w:val="20"/>
              </w:rPr>
            </w:pPr>
            <w:r w:rsidRPr="00D26A35">
              <w:rPr>
                <w:rFonts w:eastAsia="Calibri" w:cs="Calibri"/>
                <w:color w:val="000000" w:themeColor="text1"/>
                <w:sz w:val="19"/>
                <w:szCs w:val="19"/>
              </w:rPr>
              <w:t>a)</w:t>
            </w:r>
            <w:r w:rsidRPr="00D26A35">
              <w:rPr>
                <w:rFonts w:eastAsia="Calibri" w:cs="Calibri"/>
                <w:sz w:val="20"/>
                <w:szCs w:val="20"/>
              </w:rPr>
              <w:t xml:space="preserve"> 2 physical meetings </w:t>
            </w:r>
          </w:p>
          <w:p w14:paraId="4A2EC786" w14:textId="77777777" w:rsidR="003F4F52" w:rsidRPr="00D26A35" w:rsidRDefault="003F4F52" w:rsidP="007222FB">
            <w:pPr>
              <w:rPr>
                <w:rFonts w:eastAsia="Calibri" w:cs="Calibri"/>
                <w:sz w:val="20"/>
                <w:szCs w:val="20"/>
              </w:rPr>
            </w:pPr>
            <w:r w:rsidRPr="00D26A35">
              <w:rPr>
                <w:rFonts w:eastAsia="Calibri" w:cs="Calibri"/>
                <w:color w:val="000000" w:themeColor="text1"/>
                <w:sz w:val="19"/>
                <w:szCs w:val="19"/>
              </w:rPr>
              <w:t xml:space="preserve">b) </w:t>
            </w:r>
            <w:r w:rsidRPr="00D26A35">
              <w:rPr>
                <w:rFonts w:eastAsia="Calibri" w:cs="Calibri"/>
                <w:sz w:val="20"/>
                <w:szCs w:val="20"/>
              </w:rPr>
              <w:t>online monthly / regular meetings</w:t>
            </w:r>
          </w:p>
          <w:p w14:paraId="19B980EC" w14:textId="77777777" w:rsidR="003F4F52" w:rsidRPr="00D26A35" w:rsidRDefault="003F4F52" w:rsidP="007222FB">
            <w:pPr>
              <w:rPr>
                <w:rFonts w:eastAsia="Calibri" w:cs="Calibri"/>
                <w:sz w:val="20"/>
                <w:szCs w:val="20"/>
              </w:rPr>
            </w:pPr>
            <w:r w:rsidRPr="00D26A35">
              <w:rPr>
                <w:rFonts w:eastAsia="Calibri" w:cs="Calibri"/>
                <w:color w:val="000000" w:themeColor="text1"/>
                <w:sz w:val="19"/>
                <w:szCs w:val="19"/>
              </w:rPr>
              <w:t>c)</w:t>
            </w:r>
            <w:r w:rsidRPr="00D26A35">
              <w:rPr>
                <w:rFonts w:eastAsia="Calibri" w:cs="Calibri"/>
                <w:sz w:val="20"/>
                <w:szCs w:val="20"/>
              </w:rPr>
              <w:t xml:space="preserve"> monthly and /or regular requests for reporting and inputs </w:t>
            </w:r>
          </w:p>
        </w:tc>
        <w:tc>
          <w:tcPr>
            <w:tcW w:w="1984" w:type="dxa"/>
          </w:tcPr>
          <w:p w14:paraId="7C939C25" w14:textId="77777777" w:rsidR="003F4F52" w:rsidRPr="00D26A35" w:rsidRDefault="003F4F52" w:rsidP="007222FB">
            <w:pPr>
              <w:rPr>
                <w:rFonts w:eastAsia="Calibri" w:cs="Calibri"/>
                <w:sz w:val="20"/>
                <w:szCs w:val="20"/>
              </w:rPr>
            </w:pPr>
            <w:r w:rsidRPr="00D26A35">
              <w:rPr>
                <w:rFonts w:eastAsia="Calibri" w:cs="Calibri"/>
                <w:sz w:val="20"/>
                <w:szCs w:val="20"/>
              </w:rPr>
              <w:t xml:space="preserve">Approx. 25 working days/year </w:t>
            </w:r>
          </w:p>
        </w:tc>
        <w:tc>
          <w:tcPr>
            <w:tcW w:w="1843" w:type="dxa"/>
          </w:tcPr>
          <w:p w14:paraId="45DA4368" w14:textId="77777777" w:rsidR="003F4F52" w:rsidRPr="00D26A35" w:rsidRDefault="003F4F52" w:rsidP="007222FB">
            <w:pPr>
              <w:rPr>
                <w:rFonts w:eastAsia="Calibri" w:cs="Calibri"/>
                <w:sz w:val="20"/>
                <w:szCs w:val="20"/>
              </w:rPr>
            </w:pPr>
            <w:r w:rsidRPr="00D26A35">
              <w:rPr>
                <w:rFonts w:eastAsia="Calibri" w:cs="Calibri"/>
                <w:sz w:val="20"/>
                <w:szCs w:val="20"/>
              </w:rPr>
              <w:t>Travel +DSA</w:t>
            </w:r>
          </w:p>
          <w:p w14:paraId="6158D24F" w14:textId="77777777" w:rsidR="003F4F52" w:rsidRPr="00D26A35" w:rsidRDefault="003F4F52" w:rsidP="007222FB">
            <w:pPr>
              <w:rPr>
                <w:rFonts w:eastAsia="Calibri" w:cs="Calibri"/>
                <w:sz w:val="20"/>
                <w:szCs w:val="20"/>
              </w:rPr>
            </w:pPr>
            <w:r w:rsidRPr="00D26A35">
              <w:rPr>
                <w:rFonts w:eastAsia="Calibri" w:cs="Calibri"/>
                <w:sz w:val="20"/>
                <w:szCs w:val="20"/>
              </w:rPr>
              <w:t xml:space="preserve">(Approx. [3X2] = 6 days) </w:t>
            </w:r>
          </w:p>
        </w:tc>
      </w:tr>
      <w:tr w:rsidR="003F4F52" w:rsidRPr="00D26A35" w14:paraId="2735F2D4" w14:textId="77777777" w:rsidTr="00DF2C2F">
        <w:trPr>
          <w:tblHeader/>
          <w:jc w:val="center"/>
        </w:trPr>
        <w:tc>
          <w:tcPr>
            <w:tcW w:w="1907" w:type="dxa"/>
          </w:tcPr>
          <w:p w14:paraId="4DB569A8" w14:textId="77777777" w:rsidR="003F4F52" w:rsidRPr="00D26A35" w:rsidRDefault="003F4F52" w:rsidP="007222FB">
            <w:pPr>
              <w:shd w:val="clear" w:color="auto" w:fill="FFFFFF" w:themeFill="background1"/>
              <w:outlineLvl w:val="2"/>
              <w:rPr>
                <w:rStyle w:val="Hyperlink"/>
                <w:rFonts w:eastAsia="Calibri" w:cs="Calibri"/>
                <w:sz w:val="20"/>
                <w:szCs w:val="20"/>
              </w:rPr>
            </w:pPr>
            <w:r w:rsidRPr="00D26A35">
              <w:lastRenderedPageBreak/>
              <w:fldChar w:fldCharType="begin"/>
            </w:r>
            <w:r w:rsidRPr="00D26A35">
              <w:rPr>
                <w:rFonts w:eastAsia="Times New Roman" w:cs="Helvetica"/>
                <w:sz w:val="20"/>
                <w:szCs w:val="20"/>
                <w:bdr w:val="none" w:sz="0" w:space="0" w:color="auto" w:frame="1"/>
              </w:rPr>
              <w:instrText xml:space="preserve"> HYPERLINK "https://www.unsceb.org/content/inter-agency-consultative-group-iacg-sids-0" </w:instrText>
            </w:r>
            <w:r w:rsidRPr="00D26A35">
              <w:rPr>
                <w:rFonts w:cs="Helvetica"/>
                <w:sz w:val="20"/>
                <w:bdr w:val="none" w:sz="0" w:space="0" w:color="auto" w:frame="1"/>
              </w:rPr>
              <w:fldChar w:fldCharType="separate"/>
            </w:r>
            <w:r w:rsidRPr="00D26A35">
              <w:rPr>
                <w:rStyle w:val="Hyperlink"/>
                <w:rFonts w:eastAsia="Times New Roman" w:cs="Helvetica"/>
                <w:sz w:val="20"/>
                <w:szCs w:val="20"/>
                <w:bdr w:val="none" w:sz="0" w:space="0" w:color="auto" w:frame="1"/>
              </w:rPr>
              <w:t>Inter-Agency Consultative Group (IACG) on LDCs/SIDS</w:t>
            </w:r>
          </w:p>
          <w:p w14:paraId="43A33456" w14:textId="77777777" w:rsidR="003F4F52" w:rsidRPr="00D26A35" w:rsidRDefault="003F4F52" w:rsidP="007222FB">
            <w:pPr>
              <w:shd w:val="clear" w:color="auto" w:fill="FFFFFF" w:themeFill="background1"/>
              <w:outlineLvl w:val="2"/>
              <w:rPr>
                <w:rFonts w:eastAsia="Calibri" w:cs="Calibri"/>
                <w:sz w:val="20"/>
                <w:szCs w:val="20"/>
              </w:rPr>
            </w:pPr>
            <w:r w:rsidRPr="00D26A35">
              <w:fldChar w:fldCharType="end"/>
            </w:r>
          </w:p>
        </w:tc>
        <w:tc>
          <w:tcPr>
            <w:tcW w:w="3850" w:type="dxa"/>
          </w:tcPr>
          <w:p w14:paraId="671BAD11" w14:textId="77777777" w:rsidR="003F4F52" w:rsidRPr="00D26A35" w:rsidRDefault="003F4F52" w:rsidP="007222FB">
            <w:pPr>
              <w:rPr>
                <w:rFonts w:eastAsia="Calibri" w:cs="Calibri"/>
                <w:b/>
                <w:bCs/>
                <w:sz w:val="20"/>
                <w:szCs w:val="20"/>
              </w:rPr>
            </w:pPr>
            <w:r w:rsidRPr="00D26A35">
              <w:rPr>
                <w:rFonts w:eastAsia="Calibri" w:cs="Calibri"/>
                <w:sz w:val="20"/>
                <w:szCs w:val="20"/>
              </w:rPr>
              <w:t xml:space="preserve">Provide a forum for representatives of its member organizations to meet regularly to exchange information </w:t>
            </w:r>
            <w:proofErr w:type="gramStart"/>
            <w:r w:rsidRPr="00D26A35">
              <w:rPr>
                <w:rFonts w:eastAsia="Calibri" w:cs="Calibri"/>
                <w:sz w:val="20"/>
                <w:szCs w:val="20"/>
              </w:rPr>
              <w:t>in regards to</w:t>
            </w:r>
            <w:proofErr w:type="gramEnd"/>
            <w:r w:rsidRPr="00D26A35">
              <w:rPr>
                <w:rFonts w:eastAsia="Calibri" w:cs="Calibri"/>
                <w:sz w:val="20"/>
                <w:szCs w:val="20"/>
              </w:rPr>
              <w:t xml:space="preserve"> their work on SIDS including critical issues, challenges and opportunities, weaknesses, gaps and best practices on the implementation of the </w:t>
            </w:r>
            <w:proofErr w:type="spellStart"/>
            <w:r w:rsidRPr="00D26A35">
              <w:rPr>
                <w:rFonts w:eastAsia="Calibri" w:cs="Calibri"/>
                <w:sz w:val="20"/>
                <w:szCs w:val="20"/>
              </w:rPr>
              <w:t>BPoA</w:t>
            </w:r>
            <w:proofErr w:type="spellEnd"/>
            <w:r w:rsidRPr="00D26A35">
              <w:rPr>
                <w:rFonts w:eastAsia="Calibri" w:cs="Calibri"/>
                <w:sz w:val="20"/>
                <w:szCs w:val="20"/>
              </w:rPr>
              <w:t>, MSI and the SAMOA Pathway in the respective countries and regions of the member agencies or organizations.</w:t>
            </w:r>
          </w:p>
        </w:tc>
        <w:tc>
          <w:tcPr>
            <w:tcW w:w="3457" w:type="dxa"/>
          </w:tcPr>
          <w:p w14:paraId="2BCB5F9C" w14:textId="34F79B4C" w:rsidR="003F4F52" w:rsidRPr="00D26A35" w:rsidRDefault="00CA2100" w:rsidP="007222FB">
            <w:pPr>
              <w:rPr>
                <w:rFonts w:eastAsia="Calibri" w:cs="Calibri"/>
                <w:sz w:val="20"/>
                <w:szCs w:val="20"/>
              </w:rPr>
            </w:pPr>
            <w:hyperlink r:id="rId104" w:history="1">
              <w:r w:rsidR="003F4F52" w:rsidRPr="00D26A35">
                <w:rPr>
                  <w:rStyle w:val="Hyperlink"/>
                  <w:rFonts w:eastAsia="Calibri" w:cs="Calibri"/>
                  <w:sz w:val="20"/>
                  <w:szCs w:val="20"/>
                </w:rPr>
                <w:t>PP R</w:t>
              </w:r>
              <w:r w:rsidR="002629EA" w:rsidRPr="00D26A35">
                <w:rPr>
                  <w:rStyle w:val="Hyperlink"/>
                  <w:rFonts w:eastAsia="Calibri" w:cs="Calibri"/>
                  <w:sz w:val="20"/>
                  <w:szCs w:val="20"/>
                </w:rPr>
                <w:t>es</w:t>
              </w:r>
              <w:r w:rsidR="003F4F52" w:rsidRPr="00D26A35">
                <w:rPr>
                  <w:rStyle w:val="Hyperlink"/>
                  <w:rFonts w:eastAsia="Calibri" w:cs="Calibri"/>
                  <w:sz w:val="20"/>
                  <w:szCs w:val="20"/>
                </w:rPr>
                <w:t>. 139 (R</w:t>
              </w:r>
              <w:r w:rsidR="002629EA" w:rsidRPr="00D26A35">
                <w:rPr>
                  <w:rStyle w:val="Hyperlink"/>
                  <w:rFonts w:eastAsia="Calibri" w:cs="Calibri"/>
                  <w:sz w:val="20"/>
                  <w:szCs w:val="20"/>
                </w:rPr>
                <w:t>ev</w:t>
              </w:r>
              <w:r w:rsidR="003F4F52" w:rsidRPr="00D26A35">
                <w:rPr>
                  <w:rStyle w:val="Hyperlink"/>
                  <w:rFonts w:eastAsia="Calibri" w:cs="Calibri"/>
                  <w:sz w:val="20"/>
                  <w:szCs w:val="20"/>
                </w:rPr>
                <w:t>. D</w:t>
              </w:r>
              <w:r w:rsidR="002629EA" w:rsidRPr="00D26A35">
                <w:rPr>
                  <w:rStyle w:val="Hyperlink"/>
                  <w:rFonts w:eastAsia="Calibri" w:cs="Calibri"/>
                  <w:sz w:val="20"/>
                  <w:szCs w:val="20"/>
                </w:rPr>
                <w:t>ubai</w:t>
              </w:r>
              <w:r w:rsidR="003F4F52" w:rsidRPr="00D26A35">
                <w:rPr>
                  <w:rStyle w:val="Hyperlink"/>
                  <w:rFonts w:eastAsia="Calibri" w:cs="Calibri"/>
                  <w:sz w:val="20"/>
                  <w:szCs w:val="20"/>
                </w:rPr>
                <w:t>, 2018)</w:t>
              </w:r>
            </w:hyperlink>
          </w:p>
          <w:p w14:paraId="341FB5DF" w14:textId="2B481D99" w:rsidR="003F4F52" w:rsidRPr="00D26A35" w:rsidRDefault="003F4F52" w:rsidP="007222FB">
            <w:pPr>
              <w:rPr>
                <w:rFonts w:eastAsia="Calibri" w:cs="Calibri"/>
                <w:sz w:val="20"/>
                <w:szCs w:val="20"/>
              </w:rPr>
            </w:pPr>
            <w:r w:rsidRPr="00D26A35">
              <w:rPr>
                <w:rFonts w:eastAsia="Calibri" w:cs="Calibri"/>
                <w:sz w:val="20"/>
                <w:szCs w:val="20"/>
              </w:rPr>
              <w:t>Use of telecommunications/</w:t>
            </w:r>
            <w:r w:rsidR="002629EA" w:rsidRPr="00D26A35">
              <w:rPr>
                <w:rFonts w:eastAsia="Calibri" w:cs="Calibri"/>
                <w:sz w:val="20"/>
                <w:szCs w:val="20"/>
              </w:rPr>
              <w:t xml:space="preserve"> </w:t>
            </w:r>
            <w:r w:rsidRPr="00D26A35">
              <w:rPr>
                <w:rFonts w:eastAsia="Calibri" w:cs="Calibri"/>
                <w:sz w:val="20"/>
                <w:szCs w:val="20"/>
              </w:rPr>
              <w:t>information and communication technologies to bridge the digital divide and build an inclusive information society</w:t>
            </w:r>
          </w:p>
        </w:tc>
        <w:tc>
          <w:tcPr>
            <w:tcW w:w="1843" w:type="dxa"/>
          </w:tcPr>
          <w:p w14:paraId="3F90E974" w14:textId="77777777" w:rsidR="003F4F52" w:rsidRPr="00D26A35" w:rsidRDefault="003F4F52" w:rsidP="007222FB">
            <w:pPr>
              <w:rPr>
                <w:rFonts w:eastAsia="Calibri" w:cs="Calibri"/>
                <w:sz w:val="20"/>
                <w:szCs w:val="20"/>
              </w:rPr>
            </w:pPr>
          </w:p>
        </w:tc>
        <w:tc>
          <w:tcPr>
            <w:tcW w:w="1984" w:type="dxa"/>
          </w:tcPr>
          <w:p w14:paraId="3558DEE2" w14:textId="77777777" w:rsidR="003F4F52" w:rsidRPr="00D26A35" w:rsidRDefault="003F4F52" w:rsidP="007222FB">
            <w:pPr>
              <w:rPr>
                <w:rFonts w:eastAsia="Calibri" w:cs="Calibri"/>
                <w:color w:val="373737"/>
                <w:sz w:val="20"/>
                <w:szCs w:val="20"/>
              </w:rPr>
            </w:pPr>
            <w:r w:rsidRPr="00D26A35">
              <w:rPr>
                <w:rFonts w:eastAsia="Calibri" w:cs="Calibri"/>
                <w:color w:val="373737"/>
                <w:sz w:val="20"/>
                <w:szCs w:val="20"/>
                <w:lang w:val="en-US"/>
              </w:rPr>
              <w:t>Preparations begin this year for 5</w:t>
            </w:r>
            <w:r w:rsidRPr="00D26A35">
              <w:rPr>
                <w:rFonts w:eastAsia="Calibri" w:cs="Calibri"/>
                <w:color w:val="373737"/>
                <w:sz w:val="20"/>
                <w:szCs w:val="20"/>
                <w:vertAlign w:val="superscript"/>
                <w:lang w:val="en-US"/>
              </w:rPr>
              <w:t>th</w:t>
            </w:r>
            <w:r w:rsidRPr="00D26A35">
              <w:rPr>
                <w:rFonts w:eastAsia="Calibri" w:cs="Calibri"/>
                <w:color w:val="373737"/>
                <w:sz w:val="20"/>
                <w:szCs w:val="20"/>
                <w:lang w:val="en-US"/>
              </w:rPr>
              <w:t xml:space="preserve"> UN conference on the LDCs (21-25 March 2021)</w:t>
            </w:r>
          </w:p>
        </w:tc>
        <w:tc>
          <w:tcPr>
            <w:tcW w:w="1843" w:type="dxa"/>
          </w:tcPr>
          <w:p w14:paraId="0947EC03" w14:textId="3248BB59" w:rsidR="003F4F52" w:rsidRPr="00D26A35" w:rsidRDefault="003F4F52" w:rsidP="002629EA">
            <w:pPr>
              <w:rPr>
                <w:rFonts w:eastAsia="Calibri" w:cs="Calibri"/>
                <w:sz w:val="20"/>
                <w:szCs w:val="20"/>
              </w:rPr>
            </w:pPr>
            <w:r w:rsidRPr="00D26A35">
              <w:rPr>
                <w:rFonts w:eastAsia="Calibri" w:cs="Calibri"/>
                <w:sz w:val="20"/>
                <w:szCs w:val="20"/>
              </w:rPr>
              <w:t>Financial implications not known at present.</w:t>
            </w:r>
          </w:p>
        </w:tc>
      </w:tr>
      <w:tr w:rsidR="003F4F52" w:rsidRPr="00D26A35" w14:paraId="0846237D" w14:textId="77777777" w:rsidTr="00DF2C2F">
        <w:trPr>
          <w:tblHeader/>
          <w:jc w:val="center"/>
        </w:trPr>
        <w:tc>
          <w:tcPr>
            <w:tcW w:w="1907" w:type="dxa"/>
          </w:tcPr>
          <w:p w14:paraId="5BB16A48" w14:textId="77777777" w:rsidR="003F4F52" w:rsidRPr="00D26A35" w:rsidRDefault="003F4F52" w:rsidP="007222FB">
            <w:pPr>
              <w:pStyle w:val="NoSpacing"/>
              <w:tabs>
                <w:tab w:val="clear" w:pos="567"/>
              </w:tabs>
              <w:rPr>
                <w:rFonts w:eastAsia="Calibri" w:cs="Calibri"/>
                <w:sz w:val="20"/>
                <w:lang w:eastAsia="zh-CN"/>
              </w:rPr>
            </w:pPr>
            <w:r w:rsidRPr="00D26A35">
              <w:rPr>
                <w:rFonts w:eastAsia="Calibri" w:cs="Calibri"/>
                <w:sz w:val="20"/>
                <w:lang w:eastAsia="zh-CN"/>
              </w:rPr>
              <w:t>Inter-Agency Mechanism on South-South and Triangular Cooperation</w:t>
            </w:r>
          </w:p>
        </w:tc>
        <w:tc>
          <w:tcPr>
            <w:tcW w:w="3850" w:type="dxa"/>
          </w:tcPr>
          <w:p w14:paraId="40473FFF" w14:textId="77777777" w:rsidR="003F4F52" w:rsidRPr="00D26A35" w:rsidRDefault="003F4F52" w:rsidP="007222FB">
            <w:pPr>
              <w:pStyle w:val="NoSpacing"/>
              <w:rPr>
                <w:rFonts w:eastAsia="Calibri" w:cs="Calibri"/>
                <w:b/>
                <w:bCs/>
                <w:sz w:val="20"/>
              </w:rPr>
            </w:pPr>
            <w:r w:rsidRPr="00D26A35">
              <w:rPr>
                <w:rFonts w:eastAsia="Calibri" w:cs="Calibri"/>
                <w:sz w:val="20"/>
              </w:rPr>
              <w:t>Development of a United Nations system-wide strategy on South-South cooperation, which is being led by the United Nations Office for South-South Cooperation</w:t>
            </w:r>
            <w:r w:rsidRPr="00D26A35">
              <w:rPr>
                <w:rFonts w:eastAsia="Calibri" w:cs="Calibri"/>
                <w:b/>
                <w:bCs/>
                <w:sz w:val="20"/>
              </w:rPr>
              <w:t xml:space="preserve"> </w:t>
            </w:r>
          </w:p>
        </w:tc>
        <w:tc>
          <w:tcPr>
            <w:tcW w:w="3457" w:type="dxa"/>
          </w:tcPr>
          <w:p w14:paraId="086EEC70" w14:textId="47F0D040" w:rsidR="003F4F52" w:rsidRPr="00D26A35" w:rsidRDefault="00CA2100" w:rsidP="007222FB">
            <w:pPr>
              <w:rPr>
                <w:rFonts w:eastAsia="Calibri" w:cs="Calibri"/>
                <w:sz w:val="20"/>
                <w:szCs w:val="20"/>
              </w:rPr>
            </w:pPr>
            <w:hyperlink r:id="rId105" w:history="1">
              <w:r w:rsidR="002629EA" w:rsidRPr="00D26A35">
                <w:rPr>
                  <w:rStyle w:val="Hyperlink"/>
                  <w:rFonts w:eastAsia="Calibri" w:cs="Calibri"/>
                  <w:sz w:val="20"/>
                  <w:szCs w:val="20"/>
                </w:rPr>
                <w:t>PP Res. 139 (Rev. Dubai, 2018)</w:t>
              </w:r>
            </w:hyperlink>
          </w:p>
          <w:p w14:paraId="22712D27" w14:textId="7C71F7F2" w:rsidR="003F4F52" w:rsidRPr="00D26A35" w:rsidRDefault="003F4F52" w:rsidP="007222FB">
            <w:pPr>
              <w:rPr>
                <w:rFonts w:eastAsia="Calibri" w:cs="Calibri"/>
                <w:sz w:val="20"/>
                <w:szCs w:val="20"/>
              </w:rPr>
            </w:pPr>
            <w:r w:rsidRPr="00D26A35">
              <w:rPr>
                <w:rFonts w:eastAsia="Calibri" w:cs="Calibri"/>
                <w:sz w:val="20"/>
                <w:szCs w:val="20"/>
              </w:rPr>
              <w:t>Use of telecommunications/</w:t>
            </w:r>
            <w:r w:rsidR="002629EA" w:rsidRPr="00D26A35">
              <w:rPr>
                <w:rFonts w:eastAsia="Calibri" w:cs="Calibri"/>
                <w:sz w:val="20"/>
                <w:szCs w:val="20"/>
              </w:rPr>
              <w:t xml:space="preserve"> </w:t>
            </w:r>
            <w:r w:rsidRPr="00D26A35">
              <w:rPr>
                <w:rFonts w:eastAsia="Calibri" w:cs="Calibri"/>
                <w:sz w:val="20"/>
                <w:szCs w:val="20"/>
              </w:rPr>
              <w:t>information and communication technologies to bridge the digital divide and build an inclusive information society</w:t>
            </w:r>
          </w:p>
        </w:tc>
        <w:tc>
          <w:tcPr>
            <w:tcW w:w="1843" w:type="dxa"/>
          </w:tcPr>
          <w:p w14:paraId="6ADDE7F0" w14:textId="77777777" w:rsidR="003F4F52" w:rsidRPr="00D26A35" w:rsidRDefault="003F4F52" w:rsidP="007222FB">
            <w:pPr>
              <w:rPr>
                <w:rFonts w:eastAsia="Calibri" w:cs="Calibri"/>
                <w:sz w:val="20"/>
                <w:szCs w:val="20"/>
              </w:rPr>
            </w:pPr>
          </w:p>
        </w:tc>
        <w:tc>
          <w:tcPr>
            <w:tcW w:w="1984" w:type="dxa"/>
          </w:tcPr>
          <w:p w14:paraId="5E17D9EC" w14:textId="77777777" w:rsidR="003F4F52" w:rsidRPr="00D26A35" w:rsidRDefault="003F4F52" w:rsidP="007222FB">
            <w:pPr>
              <w:rPr>
                <w:rFonts w:eastAsia="Calibri" w:cs="Calibri"/>
                <w:sz w:val="20"/>
                <w:szCs w:val="20"/>
              </w:rPr>
            </w:pPr>
          </w:p>
        </w:tc>
        <w:tc>
          <w:tcPr>
            <w:tcW w:w="1843" w:type="dxa"/>
          </w:tcPr>
          <w:p w14:paraId="541016C3" w14:textId="77777777" w:rsidR="003F4F52" w:rsidRPr="00D26A35" w:rsidRDefault="003F4F52" w:rsidP="007222FB">
            <w:pPr>
              <w:rPr>
                <w:rFonts w:eastAsia="Calibri" w:cs="Calibri"/>
                <w:sz w:val="20"/>
                <w:szCs w:val="20"/>
              </w:rPr>
            </w:pPr>
            <w:r w:rsidRPr="00D26A35">
              <w:rPr>
                <w:rFonts w:eastAsia="Calibri" w:cs="Calibri"/>
                <w:sz w:val="20"/>
                <w:szCs w:val="20"/>
              </w:rPr>
              <w:t>Financial implications not known at present.</w:t>
            </w:r>
          </w:p>
        </w:tc>
      </w:tr>
      <w:tr w:rsidR="003F4F52" w:rsidRPr="00D26A35" w14:paraId="01C1611D" w14:textId="77777777" w:rsidTr="00DF2C2F">
        <w:trPr>
          <w:tblHeader/>
          <w:jc w:val="center"/>
        </w:trPr>
        <w:tc>
          <w:tcPr>
            <w:tcW w:w="1907" w:type="dxa"/>
          </w:tcPr>
          <w:p w14:paraId="05CC346D" w14:textId="77777777" w:rsidR="003F4F52" w:rsidRPr="00D26A35" w:rsidRDefault="00CA2100" w:rsidP="007222FB">
            <w:pPr>
              <w:pStyle w:val="NoSpacing"/>
              <w:tabs>
                <w:tab w:val="clear" w:pos="567"/>
              </w:tabs>
              <w:rPr>
                <w:rFonts w:eastAsia="Calibri" w:cs="Calibri"/>
                <w:sz w:val="20"/>
                <w:lang w:eastAsia="zh-CN"/>
              </w:rPr>
            </w:pPr>
            <w:hyperlink r:id="rId106">
              <w:r w:rsidR="003F4F52" w:rsidRPr="00D26A35">
                <w:rPr>
                  <w:rStyle w:val="Hyperlink"/>
                  <w:rFonts w:eastAsia="Calibri" w:cs="Calibri"/>
                  <w:sz w:val="20"/>
                </w:rPr>
                <w:t>Inter-Agency Task Force for Financing for Development</w:t>
              </w:r>
            </w:hyperlink>
          </w:p>
        </w:tc>
        <w:tc>
          <w:tcPr>
            <w:tcW w:w="3850" w:type="dxa"/>
          </w:tcPr>
          <w:p w14:paraId="0603EE0D" w14:textId="77777777" w:rsidR="003F4F52" w:rsidRPr="00D26A35" w:rsidRDefault="003F4F52" w:rsidP="007222FB">
            <w:pPr>
              <w:rPr>
                <w:rFonts w:eastAsia="Calibri" w:cs="Calibri"/>
                <w:b/>
                <w:bCs/>
                <w:sz w:val="20"/>
                <w:szCs w:val="20"/>
              </w:rPr>
            </w:pPr>
            <w:r w:rsidRPr="00D26A35">
              <w:rPr>
                <w:rFonts w:eastAsia="Calibri" w:cs="Calibri"/>
                <w:sz w:val="20"/>
                <w:szCs w:val="20"/>
              </w:rPr>
              <w:t xml:space="preserve">Coordinates and report annually on progress in implementing the </w:t>
            </w:r>
            <w:proofErr w:type="spellStart"/>
            <w:r w:rsidRPr="00D26A35">
              <w:rPr>
                <w:rFonts w:eastAsia="Calibri" w:cs="Calibri"/>
                <w:sz w:val="20"/>
                <w:szCs w:val="20"/>
              </w:rPr>
              <w:t>FfD</w:t>
            </w:r>
            <w:proofErr w:type="spellEnd"/>
            <w:r w:rsidRPr="00D26A35">
              <w:rPr>
                <w:rFonts w:eastAsia="Calibri" w:cs="Calibri"/>
                <w:sz w:val="20"/>
                <w:szCs w:val="20"/>
              </w:rPr>
              <w:t xml:space="preserve"> outcomes and the means of implementation of the 2030 Agenda, through an annual publication.</w:t>
            </w:r>
          </w:p>
        </w:tc>
        <w:tc>
          <w:tcPr>
            <w:tcW w:w="3457" w:type="dxa"/>
          </w:tcPr>
          <w:p w14:paraId="5FD021E4" w14:textId="6BBFEC45" w:rsidR="003F4F52" w:rsidRPr="00D26A35" w:rsidRDefault="00CA2100" w:rsidP="007222FB">
            <w:pPr>
              <w:rPr>
                <w:rFonts w:eastAsia="Calibri" w:cs="Calibri"/>
                <w:sz w:val="20"/>
                <w:szCs w:val="20"/>
              </w:rPr>
            </w:pPr>
            <w:hyperlink r:id="rId107" w:history="1">
              <w:r w:rsidR="002629EA" w:rsidRPr="00D26A35">
                <w:rPr>
                  <w:rStyle w:val="Hyperlink"/>
                  <w:rFonts w:eastAsia="Calibri" w:cs="Calibri"/>
                  <w:sz w:val="20"/>
                  <w:szCs w:val="20"/>
                </w:rPr>
                <w:t>PP Res. 139 (Rev. Dubai, 2018)</w:t>
              </w:r>
            </w:hyperlink>
          </w:p>
          <w:p w14:paraId="4EB1185F" w14:textId="3CD80050" w:rsidR="003F4F52" w:rsidRPr="00D26A35" w:rsidRDefault="003F4F52" w:rsidP="007222FB">
            <w:pPr>
              <w:rPr>
                <w:rFonts w:eastAsia="Calibri" w:cs="Calibri"/>
                <w:sz w:val="20"/>
                <w:szCs w:val="20"/>
              </w:rPr>
            </w:pPr>
            <w:r w:rsidRPr="00D26A35">
              <w:rPr>
                <w:rFonts w:eastAsia="Calibri" w:cs="Calibri"/>
                <w:sz w:val="20"/>
                <w:szCs w:val="20"/>
              </w:rPr>
              <w:t>Use of telecommunications/</w:t>
            </w:r>
            <w:r w:rsidR="002629EA" w:rsidRPr="00D26A35">
              <w:rPr>
                <w:rFonts w:eastAsia="Calibri" w:cs="Calibri"/>
                <w:sz w:val="20"/>
                <w:szCs w:val="20"/>
              </w:rPr>
              <w:t xml:space="preserve"> </w:t>
            </w:r>
            <w:r w:rsidRPr="00D26A35">
              <w:rPr>
                <w:rFonts w:eastAsia="Calibri" w:cs="Calibri"/>
                <w:sz w:val="20"/>
                <w:szCs w:val="20"/>
              </w:rPr>
              <w:t>information and communication technologies to bridge the digital divide and build an inclusive information society</w:t>
            </w:r>
          </w:p>
        </w:tc>
        <w:tc>
          <w:tcPr>
            <w:tcW w:w="1843" w:type="dxa"/>
          </w:tcPr>
          <w:p w14:paraId="7B00C79B" w14:textId="77777777" w:rsidR="003F4F52" w:rsidRPr="00D26A35" w:rsidRDefault="003F4F52" w:rsidP="007222FB">
            <w:pPr>
              <w:rPr>
                <w:rFonts w:eastAsia="Calibri" w:cs="Calibri"/>
                <w:sz w:val="20"/>
                <w:szCs w:val="20"/>
              </w:rPr>
            </w:pPr>
            <w:r w:rsidRPr="00D26A35">
              <w:rPr>
                <w:rFonts w:eastAsia="Calibri" w:cs="Calibri"/>
                <w:sz w:val="20"/>
                <w:szCs w:val="20"/>
              </w:rPr>
              <w:t>2-3 times per year</w:t>
            </w:r>
          </w:p>
        </w:tc>
        <w:tc>
          <w:tcPr>
            <w:tcW w:w="1984" w:type="dxa"/>
          </w:tcPr>
          <w:p w14:paraId="67F67001" w14:textId="77777777" w:rsidR="003F4F52" w:rsidRPr="00D26A35" w:rsidRDefault="003F4F52" w:rsidP="007222FB">
            <w:pPr>
              <w:rPr>
                <w:rFonts w:eastAsia="Calibri" w:cs="Calibri"/>
                <w:sz w:val="20"/>
                <w:szCs w:val="20"/>
              </w:rPr>
            </w:pPr>
            <w:r w:rsidRPr="00D26A35">
              <w:rPr>
                <w:rFonts w:eastAsia="Calibri" w:cs="Calibri"/>
                <w:sz w:val="20"/>
                <w:szCs w:val="20"/>
              </w:rPr>
              <w:t>Meetings are normally 1-1.5 hours.  Chapters on specific themes go to the relevant ITU staff expert for input/review.  Review takes c. 1.5 hours per year</w:t>
            </w:r>
          </w:p>
        </w:tc>
        <w:tc>
          <w:tcPr>
            <w:tcW w:w="1843" w:type="dxa"/>
          </w:tcPr>
          <w:p w14:paraId="7433C960" w14:textId="77777777" w:rsidR="003F4F52" w:rsidRPr="00D26A35" w:rsidRDefault="003F4F52" w:rsidP="007222FB">
            <w:pPr>
              <w:rPr>
                <w:rFonts w:eastAsia="Calibri" w:cs="Calibri"/>
                <w:sz w:val="20"/>
                <w:szCs w:val="20"/>
              </w:rPr>
            </w:pPr>
            <w:r w:rsidRPr="00D26A35">
              <w:rPr>
                <w:rFonts w:eastAsia="Calibri" w:cs="Calibri"/>
                <w:sz w:val="20"/>
                <w:szCs w:val="20"/>
              </w:rPr>
              <w:t>No financial implications.  Remote and physical meetings in New York</w:t>
            </w:r>
          </w:p>
        </w:tc>
      </w:tr>
      <w:tr w:rsidR="003F4F52" w:rsidRPr="00D26A35" w14:paraId="074C2868" w14:textId="77777777" w:rsidTr="00DF2C2F">
        <w:trPr>
          <w:tblHeader/>
          <w:jc w:val="center"/>
        </w:trPr>
        <w:tc>
          <w:tcPr>
            <w:tcW w:w="1907" w:type="dxa"/>
          </w:tcPr>
          <w:p w14:paraId="72B7451D" w14:textId="3AEDF1CD" w:rsidR="003F4F52" w:rsidRPr="00D26A35" w:rsidRDefault="00CA2100" w:rsidP="007222FB">
            <w:pPr>
              <w:pStyle w:val="NoSpacing"/>
              <w:tabs>
                <w:tab w:val="clear" w:pos="567"/>
              </w:tabs>
              <w:rPr>
                <w:rFonts w:eastAsia="Calibri" w:cs="Calibri"/>
                <w:sz w:val="20"/>
              </w:rPr>
            </w:pPr>
            <w:hyperlink r:id="rId108">
              <w:r w:rsidR="003F4F52" w:rsidRPr="00D26A35">
                <w:rPr>
                  <w:rStyle w:val="Hyperlink"/>
                  <w:rFonts w:eastAsia="Calibri" w:cs="Calibri"/>
                  <w:sz w:val="20"/>
                </w:rPr>
                <w:t>Inter-Agency Task Team o</w:t>
              </w:r>
              <w:r w:rsidR="00285953">
                <w:rPr>
                  <w:rStyle w:val="Hyperlink"/>
                  <w:rFonts w:eastAsia="Calibri" w:cs="Calibri"/>
                  <w:sz w:val="20"/>
                </w:rPr>
                <w:t>n</w:t>
              </w:r>
              <w:r w:rsidR="003F4F52" w:rsidRPr="00D26A35">
                <w:rPr>
                  <w:rStyle w:val="Hyperlink"/>
                  <w:rFonts w:eastAsia="Calibri" w:cs="Calibri"/>
                  <w:sz w:val="20"/>
                </w:rPr>
                <w:t xml:space="preserve"> STI</w:t>
              </w:r>
            </w:hyperlink>
          </w:p>
        </w:tc>
        <w:tc>
          <w:tcPr>
            <w:tcW w:w="3850" w:type="dxa"/>
          </w:tcPr>
          <w:p w14:paraId="7BE3507C" w14:textId="77777777" w:rsidR="003F4F52" w:rsidRPr="00D26A35" w:rsidRDefault="003F4F52" w:rsidP="007222FB">
            <w:pPr>
              <w:rPr>
                <w:rFonts w:eastAsia="Calibri" w:cs="Calibri"/>
                <w:sz w:val="20"/>
                <w:szCs w:val="20"/>
              </w:rPr>
            </w:pPr>
            <w:r w:rsidRPr="00D26A35">
              <w:rPr>
                <w:rFonts w:eastAsia="Calibri" w:cs="Calibri"/>
                <w:sz w:val="20"/>
                <w:szCs w:val="20"/>
              </w:rPr>
              <w:t>Promote coordination, coherence and cooperation within the United Nations system on science, technology and innovation related matters, enhancing synergy and efficiency, in particular to enhance capacity-building initiatives; prepare proposals for the modalities for the forum and the online platform</w:t>
            </w:r>
          </w:p>
        </w:tc>
        <w:tc>
          <w:tcPr>
            <w:tcW w:w="3457" w:type="dxa"/>
          </w:tcPr>
          <w:p w14:paraId="5A93ABFE" w14:textId="5F9FB874" w:rsidR="003F4F52" w:rsidRPr="00D26A35" w:rsidRDefault="00CA2100" w:rsidP="007222FB">
            <w:pPr>
              <w:rPr>
                <w:rFonts w:eastAsia="Calibri" w:cs="Calibri"/>
                <w:sz w:val="20"/>
                <w:szCs w:val="20"/>
              </w:rPr>
            </w:pPr>
            <w:hyperlink r:id="rId109" w:history="1">
              <w:r w:rsidR="002629EA" w:rsidRPr="00D26A35">
                <w:rPr>
                  <w:rStyle w:val="Hyperlink"/>
                  <w:rFonts w:eastAsia="Calibri" w:cs="Calibri"/>
                  <w:sz w:val="20"/>
                  <w:szCs w:val="20"/>
                </w:rPr>
                <w:t>PP Res. 139 (Rev. Dubai, 2018)</w:t>
              </w:r>
            </w:hyperlink>
          </w:p>
          <w:p w14:paraId="6E3A0E5B" w14:textId="0D74146F" w:rsidR="003F4F52" w:rsidRPr="00D26A35" w:rsidRDefault="003F4F52" w:rsidP="007222FB">
            <w:pPr>
              <w:rPr>
                <w:rFonts w:eastAsia="Calibri" w:cs="Calibri"/>
                <w:sz w:val="20"/>
                <w:szCs w:val="20"/>
              </w:rPr>
            </w:pPr>
            <w:r w:rsidRPr="00D26A35">
              <w:rPr>
                <w:rFonts w:eastAsia="Calibri" w:cs="Calibri"/>
                <w:sz w:val="20"/>
                <w:szCs w:val="20"/>
              </w:rPr>
              <w:t>Use of telecommunications/</w:t>
            </w:r>
            <w:r w:rsidR="002629EA" w:rsidRPr="00D26A35">
              <w:rPr>
                <w:rFonts w:eastAsia="Calibri" w:cs="Calibri"/>
                <w:sz w:val="20"/>
                <w:szCs w:val="20"/>
              </w:rPr>
              <w:t xml:space="preserve"> </w:t>
            </w:r>
            <w:r w:rsidRPr="00D26A35">
              <w:rPr>
                <w:rFonts w:eastAsia="Calibri" w:cs="Calibri"/>
                <w:sz w:val="20"/>
                <w:szCs w:val="20"/>
              </w:rPr>
              <w:t>information and communication technologies to bridge the digital divide and build an inclusive information society</w:t>
            </w:r>
          </w:p>
          <w:p w14:paraId="3F0411FD" w14:textId="2667DBFC" w:rsidR="003F4F52" w:rsidRPr="00D26A35" w:rsidRDefault="00CA2100" w:rsidP="007222FB">
            <w:pPr>
              <w:rPr>
                <w:rFonts w:eastAsia="Calibri" w:cs="Calibri"/>
                <w:sz w:val="20"/>
                <w:szCs w:val="20"/>
              </w:rPr>
            </w:pPr>
            <w:hyperlink r:id="rId110" w:history="1">
              <w:r w:rsidR="003F4F52" w:rsidRPr="00D26A35">
                <w:rPr>
                  <w:rStyle w:val="Hyperlink"/>
                  <w:rFonts w:eastAsia="Calibri" w:cs="Calibri"/>
                  <w:sz w:val="20"/>
                  <w:szCs w:val="20"/>
                </w:rPr>
                <w:t>PP</w:t>
              </w:r>
              <w:r w:rsidR="002629EA" w:rsidRPr="00D26A35">
                <w:rPr>
                  <w:rStyle w:val="Hyperlink"/>
                  <w:rFonts w:eastAsia="Calibri" w:cs="Calibri"/>
                  <w:sz w:val="20"/>
                  <w:szCs w:val="20"/>
                </w:rPr>
                <w:t xml:space="preserve"> Res</w:t>
              </w:r>
              <w:r w:rsidR="003F4F52" w:rsidRPr="00D26A35">
                <w:rPr>
                  <w:rStyle w:val="Hyperlink"/>
                  <w:rFonts w:eastAsia="Calibri" w:cs="Calibri"/>
                  <w:sz w:val="20"/>
                  <w:szCs w:val="20"/>
                </w:rPr>
                <w:t>. 200 (R</w:t>
              </w:r>
              <w:r w:rsidR="002629EA" w:rsidRPr="00D26A35">
                <w:rPr>
                  <w:rStyle w:val="Hyperlink"/>
                  <w:rFonts w:eastAsia="Calibri" w:cs="Calibri"/>
                  <w:sz w:val="20"/>
                  <w:szCs w:val="20"/>
                </w:rPr>
                <w:t>ev. Dubai</w:t>
              </w:r>
              <w:r w:rsidR="003F4F52" w:rsidRPr="00D26A35">
                <w:rPr>
                  <w:rStyle w:val="Hyperlink"/>
                  <w:rFonts w:eastAsia="Calibri" w:cs="Calibri"/>
                  <w:sz w:val="20"/>
                  <w:szCs w:val="20"/>
                </w:rPr>
                <w:t>, 2018)</w:t>
              </w:r>
            </w:hyperlink>
          </w:p>
          <w:p w14:paraId="1A32FF5D" w14:textId="77777777" w:rsidR="003F4F52" w:rsidRPr="00D26A35" w:rsidRDefault="003F4F52" w:rsidP="007222FB">
            <w:pPr>
              <w:rPr>
                <w:rFonts w:eastAsia="Calibri" w:cs="Calibri"/>
                <w:sz w:val="20"/>
                <w:szCs w:val="20"/>
              </w:rPr>
            </w:pPr>
            <w:r w:rsidRPr="00D26A35">
              <w:rPr>
                <w:rFonts w:eastAsia="Calibri" w:cs="Calibri"/>
                <w:sz w:val="20"/>
                <w:szCs w:val="20"/>
              </w:rPr>
              <w:t>Connect 2030 Agenda for global telecommunication/information and communication technology, including broadband, for sustainable development</w:t>
            </w:r>
          </w:p>
        </w:tc>
        <w:tc>
          <w:tcPr>
            <w:tcW w:w="1843" w:type="dxa"/>
          </w:tcPr>
          <w:p w14:paraId="317B4E34" w14:textId="77777777" w:rsidR="003F4F52" w:rsidRPr="00D26A35" w:rsidRDefault="003F4F52" w:rsidP="007222FB">
            <w:pPr>
              <w:rPr>
                <w:rFonts w:eastAsia="Calibri" w:cs="Calibri"/>
                <w:sz w:val="20"/>
                <w:szCs w:val="20"/>
              </w:rPr>
            </w:pPr>
            <w:r w:rsidRPr="00D26A35">
              <w:rPr>
                <w:rFonts w:eastAsia="Calibri" w:cs="Calibri"/>
                <w:sz w:val="20"/>
                <w:szCs w:val="20"/>
              </w:rPr>
              <w:t>2 times per year</w:t>
            </w:r>
          </w:p>
        </w:tc>
        <w:tc>
          <w:tcPr>
            <w:tcW w:w="1984" w:type="dxa"/>
          </w:tcPr>
          <w:p w14:paraId="6273FC4D" w14:textId="77777777" w:rsidR="003F4F52" w:rsidRPr="00D26A35" w:rsidRDefault="003F4F52" w:rsidP="007222FB">
            <w:pPr>
              <w:rPr>
                <w:rFonts w:eastAsia="Calibri" w:cs="Calibri"/>
                <w:sz w:val="20"/>
                <w:szCs w:val="20"/>
              </w:rPr>
            </w:pPr>
            <w:r w:rsidRPr="00D26A35">
              <w:rPr>
                <w:rFonts w:eastAsia="Calibri" w:cs="Calibri"/>
                <w:sz w:val="20"/>
                <w:szCs w:val="20"/>
              </w:rPr>
              <w:t xml:space="preserve">Meetings are normally 1-1.5 hours.  </w:t>
            </w:r>
          </w:p>
        </w:tc>
        <w:tc>
          <w:tcPr>
            <w:tcW w:w="1843" w:type="dxa"/>
          </w:tcPr>
          <w:p w14:paraId="16A306E4" w14:textId="77777777" w:rsidR="003F4F52" w:rsidRPr="00D26A35" w:rsidRDefault="003F4F52" w:rsidP="007222FB">
            <w:pPr>
              <w:rPr>
                <w:rFonts w:eastAsia="Calibri" w:cs="Calibri"/>
                <w:sz w:val="20"/>
                <w:szCs w:val="20"/>
              </w:rPr>
            </w:pPr>
            <w:r w:rsidRPr="00D26A35">
              <w:rPr>
                <w:rFonts w:eastAsia="Calibri" w:cs="Calibri"/>
                <w:sz w:val="20"/>
                <w:szCs w:val="20"/>
              </w:rPr>
              <w:t>No financial implications.  Remote and physical meetings in New York</w:t>
            </w:r>
          </w:p>
        </w:tc>
      </w:tr>
      <w:tr w:rsidR="003F4F52" w:rsidRPr="00D26A35" w14:paraId="54C76FF2" w14:textId="77777777" w:rsidTr="00DF2C2F">
        <w:trPr>
          <w:tblHeader/>
          <w:jc w:val="center"/>
        </w:trPr>
        <w:tc>
          <w:tcPr>
            <w:tcW w:w="1907" w:type="dxa"/>
          </w:tcPr>
          <w:p w14:paraId="0FB6CD84" w14:textId="77777777" w:rsidR="003F4F52" w:rsidRPr="00D26A35" w:rsidRDefault="00CA2100" w:rsidP="007222FB">
            <w:pPr>
              <w:shd w:val="clear" w:color="auto" w:fill="FFFFFF" w:themeFill="background1"/>
              <w:outlineLvl w:val="2"/>
              <w:rPr>
                <w:rFonts w:eastAsia="Calibri" w:cs="Calibri"/>
                <w:sz w:val="20"/>
                <w:szCs w:val="20"/>
              </w:rPr>
            </w:pPr>
            <w:hyperlink r:id="rId111">
              <w:r w:rsidR="003F4F52" w:rsidRPr="00D26A35">
                <w:rPr>
                  <w:rStyle w:val="Hyperlink"/>
                  <w:rFonts w:eastAsia="Calibri" w:cs="Calibri"/>
                  <w:sz w:val="20"/>
                  <w:szCs w:val="20"/>
                </w:rPr>
                <w:t>The Inter-Agency Coordination Group against Trafficking in Persons (ICAT)</w:t>
              </w:r>
            </w:hyperlink>
          </w:p>
        </w:tc>
        <w:tc>
          <w:tcPr>
            <w:tcW w:w="3850" w:type="dxa"/>
          </w:tcPr>
          <w:p w14:paraId="72F6E91D" w14:textId="77777777" w:rsidR="003F4F52" w:rsidRPr="00D26A35" w:rsidRDefault="003F4F52" w:rsidP="007222FB">
            <w:pPr>
              <w:rPr>
                <w:rFonts w:eastAsia="Calibri" w:cs="Calibri"/>
                <w:sz w:val="20"/>
                <w:szCs w:val="20"/>
              </w:rPr>
            </w:pPr>
            <w:r w:rsidRPr="00D26A35">
              <w:rPr>
                <w:rFonts w:eastAsia="Calibri" w:cs="Calibri"/>
                <w:sz w:val="20"/>
                <w:szCs w:val="20"/>
              </w:rPr>
              <w:t>Improve coordination among UN agencies and other relevant international organizations to facilitate a holistic and comprehensive approach to preventing and combating trafficking in persons, including protection and support for victims of trafficking.</w:t>
            </w:r>
          </w:p>
        </w:tc>
        <w:tc>
          <w:tcPr>
            <w:tcW w:w="3457" w:type="dxa"/>
          </w:tcPr>
          <w:p w14:paraId="0559E52A" w14:textId="32F9CA70" w:rsidR="003F4F52" w:rsidRPr="00D26A35" w:rsidRDefault="00CA2100" w:rsidP="007222FB">
            <w:pPr>
              <w:rPr>
                <w:rFonts w:eastAsia="Calibri" w:cs="Calibri"/>
                <w:sz w:val="20"/>
                <w:szCs w:val="20"/>
              </w:rPr>
            </w:pPr>
            <w:hyperlink r:id="rId112" w:history="1">
              <w:r w:rsidR="002629EA" w:rsidRPr="00D26A35">
                <w:rPr>
                  <w:rStyle w:val="Hyperlink"/>
                  <w:rFonts w:eastAsia="Calibri" w:cs="Calibri"/>
                  <w:sz w:val="20"/>
                  <w:szCs w:val="20"/>
                </w:rPr>
                <w:t>PP Rec.</w:t>
              </w:r>
              <w:r w:rsidR="003F4F52" w:rsidRPr="00D26A35">
                <w:rPr>
                  <w:rStyle w:val="Hyperlink"/>
                  <w:rFonts w:eastAsia="Calibri" w:cs="Calibri"/>
                  <w:sz w:val="20"/>
                  <w:szCs w:val="20"/>
                </w:rPr>
                <w:t xml:space="preserve"> 7 (D</w:t>
              </w:r>
              <w:r w:rsidR="002629EA" w:rsidRPr="00D26A35">
                <w:rPr>
                  <w:rStyle w:val="Hyperlink"/>
                  <w:rFonts w:eastAsia="Calibri" w:cs="Calibri"/>
                  <w:sz w:val="20"/>
                  <w:szCs w:val="20"/>
                </w:rPr>
                <w:t>ubai</w:t>
              </w:r>
              <w:r w:rsidR="003F4F52" w:rsidRPr="00D26A35">
                <w:rPr>
                  <w:rStyle w:val="Hyperlink"/>
                  <w:rFonts w:eastAsia="Calibri" w:cs="Calibri"/>
                  <w:sz w:val="20"/>
                  <w:szCs w:val="20"/>
                </w:rPr>
                <w:t>, 2018)</w:t>
              </w:r>
            </w:hyperlink>
          </w:p>
          <w:p w14:paraId="64B937D3" w14:textId="77777777" w:rsidR="003F4F52" w:rsidRPr="00D26A35" w:rsidRDefault="003F4F52" w:rsidP="007222FB">
            <w:pPr>
              <w:rPr>
                <w:rFonts w:eastAsia="Calibri" w:cs="Calibri"/>
                <w:sz w:val="20"/>
                <w:szCs w:val="20"/>
              </w:rPr>
            </w:pPr>
            <w:r w:rsidRPr="00D26A35">
              <w:rPr>
                <w:rFonts w:eastAsia="Calibri" w:cs="Calibri"/>
                <w:sz w:val="20"/>
                <w:szCs w:val="20"/>
              </w:rPr>
              <w:t>The role of ITU in supporting the use of information and communication technologies to combat trafficking in persons</w:t>
            </w:r>
          </w:p>
        </w:tc>
        <w:tc>
          <w:tcPr>
            <w:tcW w:w="1843" w:type="dxa"/>
          </w:tcPr>
          <w:p w14:paraId="309F8301" w14:textId="77777777" w:rsidR="003F4F52" w:rsidRPr="00D26A35" w:rsidRDefault="003F4F52" w:rsidP="007222FB">
            <w:pPr>
              <w:rPr>
                <w:rFonts w:eastAsia="Calibri" w:cs="Calibri"/>
                <w:sz w:val="20"/>
                <w:szCs w:val="20"/>
              </w:rPr>
            </w:pPr>
          </w:p>
        </w:tc>
        <w:tc>
          <w:tcPr>
            <w:tcW w:w="1984" w:type="dxa"/>
          </w:tcPr>
          <w:p w14:paraId="72717FAC" w14:textId="77777777" w:rsidR="003F4F52" w:rsidRPr="00D26A35" w:rsidRDefault="003F4F52" w:rsidP="007222FB">
            <w:pPr>
              <w:rPr>
                <w:rFonts w:eastAsia="Calibri" w:cs="Calibri"/>
                <w:sz w:val="20"/>
                <w:szCs w:val="20"/>
              </w:rPr>
            </w:pPr>
          </w:p>
        </w:tc>
        <w:tc>
          <w:tcPr>
            <w:tcW w:w="1843" w:type="dxa"/>
          </w:tcPr>
          <w:p w14:paraId="1F13C709" w14:textId="54923DC1" w:rsidR="003F4F52" w:rsidRPr="00D26A35" w:rsidRDefault="003F4F52" w:rsidP="002629EA">
            <w:pPr>
              <w:rPr>
                <w:rFonts w:eastAsia="Calibri" w:cs="Calibri"/>
                <w:sz w:val="20"/>
                <w:szCs w:val="20"/>
              </w:rPr>
            </w:pPr>
            <w:r w:rsidRPr="00D26A35">
              <w:rPr>
                <w:rFonts w:eastAsia="Calibri" w:cs="Calibri"/>
                <w:sz w:val="20"/>
                <w:szCs w:val="20"/>
              </w:rPr>
              <w:t>No financial implications.  Remote and physical meetings in New Yor</w:t>
            </w:r>
            <w:r w:rsidR="002629EA" w:rsidRPr="00D26A35">
              <w:rPr>
                <w:rFonts w:eastAsia="Calibri" w:cs="Calibri"/>
                <w:sz w:val="20"/>
                <w:szCs w:val="20"/>
              </w:rPr>
              <w:t>k</w:t>
            </w:r>
          </w:p>
        </w:tc>
      </w:tr>
      <w:tr w:rsidR="003F4F52" w:rsidRPr="00D26A35" w14:paraId="7229AD7C" w14:textId="77777777" w:rsidTr="00DF2C2F">
        <w:trPr>
          <w:tblHeader/>
          <w:jc w:val="center"/>
        </w:trPr>
        <w:tc>
          <w:tcPr>
            <w:tcW w:w="1907" w:type="dxa"/>
          </w:tcPr>
          <w:p w14:paraId="021E824A" w14:textId="77777777" w:rsidR="003F4F52" w:rsidRPr="00D26A35" w:rsidRDefault="00CA2100" w:rsidP="007222FB">
            <w:pPr>
              <w:shd w:val="clear" w:color="auto" w:fill="FFFFFF" w:themeFill="background1"/>
              <w:outlineLvl w:val="2"/>
              <w:rPr>
                <w:rFonts w:eastAsia="Calibri" w:cs="Calibri"/>
                <w:sz w:val="20"/>
                <w:szCs w:val="20"/>
              </w:rPr>
            </w:pPr>
            <w:hyperlink r:id="rId113" w:history="1">
              <w:r w:rsidR="003F4F52" w:rsidRPr="00D26A35">
                <w:rPr>
                  <w:rStyle w:val="Hyperlink"/>
                  <w:rFonts w:eastAsia="Calibri" w:cs="Calibri"/>
                  <w:sz w:val="20"/>
                  <w:szCs w:val="20"/>
                  <w:bdr w:val="none" w:sz="0" w:space="0" w:color="auto" w:frame="1"/>
                </w:rPr>
                <w:t>United Nations Environment Management Group (</w:t>
              </w:r>
              <w:r w:rsidR="003F4F52" w:rsidRPr="00D26A35">
                <w:rPr>
                  <w:rStyle w:val="Hyperlink"/>
                  <w:rFonts w:eastAsia="Calibri" w:cs="Calibri"/>
                  <w:b/>
                  <w:bCs/>
                  <w:sz w:val="20"/>
                  <w:szCs w:val="20"/>
                  <w:bdr w:val="none" w:sz="0" w:space="0" w:color="auto" w:frame="1"/>
                </w:rPr>
                <w:t>EMG</w:t>
              </w:r>
              <w:r w:rsidR="003F4F52" w:rsidRPr="00D26A35">
                <w:rPr>
                  <w:rStyle w:val="Hyperlink"/>
                  <w:rFonts w:eastAsia="Calibri" w:cs="Calibri"/>
                  <w:sz w:val="20"/>
                  <w:szCs w:val="20"/>
                  <w:bdr w:val="none" w:sz="0" w:space="0" w:color="auto" w:frame="1"/>
                </w:rPr>
                <w:t>)</w:t>
              </w:r>
            </w:hyperlink>
            <w:r w:rsidR="003F4F52" w:rsidRPr="00D26A35">
              <w:rPr>
                <w:rFonts w:eastAsia="Calibri" w:cs="Calibri"/>
                <w:sz w:val="20"/>
                <w:szCs w:val="20"/>
                <w:bdr w:val="none" w:sz="0" w:space="0" w:color="auto" w:frame="1"/>
              </w:rPr>
              <w:t xml:space="preserve"> </w:t>
            </w:r>
          </w:p>
        </w:tc>
        <w:tc>
          <w:tcPr>
            <w:tcW w:w="3850" w:type="dxa"/>
          </w:tcPr>
          <w:p w14:paraId="67790F85" w14:textId="77777777" w:rsidR="003F4F52" w:rsidRPr="00D26A35" w:rsidRDefault="003F4F52" w:rsidP="007222FB">
            <w:pPr>
              <w:rPr>
                <w:rFonts w:eastAsia="Calibri" w:cs="Calibri"/>
                <w:sz w:val="20"/>
                <w:szCs w:val="20"/>
              </w:rPr>
            </w:pPr>
            <w:r w:rsidRPr="00D26A35">
              <w:rPr>
                <w:rFonts w:eastAsia="Calibri" w:cs="Calibri"/>
                <w:sz w:val="20"/>
                <w:szCs w:val="20"/>
              </w:rPr>
              <w:t>Identifies issues on the international environmental agenda that warrant cooperation and finds ways of engaging its collective capacity in coherent management responses to those issues.</w:t>
            </w:r>
          </w:p>
        </w:tc>
        <w:tc>
          <w:tcPr>
            <w:tcW w:w="3457" w:type="dxa"/>
          </w:tcPr>
          <w:p w14:paraId="2A555BD4" w14:textId="0747181F" w:rsidR="003F4F52" w:rsidRPr="00D26A35" w:rsidRDefault="00CA2100" w:rsidP="007222FB">
            <w:pPr>
              <w:rPr>
                <w:rFonts w:eastAsia="Calibri" w:cs="Calibri"/>
                <w:sz w:val="20"/>
                <w:szCs w:val="20"/>
              </w:rPr>
            </w:pPr>
            <w:hyperlink r:id="rId114" w:history="1">
              <w:r w:rsidR="003F4F52" w:rsidRPr="00D26A35">
                <w:rPr>
                  <w:rStyle w:val="Hyperlink"/>
                  <w:rFonts w:eastAsia="Calibri" w:cs="Calibri"/>
                  <w:sz w:val="20"/>
                  <w:szCs w:val="20"/>
                </w:rPr>
                <w:t>ITU strategic plan for 2020-2023</w:t>
              </w:r>
            </w:hyperlink>
            <w:r w:rsidR="003F4F52" w:rsidRPr="00D26A35">
              <w:rPr>
                <w:rFonts w:eastAsia="Calibri" w:cs="Calibri"/>
                <w:sz w:val="20"/>
                <w:szCs w:val="20"/>
              </w:rPr>
              <w:t xml:space="preserve"> – Goal 3 on sustainability (e-waste)</w:t>
            </w:r>
          </w:p>
        </w:tc>
        <w:tc>
          <w:tcPr>
            <w:tcW w:w="1843" w:type="dxa"/>
          </w:tcPr>
          <w:p w14:paraId="27B09DD2" w14:textId="77777777" w:rsidR="003F4F52" w:rsidRPr="00D26A35" w:rsidRDefault="003F4F52" w:rsidP="007222FB">
            <w:pPr>
              <w:rPr>
                <w:rFonts w:eastAsia="Calibri" w:cs="Calibri"/>
                <w:sz w:val="20"/>
                <w:szCs w:val="20"/>
              </w:rPr>
            </w:pPr>
            <w:r w:rsidRPr="00D26A35">
              <w:rPr>
                <w:rFonts w:eastAsia="Calibri" w:cs="Calibri"/>
                <w:sz w:val="20"/>
                <w:szCs w:val="20"/>
              </w:rPr>
              <w:t>2 times a year</w:t>
            </w:r>
          </w:p>
        </w:tc>
        <w:tc>
          <w:tcPr>
            <w:tcW w:w="1984" w:type="dxa"/>
          </w:tcPr>
          <w:p w14:paraId="3DA357E8" w14:textId="77777777" w:rsidR="003F4F52" w:rsidRPr="00D26A35" w:rsidRDefault="003F4F52" w:rsidP="007222FB">
            <w:pPr>
              <w:rPr>
                <w:rFonts w:eastAsia="Calibri" w:cs="Calibri"/>
                <w:sz w:val="20"/>
                <w:szCs w:val="20"/>
              </w:rPr>
            </w:pPr>
            <w:r w:rsidRPr="00D26A35">
              <w:rPr>
                <w:rFonts w:eastAsia="Calibri" w:cs="Calibri"/>
                <w:sz w:val="20"/>
                <w:szCs w:val="20"/>
              </w:rPr>
              <w:t>Meetings last half day</w:t>
            </w:r>
          </w:p>
        </w:tc>
        <w:tc>
          <w:tcPr>
            <w:tcW w:w="1843" w:type="dxa"/>
          </w:tcPr>
          <w:p w14:paraId="3E703839" w14:textId="77777777" w:rsidR="003F4F52" w:rsidRPr="00D26A35" w:rsidRDefault="003F4F52" w:rsidP="007222FB">
            <w:pPr>
              <w:rPr>
                <w:rFonts w:eastAsia="Calibri" w:cs="Calibri"/>
                <w:sz w:val="20"/>
                <w:szCs w:val="20"/>
              </w:rPr>
            </w:pPr>
            <w:r w:rsidRPr="00D26A35">
              <w:rPr>
                <w:rFonts w:eastAsia="Calibri" w:cs="Calibri"/>
                <w:sz w:val="20"/>
                <w:szCs w:val="20"/>
              </w:rPr>
              <w:t>No financial implications, remote participation</w:t>
            </w:r>
          </w:p>
        </w:tc>
      </w:tr>
      <w:tr w:rsidR="003F4F52" w:rsidRPr="00D26A35" w14:paraId="17F56B4B" w14:textId="77777777" w:rsidTr="00DF2C2F">
        <w:trPr>
          <w:tblHeader/>
          <w:jc w:val="center"/>
        </w:trPr>
        <w:tc>
          <w:tcPr>
            <w:tcW w:w="1907" w:type="dxa"/>
          </w:tcPr>
          <w:p w14:paraId="43F15287" w14:textId="77777777" w:rsidR="003F4F52" w:rsidRPr="00D26A35" w:rsidRDefault="00CA2100" w:rsidP="007222FB">
            <w:hyperlink r:id="rId115">
              <w:r w:rsidR="003F4F52" w:rsidRPr="00D26A35">
                <w:rPr>
                  <w:rStyle w:val="Hyperlink"/>
                  <w:rFonts w:eastAsia="Calibri" w:cs="Calibri"/>
                  <w:sz w:val="20"/>
                  <w:szCs w:val="20"/>
                </w:rPr>
                <w:t>Issue Management (IMG) Group on Sustainability Management</w:t>
              </w:r>
            </w:hyperlink>
          </w:p>
        </w:tc>
        <w:tc>
          <w:tcPr>
            <w:tcW w:w="3850" w:type="dxa"/>
          </w:tcPr>
          <w:p w14:paraId="1BF7CEDA" w14:textId="77777777" w:rsidR="003F4F52" w:rsidRPr="00D26A35" w:rsidRDefault="003F4F52" w:rsidP="007222FB">
            <w:r w:rsidRPr="00D26A35">
              <w:rPr>
                <w:rFonts w:eastAsia="Calibri" w:cs="Calibri"/>
                <w:sz w:val="20"/>
                <w:szCs w:val="20"/>
              </w:rPr>
              <w:t>Focuses on the implementation of the UN Climate Neutral Strategy. Develops a system for delivering annual greenhouse gas inventories, reporting and offsets to achieve climate neutrality in UN. Works on a common Sustainability Management System for the UN.</w:t>
            </w:r>
          </w:p>
        </w:tc>
        <w:tc>
          <w:tcPr>
            <w:tcW w:w="3457" w:type="dxa"/>
          </w:tcPr>
          <w:p w14:paraId="0CC73174" w14:textId="77777777" w:rsidR="003F4F52" w:rsidRPr="00D26A35" w:rsidRDefault="003F4F52">
            <w:r w:rsidRPr="00D26A35">
              <w:rPr>
                <w:rFonts w:eastAsia="Calibri" w:cs="Calibri"/>
                <w:sz w:val="20"/>
                <w:szCs w:val="20"/>
              </w:rPr>
              <w:t>Coherence with the UN Climate Neutral Strategy and the Strategy for Sustainability Management in the United Nations system (2020-2030).</w:t>
            </w:r>
          </w:p>
          <w:p w14:paraId="50C0E1B7" w14:textId="77777777" w:rsidR="003F4F52" w:rsidRPr="00D26A35" w:rsidRDefault="003F4F52" w:rsidP="007222FB">
            <w:r w:rsidRPr="00D26A35">
              <w:rPr>
                <w:rFonts w:eastAsia="Calibri" w:cs="Calibri"/>
                <w:sz w:val="20"/>
                <w:szCs w:val="20"/>
              </w:rPr>
              <w:t>Strengthening internal Sustainability Management practices.</w:t>
            </w:r>
          </w:p>
        </w:tc>
        <w:tc>
          <w:tcPr>
            <w:tcW w:w="1843" w:type="dxa"/>
          </w:tcPr>
          <w:p w14:paraId="12A01AA0" w14:textId="77777777" w:rsidR="003F4F52" w:rsidRPr="00D26A35" w:rsidRDefault="003F4F52" w:rsidP="007222FB">
            <w:r w:rsidRPr="00D26A35">
              <w:rPr>
                <w:rFonts w:eastAsia="Calibri" w:cs="Calibri"/>
                <w:sz w:val="20"/>
                <w:szCs w:val="20"/>
              </w:rPr>
              <w:t>Twice per year</w:t>
            </w:r>
          </w:p>
        </w:tc>
        <w:tc>
          <w:tcPr>
            <w:tcW w:w="1984" w:type="dxa"/>
          </w:tcPr>
          <w:tbl>
            <w:tblPr>
              <w:tblW w:w="0" w:type="auto"/>
              <w:tblLook w:val="04A0" w:firstRow="1" w:lastRow="0" w:firstColumn="1" w:lastColumn="0" w:noHBand="0" w:noVBand="1"/>
            </w:tblPr>
            <w:tblGrid>
              <w:gridCol w:w="1455"/>
            </w:tblGrid>
            <w:tr w:rsidR="003F4F52" w:rsidRPr="00D26A35" w14:paraId="4C30CB43" w14:textId="77777777" w:rsidTr="007222FB">
              <w:tc>
                <w:tcPr>
                  <w:tcW w:w="1455" w:type="dxa"/>
                </w:tcPr>
                <w:p w14:paraId="232A2A3E" w14:textId="7B9AC68F" w:rsidR="003F4F52" w:rsidRPr="00D26A35" w:rsidRDefault="003F4F52">
                  <w:r w:rsidRPr="00D26A35">
                    <w:rPr>
                      <w:rFonts w:eastAsia="Calibri" w:cs="Calibri"/>
                      <w:sz w:val="20"/>
                    </w:rPr>
                    <w:t>1 half</w:t>
                  </w:r>
                  <w:r w:rsidR="006D45D6" w:rsidRPr="00D26A35">
                    <w:rPr>
                      <w:rFonts w:eastAsia="Calibri" w:cs="Calibri"/>
                      <w:sz w:val="20"/>
                    </w:rPr>
                    <w:t>-</w:t>
                  </w:r>
                  <w:r w:rsidRPr="00D26A35">
                    <w:rPr>
                      <w:rFonts w:eastAsia="Calibri" w:cs="Calibri"/>
                      <w:sz w:val="20"/>
                    </w:rPr>
                    <w:t>day online meeting</w:t>
                  </w:r>
                </w:p>
                <w:p w14:paraId="23A35641" w14:textId="77777777" w:rsidR="003F4F52" w:rsidRPr="00D26A35" w:rsidRDefault="003F4F52">
                  <w:r w:rsidRPr="00D26A35">
                    <w:rPr>
                      <w:rFonts w:eastAsia="Calibri" w:cs="Calibri"/>
                      <w:sz w:val="20"/>
                    </w:rPr>
                    <w:t>1 physical meeting (4 days)</w:t>
                  </w:r>
                </w:p>
              </w:tc>
            </w:tr>
          </w:tbl>
          <w:p w14:paraId="06F2A668" w14:textId="77777777" w:rsidR="003F4F52" w:rsidRPr="00D26A35" w:rsidRDefault="003F4F52" w:rsidP="007222FB">
            <w:pPr>
              <w:rPr>
                <w:rFonts w:eastAsia="Calibri" w:cs="Calibri"/>
                <w:sz w:val="20"/>
                <w:szCs w:val="20"/>
              </w:rPr>
            </w:pPr>
          </w:p>
        </w:tc>
        <w:tc>
          <w:tcPr>
            <w:tcW w:w="1843" w:type="dxa"/>
          </w:tcPr>
          <w:p w14:paraId="25E687D3" w14:textId="77777777" w:rsidR="003F4F52" w:rsidRPr="00D26A35" w:rsidRDefault="003F4F52" w:rsidP="007222FB">
            <w:r w:rsidRPr="00D26A35">
              <w:rPr>
                <w:rFonts w:eastAsia="Calibri" w:cs="Calibri"/>
                <w:sz w:val="20"/>
                <w:szCs w:val="20"/>
              </w:rPr>
              <w:t>Travel and DSA for 1 staff (4 days)</w:t>
            </w:r>
          </w:p>
        </w:tc>
      </w:tr>
      <w:tr w:rsidR="003F4F52" w:rsidRPr="00D26A35" w14:paraId="3BAC3B83" w14:textId="77777777" w:rsidTr="00DF2C2F">
        <w:trPr>
          <w:tblHeader/>
          <w:jc w:val="center"/>
        </w:trPr>
        <w:tc>
          <w:tcPr>
            <w:tcW w:w="1907" w:type="dxa"/>
          </w:tcPr>
          <w:p w14:paraId="3D21D438" w14:textId="77777777" w:rsidR="003F4F52" w:rsidRPr="00D26A35" w:rsidRDefault="00CA2100" w:rsidP="007222FB">
            <w:pPr>
              <w:pStyle w:val="NoSpacing"/>
              <w:tabs>
                <w:tab w:val="clear" w:pos="567"/>
              </w:tabs>
              <w:rPr>
                <w:rFonts w:eastAsia="Calibri" w:cs="Calibri"/>
                <w:sz w:val="20"/>
              </w:rPr>
            </w:pPr>
            <w:hyperlink r:id="rId116">
              <w:r w:rsidR="003F4F52" w:rsidRPr="00D26A35">
                <w:rPr>
                  <w:rStyle w:val="Hyperlink"/>
                  <w:rFonts w:eastAsia="Calibri" w:cs="Calibri"/>
                  <w:sz w:val="20"/>
                  <w:lang w:eastAsia="zh-CN"/>
                </w:rPr>
                <w:t>Inter-Agency Standing Committee - Emergency Telecommunications</w:t>
              </w:r>
              <w:r w:rsidR="003F4F52" w:rsidRPr="00D26A35">
                <w:rPr>
                  <w:rStyle w:val="Hyperlink"/>
                  <w:rFonts w:eastAsia="Calibri" w:cs="Calibri"/>
                  <w:sz w:val="20"/>
                </w:rPr>
                <w:t xml:space="preserve"> Cluster</w:t>
              </w:r>
            </w:hyperlink>
          </w:p>
        </w:tc>
        <w:tc>
          <w:tcPr>
            <w:tcW w:w="3850" w:type="dxa"/>
          </w:tcPr>
          <w:p w14:paraId="55D7361E" w14:textId="77777777" w:rsidR="003F4F52" w:rsidRPr="00D26A35" w:rsidRDefault="003F4F52" w:rsidP="007222FB">
            <w:pPr>
              <w:shd w:val="clear" w:color="auto" w:fill="FFFFFF" w:themeFill="background1"/>
              <w:outlineLvl w:val="2"/>
              <w:rPr>
                <w:rFonts w:eastAsia="Calibri" w:cs="Calibri"/>
                <w:sz w:val="20"/>
                <w:szCs w:val="20"/>
              </w:rPr>
            </w:pPr>
            <w:r w:rsidRPr="00D26A35">
              <w:rPr>
                <w:rFonts w:eastAsia="Calibri" w:cs="Calibri"/>
                <w:sz w:val="20"/>
                <w:szCs w:val="20"/>
              </w:rPr>
              <w:t>Convening the humanitarian technology community, and brokering full-service communication solutions between private industry, governments, humanitarians, and communities.</w:t>
            </w:r>
          </w:p>
        </w:tc>
        <w:tc>
          <w:tcPr>
            <w:tcW w:w="3457" w:type="dxa"/>
          </w:tcPr>
          <w:p w14:paraId="3C440B91" w14:textId="40E046FA" w:rsidR="003F4F52" w:rsidRPr="00D26A35" w:rsidRDefault="00CA2100" w:rsidP="007222FB">
            <w:pPr>
              <w:rPr>
                <w:rFonts w:eastAsia="Calibri" w:cs="Calibri"/>
                <w:sz w:val="20"/>
                <w:szCs w:val="20"/>
              </w:rPr>
            </w:pPr>
            <w:hyperlink r:id="rId117" w:history="1">
              <w:r w:rsidR="003F4F52" w:rsidRPr="00D26A35">
                <w:rPr>
                  <w:rStyle w:val="Hyperlink"/>
                  <w:rFonts w:eastAsia="Calibri" w:cs="Calibri"/>
                  <w:sz w:val="20"/>
                  <w:szCs w:val="20"/>
                </w:rPr>
                <w:t>PP R</w:t>
              </w:r>
              <w:r w:rsidR="003E2509" w:rsidRPr="00D26A35">
                <w:rPr>
                  <w:rStyle w:val="Hyperlink"/>
                  <w:rFonts w:eastAsia="Calibri" w:cs="Calibri"/>
                  <w:sz w:val="20"/>
                  <w:szCs w:val="20"/>
                </w:rPr>
                <w:t>es</w:t>
              </w:r>
              <w:r w:rsidR="003F4F52" w:rsidRPr="00D26A35">
                <w:rPr>
                  <w:rStyle w:val="Hyperlink"/>
                  <w:rFonts w:eastAsia="Calibri" w:cs="Calibri"/>
                  <w:sz w:val="20"/>
                  <w:szCs w:val="20"/>
                </w:rPr>
                <w:t>. 136 (R</w:t>
              </w:r>
              <w:r w:rsidR="003E2509" w:rsidRPr="00D26A35">
                <w:rPr>
                  <w:rStyle w:val="Hyperlink"/>
                  <w:rFonts w:eastAsia="Calibri" w:cs="Calibri"/>
                  <w:sz w:val="20"/>
                  <w:szCs w:val="20"/>
                </w:rPr>
                <w:t>ev. Dubai</w:t>
              </w:r>
              <w:r w:rsidR="003F4F52" w:rsidRPr="00D26A35">
                <w:rPr>
                  <w:rStyle w:val="Hyperlink"/>
                  <w:rFonts w:eastAsia="Calibri" w:cs="Calibri"/>
                  <w:sz w:val="20"/>
                  <w:szCs w:val="20"/>
                </w:rPr>
                <w:t>, 2018)</w:t>
              </w:r>
            </w:hyperlink>
          </w:p>
          <w:p w14:paraId="5CD4CDDF" w14:textId="12471047" w:rsidR="003F4F52" w:rsidRPr="00D26A35" w:rsidRDefault="003F4F52" w:rsidP="003E2509">
            <w:pPr>
              <w:rPr>
                <w:rFonts w:eastAsia="Calibri" w:cs="Calibri"/>
                <w:b/>
                <w:bCs/>
                <w:sz w:val="20"/>
                <w:szCs w:val="20"/>
              </w:rPr>
            </w:pPr>
            <w:r w:rsidRPr="00D26A35">
              <w:rPr>
                <w:rFonts w:eastAsia="Calibri" w:cs="Calibri"/>
                <w:sz w:val="20"/>
                <w:szCs w:val="20"/>
              </w:rPr>
              <w:t>The use of telecommunications/</w:t>
            </w:r>
            <w:r w:rsidR="003E2509" w:rsidRPr="00D26A35">
              <w:rPr>
                <w:rFonts w:eastAsia="Calibri" w:cs="Calibri"/>
                <w:sz w:val="20"/>
                <w:szCs w:val="20"/>
              </w:rPr>
              <w:t xml:space="preserve"> </w:t>
            </w:r>
            <w:r w:rsidRPr="00D26A35">
              <w:rPr>
                <w:rFonts w:eastAsia="Calibri" w:cs="Calibri"/>
                <w:sz w:val="20"/>
                <w:szCs w:val="20"/>
              </w:rPr>
              <w:t>information and communication technologies for humanitarian assistance and for monitoring and management in emergency and disaster situations, including</w:t>
            </w:r>
            <w:r w:rsidR="003E2509" w:rsidRPr="00D26A35">
              <w:rPr>
                <w:rFonts w:eastAsia="Calibri" w:cs="Calibri"/>
                <w:sz w:val="20"/>
                <w:szCs w:val="20"/>
              </w:rPr>
              <w:t xml:space="preserve"> </w:t>
            </w:r>
            <w:r w:rsidRPr="00D26A35">
              <w:rPr>
                <w:rFonts w:eastAsia="Calibri" w:cs="Calibri"/>
                <w:sz w:val="20"/>
                <w:szCs w:val="20"/>
              </w:rPr>
              <w:t>health-related emergencies, for early warning, prevention, mitigation and relief</w:t>
            </w:r>
          </w:p>
        </w:tc>
        <w:tc>
          <w:tcPr>
            <w:tcW w:w="1843" w:type="dxa"/>
          </w:tcPr>
          <w:p w14:paraId="6AEACDA9" w14:textId="77777777" w:rsidR="003F4F52" w:rsidRPr="00D26A35" w:rsidRDefault="003F4F52" w:rsidP="007222FB">
            <w:pPr>
              <w:rPr>
                <w:rFonts w:eastAsia="Calibri" w:cs="Calibri"/>
                <w:sz w:val="20"/>
                <w:szCs w:val="20"/>
              </w:rPr>
            </w:pPr>
            <w:r w:rsidRPr="00D26A35">
              <w:rPr>
                <w:rFonts w:eastAsia="Calibri" w:cs="Calibri"/>
                <w:sz w:val="20"/>
                <w:szCs w:val="20"/>
              </w:rPr>
              <w:t xml:space="preserve">Quarterly calls (half day) and annual </w:t>
            </w:r>
            <w:proofErr w:type="gramStart"/>
            <w:r w:rsidRPr="00D26A35">
              <w:rPr>
                <w:rFonts w:eastAsia="Calibri" w:cs="Calibri"/>
                <w:sz w:val="20"/>
                <w:szCs w:val="20"/>
              </w:rPr>
              <w:t>meeting</w:t>
            </w:r>
            <w:proofErr w:type="gramEnd"/>
            <w:r w:rsidRPr="00D26A35">
              <w:rPr>
                <w:rFonts w:eastAsia="Calibri" w:cs="Calibri"/>
                <w:sz w:val="20"/>
                <w:szCs w:val="20"/>
              </w:rPr>
              <w:t xml:space="preserve"> per year</w:t>
            </w:r>
          </w:p>
        </w:tc>
        <w:tc>
          <w:tcPr>
            <w:tcW w:w="1984" w:type="dxa"/>
          </w:tcPr>
          <w:p w14:paraId="4CE0AA94" w14:textId="08B09593" w:rsidR="003F4F52" w:rsidRPr="00D26A35" w:rsidRDefault="003F4F52" w:rsidP="007222FB">
            <w:pPr>
              <w:rPr>
                <w:rFonts w:eastAsia="Calibri" w:cs="Calibri"/>
                <w:sz w:val="20"/>
                <w:szCs w:val="20"/>
              </w:rPr>
            </w:pPr>
            <w:r w:rsidRPr="00D26A35">
              <w:rPr>
                <w:rFonts w:eastAsia="Calibri" w:cs="Calibri"/>
                <w:sz w:val="20"/>
                <w:szCs w:val="20"/>
              </w:rPr>
              <w:t>Calls are hal</w:t>
            </w:r>
            <w:r w:rsidR="006D45D6" w:rsidRPr="00D26A35">
              <w:rPr>
                <w:rFonts w:eastAsia="Calibri" w:cs="Calibri"/>
                <w:sz w:val="20"/>
                <w:szCs w:val="20"/>
              </w:rPr>
              <w:t>f-</w:t>
            </w:r>
            <w:r w:rsidRPr="00D26A35">
              <w:rPr>
                <w:rFonts w:eastAsia="Calibri" w:cs="Calibri"/>
                <w:sz w:val="20"/>
                <w:szCs w:val="20"/>
              </w:rPr>
              <w:t>day and annual meeting is 3 days excluding travel</w:t>
            </w:r>
          </w:p>
        </w:tc>
        <w:tc>
          <w:tcPr>
            <w:tcW w:w="1843" w:type="dxa"/>
          </w:tcPr>
          <w:p w14:paraId="61FCD60A" w14:textId="77777777" w:rsidR="003F4F52" w:rsidRPr="00D26A35" w:rsidRDefault="003F4F52" w:rsidP="007222FB">
            <w:pPr>
              <w:rPr>
                <w:rFonts w:eastAsia="Calibri" w:cs="Calibri"/>
                <w:sz w:val="20"/>
                <w:szCs w:val="20"/>
              </w:rPr>
            </w:pPr>
            <w:r w:rsidRPr="00D26A35">
              <w:rPr>
                <w:rFonts w:eastAsia="Calibri" w:cs="Calibri"/>
                <w:sz w:val="20"/>
                <w:szCs w:val="20"/>
              </w:rPr>
              <w:t>Staff time and travel costs annual meeting (DSA &amp; travel)</w:t>
            </w:r>
          </w:p>
        </w:tc>
      </w:tr>
      <w:tr w:rsidR="000A3F49" w:rsidRPr="00D26A35" w14:paraId="2A3893C4" w14:textId="77777777" w:rsidTr="00DF2C2F">
        <w:trPr>
          <w:tblHeader/>
          <w:jc w:val="center"/>
        </w:trPr>
        <w:tc>
          <w:tcPr>
            <w:tcW w:w="1907" w:type="dxa"/>
          </w:tcPr>
          <w:p w14:paraId="5973F06C" w14:textId="77777777" w:rsidR="000A3F49" w:rsidRPr="00D26A35" w:rsidRDefault="00CA2100" w:rsidP="000A3F49">
            <w:pPr>
              <w:pStyle w:val="NoSpacing"/>
              <w:tabs>
                <w:tab w:val="clear" w:pos="567"/>
              </w:tabs>
              <w:rPr>
                <w:rFonts w:eastAsia="Calibri" w:cs="Calibri"/>
                <w:sz w:val="20"/>
              </w:rPr>
            </w:pPr>
            <w:hyperlink r:id="rId118">
              <w:r w:rsidR="000A3F49" w:rsidRPr="00D26A35">
                <w:rPr>
                  <w:rStyle w:val="Hyperlink"/>
                  <w:rFonts w:eastAsia="Calibri" w:cs="Calibri"/>
                  <w:sz w:val="20"/>
                  <w:lang w:eastAsia="zh-CN"/>
                </w:rPr>
                <w:t>Inter-Agency Meeting on Outer Space Activities (</w:t>
              </w:r>
              <w:r w:rsidR="000A3F49" w:rsidRPr="00D26A35">
                <w:rPr>
                  <w:rStyle w:val="Hyperlink"/>
                  <w:rFonts w:eastAsia="Calibri" w:cs="Calibri"/>
                  <w:b/>
                  <w:bCs/>
                  <w:sz w:val="20"/>
                  <w:lang w:eastAsia="zh-CN"/>
                </w:rPr>
                <w:t>UN-Space</w:t>
              </w:r>
              <w:r w:rsidR="000A3F49" w:rsidRPr="00D26A35">
                <w:rPr>
                  <w:rStyle w:val="Hyperlink"/>
                  <w:rFonts w:eastAsia="Calibri" w:cs="Calibri"/>
                  <w:sz w:val="20"/>
                  <w:lang w:eastAsia="zh-CN"/>
                </w:rPr>
                <w:t>)</w:t>
              </w:r>
            </w:hyperlink>
          </w:p>
        </w:tc>
        <w:tc>
          <w:tcPr>
            <w:tcW w:w="3850" w:type="dxa"/>
          </w:tcPr>
          <w:p w14:paraId="4FDB4549" w14:textId="03C86E8D" w:rsidR="000A3F49" w:rsidRPr="00D26A35" w:rsidRDefault="000A3F49" w:rsidP="000A3F49">
            <w:pPr>
              <w:rPr>
                <w:rFonts w:eastAsia="Calibri" w:cs="Calibri"/>
                <w:sz w:val="20"/>
                <w:szCs w:val="20"/>
              </w:rPr>
            </w:pPr>
            <w:r w:rsidRPr="00D26A35">
              <w:rPr>
                <w:rFonts w:eastAsia="Calibri" w:cs="Calibri"/>
                <w:sz w:val="20"/>
              </w:rPr>
              <w:t>Aimed at enhancing coordination of space-related activities within the United Nations system. The Meeting convenes annual sessions and issues a report on its deliberations for the consideration of the United Nations Committee on the Peaceful Uses of Outer Space, the primary UN body that deals with peaceful uses of space and international cooperation in outer space.</w:t>
            </w:r>
          </w:p>
        </w:tc>
        <w:tc>
          <w:tcPr>
            <w:tcW w:w="3457" w:type="dxa"/>
          </w:tcPr>
          <w:p w14:paraId="102017D2" w14:textId="77777777" w:rsidR="000A3F49" w:rsidRPr="00D26A35" w:rsidRDefault="00CA2100" w:rsidP="000A3F49">
            <w:pPr>
              <w:rPr>
                <w:rFonts w:eastAsia="Calibri" w:cs="Calibri"/>
                <w:sz w:val="20"/>
                <w:szCs w:val="20"/>
              </w:rPr>
            </w:pPr>
            <w:hyperlink r:id="rId119" w:history="1">
              <w:r w:rsidR="000A3F49" w:rsidRPr="00D26A35">
                <w:rPr>
                  <w:rStyle w:val="Hyperlink"/>
                  <w:rFonts w:eastAsia="Calibri" w:cs="Calibri"/>
                  <w:sz w:val="20"/>
                </w:rPr>
                <w:t>PP Res. 186 (Rev. Dubai, 2018)</w:t>
              </w:r>
            </w:hyperlink>
            <w:r w:rsidR="000A3F49" w:rsidRPr="00D26A35">
              <w:rPr>
                <w:rFonts w:eastAsia="Calibri" w:cs="Calibri"/>
                <w:sz w:val="20"/>
              </w:rPr>
              <w:t xml:space="preserve"> Strengthening the role of ITU with regard to transparency and confidence-building measures in outer space activities.</w:t>
            </w:r>
          </w:p>
          <w:p w14:paraId="00405959" w14:textId="00799BA2" w:rsidR="000A3F49" w:rsidRPr="00D26A35" w:rsidRDefault="000A3F49" w:rsidP="000A3F49">
            <w:pPr>
              <w:rPr>
                <w:rFonts w:eastAsia="Times New Roman" w:cs="Arial"/>
                <w:sz w:val="20"/>
                <w:szCs w:val="20"/>
              </w:rPr>
            </w:pPr>
            <w:r w:rsidRPr="00D26A35">
              <w:rPr>
                <w:rFonts w:eastAsia="Calibri" w:cs="Calibri"/>
                <w:sz w:val="20"/>
              </w:rPr>
              <w:t xml:space="preserve">Ensuring coordination and avoiding duplication of work related to space systems between ITU and other UN agencies. </w:t>
            </w:r>
          </w:p>
        </w:tc>
        <w:tc>
          <w:tcPr>
            <w:tcW w:w="1843" w:type="dxa"/>
          </w:tcPr>
          <w:p w14:paraId="09B460DC" w14:textId="77777777" w:rsidR="000A3F49" w:rsidRPr="00D26A35" w:rsidRDefault="000A3F49" w:rsidP="000A3F49">
            <w:pPr>
              <w:rPr>
                <w:rFonts w:eastAsia="Times New Roman" w:cs="Arial"/>
                <w:sz w:val="20"/>
                <w:szCs w:val="20"/>
              </w:rPr>
            </w:pPr>
            <w:r w:rsidRPr="00D26A35">
              <w:rPr>
                <w:rFonts w:eastAsia="Calibri" w:cs="Calibri"/>
                <w:sz w:val="20"/>
              </w:rPr>
              <w:t>one 1-day meeting per year</w:t>
            </w:r>
          </w:p>
          <w:p w14:paraId="3FB06447" w14:textId="5454340C" w:rsidR="000A3F49" w:rsidRPr="00D26A35" w:rsidRDefault="000A3F49" w:rsidP="000A3F49">
            <w:pPr>
              <w:rPr>
                <w:rFonts w:eastAsia="Times New Roman" w:cs="Arial"/>
                <w:sz w:val="20"/>
                <w:szCs w:val="20"/>
              </w:rPr>
            </w:pPr>
            <w:r w:rsidRPr="00D26A35">
              <w:rPr>
                <w:rFonts w:eastAsia="Calibri" w:cs="Calibri"/>
                <w:sz w:val="20"/>
              </w:rPr>
              <w:t>Conducted remotely in 2021</w:t>
            </w:r>
          </w:p>
        </w:tc>
        <w:tc>
          <w:tcPr>
            <w:tcW w:w="1984" w:type="dxa"/>
          </w:tcPr>
          <w:p w14:paraId="6D03D36E" w14:textId="3D5D91EB" w:rsidR="000A3F49" w:rsidRPr="00D26A35" w:rsidRDefault="000A3F49" w:rsidP="000A3F49">
            <w:pPr>
              <w:rPr>
                <w:rFonts w:eastAsia="Times New Roman" w:cs="Arial"/>
                <w:sz w:val="20"/>
                <w:szCs w:val="20"/>
              </w:rPr>
            </w:pPr>
            <w:r w:rsidRPr="00D26A35">
              <w:rPr>
                <w:rFonts w:eastAsia="Calibri" w:cs="Calibri"/>
                <w:sz w:val="20"/>
              </w:rPr>
              <w:t>2 days of work (1 for preparation and reporting, 1 for attending) + travel time</w:t>
            </w:r>
          </w:p>
        </w:tc>
        <w:tc>
          <w:tcPr>
            <w:tcW w:w="1843" w:type="dxa"/>
          </w:tcPr>
          <w:p w14:paraId="46D310CE" w14:textId="49B3B658" w:rsidR="000A3F49" w:rsidRPr="00D26A35" w:rsidRDefault="000A3F49" w:rsidP="000A3F49">
            <w:pPr>
              <w:rPr>
                <w:rFonts w:eastAsia="Times New Roman" w:cs="Arial"/>
                <w:sz w:val="20"/>
                <w:szCs w:val="20"/>
              </w:rPr>
            </w:pPr>
            <w:r w:rsidRPr="00D26A35">
              <w:rPr>
                <w:rFonts w:eastAsia="Calibri" w:cs="Calibri"/>
                <w:sz w:val="20"/>
              </w:rPr>
              <w:t>Travel and DSA for 1 staff</w:t>
            </w:r>
          </w:p>
        </w:tc>
      </w:tr>
      <w:tr w:rsidR="003F4F52" w:rsidRPr="00D26A35" w14:paraId="2197291C" w14:textId="77777777" w:rsidTr="00DF2C2F">
        <w:trPr>
          <w:tblHeader/>
          <w:jc w:val="center"/>
        </w:trPr>
        <w:tc>
          <w:tcPr>
            <w:tcW w:w="1907" w:type="dxa"/>
          </w:tcPr>
          <w:p w14:paraId="57899361" w14:textId="77777777" w:rsidR="003F4F52" w:rsidRPr="00D26A35" w:rsidRDefault="00CA2100" w:rsidP="007222FB">
            <w:pPr>
              <w:pStyle w:val="NoSpacing"/>
              <w:tabs>
                <w:tab w:val="clear" w:pos="567"/>
              </w:tabs>
              <w:rPr>
                <w:rFonts w:eastAsia="Calibri" w:cs="Calibri"/>
                <w:sz w:val="20"/>
                <w:lang w:eastAsia="zh-CN"/>
              </w:rPr>
            </w:pPr>
            <w:hyperlink r:id="rId120">
              <w:r w:rsidR="003F4F52" w:rsidRPr="00D26A35">
                <w:rPr>
                  <w:rStyle w:val="Hyperlink"/>
                  <w:rFonts w:eastAsia="Calibri" w:cs="Calibri"/>
                  <w:sz w:val="20"/>
                  <w:lang w:eastAsia="zh-CN"/>
                </w:rPr>
                <w:t>UN Task Force on the Prevention and Control of NCDs</w:t>
              </w:r>
            </w:hyperlink>
          </w:p>
        </w:tc>
        <w:tc>
          <w:tcPr>
            <w:tcW w:w="3850" w:type="dxa"/>
          </w:tcPr>
          <w:p w14:paraId="53E7CD86" w14:textId="77777777" w:rsidR="003F4F52" w:rsidRPr="00D26A35" w:rsidRDefault="003F4F52" w:rsidP="007222FB">
            <w:pPr>
              <w:rPr>
                <w:rFonts w:eastAsia="Calibri" w:cs="Calibri"/>
                <w:sz w:val="20"/>
                <w:szCs w:val="20"/>
              </w:rPr>
            </w:pPr>
            <w:r w:rsidRPr="00D26A35">
              <w:rPr>
                <w:rFonts w:eastAsia="Calibri" w:cs="Calibri"/>
                <w:sz w:val="20"/>
                <w:szCs w:val="20"/>
              </w:rPr>
              <w:t>Coordinates the activities of relevant UN organizations and other inter-governmental organizations to support governments to meet high-level commitments to respond to NCD epidemics worldwide.</w:t>
            </w:r>
          </w:p>
        </w:tc>
        <w:tc>
          <w:tcPr>
            <w:tcW w:w="3457" w:type="dxa"/>
          </w:tcPr>
          <w:p w14:paraId="7EC46CFC" w14:textId="77777777" w:rsidR="003F4F52" w:rsidRPr="00D26A35" w:rsidRDefault="003F4F52" w:rsidP="007222FB">
            <w:pPr>
              <w:rPr>
                <w:rFonts w:eastAsia="Calibri" w:cs="Calibri"/>
                <w:sz w:val="20"/>
                <w:szCs w:val="20"/>
              </w:rPr>
            </w:pPr>
            <w:r w:rsidRPr="00D26A35">
              <w:rPr>
                <w:rFonts w:eastAsia="Calibri" w:cs="Calibri"/>
                <w:sz w:val="20"/>
                <w:szCs w:val="20"/>
              </w:rPr>
              <w:t>ITU/WHO B-Healthy B-mobile initiative</w:t>
            </w:r>
          </w:p>
        </w:tc>
        <w:tc>
          <w:tcPr>
            <w:tcW w:w="1843" w:type="dxa"/>
          </w:tcPr>
          <w:p w14:paraId="5096018C" w14:textId="77777777" w:rsidR="003F4F52" w:rsidRPr="00D26A35" w:rsidRDefault="003F4F52" w:rsidP="007222FB">
            <w:pPr>
              <w:rPr>
                <w:rFonts w:eastAsia="Calibri" w:cs="Calibri"/>
                <w:sz w:val="20"/>
                <w:szCs w:val="20"/>
              </w:rPr>
            </w:pPr>
            <w:r w:rsidRPr="00D26A35">
              <w:rPr>
                <w:rFonts w:eastAsia="Calibri" w:cs="Calibri"/>
                <w:sz w:val="20"/>
                <w:szCs w:val="20"/>
              </w:rPr>
              <w:t>Two 1-day meetings per year</w:t>
            </w:r>
          </w:p>
        </w:tc>
        <w:tc>
          <w:tcPr>
            <w:tcW w:w="1984" w:type="dxa"/>
          </w:tcPr>
          <w:p w14:paraId="25C63765" w14:textId="77777777" w:rsidR="003F4F52" w:rsidRPr="00D26A35" w:rsidRDefault="003F4F52" w:rsidP="007222FB">
            <w:pPr>
              <w:rPr>
                <w:rFonts w:eastAsia="Calibri" w:cs="Calibri"/>
                <w:sz w:val="20"/>
                <w:szCs w:val="20"/>
              </w:rPr>
            </w:pPr>
            <w:r w:rsidRPr="00D26A35">
              <w:rPr>
                <w:rFonts w:eastAsia="Calibri" w:cs="Calibri"/>
                <w:sz w:val="20"/>
                <w:szCs w:val="20"/>
              </w:rPr>
              <w:t>1-day preparation for the meeting and for filling the report</w:t>
            </w:r>
          </w:p>
        </w:tc>
        <w:tc>
          <w:tcPr>
            <w:tcW w:w="1843" w:type="dxa"/>
          </w:tcPr>
          <w:p w14:paraId="4047E7DF" w14:textId="77777777" w:rsidR="003F4F52" w:rsidRPr="00D26A35" w:rsidRDefault="003F4F52" w:rsidP="007222FB">
            <w:pPr>
              <w:spacing w:line="259" w:lineRule="auto"/>
              <w:rPr>
                <w:rFonts w:eastAsia="Calibri" w:cs="Calibri"/>
                <w:sz w:val="20"/>
                <w:szCs w:val="20"/>
              </w:rPr>
            </w:pPr>
            <w:r w:rsidRPr="00D26A35">
              <w:rPr>
                <w:rFonts w:eastAsia="Calibri" w:cs="Calibri"/>
                <w:sz w:val="20"/>
                <w:szCs w:val="20"/>
              </w:rPr>
              <w:t>Staff time, DSA and travel</w:t>
            </w:r>
          </w:p>
        </w:tc>
      </w:tr>
      <w:tr w:rsidR="003F4F52" w:rsidRPr="00D26A35" w14:paraId="16A102B9" w14:textId="77777777" w:rsidTr="00DF2C2F">
        <w:trPr>
          <w:tblHeader/>
          <w:jc w:val="center"/>
        </w:trPr>
        <w:tc>
          <w:tcPr>
            <w:tcW w:w="1907" w:type="dxa"/>
          </w:tcPr>
          <w:p w14:paraId="3F10DB82" w14:textId="77777777" w:rsidR="003F4F52" w:rsidRPr="00D26A35" w:rsidRDefault="003F4F52" w:rsidP="007222FB">
            <w:pPr>
              <w:pStyle w:val="NoSpacing"/>
              <w:tabs>
                <w:tab w:val="clear" w:pos="567"/>
              </w:tabs>
              <w:rPr>
                <w:rFonts w:eastAsia="Calibri" w:cs="Calibri"/>
                <w:sz w:val="20"/>
                <w:lang w:eastAsia="zh-CN"/>
              </w:rPr>
            </w:pPr>
            <w:r w:rsidRPr="00D26A35">
              <w:rPr>
                <w:rFonts w:eastAsia="Calibri" w:cs="Calibri"/>
                <w:sz w:val="20"/>
                <w:lang w:eastAsia="zh-CN"/>
              </w:rPr>
              <w:t xml:space="preserve">Ethics Network of Multilateral Organizations </w:t>
            </w:r>
            <w:r w:rsidRPr="00D26A35">
              <w:rPr>
                <w:rFonts w:eastAsia="Calibri" w:cs="Calibri"/>
                <w:b/>
                <w:bCs/>
                <w:sz w:val="20"/>
                <w:lang w:eastAsia="zh-CN"/>
              </w:rPr>
              <w:t>(ENMO</w:t>
            </w:r>
            <w:r w:rsidRPr="00D26A35">
              <w:rPr>
                <w:rFonts w:eastAsia="Calibri" w:cs="Calibri"/>
                <w:sz w:val="20"/>
                <w:lang w:eastAsia="zh-CN"/>
              </w:rPr>
              <w:t>)</w:t>
            </w:r>
          </w:p>
        </w:tc>
        <w:tc>
          <w:tcPr>
            <w:tcW w:w="3850" w:type="dxa"/>
          </w:tcPr>
          <w:p w14:paraId="04C1D6E2" w14:textId="77777777" w:rsidR="003F4F52" w:rsidRPr="00D26A35" w:rsidRDefault="003F4F52" w:rsidP="007222FB">
            <w:pPr>
              <w:rPr>
                <w:rFonts w:eastAsia="Calibri" w:cs="Calibri"/>
                <w:b/>
                <w:bCs/>
                <w:sz w:val="20"/>
                <w:szCs w:val="20"/>
              </w:rPr>
            </w:pPr>
            <w:r w:rsidRPr="00D26A35">
              <w:rPr>
                <w:rFonts w:eastAsia="Calibri" w:cs="Calibri"/>
                <w:sz w:val="20"/>
                <w:szCs w:val="20"/>
              </w:rPr>
              <w:t>Exchange information, experience and collaborate on issues of common interest. It is also focused on broadening the professional capacity of its members and promoting standards of practice.</w:t>
            </w:r>
          </w:p>
        </w:tc>
        <w:tc>
          <w:tcPr>
            <w:tcW w:w="3457" w:type="dxa"/>
          </w:tcPr>
          <w:p w14:paraId="1B5D489D" w14:textId="77777777" w:rsidR="003F4F52" w:rsidRPr="00D26A35" w:rsidRDefault="003F4F52" w:rsidP="007222FB">
            <w:pPr>
              <w:rPr>
                <w:rFonts w:eastAsia="Calibri" w:cs="Calibri"/>
                <w:sz w:val="20"/>
                <w:szCs w:val="20"/>
              </w:rPr>
            </w:pPr>
            <w:r w:rsidRPr="00D26A35">
              <w:rPr>
                <w:rFonts w:eastAsia="Calibri" w:cs="Calibri"/>
                <w:sz w:val="20"/>
                <w:szCs w:val="20"/>
              </w:rPr>
              <w:t>Contributing to efforts aimed at ensuring that ITU provides an enabling workplace environment that is free of harassment or any form of abuse.</w:t>
            </w:r>
          </w:p>
        </w:tc>
        <w:tc>
          <w:tcPr>
            <w:tcW w:w="1843" w:type="dxa"/>
          </w:tcPr>
          <w:p w14:paraId="64B75E76" w14:textId="77777777" w:rsidR="003F4F52" w:rsidRPr="00D26A35" w:rsidRDefault="003F4F52" w:rsidP="007222FB">
            <w:pPr>
              <w:rPr>
                <w:rFonts w:eastAsia="Calibri" w:cs="Calibri"/>
                <w:sz w:val="20"/>
                <w:szCs w:val="20"/>
              </w:rPr>
            </w:pPr>
            <w:r w:rsidRPr="00D26A35">
              <w:rPr>
                <w:rFonts w:eastAsia="Calibri" w:cs="Calibri"/>
                <w:sz w:val="20"/>
                <w:szCs w:val="20"/>
              </w:rPr>
              <w:t>One face-to-face meeting a year</w:t>
            </w:r>
          </w:p>
          <w:p w14:paraId="69AFD43E" w14:textId="77777777" w:rsidR="003F4F52" w:rsidRPr="00D26A35" w:rsidRDefault="003F4F52" w:rsidP="007222FB">
            <w:pPr>
              <w:rPr>
                <w:rFonts w:eastAsia="Calibri" w:cs="Calibri"/>
                <w:sz w:val="20"/>
                <w:szCs w:val="20"/>
              </w:rPr>
            </w:pPr>
          </w:p>
        </w:tc>
        <w:tc>
          <w:tcPr>
            <w:tcW w:w="1984" w:type="dxa"/>
          </w:tcPr>
          <w:p w14:paraId="196E46A3" w14:textId="77777777" w:rsidR="003F4F52" w:rsidRPr="00D26A35" w:rsidRDefault="003F4F52" w:rsidP="007222FB">
            <w:pPr>
              <w:rPr>
                <w:rFonts w:eastAsia="Calibri" w:cs="Calibri"/>
                <w:sz w:val="20"/>
                <w:szCs w:val="20"/>
              </w:rPr>
            </w:pPr>
            <w:r w:rsidRPr="00D26A35">
              <w:rPr>
                <w:rFonts w:eastAsia="Calibri" w:cs="Calibri"/>
                <w:sz w:val="20"/>
                <w:szCs w:val="20"/>
              </w:rPr>
              <w:t>4 days</w:t>
            </w:r>
          </w:p>
        </w:tc>
        <w:tc>
          <w:tcPr>
            <w:tcW w:w="1843" w:type="dxa"/>
          </w:tcPr>
          <w:p w14:paraId="36989536" w14:textId="77777777" w:rsidR="003F4F52" w:rsidRPr="00D26A35" w:rsidRDefault="003F4F52" w:rsidP="007222FB">
            <w:pPr>
              <w:rPr>
                <w:rFonts w:eastAsia="Calibri" w:cs="Calibri"/>
                <w:sz w:val="20"/>
                <w:szCs w:val="20"/>
              </w:rPr>
            </w:pPr>
            <w:r w:rsidRPr="00D26A35">
              <w:rPr>
                <w:rFonts w:eastAsia="Calibri" w:cs="Calibri"/>
                <w:sz w:val="20"/>
                <w:szCs w:val="20"/>
              </w:rPr>
              <w:t>DSA and travel</w:t>
            </w:r>
          </w:p>
        </w:tc>
      </w:tr>
      <w:tr w:rsidR="003F4F52" w:rsidRPr="00D26A35" w14:paraId="2A657656" w14:textId="77777777" w:rsidTr="00DF2C2F">
        <w:trPr>
          <w:tblHeader/>
          <w:jc w:val="center"/>
        </w:trPr>
        <w:tc>
          <w:tcPr>
            <w:tcW w:w="1907" w:type="dxa"/>
          </w:tcPr>
          <w:p w14:paraId="39F23F56" w14:textId="77777777" w:rsidR="003F4F52" w:rsidRPr="00D26A35" w:rsidRDefault="003F4F52" w:rsidP="007222FB">
            <w:pPr>
              <w:pStyle w:val="NoSpacing"/>
              <w:rPr>
                <w:sz w:val="20"/>
                <w:lang w:val="fr-FR"/>
              </w:rPr>
            </w:pPr>
            <w:r w:rsidRPr="00D26A35">
              <w:rPr>
                <w:sz w:val="20"/>
                <w:lang w:val="fr-FR"/>
              </w:rPr>
              <w:lastRenderedPageBreak/>
              <w:t xml:space="preserve">UN </w:t>
            </w:r>
            <w:proofErr w:type="spellStart"/>
            <w:r w:rsidRPr="00D26A35">
              <w:rPr>
                <w:sz w:val="20"/>
                <w:lang w:val="fr-FR"/>
              </w:rPr>
              <w:t>Representatives</w:t>
            </w:r>
            <w:proofErr w:type="spellEnd"/>
            <w:r w:rsidRPr="00D26A35">
              <w:rPr>
                <w:sz w:val="20"/>
                <w:lang w:val="fr-FR"/>
              </w:rPr>
              <w:t xml:space="preserve"> of Internal Audit Services (UN-RIAS)</w:t>
            </w:r>
          </w:p>
        </w:tc>
        <w:tc>
          <w:tcPr>
            <w:tcW w:w="3850" w:type="dxa"/>
          </w:tcPr>
          <w:p w14:paraId="1D748EB3" w14:textId="3316884A" w:rsidR="003F4F52" w:rsidRPr="00D26A35" w:rsidRDefault="003F4F52" w:rsidP="007222FB">
            <w:pPr>
              <w:rPr>
                <w:sz w:val="20"/>
                <w:szCs w:val="20"/>
              </w:rPr>
            </w:pPr>
            <w:r w:rsidRPr="00D26A35">
              <w:rPr>
                <w:sz w:val="20"/>
                <w:szCs w:val="20"/>
              </w:rPr>
              <w:t>Forum through which the UN system</w:t>
            </w:r>
            <w:r w:rsidR="007222FB" w:rsidRPr="00D26A35">
              <w:rPr>
                <w:sz w:val="20"/>
                <w:szCs w:val="20"/>
              </w:rPr>
              <w:t>’</w:t>
            </w:r>
            <w:r w:rsidRPr="00D26A35">
              <w:rPr>
                <w:sz w:val="20"/>
                <w:szCs w:val="20"/>
              </w:rPr>
              <w:t>s Internal Audit Services interact and collaborate on issues of general applicability to its membership</w:t>
            </w:r>
          </w:p>
        </w:tc>
        <w:tc>
          <w:tcPr>
            <w:tcW w:w="3457" w:type="dxa"/>
          </w:tcPr>
          <w:p w14:paraId="1B93354F" w14:textId="77777777" w:rsidR="003F4F52" w:rsidRPr="00D26A35" w:rsidRDefault="003F4F52" w:rsidP="007222FB">
            <w:pPr>
              <w:rPr>
                <w:sz w:val="20"/>
                <w:szCs w:val="20"/>
              </w:rPr>
            </w:pPr>
            <w:r w:rsidRPr="00D26A35">
              <w:rPr>
                <w:sz w:val="20"/>
                <w:szCs w:val="20"/>
              </w:rPr>
              <w:t>1) Strengthening internal auditing practices and professionalism; 2) Adopting common professional positions and providing, as necessary, information and advice to other UN bodies (such as the CEB, HLCM, UNDG) on audit-related matters; and 3) Coordinating and harmonizing internal audit activities and processes between UN-RIAS members.</w:t>
            </w:r>
          </w:p>
        </w:tc>
        <w:tc>
          <w:tcPr>
            <w:tcW w:w="1843" w:type="dxa"/>
          </w:tcPr>
          <w:p w14:paraId="7970C7BA" w14:textId="77777777" w:rsidR="003F4F52" w:rsidRPr="00D26A35" w:rsidRDefault="003F4F52" w:rsidP="007222FB">
            <w:pPr>
              <w:rPr>
                <w:sz w:val="20"/>
                <w:szCs w:val="20"/>
              </w:rPr>
            </w:pPr>
            <w:r w:rsidRPr="00D26A35">
              <w:rPr>
                <w:sz w:val="20"/>
                <w:szCs w:val="20"/>
              </w:rPr>
              <w:t>1 face-to-face meeting a year; 5 to 7 virtual meetings in between</w:t>
            </w:r>
          </w:p>
        </w:tc>
        <w:tc>
          <w:tcPr>
            <w:tcW w:w="1984" w:type="dxa"/>
          </w:tcPr>
          <w:p w14:paraId="76AB14F7" w14:textId="77777777" w:rsidR="003F4F52" w:rsidRPr="00D26A35" w:rsidRDefault="003F4F52" w:rsidP="007222FB">
            <w:pPr>
              <w:rPr>
                <w:sz w:val="20"/>
                <w:szCs w:val="20"/>
              </w:rPr>
            </w:pPr>
            <w:r w:rsidRPr="00D26A35">
              <w:rPr>
                <w:sz w:val="20"/>
                <w:szCs w:val="20"/>
              </w:rPr>
              <w:t>3.5 days for face-to-face.</w:t>
            </w:r>
          </w:p>
          <w:p w14:paraId="1C50453D" w14:textId="77777777" w:rsidR="003F4F52" w:rsidRPr="00D26A35" w:rsidRDefault="003F4F52" w:rsidP="007222FB">
            <w:pPr>
              <w:rPr>
                <w:sz w:val="20"/>
                <w:szCs w:val="20"/>
              </w:rPr>
            </w:pPr>
            <w:r w:rsidRPr="00D26A35">
              <w:rPr>
                <w:sz w:val="20"/>
                <w:szCs w:val="20"/>
              </w:rPr>
              <w:t>2 hours per virtual meeting</w:t>
            </w:r>
          </w:p>
        </w:tc>
        <w:tc>
          <w:tcPr>
            <w:tcW w:w="1843" w:type="dxa"/>
          </w:tcPr>
          <w:p w14:paraId="4E7CF23A" w14:textId="77777777" w:rsidR="003F4F52" w:rsidRPr="00D26A35" w:rsidRDefault="003F4F52" w:rsidP="007222FB">
            <w:pPr>
              <w:rPr>
                <w:sz w:val="20"/>
                <w:szCs w:val="20"/>
              </w:rPr>
            </w:pPr>
            <w:r w:rsidRPr="00D26A35">
              <w:rPr>
                <w:sz w:val="20"/>
                <w:szCs w:val="20"/>
              </w:rPr>
              <w:t>DSA and travel</w:t>
            </w:r>
          </w:p>
        </w:tc>
      </w:tr>
      <w:tr w:rsidR="003F4F52" w:rsidRPr="00D26A35" w14:paraId="55978294" w14:textId="77777777" w:rsidTr="00DF2C2F">
        <w:trPr>
          <w:tblHeader/>
          <w:jc w:val="center"/>
        </w:trPr>
        <w:tc>
          <w:tcPr>
            <w:tcW w:w="1907" w:type="dxa"/>
          </w:tcPr>
          <w:p w14:paraId="11797DDD" w14:textId="77777777" w:rsidR="003F4F52" w:rsidRPr="00D26A35" w:rsidRDefault="00CA2100" w:rsidP="007222FB">
            <w:pPr>
              <w:pStyle w:val="NoSpacing"/>
              <w:tabs>
                <w:tab w:val="clear" w:pos="567"/>
              </w:tabs>
              <w:spacing w:before="120"/>
              <w:contextualSpacing/>
              <w:rPr>
                <w:rFonts w:eastAsia="Calibri" w:cs="Calibri"/>
                <w:sz w:val="20"/>
                <w:lang w:val="fr-CH" w:eastAsia="zh-CN"/>
              </w:rPr>
            </w:pPr>
            <w:hyperlink r:id="rId121">
              <w:r w:rsidR="003F4F52" w:rsidRPr="00D26A35">
                <w:rPr>
                  <w:rStyle w:val="Hyperlink"/>
                  <w:rFonts w:eastAsia="Calibri" w:cs="Calibri"/>
                  <w:sz w:val="20"/>
                  <w:lang w:val="fr-CH"/>
                </w:rPr>
                <w:t xml:space="preserve">UN </w:t>
              </w:r>
              <w:proofErr w:type="spellStart"/>
              <w:r w:rsidR="003F4F52" w:rsidRPr="00D26A35">
                <w:rPr>
                  <w:rStyle w:val="Hyperlink"/>
                  <w:rFonts w:eastAsia="Calibri" w:cs="Calibri"/>
                  <w:sz w:val="20"/>
                  <w:lang w:val="fr-CH"/>
                </w:rPr>
                <w:t>Representatives</w:t>
              </w:r>
              <w:proofErr w:type="spellEnd"/>
              <w:r w:rsidR="003F4F52" w:rsidRPr="00D26A35">
                <w:rPr>
                  <w:rStyle w:val="Hyperlink"/>
                  <w:rFonts w:eastAsia="Calibri" w:cs="Calibri"/>
                  <w:sz w:val="20"/>
                  <w:lang w:val="fr-CH"/>
                </w:rPr>
                <w:t xml:space="preserve"> of Investigation Services (</w:t>
              </w:r>
              <w:r w:rsidR="003F4F52" w:rsidRPr="00D26A35">
                <w:rPr>
                  <w:rStyle w:val="Hyperlink"/>
                  <w:rFonts w:eastAsia="Calibri" w:cs="Calibri"/>
                  <w:b/>
                  <w:bCs/>
                  <w:sz w:val="20"/>
                  <w:lang w:val="fr-CH"/>
                </w:rPr>
                <w:t>UN-RIS</w:t>
              </w:r>
              <w:r w:rsidR="003F4F52" w:rsidRPr="00D26A35">
                <w:rPr>
                  <w:rStyle w:val="Hyperlink"/>
                  <w:rFonts w:eastAsia="Calibri" w:cs="Calibri"/>
                  <w:sz w:val="20"/>
                  <w:lang w:val="fr-CH"/>
                </w:rPr>
                <w:t>)</w:t>
              </w:r>
            </w:hyperlink>
          </w:p>
        </w:tc>
        <w:tc>
          <w:tcPr>
            <w:tcW w:w="3850" w:type="dxa"/>
          </w:tcPr>
          <w:p w14:paraId="7CDE38BC" w14:textId="77777777" w:rsidR="003F4F52" w:rsidRPr="00D26A35" w:rsidRDefault="003F4F52" w:rsidP="007222FB">
            <w:pPr>
              <w:rPr>
                <w:rFonts w:eastAsia="Calibri" w:cs="Calibri"/>
                <w:sz w:val="20"/>
                <w:szCs w:val="20"/>
              </w:rPr>
            </w:pPr>
            <w:r w:rsidRPr="00D26A35">
              <w:rPr>
                <w:sz w:val="20"/>
                <w:szCs w:val="20"/>
              </w:rPr>
              <w:t>Development of common standards and procedures for conducting investigations, the sharing of expertise to be drawn upon when advice or assistance is required, the sharing of methodologies, developing joint training opportunities, exchanging personnel (e.g., on secondment).</w:t>
            </w:r>
          </w:p>
        </w:tc>
        <w:tc>
          <w:tcPr>
            <w:tcW w:w="3457" w:type="dxa"/>
          </w:tcPr>
          <w:p w14:paraId="74338000" w14:textId="77777777" w:rsidR="003F4F52" w:rsidRPr="00D26A35" w:rsidRDefault="003F4F52" w:rsidP="007222FB">
            <w:pPr>
              <w:rPr>
                <w:rFonts w:eastAsia="Calibri" w:cs="Calibri"/>
                <w:sz w:val="20"/>
                <w:szCs w:val="20"/>
              </w:rPr>
            </w:pPr>
            <w:r w:rsidRPr="00D26A35">
              <w:rPr>
                <w:sz w:val="20"/>
                <w:szCs w:val="20"/>
              </w:rPr>
              <w:t>Deal with matters of specific concern to ITU administrative investigations, and work on harmonization of the investigation functions throughout and in line with the United Nations system.</w:t>
            </w:r>
          </w:p>
        </w:tc>
        <w:tc>
          <w:tcPr>
            <w:tcW w:w="1843" w:type="dxa"/>
          </w:tcPr>
          <w:p w14:paraId="76C27C01" w14:textId="77777777" w:rsidR="003F4F52" w:rsidRPr="00D26A35" w:rsidRDefault="003F4F52" w:rsidP="007222FB">
            <w:pPr>
              <w:rPr>
                <w:rFonts w:eastAsia="Calibri" w:cs="Calibri"/>
                <w:sz w:val="20"/>
                <w:szCs w:val="20"/>
              </w:rPr>
            </w:pPr>
            <w:r w:rsidRPr="00D26A35">
              <w:rPr>
                <w:sz w:val="20"/>
                <w:szCs w:val="20"/>
              </w:rPr>
              <w:t>1 face-to-face meeting a year; 2 to 4 virtual meetings in between</w:t>
            </w:r>
          </w:p>
        </w:tc>
        <w:tc>
          <w:tcPr>
            <w:tcW w:w="1984" w:type="dxa"/>
          </w:tcPr>
          <w:p w14:paraId="1E1C23E2" w14:textId="77777777" w:rsidR="003F4F52" w:rsidRPr="00D26A35" w:rsidRDefault="003F4F52" w:rsidP="007222FB">
            <w:pPr>
              <w:rPr>
                <w:sz w:val="20"/>
                <w:szCs w:val="20"/>
              </w:rPr>
            </w:pPr>
            <w:r w:rsidRPr="00D26A35">
              <w:rPr>
                <w:sz w:val="20"/>
                <w:szCs w:val="20"/>
              </w:rPr>
              <w:t>3.5 to 5 days for face-to-face.</w:t>
            </w:r>
          </w:p>
          <w:p w14:paraId="38994FC5" w14:textId="77777777" w:rsidR="003F4F52" w:rsidRPr="00D26A35" w:rsidRDefault="003F4F52" w:rsidP="007222FB">
            <w:pPr>
              <w:rPr>
                <w:rFonts w:eastAsia="Calibri" w:cs="Calibri"/>
                <w:sz w:val="20"/>
                <w:szCs w:val="20"/>
              </w:rPr>
            </w:pPr>
            <w:r w:rsidRPr="00D26A35">
              <w:rPr>
                <w:sz w:val="20"/>
                <w:szCs w:val="20"/>
              </w:rPr>
              <w:t>2 hours per virtual meeting</w:t>
            </w:r>
          </w:p>
        </w:tc>
        <w:tc>
          <w:tcPr>
            <w:tcW w:w="1843" w:type="dxa"/>
          </w:tcPr>
          <w:p w14:paraId="6C961B05" w14:textId="77777777" w:rsidR="003F4F52" w:rsidRPr="00D26A35" w:rsidRDefault="003F4F52" w:rsidP="007222FB">
            <w:pPr>
              <w:rPr>
                <w:rFonts w:eastAsia="Calibri" w:cs="Calibri"/>
                <w:sz w:val="20"/>
                <w:szCs w:val="20"/>
              </w:rPr>
            </w:pPr>
            <w:r w:rsidRPr="00D26A35">
              <w:rPr>
                <w:sz w:val="20"/>
                <w:szCs w:val="20"/>
              </w:rPr>
              <w:t>DSA and travel</w:t>
            </w:r>
          </w:p>
        </w:tc>
      </w:tr>
      <w:tr w:rsidR="000A3F49" w:rsidRPr="00D26A35" w14:paraId="2A01D6E2" w14:textId="77777777" w:rsidTr="00DF2C2F">
        <w:trPr>
          <w:trHeight w:val="710"/>
          <w:tblHeader/>
          <w:jc w:val="center"/>
        </w:trPr>
        <w:tc>
          <w:tcPr>
            <w:tcW w:w="1907" w:type="dxa"/>
          </w:tcPr>
          <w:p w14:paraId="30795A08" w14:textId="29741055" w:rsidR="000A3F49" w:rsidRPr="00D26A35" w:rsidRDefault="00CA2100" w:rsidP="000A3F49">
            <w:pPr>
              <w:shd w:val="clear" w:color="auto" w:fill="FFFFFF" w:themeFill="background1"/>
              <w:outlineLvl w:val="2"/>
              <w:rPr>
                <w:rFonts w:eastAsia="Calibri" w:cs="Calibri"/>
                <w:b/>
                <w:bCs/>
                <w:sz w:val="20"/>
                <w:szCs w:val="20"/>
              </w:rPr>
            </w:pPr>
            <w:hyperlink r:id="rId122" w:history="1">
              <w:r w:rsidR="000A3F49" w:rsidRPr="00D26A35">
                <w:rPr>
                  <w:rStyle w:val="Hyperlink"/>
                  <w:rFonts w:eastAsia="Calibri" w:cs="Calibri"/>
                  <w:sz w:val="20"/>
                  <w:szCs w:val="20"/>
                  <w:bdr w:val="none" w:sz="0" w:space="0" w:color="auto" w:frame="1"/>
                </w:rPr>
                <w:t>United Nation Geospatial Network</w:t>
              </w:r>
            </w:hyperlink>
            <w:r w:rsidR="000A3F49" w:rsidRPr="00D26A35">
              <w:rPr>
                <w:rFonts w:eastAsia="Calibri" w:cs="Calibri"/>
                <w:sz w:val="20"/>
                <w:szCs w:val="20"/>
                <w:bdr w:val="none" w:sz="0" w:space="0" w:color="auto" w:frame="1"/>
              </w:rPr>
              <w:t xml:space="preserve"> </w:t>
            </w:r>
          </w:p>
        </w:tc>
        <w:tc>
          <w:tcPr>
            <w:tcW w:w="3850" w:type="dxa"/>
          </w:tcPr>
          <w:p w14:paraId="3A7FBED2" w14:textId="0E671CDF" w:rsidR="000A3F49" w:rsidRPr="00D26A35" w:rsidRDefault="000A3F49" w:rsidP="000A3F49">
            <w:pPr>
              <w:rPr>
                <w:rFonts w:eastAsia="Calibri" w:cs="Calibri"/>
                <w:b/>
                <w:bCs/>
                <w:sz w:val="20"/>
                <w:szCs w:val="20"/>
              </w:rPr>
            </w:pPr>
            <w:r w:rsidRPr="00D26A35">
              <w:rPr>
                <w:rFonts w:eastAsia="Calibri" w:cs="Calibri"/>
                <w:sz w:val="20"/>
              </w:rPr>
              <w:t>Strengthening the coordination and coherence of global geospatial information management, in capacity-building, norm-setting, data collection, data dissemination and data sharing, among others.</w:t>
            </w:r>
          </w:p>
        </w:tc>
        <w:tc>
          <w:tcPr>
            <w:tcW w:w="3457" w:type="dxa"/>
          </w:tcPr>
          <w:p w14:paraId="211E4C4E" w14:textId="77777777" w:rsidR="000A3F49" w:rsidRPr="00D26A35" w:rsidRDefault="000A3F49" w:rsidP="000A3F49">
            <w:pPr>
              <w:pStyle w:val="NoSpacing"/>
              <w:rPr>
                <w:rFonts w:eastAsia="Calibri" w:cs="Calibri"/>
                <w:sz w:val="20"/>
                <w:szCs w:val="20"/>
              </w:rPr>
            </w:pPr>
            <w:r w:rsidRPr="00D26A35">
              <w:rPr>
                <w:rFonts w:eastAsia="Calibri" w:cs="Calibri"/>
                <w:sz w:val="20"/>
              </w:rPr>
              <w:t>- ITU member of the Steering Committee - Contribute to the development and harmonization of geospatial capability for the ITU (data, service, knowledge) leveraging resources available in the UN system.</w:t>
            </w:r>
          </w:p>
          <w:p w14:paraId="2262000A" w14:textId="77777777" w:rsidR="000A3F49" w:rsidRPr="00D26A35" w:rsidRDefault="000A3F49" w:rsidP="000A3F49">
            <w:pPr>
              <w:pStyle w:val="NoSpacing"/>
              <w:rPr>
                <w:rFonts w:eastAsia="Calibri" w:cs="Calibri"/>
                <w:sz w:val="20"/>
                <w:szCs w:val="20"/>
              </w:rPr>
            </w:pPr>
            <w:r w:rsidRPr="00D26A35">
              <w:rPr>
                <w:rFonts w:eastAsia="Calibri" w:cs="Calibri"/>
                <w:sz w:val="20"/>
              </w:rPr>
              <w:t>- Highlight strategic role of geospatial data for efficient development of  telecommunication infrastructure, including 5G;</w:t>
            </w:r>
          </w:p>
          <w:p w14:paraId="766A7D88" w14:textId="705B58D7" w:rsidR="000A3F49" w:rsidRPr="00D26A35" w:rsidRDefault="000A3F49" w:rsidP="000A3F49">
            <w:pPr>
              <w:pStyle w:val="NoSpacing"/>
              <w:rPr>
                <w:rFonts w:eastAsia="Calibri" w:cs="Calibri"/>
                <w:sz w:val="20"/>
              </w:rPr>
            </w:pPr>
            <w:r w:rsidRPr="00D26A35">
              <w:rPr>
                <w:rFonts w:eastAsia="Calibri" w:cs="Calibri"/>
                <w:sz w:val="20"/>
              </w:rPr>
              <w:t xml:space="preserve">- promotes </w:t>
            </w:r>
            <w:proofErr w:type="spellStart"/>
            <w:r w:rsidRPr="00D26A35">
              <w:rPr>
                <w:rFonts w:eastAsia="Calibri" w:cs="Calibri"/>
                <w:sz w:val="20"/>
              </w:rPr>
              <w:t>GeoAI</w:t>
            </w:r>
            <w:proofErr w:type="spellEnd"/>
            <w:r w:rsidRPr="00D26A35">
              <w:rPr>
                <w:rFonts w:eastAsia="Calibri" w:cs="Calibri"/>
                <w:sz w:val="20"/>
              </w:rPr>
              <w:t xml:space="preserve"> for developing technologies and applications (smart cities, ITS, emergency telecommunications etc.) to accelerate progress towards achieving SDGs and monitoring relevant indicators</w:t>
            </w:r>
          </w:p>
        </w:tc>
        <w:tc>
          <w:tcPr>
            <w:tcW w:w="1843" w:type="dxa"/>
          </w:tcPr>
          <w:p w14:paraId="3F8C4406" w14:textId="77777777" w:rsidR="000A3F49" w:rsidRPr="00D26A35" w:rsidRDefault="000A3F49" w:rsidP="000A3F49">
            <w:pPr>
              <w:pStyle w:val="NoSpacing"/>
              <w:rPr>
                <w:rFonts w:eastAsia="Calibri" w:cs="Calibri"/>
                <w:sz w:val="20"/>
                <w:szCs w:val="20"/>
              </w:rPr>
            </w:pPr>
            <w:r w:rsidRPr="00D26A35">
              <w:rPr>
                <w:rFonts w:eastAsia="Calibri" w:cs="Calibri"/>
                <w:sz w:val="20"/>
              </w:rPr>
              <w:t>Once-Twice per year participation in UN GGIM events.</w:t>
            </w:r>
          </w:p>
          <w:p w14:paraId="031A603E" w14:textId="77777777" w:rsidR="000A3F49" w:rsidRPr="00D26A35" w:rsidRDefault="000A3F49" w:rsidP="000A3F49">
            <w:pPr>
              <w:pStyle w:val="NoSpacing"/>
              <w:rPr>
                <w:rFonts w:eastAsia="Calibri" w:cs="Calibri"/>
                <w:sz w:val="20"/>
                <w:szCs w:val="20"/>
              </w:rPr>
            </w:pPr>
          </w:p>
          <w:p w14:paraId="75979920" w14:textId="02985F4F" w:rsidR="000A3F49" w:rsidRPr="00D26A35" w:rsidRDefault="000A3F49" w:rsidP="000A3F49">
            <w:pPr>
              <w:pStyle w:val="NoSpacing"/>
              <w:rPr>
                <w:rFonts w:eastAsia="Calibri" w:cs="Calibri"/>
                <w:sz w:val="20"/>
              </w:rPr>
            </w:pPr>
            <w:r w:rsidRPr="00D26A35">
              <w:rPr>
                <w:rFonts w:eastAsia="Calibri" w:cs="Calibri"/>
                <w:sz w:val="20"/>
              </w:rPr>
              <w:t>Several online monthly meetings</w:t>
            </w:r>
          </w:p>
        </w:tc>
        <w:tc>
          <w:tcPr>
            <w:tcW w:w="1984" w:type="dxa"/>
          </w:tcPr>
          <w:p w14:paraId="520F0D07" w14:textId="77777777" w:rsidR="000A3F49" w:rsidRPr="00D26A35" w:rsidRDefault="000A3F49" w:rsidP="000A3F49">
            <w:pPr>
              <w:pStyle w:val="NoSpacing"/>
              <w:rPr>
                <w:rFonts w:eastAsia="Calibri" w:cs="Calibri"/>
                <w:sz w:val="20"/>
                <w:szCs w:val="20"/>
              </w:rPr>
            </w:pPr>
            <w:r w:rsidRPr="00D26A35">
              <w:rPr>
                <w:rFonts w:eastAsia="Calibri" w:cs="Calibri"/>
                <w:sz w:val="20"/>
              </w:rPr>
              <w:t>3-5 days</w:t>
            </w:r>
            <w:r w:rsidRPr="00D26A35">
              <w:rPr>
                <w:rFonts w:eastAsia="Calibri" w:cs="Calibri"/>
                <w:sz w:val="20"/>
                <w:szCs w:val="20"/>
              </w:rPr>
              <w:t xml:space="preserve"> </w:t>
            </w:r>
          </w:p>
          <w:p w14:paraId="2673A228" w14:textId="77777777" w:rsidR="000A3F49" w:rsidRPr="00D26A35" w:rsidRDefault="000A3F49" w:rsidP="000A3F49">
            <w:pPr>
              <w:pStyle w:val="NoSpacing"/>
              <w:rPr>
                <w:rFonts w:eastAsia="Calibri" w:cs="Calibri"/>
                <w:sz w:val="20"/>
                <w:szCs w:val="20"/>
              </w:rPr>
            </w:pPr>
          </w:p>
          <w:p w14:paraId="3D209F7D" w14:textId="77777777" w:rsidR="000A3F49" w:rsidRPr="00D26A35" w:rsidRDefault="000A3F49" w:rsidP="000A3F49">
            <w:pPr>
              <w:pStyle w:val="NoSpacing"/>
              <w:rPr>
                <w:rFonts w:eastAsia="Calibri" w:cs="Calibri"/>
                <w:sz w:val="20"/>
                <w:szCs w:val="20"/>
              </w:rPr>
            </w:pPr>
          </w:p>
          <w:p w14:paraId="279358C7" w14:textId="77777777" w:rsidR="000A3F49" w:rsidRPr="00D26A35" w:rsidRDefault="000A3F49" w:rsidP="000A3F49">
            <w:pPr>
              <w:pStyle w:val="NoSpacing"/>
              <w:rPr>
                <w:rFonts w:eastAsia="Calibri" w:cs="Calibri"/>
                <w:sz w:val="20"/>
                <w:szCs w:val="20"/>
              </w:rPr>
            </w:pPr>
          </w:p>
          <w:p w14:paraId="5AC18004" w14:textId="77777777" w:rsidR="000A3F49" w:rsidRPr="00D26A35" w:rsidRDefault="000A3F49" w:rsidP="000A3F49">
            <w:pPr>
              <w:pStyle w:val="NoSpacing"/>
              <w:rPr>
                <w:rFonts w:eastAsia="Calibri" w:cs="Calibri"/>
                <w:sz w:val="20"/>
                <w:szCs w:val="20"/>
              </w:rPr>
            </w:pPr>
          </w:p>
          <w:p w14:paraId="2E7420DE" w14:textId="3211D5A9" w:rsidR="000A3F49" w:rsidRPr="00D26A35" w:rsidRDefault="000A3F49" w:rsidP="000A3F49">
            <w:pPr>
              <w:pStyle w:val="NoSpacing"/>
              <w:rPr>
                <w:rFonts w:eastAsia="Calibri" w:cs="Calibri"/>
                <w:sz w:val="20"/>
              </w:rPr>
            </w:pPr>
            <w:r w:rsidRPr="00D26A35">
              <w:rPr>
                <w:rFonts w:eastAsia="Calibri" w:cs="Calibri"/>
                <w:sz w:val="20"/>
              </w:rPr>
              <w:t>One day per month.</w:t>
            </w:r>
          </w:p>
        </w:tc>
        <w:tc>
          <w:tcPr>
            <w:tcW w:w="1843" w:type="dxa"/>
          </w:tcPr>
          <w:p w14:paraId="6BDF7C99" w14:textId="77777777" w:rsidR="000A3F49" w:rsidRPr="00D26A35" w:rsidRDefault="000A3F49" w:rsidP="000A3F49">
            <w:pPr>
              <w:pStyle w:val="NoSpacing"/>
              <w:rPr>
                <w:rFonts w:eastAsia="Calibri" w:cs="Calibri"/>
                <w:sz w:val="20"/>
                <w:szCs w:val="20"/>
              </w:rPr>
            </w:pPr>
            <w:r w:rsidRPr="00D26A35">
              <w:rPr>
                <w:rFonts w:eastAsia="Calibri" w:cs="Calibri"/>
                <w:sz w:val="20"/>
              </w:rPr>
              <w:t>Travel and DSA for 1 or 2 staff</w:t>
            </w:r>
          </w:p>
          <w:p w14:paraId="68A8AD00" w14:textId="77777777" w:rsidR="000A3F49" w:rsidRPr="00D26A35" w:rsidRDefault="000A3F49" w:rsidP="000A3F49">
            <w:pPr>
              <w:pStyle w:val="NoSpacing"/>
              <w:rPr>
                <w:rFonts w:eastAsia="Calibri" w:cs="Calibri"/>
                <w:sz w:val="20"/>
              </w:rPr>
            </w:pPr>
          </w:p>
        </w:tc>
      </w:tr>
      <w:tr w:rsidR="003F4F52" w:rsidRPr="00D26A35" w14:paraId="45E6D088" w14:textId="77777777" w:rsidTr="00DF2C2F">
        <w:trPr>
          <w:tblHeader/>
          <w:jc w:val="center"/>
        </w:trPr>
        <w:tc>
          <w:tcPr>
            <w:tcW w:w="1907" w:type="dxa"/>
          </w:tcPr>
          <w:p w14:paraId="239D5593" w14:textId="77777777" w:rsidR="003F4F52" w:rsidRPr="00D26A35" w:rsidRDefault="003F4F52" w:rsidP="007222FB">
            <w:pPr>
              <w:tabs>
                <w:tab w:val="left" w:pos="454"/>
              </w:tabs>
              <w:rPr>
                <w:rFonts w:eastAsia="Calibri" w:cs="Calibri"/>
                <w:sz w:val="20"/>
                <w:szCs w:val="20"/>
              </w:rPr>
            </w:pPr>
            <w:r w:rsidRPr="00D26A35">
              <w:rPr>
                <w:rFonts w:eastAsia="Calibri" w:cs="Calibri"/>
                <w:sz w:val="20"/>
                <w:szCs w:val="20"/>
              </w:rPr>
              <w:lastRenderedPageBreak/>
              <w:t>International Annual Meeting on Language Arrangement, Documents and Publication (IAMLADP)</w:t>
            </w:r>
          </w:p>
          <w:p w14:paraId="65E8A817" w14:textId="77777777" w:rsidR="003F4F52" w:rsidRPr="00D26A35" w:rsidRDefault="003F4F52" w:rsidP="007222FB">
            <w:pPr>
              <w:tabs>
                <w:tab w:val="left" w:pos="454"/>
              </w:tabs>
              <w:rPr>
                <w:rFonts w:eastAsia="Calibri" w:cs="Calibri"/>
                <w:sz w:val="20"/>
                <w:szCs w:val="20"/>
              </w:rPr>
            </w:pPr>
          </w:p>
        </w:tc>
        <w:tc>
          <w:tcPr>
            <w:tcW w:w="3850" w:type="dxa"/>
          </w:tcPr>
          <w:p w14:paraId="29856355" w14:textId="77777777" w:rsidR="003F4F52" w:rsidRPr="00D26A35" w:rsidRDefault="003F4F52" w:rsidP="007222FB">
            <w:pPr>
              <w:rPr>
                <w:rFonts w:eastAsia="Calibri" w:cs="Calibri"/>
                <w:sz w:val="20"/>
                <w:szCs w:val="20"/>
              </w:rPr>
            </w:pPr>
            <w:r w:rsidRPr="00D26A35">
              <w:rPr>
                <w:rFonts w:eastAsia="Calibri" w:cs="Calibri"/>
                <w:sz w:val="20"/>
                <w:szCs w:val="20"/>
              </w:rPr>
              <w:t xml:space="preserve">Enhance the efficiency, quality and cost-effectiveness of conference, language and publishing services system-wide and within each participating organization. More specific objectives </w:t>
            </w:r>
            <w:proofErr w:type="gramStart"/>
            <w:r w:rsidRPr="00D26A35">
              <w:rPr>
                <w:rFonts w:eastAsia="Calibri" w:cs="Calibri"/>
                <w:sz w:val="20"/>
                <w:szCs w:val="20"/>
              </w:rPr>
              <w:t>include:</w:t>
            </w:r>
            <w:proofErr w:type="gramEnd"/>
            <w:r w:rsidRPr="00D26A35">
              <w:rPr>
                <w:rFonts w:eastAsia="Calibri" w:cs="Calibri"/>
                <w:sz w:val="20"/>
                <w:szCs w:val="20"/>
              </w:rPr>
              <w:t xml:space="preserve"> exchange information and share experiences on policies and practices; establish best practice for quality of service and cost-effectiveness; pool resources for tasks of common interest; harmonize practices, workload standards and indicators; promote training and exchanges of staff.</w:t>
            </w:r>
          </w:p>
        </w:tc>
        <w:tc>
          <w:tcPr>
            <w:tcW w:w="3457" w:type="dxa"/>
          </w:tcPr>
          <w:p w14:paraId="1D84264C" w14:textId="07D67EC1" w:rsidR="003E2509" w:rsidRPr="00D26A35" w:rsidRDefault="00CA2100" w:rsidP="007222FB">
            <w:pPr>
              <w:rPr>
                <w:rFonts w:eastAsia="Calibri" w:cs="Calibri"/>
                <w:sz w:val="20"/>
                <w:szCs w:val="20"/>
              </w:rPr>
            </w:pPr>
            <w:hyperlink r:id="rId123" w:history="1">
              <w:r w:rsidR="003F4F52" w:rsidRPr="00D26A35">
                <w:rPr>
                  <w:rStyle w:val="Hyperlink"/>
                  <w:rFonts w:eastAsia="Calibri" w:cs="Calibri"/>
                  <w:sz w:val="20"/>
                  <w:szCs w:val="20"/>
                </w:rPr>
                <w:t>PP R</w:t>
              </w:r>
              <w:r w:rsidR="003E2509" w:rsidRPr="00D26A35">
                <w:rPr>
                  <w:rStyle w:val="Hyperlink"/>
                  <w:rFonts w:eastAsia="Calibri" w:cs="Calibri"/>
                  <w:sz w:val="20"/>
                  <w:szCs w:val="20"/>
                </w:rPr>
                <w:t>es</w:t>
              </w:r>
              <w:r w:rsidR="003F4F52" w:rsidRPr="00D26A35">
                <w:rPr>
                  <w:rStyle w:val="Hyperlink"/>
                  <w:rFonts w:eastAsia="Calibri" w:cs="Calibri"/>
                  <w:sz w:val="20"/>
                  <w:szCs w:val="20"/>
                </w:rPr>
                <w:t>. 154 (</w:t>
              </w:r>
              <w:r w:rsidR="003E2509" w:rsidRPr="00D26A35">
                <w:rPr>
                  <w:rStyle w:val="Hyperlink"/>
                  <w:rFonts w:eastAsia="Calibri" w:cs="Calibri"/>
                  <w:sz w:val="20"/>
                  <w:szCs w:val="20"/>
                </w:rPr>
                <w:t>Rev. Dubai</w:t>
              </w:r>
              <w:r w:rsidR="003F4F52" w:rsidRPr="00D26A35">
                <w:rPr>
                  <w:rStyle w:val="Hyperlink"/>
                  <w:rFonts w:eastAsia="Calibri" w:cs="Calibri"/>
                  <w:sz w:val="20"/>
                  <w:szCs w:val="20"/>
                </w:rPr>
                <w:t>, 2018)</w:t>
              </w:r>
            </w:hyperlink>
            <w:r w:rsidR="003F4F52" w:rsidRPr="00D26A35">
              <w:rPr>
                <w:rFonts w:eastAsia="Calibri" w:cs="Calibri"/>
                <w:sz w:val="20"/>
                <w:szCs w:val="20"/>
              </w:rPr>
              <w:t xml:space="preserve"> </w:t>
            </w:r>
          </w:p>
          <w:p w14:paraId="7D4079B5" w14:textId="11F9216E" w:rsidR="003F4F52" w:rsidRPr="00D26A35" w:rsidRDefault="003F4F52" w:rsidP="007222FB">
            <w:pPr>
              <w:rPr>
                <w:rFonts w:eastAsia="Calibri" w:cs="Calibri"/>
                <w:sz w:val="20"/>
                <w:szCs w:val="20"/>
              </w:rPr>
            </w:pPr>
            <w:r w:rsidRPr="00D26A35">
              <w:rPr>
                <w:rFonts w:eastAsia="Calibri" w:cs="Calibri"/>
                <w:sz w:val="20"/>
                <w:szCs w:val="20"/>
              </w:rPr>
              <w:t xml:space="preserve">Use of the six official languages of the Union on an equal footing </w:t>
            </w:r>
          </w:p>
          <w:p w14:paraId="40319D10" w14:textId="73B223CA" w:rsidR="003E2509" w:rsidRPr="00D26A35" w:rsidRDefault="00CA2100" w:rsidP="007222FB">
            <w:pPr>
              <w:rPr>
                <w:rFonts w:eastAsia="Calibri" w:cs="Calibri"/>
                <w:sz w:val="20"/>
                <w:szCs w:val="20"/>
              </w:rPr>
            </w:pPr>
            <w:hyperlink r:id="rId124" w:history="1">
              <w:r w:rsidR="003F4F52" w:rsidRPr="00D26A35">
                <w:rPr>
                  <w:rStyle w:val="Hyperlink"/>
                  <w:rFonts w:eastAsia="Calibri" w:cs="Calibri"/>
                  <w:sz w:val="20"/>
                  <w:szCs w:val="20"/>
                </w:rPr>
                <w:t>PP D</w:t>
              </w:r>
              <w:r w:rsidR="003E2509" w:rsidRPr="00D26A35">
                <w:rPr>
                  <w:rStyle w:val="Hyperlink"/>
                  <w:rFonts w:eastAsia="Calibri" w:cs="Calibri"/>
                  <w:sz w:val="20"/>
                  <w:szCs w:val="20"/>
                </w:rPr>
                <w:t>ec.</w:t>
              </w:r>
              <w:r w:rsidR="003F4F52" w:rsidRPr="00D26A35">
                <w:rPr>
                  <w:rStyle w:val="Hyperlink"/>
                  <w:rFonts w:eastAsia="Calibri" w:cs="Calibri"/>
                  <w:sz w:val="20"/>
                  <w:szCs w:val="20"/>
                </w:rPr>
                <w:t xml:space="preserve"> 5 (R</w:t>
              </w:r>
              <w:r w:rsidR="003E2509" w:rsidRPr="00D26A35">
                <w:rPr>
                  <w:rStyle w:val="Hyperlink"/>
                  <w:rFonts w:eastAsia="Calibri" w:cs="Calibri"/>
                  <w:sz w:val="20"/>
                  <w:szCs w:val="20"/>
                </w:rPr>
                <w:t>ev</w:t>
              </w:r>
              <w:r w:rsidR="003F4F52" w:rsidRPr="00D26A35">
                <w:rPr>
                  <w:rStyle w:val="Hyperlink"/>
                  <w:rFonts w:eastAsia="Calibri" w:cs="Calibri"/>
                  <w:sz w:val="20"/>
                  <w:szCs w:val="20"/>
                </w:rPr>
                <w:t>. D</w:t>
              </w:r>
              <w:r w:rsidR="003E2509" w:rsidRPr="00D26A35">
                <w:rPr>
                  <w:rStyle w:val="Hyperlink"/>
                  <w:rFonts w:eastAsia="Calibri" w:cs="Calibri"/>
                  <w:sz w:val="20"/>
                  <w:szCs w:val="20"/>
                </w:rPr>
                <w:t>ubai</w:t>
              </w:r>
              <w:r w:rsidR="003F4F52" w:rsidRPr="00D26A35">
                <w:rPr>
                  <w:rStyle w:val="Hyperlink"/>
                  <w:rFonts w:eastAsia="Calibri" w:cs="Calibri"/>
                  <w:sz w:val="20"/>
                  <w:szCs w:val="20"/>
                </w:rPr>
                <w:t xml:space="preserve"> 2018)</w:t>
              </w:r>
            </w:hyperlink>
            <w:r w:rsidR="003F4F52" w:rsidRPr="00D26A35">
              <w:rPr>
                <w:rFonts w:eastAsia="Calibri" w:cs="Calibri"/>
                <w:sz w:val="20"/>
                <w:szCs w:val="20"/>
              </w:rPr>
              <w:t xml:space="preserve"> </w:t>
            </w:r>
          </w:p>
          <w:p w14:paraId="2D8A200C" w14:textId="0C8A14CF" w:rsidR="003F4F52" w:rsidRPr="00D26A35" w:rsidRDefault="00CA2100" w:rsidP="007222FB">
            <w:pPr>
              <w:rPr>
                <w:rFonts w:eastAsia="Calibri" w:cs="Calibri"/>
                <w:sz w:val="20"/>
                <w:szCs w:val="20"/>
              </w:rPr>
            </w:pPr>
            <w:hyperlink r:id="rId125" w:history="1">
              <w:r w:rsidR="003E2509" w:rsidRPr="00D26A35">
                <w:rPr>
                  <w:rStyle w:val="Hyperlink"/>
                  <w:rFonts w:eastAsia="Calibri" w:cs="Calibri"/>
                  <w:sz w:val="20"/>
                  <w:szCs w:val="20"/>
                </w:rPr>
                <w:t>Council R</w:t>
              </w:r>
              <w:r w:rsidR="003F4F52" w:rsidRPr="00D26A35">
                <w:rPr>
                  <w:rStyle w:val="Hyperlink"/>
                  <w:rFonts w:eastAsia="Calibri" w:cs="Calibri"/>
                  <w:sz w:val="20"/>
                  <w:szCs w:val="20"/>
                </w:rPr>
                <w:t xml:space="preserve"> 1372 (C15, last amended C19)</w:t>
              </w:r>
            </w:hyperlink>
          </w:p>
        </w:tc>
        <w:tc>
          <w:tcPr>
            <w:tcW w:w="1843" w:type="dxa"/>
          </w:tcPr>
          <w:p w14:paraId="26FC399D" w14:textId="77777777" w:rsidR="003F4F52" w:rsidRPr="00D26A35" w:rsidRDefault="003F4F52" w:rsidP="007222FB">
            <w:pPr>
              <w:rPr>
                <w:rFonts w:eastAsia="Calibri" w:cs="Calibri"/>
                <w:sz w:val="20"/>
                <w:szCs w:val="20"/>
              </w:rPr>
            </w:pPr>
            <w:r w:rsidRPr="00D26A35">
              <w:rPr>
                <w:rFonts w:eastAsia="Calibri" w:cs="Calibri"/>
                <w:sz w:val="20"/>
                <w:szCs w:val="20"/>
              </w:rPr>
              <w:t>Once a year</w:t>
            </w:r>
          </w:p>
        </w:tc>
        <w:tc>
          <w:tcPr>
            <w:tcW w:w="1984" w:type="dxa"/>
          </w:tcPr>
          <w:p w14:paraId="353AF9ED" w14:textId="77777777" w:rsidR="003F4F52" w:rsidRPr="00D26A35" w:rsidRDefault="003F4F52" w:rsidP="007222FB">
            <w:pPr>
              <w:rPr>
                <w:rFonts w:eastAsia="Calibri" w:cs="Calibri"/>
                <w:sz w:val="20"/>
                <w:szCs w:val="20"/>
              </w:rPr>
            </w:pPr>
            <w:r w:rsidRPr="00D26A35">
              <w:rPr>
                <w:rFonts w:eastAsia="Calibri" w:cs="Calibri"/>
                <w:sz w:val="20"/>
                <w:szCs w:val="20"/>
              </w:rPr>
              <w:t>3/4 workdays plus travel (2020 in Nairobi, Kenya)</w:t>
            </w:r>
          </w:p>
        </w:tc>
        <w:tc>
          <w:tcPr>
            <w:tcW w:w="1843" w:type="dxa"/>
          </w:tcPr>
          <w:p w14:paraId="3292D449" w14:textId="77777777" w:rsidR="003F4F52" w:rsidRPr="00D26A35" w:rsidRDefault="003F4F52" w:rsidP="007222FB">
            <w:pPr>
              <w:rPr>
                <w:rFonts w:eastAsia="Calibri" w:cs="Calibri"/>
                <w:sz w:val="20"/>
                <w:szCs w:val="20"/>
              </w:rPr>
            </w:pPr>
            <w:r w:rsidRPr="00D26A35">
              <w:rPr>
                <w:rFonts w:eastAsia="Calibri" w:cs="Calibri"/>
                <w:sz w:val="20"/>
                <w:szCs w:val="20"/>
              </w:rPr>
              <w:t xml:space="preserve">Travel and DSA for 3/4 staff </w:t>
            </w:r>
          </w:p>
        </w:tc>
      </w:tr>
      <w:tr w:rsidR="003F4F52" w:rsidRPr="00D26A35" w14:paraId="7A9F810C" w14:textId="77777777" w:rsidTr="00DF2C2F">
        <w:trPr>
          <w:tblHeader/>
          <w:jc w:val="center"/>
        </w:trPr>
        <w:tc>
          <w:tcPr>
            <w:tcW w:w="1907" w:type="dxa"/>
          </w:tcPr>
          <w:p w14:paraId="42DACD58" w14:textId="77777777" w:rsidR="003F4F52" w:rsidRPr="00D26A35" w:rsidRDefault="003F4F52" w:rsidP="007222FB">
            <w:pPr>
              <w:rPr>
                <w:rFonts w:eastAsia="Calibri" w:cs="Calibri"/>
                <w:sz w:val="20"/>
                <w:szCs w:val="20"/>
              </w:rPr>
            </w:pPr>
            <w:r w:rsidRPr="00D26A35">
              <w:rPr>
                <w:rFonts w:eastAsia="Calibri" w:cs="Calibri"/>
                <w:sz w:val="20"/>
                <w:szCs w:val="20"/>
              </w:rPr>
              <w:t>International Annual Meeting on Computer-Assisted Translation and Terminology (JIAMCATT)</w:t>
            </w:r>
          </w:p>
        </w:tc>
        <w:tc>
          <w:tcPr>
            <w:tcW w:w="3850" w:type="dxa"/>
          </w:tcPr>
          <w:p w14:paraId="5F047DF0" w14:textId="77777777" w:rsidR="003F4F52" w:rsidRPr="00D26A35" w:rsidRDefault="003F4F52" w:rsidP="007222FB">
            <w:pPr>
              <w:rPr>
                <w:rFonts w:eastAsia="Calibri" w:cs="Calibri"/>
                <w:sz w:val="20"/>
                <w:szCs w:val="20"/>
              </w:rPr>
            </w:pPr>
            <w:r w:rsidRPr="00D26A35">
              <w:rPr>
                <w:rFonts w:eastAsia="Calibri" w:cs="Calibri"/>
                <w:sz w:val="20"/>
                <w:szCs w:val="20"/>
              </w:rPr>
              <w:t>JIAMCATT is a task force of IAMLADP and a forum for debate, exchange of expertise and cooperation in the fields of computer-assisted terminology and translation, interpretation and documentation retrieval.</w:t>
            </w:r>
          </w:p>
        </w:tc>
        <w:tc>
          <w:tcPr>
            <w:tcW w:w="3457" w:type="dxa"/>
          </w:tcPr>
          <w:p w14:paraId="46C8B178" w14:textId="77777777" w:rsidR="003E2509" w:rsidRPr="00D26A35" w:rsidRDefault="00CA2100" w:rsidP="007222FB">
            <w:pPr>
              <w:rPr>
                <w:rFonts w:eastAsia="Calibri" w:cs="Calibri"/>
                <w:sz w:val="20"/>
                <w:szCs w:val="20"/>
              </w:rPr>
            </w:pPr>
            <w:hyperlink r:id="rId126" w:history="1">
              <w:r w:rsidR="003E2509" w:rsidRPr="00D26A35">
                <w:rPr>
                  <w:rStyle w:val="Hyperlink"/>
                  <w:rFonts w:eastAsia="Calibri" w:cs="Calibri"/>
                  <w:sz w:val="20"/>
                  <w:szCs w:val="20"/>
                </w:rPr>
                <w:t>PP Res. 154 (Rev. Dubai, 2018)</w:t>
              </w:r>
            </w:hyperlink>
          </w:p>
          <w:p w14:paraId="4A603947" w14:textId="0B6BEF51" w:rsidR="003F4F52" w:rsidRPr="00D26A35" w:rsidRDefault="003F4F52" w:rsidP="007222FB">
            <w:pPr>
              <w:rPr>
                <w:rFonts w:eastAsia="Calibri" w:cs="Calibri"/>
                <w:sz w:val="20"/>
                <w:szCs w:val="20"/>
              </w:rPr>
            </w:pPr>
            <w:r w:rsidRPr="00D26A35">
              <w:rPr>
                <w:rFonts w:eastAsia="Calibri" w:cs="Calibri"/>
                <w:sz w:val="20"/>
                <w:szCs w:val="20"/>
              </w:rPr>
              <w:t xml:space="preserve">Use of the six official languages of the Union on an equal footing </w:t>
            </w:r>
          </w:p>
          <w:p w14:paraId="07AA1F68" w14:textId="77777777" w:rsidR="003E2509" w:rsidRPr="00D26A35" w:rsidRDefault="00CA2100" w:rsidP="003E2509">
            <w:pPr>
              <w:rPr>
                <w:rFonts w:eastAsia="Calibri" w:cs="Calibri"/>
                <w:sz w:val="20"/>
                <w:szCs w:val="20"/>
              </w:rPr>
            </w:pPr>
            <w:hyperlink r:id="rId127" w:history="1">
              <w:r w:rsidR="003E2509" w:rsidRPr="00D26A35">
                <w:rPr>
                  <w:rStyle w:val="Hyperlink"/>
                  <w:rFonts w:eastAsia="Calibri" w:cs="Calibri"/>
                  <w:sz w:val="20"/>
                  <w:szCs w:val="20"/>
                </w:rPr>
                <w:t>PP Dec. 5 (Rev. Dubai 2018)</w:t>
              </w:r>
            </w:hyperlink>
            <w:r w:rsidR="003E2509" w:rsidRPr="00D26A35">
              <w:rPr>
                <w:rFonts w:eastAsia="Calibri" w:cs="Calibri"/>
                <w:sz w:val="20"/>
                <w:szCs w:val="20"/>
              </w:rPr>
              <w:t xml:space="preserve"> </w:t>
            </w:r>
          </w:p>
          <w:p w14:paraId="3A5415B9" w14:textId="24839FBE" w:rsidR="003F4F52" w:rsidRPr="00D26A35" w:rsidRDefault="00CA2100" w:rsidP="003E2509">
            <w:pPr>
              <w:rPr>
                <w:rFonts w:eastAsia="Calibri" w:cs="Calibri"/>
                <w:sz w:val="20"/>
                <w:szCs w:val="20"/>
              </w:rPr>
            </w:pPr>
            <w:hyperlink r:id="rId128" w:history="1">
              <w:r w:rsidR="003E2509" w:rsidRPr="00D26A35">
                <w:rPr>
                  <w:rStyle w:val="Hyperlink"/>
                  <w:rFonts w:eastAsia="Calibri" w:cs="Calibri"/>
                  <w:sz w:val="20"/>
                  <w:szCs w:val="20"/>
                </w:rPr>
                <w:t>Council R 1372 (C15, last amended C19)</w:t>
              </w:r>
            </w:hyperlink>
          </w:p>
        </w:tc>
        <w:tc>
          <w:tcPr>
            <w:tcW w:w="1843" w:type="dxa"/>
          </w:tcPr>
          <w:p w14:paraId="46D2347F" w14:textId="77777777" w:rsidR="003F4F52" w:rsidRPr="00D26A35" w:rsidRDefault="003F4F52" w:rsidP="007222FB">
            <w:pPr>
              <w:rPr>
                <w:rFonts w:eastAsia="Calibri" w:cs="Calibri"/>
                <w:sz w:val="20"/>
                <w:szCs w:val="20"/>
              </w:rPr>
            </w:pPr>
            <w:r w:rsidRPr="00D26A35">
              <w:rPr>
                <w:rFonts w:eastAsia="Calibri" w:cs="Calibri"/>
                <w:sz w:val="20"/>
                <w:szCs w:val="20"/>
              </w:rPr>
              <w:t>Once a year + 1 local meeting</w:t>
            </w:r>
          </w:p>
        </w:tc>
        <w:tc>
          <w:tcPr>
            <w:tcW w:w="1984" w:type="dxa"/>
          </w:tcPr>
          <w:p w14:paraId="0934C142" w14:textId="77777777" w:rsidR="003F4F52" w:rsidRPr="00D26A35" w:rsidRDefault="003F4F52" w:rsidP="007222FB">
            <w:pPr>
              <w:rPr>
                <w:rFonts w:eastAsia="Calibri" w:cs="Calibri"/>
                <w:sz w:val="20"/>
                <w:szCs w:val="20"/>
              </w:rPr>
            </w:pPr>
            <w:r w:rsidRPr="00D26A35">
              <w:rPr>
                <w:rFonts w:eastAsia="Calibri" w:cs="Calibri"/>
                <w:sz w:val="20"/>
                <w:szCs w:val="20"/>
              </w:rPr>
              <w:t>3+1 working days plus travel</w:t>
            </w:r>
          </w:p>
        </w:tc>
        <w:tc>
          <w:tcPr>
            <w:tcW w:w="1843" w:type="dxa"/>
          </w:tcPr>
          <w:p w14:paraId="47E6C1A4" w14:textId="77777777" w:rsidR="003F4F52" w:rsidRPr="00D26A35" w:rsidRDefault="003F4F52" w:rsidP="007222FB">
            <w:pPr>
              <w:rPr>
                <w:rFonts w:eastAsia="Calibri" w:cs="Calibri"/>
                <w:sz w:val="20"/>
                <w:szCs w:val="20"/>
              </w:rPr>
            </w:pPr>
            <w:r w:rsidRPr="00D26A35">
              <w:rPr>
                <w:rFonts w:eastAsia="Calibri" w:cs="Calibri"/>
                <w:sz w:val="20"/>
                <w:szCs w:val="20"/>
              </w:rPr>
              <w:t>Travel and DSA for 3/4 staff</w:t>
            </w:r>
          </w:p>
        </w:tc>
      </w:tr>
      <w:tr w:rsidR="003F4F52" w:rsidRPr="00D26A35" w14:paraId="49DBC500" w14:textId="77777777" w:rsidTr="00DF2C2F">
        <w:trPr>
          <w:trHeight w:val="352"/>
          <w:tblHeader/>
          <w:jc w:val="center"/>
        </w:trPr>
        <w:tc>
          <w:tcPr>
            <w:tcW w:w="1907" w:type="dxa"/>
          </w:tcPr>
          <w:p w14:paraId="5426ACB5" w14:textId="77777777" w:rsidR="003F4F52" w:rsidRPr="00D26A35" w:rsidRDefault="00CA2100" w:rsidP="007222FB">
            <w:pPr>
              <w:rPr>
                <w:rFonts w:eastAsia="Calibri" w:cs="Calibri"/>
                <w:sz w:val="20"/>
                <w:szCs w:val="20"/>
              </w:rPr>
            </w:pPr>
            <w:hyperlink r:id="rId129">
              <w:r w:rsidR="003F4F52" w:rsidRPr="00D26A35">
                <w:rPr>
                  <w:rStyle w:val="Hyperlink"/>
                  <w:rFonts w:eastAsia="Calibri" w:cs="Calibri"/>
                  <w:sz w:val="20"/>
                  <w:szCs w:val="20"/>
                </w:rPr>
                <w:t>Inter-Agency Security Management Network (</w:t>
              </w:r>
              <w:r w:rsidR="003F4F52" w:rsidRPr="00D26A35">
                <w:rPr>
                  <w:rStyle w:val="Hyperlink"/>
                  <w:rFonts w:eastAsia="Calibri" w:cs="Calibri"/>
                  <w:b/>
                  <w:bCs/>
                  <w:sz w:val="20"/>
                  <w:szCs w:val="20"/>
                </w:rPr>
                <w:t>IASMN</w:t>
              </w:r>
              <w:r w:rsidR="003F4F52" w:rsidRPr="00D26A35">
                <w:rPr>
                  <w:rStyle w:val="Hyperlink"/>
                  <w:rFonts w:eastAsia="Calibri" w:cs="Calibri"/>
                  <w:sz w:val="20"/>
                  <w:szCs w:val="20"/>
                </w:rPr>
                <w:t>)</w:t>
              </w:r>
            </w:hyperlink>
            <w:r w:rsidR="003F4F52" w:rsidRPr="00D26A35">
              <w:rPr>
                <w:rFonts w:eastAsia="Calibri" w:cs="Calibri"/>
                <w:sz w:val="20"/>
                <w:szCs w:val="20"/>
              </w:rPr>
              <w:t xml:space="preserve"> </w:t>
            </w:r>
          </w:p>
        </w:tc>
        <w:tc>
          <w:tcPr>
            <w:tcW w:w="3850" w:type="dxa"/>
          </w:tcPr>
          <w:p w14:paraId="6ABC85A0" w14:textId="77777777" w:rsidR="003F4F52" w:rsidRPr="00D26A35" w:rsidRDefault="003F4F52" w:rsidP="007222FB">
            <w:pPr>
              <w:rPr>
                <w:rFonts w:eastAsia="Calibri" w:cs="Calibri"/>
                <w:sz w:val="20"/>
                <w:szCs w:val="20"/>
              </w:rPr>
            </w:pPr>
            <w:r w:rsidRPr="00D26A35">
              <w:rPr>
                <w:rFonts w:eastAsia="Calibri" w:cs="Calibri"/>
                <w:sz w:val="20"/>
                <w:szCs w:val="20"/>
              </w:rPr>
              <w:t>Supports the HLCM in its comprehensive review of safety &amp; security policies and resource-related issues pertaining to the entire United Nations security management system (UNSMS).  The network reviews existing and proposed policies, procedures, guidelines and best practises of the UNSMS and reports and makes recommendations on these to the HLCM</w:t>
            </w:r>
          </w:p>
        </w:tc>
        <w:tc>
          <w:tcPr>
            <w:tcW w:w="3457" w:type="dxa"/>
          </w:tcPr>
          <w:p w14:paraId="5D5F3E37" w14:textId="64DD39C7" w:rsidR="003F4F52" w:rsidRPr="00D26A35" w:rsidRDefault="003F4F52" w:rsidP="007222FB">
            <w:pPr>
              <w:spacing w:line="257" w:lineRule="auto"/>
              <w:rPr>
                <w:rFonts w:eastAsia="Calibri" w:cs="Calibri"/>
                <w:sz w:val="20"/>
                <w:szCs w:val="20"/>
              </w:rPr>
            </w:pPr>
            <w:r w:rsidRPr="00D26A35">
              <w:rPr>
                <w:rFonts w:eastAsia="Calibri" w:cs="Calibri"/>
                <w:sz w:val="20"/>
                <w:szCs w:val="20"/>
              </w:rPr>
              <w:t>Safety and security mitigation measures at ITU HQ and field office premises</w:t>
            </w:r>
            <w:r w:rsidR="003E2509" w:rsidRPr="00D26A35">
              <w:rPr>
                <w:rFonts w:eastAsia="Calibri" w:cs="Calibri"/>
                <w:sz w:val="20"/>
                <w:szCs w:val="20"/>
              </w:rPr>
              <w:t>.</w:t>
            </w:r>
          </w:p>
          <w:p w14:paraId="75CD52F5" w14:textId="0E6BF245" w:rsidR="003F4F52" w:rsidRPr="00D26A35" w:rsidRDefault="003F4F52" w:rsidP="007222FB">
            <w:pPr>
              <w:spacing w:line="257" w:lineRule="auto"/>
              <w:rPr>
                <w:rFonts w:eastAsia="Calibri" w:cs="Calibri"/>
                <w:sz w:val="20"/>
                <w:szCs w:val="20"/>
              </w:rPr>
            </w:pPr>
            <w:r w:rsidRPr="00D26A35">
              <w:rPr>
                <w:rFonts w:eastAsia="Calibri" w:cs="Calibri"/>
                <w:sz w:val="20"/>
                <w:szCs w:val="20"/>
              </w:rPr>
              <w:t>Safety and security mitigation measures for duty of care for ITU staff, dependants, delegates and visitors at ITU premises and events globally.</w:t>
            </w:r>
          </w:p>
          <w:p w14:paraId="1EFC60C7" w14:textId="77777777" w:rsidR="003F4F52" w:rsidRPr="00D26A35" w:rsidRDefault="003F4F52" w:rsidP="007222FB">
            <w:pPr>
              <w:rPr>
                <w:rFonts w:eastAsia="Calibri" w:cs="Calibri"/>
                <w:sz w:val="20"/>
                <w:szCs w:val="20"/>
              </w:rPr>
            </w:pPr>
            <w:r w:rsidRPr="00D26A35">
              <w:rPr>
                <w:rFonts w:eastAsia="Calibri" w:cs="Calibri"/>
                <w:sz w:val="20"/>
                <w:szCs w:val="20"/>
              </w:rPr>
              <w:t xml:space="preserve">ITU showcases as the ICT Specialized Agency its security modernization project and the convergence/integration of physical and </w:t>
            </w:r>
            <w:proofErr w:type="gramStart"/>
            <w:r w:rsidRPr="00D26A35">
              <w:rPr>
                <w:rFonts w:eastAsia="Calibri" w:cs="Calibri"/>
                <w:sz w:val="20"/>
                <w:szCs w:val="20"/>
              </w:rPr>
              <w:t>cyber IT</w:t>
            </w:r>
            <w:proofErr w:type="gramEnd"/>
            <w:r w:rsidRPr="00D26A35">
              <w:rPr>
                <w:rFonts w:eastAsia="Calibri" w:cs="Calibri"/>
                <w:sz w:val="20"/>
                <w:szCs w:val="20"/>
              </w:rPr>
              <w:t xml:space="preserve"> security.</w:t>
            </w:r>
          </w:p>
        </w:tc>
        <w:tc>
          <w:tcPr>
            <w:tcW w:w="1843" w:type="dxa"/>
          </w:tcPr>
          <w:p w14:paraId="53198503" w14:textId="100C33F6" w:rsidR="003F4F52" w:rsidRPr="00D26A35" w:rsidRDefault="003F4F52" w:rsidP="007222FB">
            <w:pPr>
              <w:rPr>
                <w:rFonts w:eastAsia="Calibri" w:cs="Calibri"/>
                <w:sz w:val="20"/>
                <w:szCs w:val="20"/>
              </w:rPr>
            </w:pPr>
            <w:r w:rsidRPr="00D26A35">
              <w:rPr>
                <w:rFonts w:eastAsia="Calibri" w:cs="Calibri"/>
                <w:sz w:val="20"/>
                <w:szCs w:val="20"/>
              </w:rPr>
              <w:t>Twice per year</w:t>
            </w:r>
          </w:p>
        </w:tc>
        <w:tc>
          <w:tcPr>
            <w:tcW w:w="1984" w:type="dxa"/>
          </w:tcPr>
          <w:p w14:paraId="1510B250" w14:textId="24ABF5FC" w:rsidR="003F4F52" w:rsidRPr="00D26A35" w:rsidRDefault="003F4F52" w:rsidP="007222FB">
            <w:pPr>
              <w:rPr>
                <w:rFonts w:eastAsia="Calibri" w:cs="Calibri"/>
                <w:sz w:val="20"/>
                <w:szCs w:val="20"/>
              </w:rPr>
            </w:pPr>
            <w:r w:rsidRPr="00D26A35">
              <w:rPr>
                <w:rFonts w:eastAsia="Calibri" w:cs="Calibri"/>
                <w:sz w:val="20"/>
                <w:szCs w:val="20"/>
              </w:rPr>
              <w:t>3 days per meeting;</w:t>
            </w:r>
          </w:p>
        </w:tc>
        <w:tc>
          <w:tcPr>
            <w:tcW w:w="1843" w:type="dxa"/>
          </w:tcPr>
          <w:p w14:paraId="3C9561F5" w14:textId="7EDD22BA" w:rsidR="003F4F52" w:rsidRPr="00D26A35" w:rsidRDefault="003F4F52" w:rsidP="007222FB">
            <w:pPr>
              <w:rPr>
                <w:rFonts w:eastAsia="Calibri" w:cs="Calibri"/>
                <w:sz w:val="20"/>
                <w:szCs w:val="20"/>
              </w:rPr>
            </w:pPr>
            <w:r w:rsidRPr="00D26A35">
              <w:rPr>
                <w:rFonts w:eastAsia="Calibri" w:cs="Calibri"/>
                <w:sz w:val="20"/>
                <w:szCs w:val="20"/>
              </w:rPr>
              <w:t>Travel and DSA for 1 staff</w:t>
            </w:r>
          </w:p>
        </w:tc>
      </w:tr>
      <w:tr w:rsidR="003F4F52" w:rsidRPr="00D26A35" w14:paraId="21B82022" w14:textId="77777777" w:rsidTr="00DF2C2F">
        <w:trPr>
          <w:trHeight w:val="70"/>
          <w:tblHeader/>
          <w:jc w:val="center"/>
        </w:trPr>
        <w:tc>
          <w:tcPr>
            <w:tcW w:w="1907" w:type="dxa"/>
          </w:tcPr>
          <w:p w14:paraId="0F217868" w14:textId="77777777" w:rsidR="003F4F52" w:rsidRPr="00D26A35" w:rsidRDefault="00CA2100" w:rsidP="007222FB">
            <w:pPr>
              <w:pStyle w:val="NoSpacing"/>
              <w:tabs>
                <w:tab w:val="clear" w:pos="567"/>
              </w:tabs>
              <w:spacing w:before="120"/>
              <w:contextualSpacing/>
              <w:rPr>
                <w:rFonts w:eastAsia="Calibri" w:cs="Calibri"/>
                <w:sz w:val="20"/>
              </w:rPr>
            </w:pPr>
            <w:hyperlink r:id="rId130">
              <w:r w:rsidR="003F4F52" w:rsidRPr="00D26A35">
                <w:rPr>
                  <w:rStyle w:val="Hyperlink"/>
                  <w:rFonts w:eastAsia="Calibri" w:cs="Calibri"/>
                  <w:sz w:val="20"/>
                  <w:lang w:eastAsia="zh-CN"/>
                </w:rPr>
                <w:t>UN Communication group</w:t>
              </w:r>
            </w:hyperlink>
            <w:r w:rsidR="003F4F52" w:rsidRPr="00D26A35">
              <w:rPr>
                <w:rFonts w:eastAsia="Calibri" w:cs="Calibri"/>
                <w:sz w:val="20"/>
              </w:rPr>
              <w:t xml:space="preserve"> </w:t>
            </w:r>
          </w:p>
        </w:tc>
        <w:tc>
          <w:tcPr>
            <w:tcW w:w="3850" w:type="dxa"/>
          </w:tcPr>
          <w:p w14:paraId="1214D45F" w14:textId="77777777" w:rsidR="003F4F52" w:rsidRPr="00D26A35" w:rsidRDefault="003F4F52" w:rsidP="007222FB">
            <w:pPr>
              <w:rPr>
                <w:rFonts w:eastAsia="Calibri" w:cs="Calibri"/>
                <w:sz w:val="20"/>
                <w:szCs w:val="20"/>
              </w:rPr>
            </w:pPr>
            <w:r w:rsidRPr="00D26A35">
              <w:rPr>
                <w:rFonts w:eastAsia="Calibri" w:cs="Calibri"/>
                <w:sz w:val="20"/>
                <w:szCs w:val="20"/>
              </w:rPr>
              <w:t>Strengthen inter-agency cooperation in the field of communications and to increase the media profile of United Nations activities at the national level. UNCGs do this by providing leadership in communications for the UN Country Team (all the UN funds, programmes and agencies located there), identifying new and creative ways to show how UN programmes are delivering results and promoting a coherent image of the United Nations.</w:t>
            </w:r>
          </w:p>
        </w:tc>
        <w:tc>
          <w:tcPr>
            <w:tcW w:w="3457" w:type="dxa"/>
          </w:tcPr>
          <w:p w14:paraId="442408E4" w14:textId="35F2B5A2" w:rsidR="003F4F52" w:rsidRPr="00D26A35" w:rsidRDefault="003F4F52" w:rsidP="003F4F52">
            <w:pPr>
              <w:pStyle w:val="ListParagraph"/>
              <w:numPr>
                <w:ilvl w:val="0"/>
                <w:numId w:val="17"/>
              </w:numPr>
              <w:spacing w:before="0" w:line="259" w:lineRule="auto"/>
              <w:rPr>
                <w:rFonts w:asciiTheme="minorHAnsi" w:hAnsiTheme="minorHAnsi"/>
                <w:sz w:val="20"/>
              </w:rPr>
            </w:pPr>
            <w:r w:rsidRPr="00D26A35">
              <w:rPr>
                <w:rFonts w:eastAsia="Calibri" w:cs="Calibri"/>
                <w:sz w:val="20"/>
              </w:rPr>
              <w:t>Enhance ITU</w:t>
            </w:r>
            <w:r w:rsidR="007222FB" w:rsidRPr="00D26A35">
              <w:rPr>
                <w:rFonts w:eastAsia="Calibri" w:cs="Calibri"/>
                <w:sz w:val="20"/>
              </w:rPr>
              <w:t>’</w:t>
            </w:r>
            <w:r w:rsidRPr="00D26A35">
              <w:rPr>
                <w:rFonts w:eastAsia="Calibri" w:cs="Calibri"/>
                <w:sz w:val="20"/>
              </w:rPr>
              <w:t>s visibility and lead on tech for good</w:t>
            </w:r>
          </w:p>
          <w:p w14:paraId="3575FE80" w14:textId="0E1428D2" w:rsidR="003F4F52" w:rsidRPr="00D26A35" w:rsidRDefault="003F4F52" w:rsidP="003F4F52">
            <w:pPr>
              <w:pStyle w:val="ListParagraph"/>
              <w:numPr>
                <w:ilvl w:val="0"/>
                <w:numId w:val="17"/>
              </w:numPr>
              <w:spacing w:before="0" w:line="259" w:lineRule="auto"/>
              <w:rPr>
                <w:rFonts w:asciiTheme="minorHAnsi" w:hAnsiTheme="minorHAnsi"/>
                <w:sz w:val="20"/>
              </w:rPr>
            </w:pPr>
            <w:r w:rsidRPr="00D26A35">
              <w:rPr>
                <w:rFonts w:eastAsia="Calibri" w:cs="Calibri"/>
                <w:sz w:val="20"/>
              </w:rPr>
              <w:t>Share and introduce UN best practice to ITU</w:t>
            </w:r>
            <w:r w:rsidR="007222FB" w:rsidRPr="00D26A35">
              <w:rPr>
                <w:rFonts w:eastAsia="Calibri" w:cs="Calibri"/>
                <w:sz w:val="20"/>
              </w:rPr>
              <w:t>’</w:t>
            </w:r>
            <w:r w:rsidRPr="00D26A35">
              <w:rPr>
                <w:rFonts w:eastAsia="Calibri" w:cs="Calibri"/>
                <w:sz w:val="20"/>
              </w:rPr>
              <w:t>s activities, such as</w:t>
            </w:r>
            <w:r w:rsidRPr="00D26A35">
              <w:rPr>
                <w:rFonts w:eastAsia="Calibri" w:cs="Calibri"/>
              </w:rPr>
              <w:t xml:space="preserve"> </w:t>
            </w:r>
            <w:r w:rsidRPr="00D26A35">
              <w:rPr>
                <w:rFonts w:eastAsia="Calibri" w:cs="Calibri"/>
                <w:sz w:val="20"/>
              </w:rPr>
              <w:t>human-touch storytelling and crowd engagement</w:t>
            </w:r>
          </w:p>
          <w:p w14:paraId="0AB14F04" w14:textId="77777777" w:rsidR="003F4F52" w:rsidRPr="00D26A35" w:rsidRDefault="003F4F52" w:rsidP="003F4F52">
            <w:pPr>
              <w:pStyle w:val="ListParagraph"/>
              <w:numPr>
                <w:ilvl w:val="0"/>
                <w:numId w:val="18"/>
              </w:numPr>
              <w:spacing w:before="0" w:line="259" w:lineRule="auto"/>
              <w:rPr>
                <w:rFonts w:asciiTheme="minorHAnsi" w:hAnsiTheme="minorHAnsi"/>
                <w:sz w:val="20"/>
              </w:rPr>
            </w:pPr>
            <w:r w:rsidRPr="00D26A35">
              <w:rPr>
                <w:rFonts w:eastAsia="Calibri" w:cs="Calibri"/>
                <w:sz w:val="20"/>
              </w:rPr>
              <w:t>Support and align with UN global communication initiatives such as EXPO 2020, 75</w:t>
            </w:r>
            <w:r w:rsidRPr="00D26A35">
              <w:rPr>
                <w:rFonts w:eastAsia="Calibri" w:cs="Calibri"/>
                <w:sz w:val="20"/>
                <w:vertAlign w:val="superscript"/>
              </w:rPr>
              <w:t>th</w:t>
            </w:r>
            <w:r w:rsidRPr="00D26A35">
              <w:rPr>
                <w:rFonts w:eastAsia="Calibri" w:cs="Calibri"/>
                <w:sz w:val="20"/>
              </w:rPr>
              <w:t xml:space="preserve"> Anniversary and SDG Decade of Action</w:t>
            </w:r>
          </w:p>
        </w:tc>
        <w:tc>
          <w:tcPr>
            <w:tcW w:w="1843" w:type="dxa"/>
          </w:tcPr>
          <w:p w14:paraId="4F31101D" w14:textId="77777777" w:rsidR="003F4F52" w:rsidRPr="00D26A35" w:rsidRDefault="003F4F52" w:rsidP="007222FB">
            <w:pPr>
              <w:rPr>
                <w:rFonts w:eastAsia="Calibri" w:cs="Calibri"/>
                <w:sz w:val="20"/>
                <w:szCs w:val="20"/>
              </w:rPr>
            </w:pPr>
            <w:r w:rsidRPr="00D26A35">
              <w:rPr>
                <w:rFonts w:eastAsia="Calibri" w:cs="Calibri"/>
                <w:sz w:val="20"/>
                <w:szCs w:val="20"/>
              </w:rPr>
              <w:t>Global group: Once a year in the US (attended for the first time in 2019)</w:t>
            </w:r>
          </w:p>
          <w:p w14:paraId="28440333" w14:textId="77777777" w:rsidR="003F4F52" w:rsidRPr="00D26A35" w:rsidRDefault="003F4F52" w:rsidP="007222FB">
            <w:pPr>
              <w:rPr>
                <w:rFonts w:eastAsia="Calibri" w:cs="Calibri"/>
                <w:sz w:val="20"/>
                <w:szCs w:val="20"/>
              </w:rPr>
            </w:pPr>
            <w:r w:rsidRPr="00D26A35">
              <w:rPr>
                <w:rFonts w:eastAsia="Calibri" w:cs="Calibri"/>
                <w:sz w:val="20"/>
                <w:szCs w:val="20"/>
              </w:rPr>
              <w:t>Geneva group: Once a year, plus ad-hoc</w:t>
            </w:r>
          </w:p>
        </w:tc>
        <w:tc>
          <w:tcPr>
            <w:tcW w:w="1984" w:type="dxa"/>
          </w:tcPr>
          <w:p w14:paraId="543B8D20" w14:textId="77777777" w:rsidR="003F4F52" w:rsidRPr="00D26A35" w:rsidRDefault="003F4F52" w:rsidP="007222FB">
            <w:pPr>
              <w:rPr>
                <w:rFonts w:eastAsia="Calibri" w:cs="Calibri"/>
                <w:sz w:val="20"/>
                <w:szCs w:val="20"/>
              </w:rPr>
            </w:pPr>
            <w:r w:rsidRPr="00D26A35">
              <w:rPr>
                <w:rFonts w:eastAsia="Calibri" w:cs="Calibri"/>
                <w:sz w:val="20"/>
                <w:szCs w:val="20"/>
              </w:rPr>
              <w:t>Global: 2 days</w:t>
            </w:r>
          </w:p>
          <w:p w14:paraId="0BA1D70D" w14:textId="77777777" w:rsidR="003F4F52" w:rsidRPr="00D26A35" w:rsidRDefault="003F4F52" w:rsidP="007222FB">
            <w:pPr>
              <w:rPr>
                <w:rFonts w:eastAsia="Calibri" w:cs="Calibri"/>
                <w:sz w:val="20"/>
                <w:szCs w:val="20"/>
              </w:rPr>
            </w:pPr>
            <w:r w:rsidRPr="00D26A35">
              <w:rPr>
                <w:rFonts w:eastAsia="Calibri" w:cs="Calibri"/>
                <w:sz w:val="20"/>
                <w:szCs w:val="20"/>
              </w:rPr>
              <w:t>Geneva: a few hours</w:t>
            </w:r>
          </w:p>
        </w:tc>
        <w:tc>
          <w:tcPr>
            <w:tcW w:w="1843" w:type="dxa"/>
          </w:tcPr>
          <w:p w14:paraId="5AC3B9B4" w14:textId="77777777" w:rsidR="003F4F52" w:rsidRPr="00D26A35" w:rsidRDefault="003F4F52" w:rsidP="007222FB">
            <w:pPr>
              <w:rPr>
                <w:rFonts w:eastAsia="Calibri" w:cs="Calibri"/>
                <w:sz w:val="20"/>
                <w:szCs w:val="20"/>
              </w:rPr>
            </w:pPr>
            <w:r w:rsidRPr="00D26A35">
              <w:rPr>
                <w:rFonts w:eastAsia="Calibri" w:cs="Calibri"/>
                <w:sz w:val="20"/>
                <w:szCs w:val="20"/>
              </w:rPr>
              <w:t>Travel and DSA for Head of Strategic Communication Division to US</w:t>
            </w:r>
          </w:p>
        </w:tc>
      </w:tr>
      <w:tr w:rsidR="003F4F52" w:rsidRPr="00D26A35" w14:paraId="4D97B371" w14:textId="77777777" w:rsidTr="00DF2C2F">
        <w:trPr>
          <w:tblHeader/>
          <w:jc w:val="center"/>
        </w:trPr>
        <w:tc>
          <w:tcPr>
            <w:tcW w:w="1907" w:type="dxa"/>
          </w:tcPr>
          <w:p w14:paraId="2FB587DA" w14:textId="77777777" w:rsidR="003F4F52" w:rsidRPr="00D26A35" w:rsidRDefault="00CA2100" w:rsidP="007222FB">
            <w:pPr>
              <w:shd w:val="clear" w:color="auto" w:fill="FFFFFF" w:themeFill="background1"/>
              <w:outlineLvl w:val="2"/>
              <w:rPr>
                <w:rFonts w:eastAsia="Calibri" w:cs="Calibri"/>
                <w:sz w:val="20"/>
                <w:szCs w:val="20"/>
              </w:rPr>
            </w:pPr>
            <w:hyperlink r:id="rId131" w:history="1">
              <w:r w:rsidR="003F4F52" w:rsidRPr="00D26A35">
                <w:rPr>
                  <w:rStyle w:val="Hyperlink"/>
                  <w:rFonts w:eastAsia="Calibri" w:cs="Calibri"/>
                  <w:sz w:val="20"/>
                  <w:szCs w:val="20"/>
                  <w:bdr w:val="none" w:sz="0" w:space="0" w:color="auto" w:frame="1"/>
                </w:rPr>
                <w:t>United Nations Strategic Planning Network (</w:t>
              </w:r>
              <w:r w:rsidR="003F4F52" w:rsidRPr="00D26A35">
                <w:rPr>
                  <w:rStyle w:val="Hyperlink"/>
                  <w:rFonts w:eastAsia="Calibri" w:cs="Calibri"/>
                  <w:b/>
                  <w:bCs/>
                  <w:sz w:val="20"/>
                  <w:szCs w:val="20"/>
                  <w:bdr w:val="none" w:sz="0" w:space="0" w:color="auto" w:frame="1"/>
                </w:rPr>
                <w:t>UNSPN</w:t>
              </w:r>
              <w:r w:rsidR="003F4F52" w:rsidRPr="00D26A35">
                <w:rPr>
                  <w:rStyle w:val="Hyperlink"/>
                  <w:rFonts w:eastAsia="Calibri" w:cs="Calibri"/>
                  <w:bdr w:val="none" w:sz="0" w:space="0" w:color="auto" w:frame="1"/>
                </w:rPr>
                <w:t>)</w:t>
              </w:r>
            </w:hyperlink>
          </w:p>
        </w:tc>
        <w:tc>
          <w:tcPr>
            <w:tcW w:w="3850" w:type="dxa"/>
          </w:tcPr>
          <w:p w14:paraId="62298551" w14:textId="77777777" w:rsidR="003F4F52" w:rsidRPr="00D26A35" w:rsidRDefault="003F4F52" w:rsidP="007222FB">
            <w:pPr>
              <w:rPr>
                <w:rFonts w:eastAsia="Calibri" w:cs="Calibri"/>
                <w:b/>
                <w:bCs/>
                <w:sz w:val="20"/>
                <w:szCs w:val="20"/>
              </w:rPr>
            </w:pPr>
            <w:r w:rsidRPr="00D26A35">
              <w:rPr>
                <w:rFonts w:eastAsia="Calibri" w:cs="Calibri"/>
                <w:sz w:val="20"/>
                <w:szCs w:val="20"/>
              </w:rPr>
              <w:t>Facilitate knowledge sharing and good practice experiences; Promote innovation and joint initiatives; Encourage common UN application of practices; Facilitate partnerships and capacity development including training initiatives; Explore mechanisms to provide strategic thinking on UN wide planning issues</w:t>
            </w:r>
          </w:p>
        </w:tc>
        <w:tc>
          <w:tcPr>
            <w:tcW w:w="3457" w:type="dxa"/>
          </w:tcPr>
          <w:p w14:paraId="6DEC6D6F" w14:textId="43F6307F" w:rsidR="003F4F52" w:rsidRPr="00D26A35" w:rsidRDefault="00CA2100" w:rsidP="007222FB">
            <w:pPr>
              <w:rPr>
                <w:rFonts w:eastAsia="Calibri" w:cs="Calibri"/>
                <w:sz w:val="20"/>
                <w:szCs w:val="20"/>
              </w:rPr>
            </w:pPr>
            <w:hyperlink r:id="rId132" w:history="1">
              <w:r w:rsidR="003F4F52" w:rsidRPr="00D26A35">
                <w:rPr>
                  <w:rStyle w:val="Hyperlink"/>
                  <w:rFonts w:eastAsia="Calibri" w:cs="Calibri"/>
                  <w:sz w:val="20"/>
                  <w:szCs w:val="20"/>
                </w:rPr>
                <w:t>PP R</w:t>
              </w:r>
              <w:r w:rsidR="003E2509" w:rsidRPr="00D26A35">
                <w:rPr>
                  <w:rStyle w:val="Hyperlink"/>
                  <w:rFonts w:eastAsia="Calibri" w:cs="Calibri"/>
                  <w:sz w:val="20"/>
                  <w:szCs w:val="20"/>
                </w:rPr>
                <w:t>es</w:t>
              </w:r>
              <w:r w:rsidR="003F4F52" w:rsidRPr="00D26A35">
                <w:rPr>
                  <w:rStyle w:val="Hyperlink"/>
                  <w:rFonts w:eastAsia="Calibri" w:cs="Calibri"/>
                  <w:sz w:val="20"/>
                  <w:szCs w:val="20"/>
                </w:rPr>
                <w:t>. 71 (</w:t>
              </w:r>
              <w:r w:rsidR="003E2509" w:rsidRPr="00D26A35">
                <w:rPr>
                  <w:rStyle w:val="Hyperlink"/>
                  <w:rFonts w:eastAsia="Calibri" w:cs="Calibri"/>
                  <w:sz w:val="20"/>
                  <w:szCs w:val="20"/>
                </w:rPr>
                <w:t>Rev. Dubai</w:t>
              </w:r>
              <w:r w:rsidR="003F4F52" w:rsidRPr="00D26A35">
                <w:rPr>
                  <w:rStyle w:val="Hyperlink"/>
                  <w:rFonts w:eastAsia="Calibri" w:cs="Calibri"/>
                  <w:sz w:val="20"/>
                  <w:szCs w:val="20"/>
                </w:rPr>
                <w:t>, 2018)</w:t>
              </w:r>
            </w:hyperlink>
          </w:p>
          <w:p w14:paraId="222F2294" w14:textId="77777777" w:rsidR="003F4F52" w:rsidRPr="00D26A35" w:rsidRDefault="003F4F52" w:rsidP="007222FB">
            <w:pPr>
              <w:rPr>
                <w:rFonts w:eastAsia="Calibri" w:cs="Calibri"/>
                <w:sz w:val="20"/>
                <w:szCs w:val="20"/>
              </w:rPr>
            </w:pPr>
            <w:r w:rsidRPr="00D26A35">
              <w:rPr>
                <w:rFonts w:eastAsia="Calibri" w:cs="Calibri"/>
                <w:sz w:val="20"/>
                <w:szCs w:val="20"/>
              </w:rPr>
              <w:t>Strategic plan for the Union for 2020-2023; OPs, Results-framework, RBM</w:t>
            </w:r>
          </w:p>
        </w:tc>
        <w:tc>
          <w:tcPr>
            <w:tcW w:w="1843" w:type="dxa"/>
          </w:tcPr>
          <w:p w14:paraId="054E46EF" w14:textId="77777777" w:rsidR="003F4F52" w:rsidRPr="00D26A35" w:rsidRDefault="003F4F52" w:rsidP="007222FB">
            <w:pPr>
              <w:rPr>
                <w:rFonts w:eastAsia="Calibri" w:cs="Calibri"/>
                <w:sz w:val="20"/>
                <w:szCs w:val="20"/>
              </w:rPr>
            </w:pPr>
            <w:r w:rsidRPr="00D26A35">
              <w:rPr>
                <w:rFonts w:eastAsia="Calibri" w:cs="Calibri"/>
                <w:sz w:val="20"/>
                <w:szCs w:val="20"/>
              </w:rPr>
              <w:t>Once a year</w:t>
            </w:r>
          </w:p>
        </w:tc>
        <w:tc>
          <w:tcPr>
            <w:tcW w:w="1984" w:type="dxa"/>
          </w:tcPr>
          <w:p w14:paraId="2703F706" w14:textId="77777777" w:rsidR="003F4F52" w:rsidRPr="00D26A35" w:rsidRDefault="003F4F52" w:rsidP="007222FB">
            <w:pPr>
              <w:rPr>
                <w:rFonts w:eastAsia="Calibri" w:cs="Calibri"/>
                <w:sz w:val="20"/>
                <w:szCs w:val="20"/>
              </w:rPr>
            </w:pPr>
            <w:r w:rsidRPr="00D26A35">
              <w:rPr>
                <w:rFonts w:eastAsia="Calibri" w:cs="Calibri"/>
                <w:color w:val="000000" w:themeColor="text1"/>
                <w:sz w:val="19"/>
                <w:szCs w:val="19"/>
              </w:rPr>
              <w:t>2 days per meetings</w:t>
            </w:r>
          </w:p>
        </w:tc>
        <w:tc>
          <w:tcPr>
            <w:tcW w:w="1843" w:type="dxa"/>
          </w:tcPr>
          <w:p w14:paraId="5E285D7F" w14:textId="722631C7" w:rsidR="003F4F52" w:rsidRPr="00D26A35" w:rsidRDefault="003F4F52" w:rsidP="007222FB">
            <w:pPr>
              <w:rPr>
                <w:rFonts w:eastAsia="Calibri" w:cs="Calibri"/>
                <w:sz w:val="20"/>
                <w:szCs w:val="20"/>
              </w:rPr>
            </w:pPr>
            <w:r w:rsidRPr="00D26A35">
              <w:rPr>
                <w:rFonts w:eastAsia="Calibri" w:cs="Calibri"/>
                <w:sz w:val="20"/>
                <w:szCs w:val="20"/>
              </w:rPr>
              <w:t>Participation at the meeting; ITU is also the secretary of this Network since 2013 and has Chaired it (D. Bogdan</w:t>
            </w:r>
            <w:r w:rsidR="00455A2E" w:rsidRPr="00D26A35">
              <w:rPr>
                <w:rFonts w:eastAsia="Calibri" w:cs="Calibri"/>
                <w:sz w:val="20"/>
                <w:szCs w:val="20"/>
              </w:rPr>
              <w:t>-Martin</w:t>
            </w:r>
            <w:r w:rsidRPr="00D26A35">
              <w:rPr>
                <w:rFonts w:eastAsia="Calibri" w:cs="Calibri"/>
                <w:sz w:val="20"/>
                <w:szCs w:val="20"/>
              </w:rPr>
              <w:t>) in 2017-18</w:t>
            </w:r>
          </w:p>
        </w:tc>
      </w:tr>
      <w:tr w:rsidR="003F4F52" w:rsidRPr="00D26A35" w14:paraId="2E0FAE3A" w14:textId="77777777" w:rsidTr="00DF2C2F">
        <w:trPr>
          <w:tblHeader/>
          <w:jc w:val="center"/>
        </w:trPr>
        <w:tc>
          <w:tcPr>
            <w:tcW w:w="1907" w:type="dxa"/>
          </w:tcPr>
          <w:p w14:paraId="4FCBDBE1" w14:textId="77777777" w:rsidR="003F4F52" w:rsidRPr="00D26A35" w:rsidRDefault="003F4F52" w:rsidP="007222FB">
            <w:pPr>
              <w:tabs>
                <w:tab w:val="left" w:pos="454"/>
              </w:tabs>
              <w:rPr>
                <w:rFonts w:eastAsia="Calibri" w:cs="Calibri"/>
                <w:sz w:val="20"/>
                <w:szCs w:val="20"/>
              </w:rPr>
            </w:pPr>
            <w:r w:rsidRPr="00D26A35">
              <w:rPr>
                <w:rFonts w:eastAsia="Calibri" w:cs="Calibri"/>
                <w:sz w:val="20"/>
                <w:szCs w:val="20"/>
              </w:rPr>
              <w:t>UN Governing Bodies Secretariat Group</w:t>
            </w:r>
          </w:p>
        </w:tc>
        <w:tc>
          <w:tcPr>
            <w:tcW w:w="3850" w:type="dxa"/>
          </w:tcPr>
          <w:p w14:paraId="5ABF1ACE" w14:textId="77777777" w:rsidR="003F4F52" w:rsidRPr="00D26A35" w:rsidRDefault="003F4F52" w:rsidP="007222FB">
            <w:pPr>
              <w:rPr>
                <w:rFonts w:eastAsia="Calibri" w:cs="Calibri"/>
                <w:sz w:val="20"/>
                <w:szCs w:val="20"/>
              </w:rPr>
            </w:pPr>
            <w:r w:rsidRPr="00D26A35">
              <w:rPr>
                <w:rFonts w:eastAsia="Calibri" w:cs="Calibri"/>
                <w:sz w:val="20"/>
                <w:szCs w:val="20"/>
              </w:rPr>
              <w:t>Informal UN network to exchange practices on issues specific to governance of their respective organizations (issues include common principles, rules of procedure of governing bodies, participation of stakeholders, briefing of chair, gender inclusion, governance reform and efficiency)</w:t>
            </w:r>
          </w:p>
        </w:tc>
        <w:tc>
          <w:tcPr>
            <w:tcW w:w="3457" w:type="dxa"/>
          </w:tcPr>
          <w:p w14:paraId="70744965" w14:textId="56AF478F" w:rsidR="003F4F52" w:rsidRPr="00D26A35" w:rsidRDefault="003F4F52" w:rsidP="007222FB">
            <w:pPr>
              <w:rPr>
                <w:rFonts w:eastAsia="Calibri" w:cs="Calibri"/>
                <w:sz w:val="20"/>
                <w:szCs w:val="20"/>
              </w:rPr>
            </w:pPr>
            <w:r w:rsidRPr="00D26A35">
              <w:rPr>
                <w:rFonts w:eastAsia="Calibri" w:cs="Calibri"/>
                <w:sz w:val="20"/>
                <w:szCs w:val="20"/>
              </w:rPr>
              <w:t>Modernisation of ITU PP and Council rules of procedures, and roll-out.</w:t>
            </w:r>
          </w:p>
        </w:tc>
        <w:tc>
          <w:tcPr>
            <w:tcW w:w="1843" w:type="dxa"/>
          </w:tcPr>
          <w:p w14:paraId="38308B7F" w14:textId="77777777" w:rsidR="003F4F52" w:rsidRPr="00D26A35" w:rsidRDefault="003F4F52" w:rsidP="007222FB">
            <w:pPr>
              <w:rPr>
                <w:rFonts w:eastAsia="Calibri" w:cs="Calibri"/>
                <w:sz w:val="20"/>
                <w:szCs w:val="20"/>
              </w:rPr>
            </w:pPr>
            <w:r w:rsidRPr="00D26A35">
              <w:rPr>
                <w:rFonts w:eastAsia="Calibri" w:cs="Calibri"/>
                <w:sz w:val="20"/>
                <w:szCs w:val="20"/>
              </w:rPr>
              <w:t>Once a year</w:t>
            </w:r>
          </w:p>
        </w:tc>
        <w:tc>
          <w:tcPr>
            <w:tcW w:w="1984" w:type="dxa"/>
          </w:tcPr>
          <w:p w14:paraId="39645EE1" w14:textId="77777777" w:rsidR="003F4F52" w:rsidRPr="00D26A35" w:rsidRDefault="003F4F52" w:rsidP="007222FB">
            <w:pPr>
              <w:rPr>
                <w:rFonts w:eastAsia="Calibri" w:cs="Calibri"/>
                <w:sz w:val="20"/>
                <w:szCs w:val="20"/>
              </w:rPr>
            </w:pPr>
            <w:r w:rsidRPr="00D26A35">
              <w:rPr>
                <w:rFonts w:eastAsia="Calibri" w:cs="Calibri"/>
                <w:sz w:val="20"/>
                <w:szCs w:val="20"/>
              </w:rPr>
              <w:t>2-3 days per meetings</w:t>
            </w:r>
          </w:p>
        </w:tc>
        <w:tc>
          <w:tcPr>
            <w:tcW w:w="1843" w:type="dxa"/>
          </w:tcPr>
          <w:p w14:paraId="5A98AC1D" w14:textId="77777777" w:rsidR="003F4F52" w:rsidRPr="00D26A35" w:rsidRDefault="003F4F52" w:rsidP="007222FB">
            <w:pPr>
              <w:rPr>
                <w:rFonts w:eastAsia="Calibri" w:cs="Calibri"/>
                <w:sz w:val="20"/>
                <w:szCs w:val="20"/>
              </w:rPr>
            </w:pPr>
            <w:r w:rsidRPr="00D26A35">
              <w:rPr>
                <w:rFonts w:eastAsia="Calibri" w:cs="Calibri"/>
                <w:sz w:val="20"/>
                <w:szCs w:val="20"/>
              </w:rPr>
              <w:t xml:space="preserve">Travel and DSA for 1 or 2 staff </w:t>
            </w:r>
          </w:p>
        </w:tc>
      </w:tr>
      <w:tr w:rsidR="003F4F52" w:rsidRPr="00D26A35" w14:paraId="7E331E11" w14:textId="77777777" w:rsidTr="00DF2C2F">
        <w:trPr>
          <w:trHeight w:val="511"/>
          <w:tblHeader/>
          <w:jc w:val="center"/>
        </w:trPr>
        <w:tc>
          <w:tcPr>
            <w:tcW w:w="1907" w:type="dxa"/>
          </w:tcPr>
          <w:p w14:paraId="2A9BAACF" w14:textId="77777777" w:rsidR="003F4F52" w:rsidRPr="00D26A35" w:rsidRDefault="00CA2100" w:rsidP="007222FB">
            <w:pPr>
              <w:pStyle w:val="NoSpacing"/>
              <w:tabs>
                <w:tab w:val="clear" w:pos="567"/>
              </w:tabs>
              <w:spacing w:before="120"/>
              <w:contextualSpacing/>
              <w:rPr>
                <w:rFonts w:eastAsia="Calibri" w:cs="Calibri"/>
                <w:sz w:val="20"/>
              </w:rPr>
            </w:pPr>
            <w:hyperlink r:id="rId133">
              <w:r w:rsidR="003F4F52" w:rsidRPr="00D26A35">
                <w:rPr>
                  <w:rStyle w:val="Hyperlink"/>
                  <w:rFonts w:eastAsia="Calibri" w:cs="Calibri"/>
                  <w:sz w:val="20"/>
                </w:rPr>
                <w:t>UN Information Security Special Interest Group (</w:t>
              </w:r>
              <w:r w:rsidR="003F4F52" w:rsidRPr="00D26A35">
                <w:rPr>
                  <w:rStyle w:val="Hyperlink"/>
                  <w:rFonts w:eastAsia="Calibri" w:cs="Calibri"/>
                  <w:b/>
                  <w:bCs/>
                  <w:sz w:val="20"/>
                </w:rPr>
                <w:t>UNISSIG</w:t>
              </w:r>
              <w:r w:rsidR="003F4F52" w:rsidRPr="00D26A35">
                <w:rPr>
                  <w:rStyle w:val="Hyperlink"/>
                  <w:rFonts w:eastAsia="Calibri" w:cs="Calibri"/>
                  <w:sz w:val="20"/>
                </w:rPr>
                <w:t>)</w:t>
              </w:r>
            </w:hyperlink>
            <w:r w:rsidR="003F4F52" w:rsidRPr="00D26A35">
              <w:rPr>
                <w:rFonts w:eastAsia="Calibri" w:cs="Calibri"/>
                <w:sz w:val="20"/>
              </w:rPr>
              <w:t xml:space="preserve"> </w:t>
            </w:r>
          </w:p>
        </w:tc>
        <w:tc>
          <w:tcPr>
            <w:tcW w:w="3850" w:type="dxa"/>
          </w:tcPr>
          <w:p w14:paraId="30F48278" w14:textId="77777777" w:rsidR="003F4F52" w:rsidRPr="00D26A35" w:rsidRDefault="003F4F52" w:rsidP="007222FB">
            <w:pPr>
              <w:rPr>
                <w:rFonts w:eastAsia="Calibri" w:cs="Calibri"/>
                <w:sz w:val="20"/>
                <w:szCs w:val="20"/>
              </w:rPr>
            </w:pPr>
            <w:r w:rsidRPr="00D26A35">
              <w:rPr>
                <w:rFonts w:eastAsia="Calibri" w:cs="Calibri"/>
                <w:sz w:val="20"/>
                <w:szCs w:val="20"/>
              </w:rPr>
              <w:t>Explores integrating information systems security as a standard function, alongside infrastructure operations, applications development and other typical ICT activities. Through both expert and case-study presentations, examine inter-agency areas of action, including incident response, information security &amp; policies and information security awareness.</w:t>
            </w:r>
          </w:p>
        </w:tc>
        <w:tc>
          <w:tcPr>
            <w:tcW w:w="3457" w:type="dxa"/>
          </w:tcPr>
          <w:p w14:paraId="2F3E0312" w14:textId="4E440B46" w:rsidR="003F4F52" w:rsidRPr="00D26A35" w:rsidRDefault="003F4F52" w:rsidP="007222FB">
            <w:pPr>
              <w:rPr>
                <w:rFonts w:eastAsia="Calibri" w:cs="Calibri"/>
                <w:sz w:val="20"/>
                <w:szCs w:val="20"/>
              </w:rPr>
            </w:pPr>
            <w:r w:rsidRPr="00D26A35">
              <w:rPr>
                <w:rFonts w:eastAsia="Calibri" w:cs="Calibri"/>
                <w:sz w:val="20"/>
                <w:szCs w:val="20"/>
              </w:rPr>
              <w:t>Cybersecurity – ITU Member States have resolved to strengthen the role of ITU in building confidence and security in the use of ICTs, such as by promoting a culture in which security is seen as a continuous and iterative process and by supporting the standard-setting activities of ITU. The number, severity and diversity of cyber-threats and -attacks have increased. They can compromise the availability, integrity and confidentiality of critical information and infrastructure. They can impact countries</w:t>
            </w:r>
            <w:r w:rsidR="007222FB" w:rsidRPr="00D26A35">
              <w:rPr>
                <w:rFonts w:eastAsia="Calibri" w:cs="Calibri"/>
                <w:sz w:val="20"/>
                <w:szCs w:val="20"/>
              </w:rPr>
              <w:t>’</w:t>
            </w:r>
            <w:r w:rsidRPr="00D26A35">
              <w:rPr>
                <w:rFonts w:eastAsia="Calibri" w:cs="Calibri"/>
                <w:sz w:val="20"/>
                <w:szCs w:val="20"/>
              </w:rPr>
              <w:t xml:space="preserve"> economic and social development.</w:t>
            </w:r>
          </w:p>
        </w:tc>
        <w:tc>
          <w:tcPr>
            <w:tcW w:w="1843" w:type="dxa"/>
          </w:tcPr>
          <w:p w14:paraId="79089C55" w14:textId="77777777" w:rsidR="003F4F52" w:rsidRPr="00D26A35" w:rsidRDefault="003F4F52" w:rsidP="007222FB">
            <w:r w:rsidRPr="00D26A35">
              <w:rPr>
                <w:rFonts w:eastAsia="Calibri" w:cs="Calibri"/>
                <w:sz w:val="20"/>
                <w:szCs w:val="20"/>
              </w:rPr>
              <w:t xml:space="preserve">Once a year </w:t>
            </w:r>
          </w:p>
          <w:p w14:paraId="5A625E11" w14:textId="77777777" w:rsidR="003F4F52" w:rsidRPr="00D26A35" w:rsidRDefault="003F4F52" w:rsidP="007222FB">
            <w:r w:rsidRPr="00D26A35">
              <w:rPr>
                <w:rFonts w:eastAsia="Calibri" w:cs="Calibri"/>
                <w:sz w:val="20"/>
                <w:szCs w:val="20"/>
              </w:rPr>
              <w:t xml:space="preserve"> </w:t>
            </w:r>
          </w:p>
          <w:p w14:paraId="0ABF8F51" w14:textId="77777777" w:rsidR="003F4F52" w:rsidRPr="00D26A35" w:rsidRDefault="003F4F52" w:rsidP="007222FB">
            <w:pPr>
              <w:rPr>
                <w:rFonts w:eastAsia="Calibri" w:cs="Calibri"/>
                <w:sz w:val="20"/>
                <w:szCs w:val="20"/>
              </w:rPr>
            </w:pPr>
            <w:r w:rsidRPr="00D26A35">
              <w:rPr>
                <w:rFonts w:eastAsia="Calibri" w:cs="Calibri"/>
                <w:sz w:val="20"/>
                <w:szCs w:val="20"/>
              </w:rPr>
              <w:t xml:space="preserve"> </w:t>
            </w:r>
          </w:p>
        </w:tc>
        <w:tc>
          <w:tcPr>
            <w:tcW w:w="1984" w:type="dxa"/>
          </w:tcPr>
          <w:p w14:paraId="71E9C16F" w14:textId="77777777" w:rsidR="003F4F52" w:rsidRPr="00D26A35" w:rsidRDefault="003F4F52" w:rsidP="007222FB">
            <w:r w:rsidRPr="00D26A35">
              <w:rPr>
                <w:rFonts w:eastAsia="Calibri" w:cs="Calibri"/>
                <w:sz w:val="20"/>
                <w:szCs w:val="20"/>
              </w:rPr>
              <w:t>2-3 days per meeting</w:t>
            </w:r>
          </w:p>
          <w:p w14:paraId="2FAEA334" w14:textId="77777777" w:rsidR="003F4F52" w:rsidRPr="00D26A35" w:rsidRDefault="003F4F52" w:rsidP="007222FB">
            <w:pPr>
              <w:rPr>
                <w:rFonts w:eastAsia="Calibri" w:cs="Calibri"/>
                <w:sz w:val="20"/>
                <w:szCs w:val="20"/>
              </w:rPr>
            </w:pPr>
          </w:p>
        </w:tc>
        <w:tc>
          <w:tcPr>
            <w:tcW w:w="1843" w:type="dxa"/>
          </w:tcPr>
          <w:p w14:paraId="59B7E0AC" w14:textId="77777777" w:rsidR="003F4F52" w:rsidRPr="00D26A35" w:rsidRDefault="003F4F52" w:rsidP="007222FB">
            <w:pPr>
              <w:rPr>
                <w:rFonts w:eastAsia="Calibri" w:cs="Calibri"/>
                <w:sz w:val="20"/>
                <w:szCs w:val="20"/>
              </w:rPr>
            </w:pPr>
            <w:r w:rsidRPr="00D26A35">
              <w:rPr>
                <w:rFonts w:eastAsia="Calibri" w:cs="Calibri"/>
                <w:sz w:val="20"/>
                <w:szCs w:val="20"/>
              </w:rPr>
              <w:t>Travel and DSA for 1 staff</w:t>
            </w:r>
          </w:p>
        </w:tc>
      </w:tr>
      <w:tr w:rsidR="003F4F52" w:rsidRPr="00D26A35" w14:paraId="51F21D75" w14:textId="77777777" w:rsidTr="00DF2C2F">
        <w:trPr>
          <w:tblHeader/>
          <w:jc w:val="center"/>
        </w:trPr>
        <w:tc>
          <w:tcPr>
            <w:tcW w:w="1907" w:type="dxa"/>
          </w:tcPr>
          <w:p w14:paraId="0A156E7C" w14:textId="77777777" w:rsidR="003F4F52" w:rsidRPr="00D26A35" w:rsidRDefault="00CA2100" w:rsidP="007222FB">
            <w:pPr>
              <w:pStyle w:val="NoSpacing"/>
              <w:tabs>
                <w:tab w:val="clear" w:pos="567"/>
              </w:tabs>
              <w:spacing w:before="120"/>
              <w:contextualSpacing/>
              <w:rPr>
                <w:rFonts w:eastAsia="Calibri" w:cs="Calibri"/>
                <w:sz w:val="20"/>
              </w:rPr>
            </w:pPr>
            <w:hyperlink r:id="rId134">
              <w:r w:rsidR="003F4F52" w:rsidRPr="00D26A35">
                <w:rPr>
                  <w:rStyle w:val="Hyperlink"/>
                  <w:rFonts w:eastAsia="Calibri" w:cs="Calibri"/>
                  <w:sz w:val="20"/>
                </w:rPr>
                <w:t>UN Global Pulse Data Privacy Advisory Group</w:t>
              </w:r>
            </w:hyperlink>
          </w:p>
        </w:tc>
        <w:tc>
          <w:tcPr>
            <w:tcW w:w="3850" w:type="dxa"/>
          </w:tcPr>
          <w:p w14:paraId="733C4BB5" w14:textId="77777777" w:rsidR="003F4F52" w:rsidRPr="00D26A35" w:rsidRDefault="003F4F52" w:rsidP="007222FB">
            <w:pPr>
              <w:rPr>
                <w:rFonts w:eastAsia="Calibri" w:cs="Calibri"/>
                <w:sz w:val="20"/>
                <w:szCs w:val="20"/>
              </w:rPr>
            </w:pPr>
            <w:r w:rsidRPr="00D26A35">
              <w:rPr>
                <w:rFonts w:eastAsia="Calibri" w:cs="Calibri"/>
                <w:b/>
                <w:bCs/>
                <w:sz w:val="20"/>
                <w:szCs w:val="20"/>
              </w:rPr>
              <w:t xml:space="preserve"> A</w:t>
            </w:r>
            <w:r w:rsidRPr="00D26A35">
              <w:rPr>
                <w:rFonts w:eastAsia="Calibri" w:cs="Calibri"/>
                <w:sz w:val="20"/>
                <w:szCs w:val="20"/>
              </w:rPr>
              <w:t>ddresses the challenges posed by the use and non-use of data for global development, as well as issues related to data protection and privacy. In 2019 the Group is expanding to incorporate greater expertise in AI ethics and human rights, given the rapid development and use of emerging technologies across all sectors globally.</w:t>
            </w:r>
          </w:p>
        </w:tc>
        <w:tc>
          <w:tcPr>
            <w:tcW w:w="3457" w:type="dxa"/>
          </w:tcPr>
          <w:p w14:paraId="6B315596" w14:textId="6200084F" w:rsidR="003F4F52" w:rsidRPr="00D26A35" w:rsidRDefault="00CA2100" w:rsidP="007222FB">
            <w:pPr>
              <w:rPr>
                <w:rFonts w:eastAsia="Calibri" w:cs="Calibri"/>
                <w:sz w:val="20"/>
                <w:szCs w:val="20"/>
              </w:rPr>
            </w:pPr>
            <w:hyperlink r:id="rId135" w:history="1">
              <w:r w:rsidR="003F4F52" w:rsidRPr="00D26A35">
                <w:rPr>
                  <w:rStyle w:val="Hyperlink"/>
                  <w:rFonts w:eastAsia="Calibri" w:cs="Calibri"/>
                  <w:sz w:val="20"/>
                  <w:szCs w:val="20"/>
                </w:rPr>
                <w:t>PP R</w:t>
              </w:r>
              <w:r w:rsidR="003E2509" w:rsidRPr="00D26A35">
                <w:rPr>
                  <w:rStyle w:val="Hyperlink"/>
                  <w:rFonts w:eastAsia="Calibri" w:cs="Calibri"/>
                  <w:sz w:val="20"/>
                  <w:szCs w:val="20"/>
                </w:rPr>
                <w:t>es</w:t>
              </w:r>
              <w:r w:rsidR="003F4F52" w:rsidRPr="00D26A35">
                <w:rPr>
                  <w:rStyle w:val="Hyperlink"/>
                  <w:rFonts w:eastAsia="Calibri" w:cs="Calibri"/>
                  <w:sz w:val="20"/>
                  <w:szCs w:val="20"/>
                </w:rPr>
                <w:t>. 130 (</w:t>
              </w:r>
              <w:r w:rsidR="003E2509" w:rsidRPr="00D26A35">
                <w:rPr>
                  <w:rStyle w:val="Hyperlink"/>
                  <w:rFonts w:eastAsia="Calibri" w:cs="Calibri"/>
                  <w:sz w:val="20"/>
                  <w:szCs w:val="20"/>
                </w:rPr>
                <w:t>Rev. Dubai</w:t>
              </w:r>
              <w:r w:rsidR="003F4F52" w:rsidRPr="00D26A35">
                <w:rPr>
                  <w:rStyle w:val="Hyperlink"/>
                  <w:rFonts w:eastAsia="Calibri" w:cs="Calibri"/>
                  <w:sz w:val="20"/>
                  <w:szCs w:val="20"/>
                </w:rPr>
                <w:t>, 2018)</w:t>
              </w:r>
            </w:hyperlink>
          </w:p>
          <w:p w14:paraId="5EAD5EFD" w14:textId="77777777" w:rsidR="003F4F52" w:rsidRPr="00D26A35" w:rsidRDefault="003F4F52" w:rsidP="007222FB">
            <w:pPr>
              <w:rPr>
                <w:rFonts w:eastAsia="Calibri" w:cs="Calibri"/>
                <w:sz w:val="20"/>
                <w:szCs w:val="20"/>
              </w:rPr>
            </w:pPr>
            <w:r w:rsidRPr="00D26A35">
              <w:rPr>
                <w:rFonts w:eastAsia="Calibri" w:cs="Calibri"/>
                <w:sz w:val="20"/>
                <w:szCs w:val="20"/>
              </w:rPr>
              <w:t>Strengthening the role of ITU in building confidence and security in the use of information and communication technologies</w:t>
            </w:r>
          </w:p>
        </w:tc>
        <w:tc>
          <w:tcPr>
            <w:tcW w:w="1843" w:type="dxa"/>
          </w:tcPr>
          <w:p w14:paraId="3C2207B9" w14:textId="77777777" w:rsidR="003F4F52" w:rsidRPr="00D26A35" w:rsidRDefault="003F4F52" w:rsidP="007222FB">
            <w:pPr>
              <w:rPr>
                <w:rFonts w:eastAsia="Calibri" w:cs="Calibri"/>
                <w:sz w:val="20"/>
                <w:szCs w:val="20"/>
              </w:rPr>
            </w:pPr>
            <w:r w:rsidRPr="00D26A35">
              <w:rPr>
                <w:rFonts w:eastAsia="Calibri" w:cs="Calibri"/>
                <w:sz w:val="20"/>
                <w:szCs w:val="20"/>
              </w:rPr>
              <w:t>Once a year</w:t>
            </w:r>
          </w:p>
        </w:tc>
        <w:tc>
          <w:tcPr>
            <w:tcW w:w="1984" w:type="dxa"/>
          </w:tcPr>
          <w:p w14:paraId="008F08B2" w14:textId="77777777" w:rsidR="003F4F52" w:rsidRPr="00D26A35" w:rsidRDefault="003F4F52" w:rsidP="007222FB">
            <w:pPr>
              <w:rPr>
                <w:rFonts w:eastAsia="Calibri" w:cs="Calibri"/>
                <w:sz w:val="20"/>
                <w:szCs w:val="20"/>
              </w:rPr>
            </w:pPr>
            <w:r w:rsidRPr="00D26A35">
              <w:rPr>
                <w:rFonts w:eastAsia="Calibri" w:cs="Calibri"/>
                <w:sz w:val="20"/>
                <w:szCs w:val="20"/>
              </w:rPr>
              <w:t>2-3 days per meeting</w:t>
            </w:r>
          </w:p>
        </w:tc>
        <w:tc>
          <w:tcPr>
            <w:tcW w:w="1843" w:type="dxa"/>
          </w:tcPr>
          <w:p w14:paraId="0A4D48E5" w14:textId="77777777" w:rsidR="003F4F52" w:rsidRPr="00D26A35" w:rsidRDefault="003F4F52" w:rsidP="007222FB">
            <w:pPr>
              <w:rPr>
                <w:rFonts w:eastAsia="Calibri" w:cs="Calibri"/>
                <w:sz w:val="20"/>
                <w:szCs w:val="20"/>
              </w:rPr>
            </w:pPr>
            <w:r w:rsidRPr="00D26A35">
              <w:rPr>
                <w:rFonts w:eastAsia="Calibri" w:cs="Calibri"/>
                <w:sz w:val="20"/>
                <w:szCs w:val="20"/>
              </w:rPr>
              <w:t>Travel and DSA for approx. 2 staff</w:t>
            </w:r>
          </w:p>
        </w:tc>
      </w:tr>
      <w:tr w:rsidR="003F4F52" w:rsidRPr="00D26A35" w14:paraId="4E04AFEF" w14:textId="77777777" w:rsidTr="00DF2C2F">
        <w:trPr>
          <w:tblHeader/>
          <w:jc w:val="center"/>
        </w:trPr>
        <w:tc>
          <w:tcPr>
            <w:tcW w:w="1907" w:type="dxa"/>
          </w:tcPr>
          <w:p w14:paraId="5060F38C" w14:textId="77777777" w:rsidR="003F4F52" w:rsidRPr="00D26A35" w:rsidRDefault="00CA2100" w:rsidP="007222FB">
            <w:pPr>
              <w:pStyle w:val="NoSpacing"/>
              <w:tabs>
                <w:tab w:val="clear" w:pos="567"/>
              </w:tabs>
              <w:spacing w:before="120"/>
              <w:contextualSpacing/>
              <w:rPr>
                <w:rFonts w:eastAsia="Calibri" w:cs="Calibri"/>
                <w:sz w:val="20"/>
              </w:rPr>
            </w:pPr>
            <w:hyperlink r:id="rId136">
              <w:r w:rsidR="003F4F52" w:rsidRPr="00D26A35">
                <w:rPr>
                  <w:rStyle w:val="Hyperlink"/>
                  <w:rFonts w:eastAsia="Calibri" w:cs="Calibri"/>
                  <w:sz w:val="20"/>
                </w:rPr>
                <w:t>United Nations Innovation Network (</w:t>
              </w:r>
              <w:r w:rsidR="003F4F52" w:rsidRPr="00D26A35">
                <w:rPr>
                  <w:rStyle w:val="Hyperlink"/>
                  <w:rFonts w:eastAsia="Calibri" w:cs="Calibri"/>
                  <w:b/>
                  <w:bCs/>
                  <w:sz w:val="20"/>
                </w:rPr>
                <w:t>UNIN)</w:t>
              </w:r>
            </w:hyperlink>
          </w:p>
        </w:tc>
        <w:tc>
          <w:tcPr>
            <w:tcW w:w="3850" w:type="dxa"/>
          </w:tcPr>
          <w:p w14:paraId="326C2285" w14:textId="77777777" w:rsidR="003F4F52" w:rsidRPr="00D26A35" w:rsidRDefault="003F4F52" w:rsidP="007222FB">
            <w:pPr>
              <w:rPr>
                <w:rFonts w:eastAsia="Calibri" w:cs="Calibri"/>
                <w:sz w:val="20"/>
                <w:szCs w:val="20"/>
              </w:rPr>
            </w:pPr>
            <w:r w:rsidRPr="00D26A35">
              <w:rPr>
                <w:rFonts w:eastAsia="Calibri" w:cs="Calibri"/>
                <w:sz w:val="20"/>
                <w:szCs w:val="20"/>
              </w:rPr>
              <w:t>Knowledge sharing sessions to review and discuss the application of innovation trends and how they can contribute to achieving the SDGs. It also helps Agencies share tools, resources and best practices for innovating in the UN.</w:t>
            </w:r>
          </w:p>
        </w:tc>
        <w:tc>
          <w:tcPr>
            <w:tcW w:w="3457" w:type="dxa"/>
          </w:tcPr>
          <w:p w14:paraId="534140A7" w14:textId="68C0B2FF" w:rsidR="003E2509" w:rsidRPr="00D26A35" w:rsidRDefault="00CA2100" w:rsidP="007222FB">
            <w:pPr>
              <w:rPr>
                <w:rFonts w:eastAsia="Calibri" w:cs="Calibri"/>
                <w:sz w:val="20"/>
                <w:szCs w:val="20"/>
              </w:rPr>
            </w:pPr>
            <w:hyperlink r:id="rId137" w:history="1">
              <w:r w:rsidR="003F4F52" w:rsidRPr="00D26A35">
                <w:rPr>
                  <w:rStyle w:val="Hyperlink"/>
                  <w:rFonts w:eastAsia="Calibri" w:cs="Calibri"/>
                  <w:sz w:val="20"/>
                  <w:szCs w:val="20"/>
                </w:rPr>
                <w:t>PP R</w:t>
              </w:r>
              <w:r w:rsidR="003E2509" w:rsidRPr="00D26A35">
                <w:rPr>
                  <w:rStyle w:val="Hyperlink"/>
                  <w:rFonts w:eastAsia="Calibri" w:cs="Calibri"/>
                  <w:sz w:val="20"/>
                  <w:szCs w:val="20"/>
                </w:rPr>
                <w:t>es</w:t>
              </w:r>
              <w:r w:rsidR="003F4F52" w:rsidRPr="00D26A35">
                <w:rPr>
                  <w:rStyle w:val="Hyperlink"/>
                  <w:rFonts w:eastAsia="Calibri" w:cs="Calibri"/>
                  <w:sz w:val="20"/>
                  <w:szCs w:val="20"/>
                </w:rPr>
                <w:t>. 205 (Dubai, 2018)</w:t>
              </w:r>
            </w:hyperlink>
            <w:r w:rsidR="003F4F52" w:rsidRPr="00D26A35">
              <w:rPr>
                <w:rFonts w:eastAsia="Calibri" w:cs="Calibri"/>
                <w:sz w:val="20"/>
                <w:szCs w:val="20"/>
              </w:rPr>
              <w:t xml:space="preserve"> </w:t>
            </w:r>
          </w:p>
          <w:p w14:paraId="3CC87F6A" w14:textId="4E9CE003" w:rsidR="003F4F52" w:rsidRPr="00D26A35" w:rsidRDefault="003F4F52" w:rsidP="007222FB">
            <w:pPr>
              <w:rPr>
                <w:rFonts w:eastAsia="Calibri" w:cs="Calibri"/>
                <w:sz w:val="20"/>
                <w:szCs w:val="20"/>
              </w:rPr>
            </w:pPr>
            <w:r w:rsidRPr="00D26A35">
              <w:rPr>
                <w:rFonts w:eastAsia="Calibri" w:cs="Calibri"/>
                <w:sz w:val="20"/>
                <w:szCs w:val="20"/>
              </w:rPr>
              <w:t>ITU</w:t>
            </w:r>
            <w:r w:rsidR="007222FB" w:rsidRPr="00D26A35">
              <w:rPr>
                <w:rFonts w:eastAsia="Calibri" w:cs="Calibri"/>
                <w:sz w:val="20"/>
                <w:szCs w:val="20"/>
              </w:rPr>
              <w:t>’</w:t>
            </w:r>
            <w:r w:rsidRPr="00D26A35">
              <w:rPr>
                <w:rFonts w:eastAsia="Calibri" w:cs="Calibri"/>
                <w:sz w:val="20"/>
                <w:szCs w:val="20"/>
              </w:rPr>
              <w:t>s role in fostering telecommunication/information and</w:t>
            </w:r>
            <w:r w:rsidR="003E2509" w:rsidRPr="00D26A35">
              <w:rPr>
                <w:rFonts w:eastAsia="Calibri" w:cs="Calibri"/>
                <w:sz w:val="20"/>
                <w:szCs w:val="20"/>
              </w:rPr>
              <w:t xml:space="preserve"> </w:t>
            </w:r>
            <w:r w:rsidRPr="00D26A35">
              <w:rPr>
                <w:rFonts w:eastAsia="Calibri" w:cs="Calibri"/>
                <w:sz w:val="20"/>
                <w:szCs w:val="20"/>
              </w:rPr>
              <w:t>communication technology-centric</w:t>
            </w:r>
            <w:r w:rsidR="003E2509" w:rsidRPr="00D26A35">
              <w:rPr>
                <w:rFonts w:eastAsia="Calibri" w:cs="Calibri"/>
                <w:sz w:val="20"/>
                <w:szCs w:val="20"/>
              </w:rPr>
              <w:t xml:space="preserve"> </w:t>
            </w:r>
            <w:r w:rsidRPr="00D26A35">
              <w:rPr>
                <w:rFonts w:eastAsia="Calibri" w:cs="Calibri"/>
                <w:sz w:val="20"/>
                <w:szCs w:val="20"/>
              </w:rPr>
              <w:t>innovation to support the digital</w:t>
            </w:r>
            <w:r w:rsidR="003E2509" w:rsidRPr="00D26A35">
              <w:rPr>
                <w:rFonts w:eastAsia="Calibri" w:cs="Calibri"/>
                <w:sz w:val="20"/>
                <w:szCs w:val="20"/>
              </w:rPr>
              <w:t xml:space="preserve"> </w:t>
            </w:r>
            <w:r w:rsidRPr="00D26A35">
              <w:rPr>
                <w:rFonts w:eastAsia="Calibri" w:cs="Calibri"/>
                <w:sz w:val="20"/>
                <w:szCs w:val="20"/>
              </w:rPr>
              <w:t>economy and society</w:t>
            </w:r>
          </w:p>
          <w:p w14:paraId="72CCD634" w14:textId="77777777" w:rsidR="003F4F52" w:rsidRPr="00D26A35" w:rsidRDefault="003F4F52" w:rsidP="007222FB">
            <w:pPr>
              <w:rPr>
                <w:rFonts w:eastAsia="Calibri" w:cs="Calibri"/>
                <w:sz w:val="20"/>
                <w:szCs w:val="20"/>
              </w:rPr>
            </w:pPr>
            <w:r w:rsidRPr="00D26A35">
              <w:rPr>
                <w:rFonts w:eastAsia="Calibri" w:cs="Calibri"/>
                <w:sz w:val="20"/>
                <w:szCs w:val="20"/>
              </w:rPr>
              <w:t>ITU joined officially this group which reports regularly to CEB</w:t>
            </w:r>
          </w:p>
          <w:p w14:paraId="0C6D2818" w14:textId="15291D7F" w:rsidR="003F4F52" w:rsidRPr="00D26A35" w:rsidRDefault="003F4F52" w:rsidP="007222FB">
            <w:pPr>
              <w:spacing w:line="259" w:lineRule="auto"/>
              <w:rPr>
                <w:rFonts w:eastAsia="Calibri" w:cs="Calibri"/>
                <w:color w:val="393E46"/>
                <w:sz w:val="19"/>
                <w:szCs w:val="19"/>
              </w:rPr>
            </w:pPr>
            <w:r w:rsidRPr="00D26A35">
              <w:rPr>
                <w:rFonts w:eastAsia="Calibri" w:cs="Calibri"/>
                <w:sz w:val="20"/>
                <w:szCs w:val="20"/>
              </w:rPr>
              <w:t>Enhance ITU</w:t>
            </w:r>
            <w:r w:rsidR="007222FB" w:rsidRPr="00D26A35">
              <w:rPr>
                <w:rFonts w:eastAsia="Calibri" w:cs="Calibri"/>
                <w:sz w:val="20"/>
                <w:szCs w:val="20"/>
              </w:rPr>
              <w:t>’</w:t>
            </w:r>
            <w:r w:rsidRPr="00D26A35">
              <w:rPr>
                <w:rFonts w:eastAsia="Calibri" w:cs="Calibri"/>
                <w:sz w:val="20"/>
                <w:szCs w:val="20"/>
              </w:rPr>
              <w:t>s role in the area of innovation. Access best practices from other UN agencies</w:t>
            </w:r>
          </w:p>
        </w:tc>
        <w:tc>
          <w:tcPr>
            <w:tcW w:w="1843" w:type="dxa"/>
          </w:tcPr>
          <w:p w14:paraId="0E6CD258" w14:textId="59CEC2B5" w:rsidR="003F4F52" w:rsidRPr="00D26A35" w:rsidRDefault="003F4F52" w:rsidP="003E2509">
            <w:pPr>
              <w:rPr>
                <w:rFonts w:eastAsia="Calibri" w:cs="Calibri"/>
                <w:sz w:val="20"/>
                <w:szCs w:val="20"/>
              </w:rPr>
            </w:pPr>
            <w:r w:rsidRPr="00D26A35">
              <w:rPr>
                <w:rFonts w:eastAsia="Calibri" w:cs="Calibri"/>
                <w:sz w:val="20"/>
                <w:szCs w:val="20"/>
              </w:rPr>
              <w:t>Via teleconference, on an ad-hoc basis, when necessary or with urgency.</w:t>
            </w:r>
          </w:p>
        </w:tc>
        <w:tc>
          <w:tcPr>
            <w:tcW w:w="1984" w:type="dxa"/>
          </w:tcPr>
          <w:p w14:paraId="24A69518" w14:textId="3E508353" w:rsidR="003F4F52" w:rsidRPr="00D26A35" w:rsidRDefault="003F4F52" w:rsidP="003E2509">
            <w:pPr>
              <w:rPr>
                <w:rFonts w:eastAsia="Calibri" w:cs="Calibri"/>
                <w:sz w:val="20"/>
                <w:szCs w:val="20"/>
              </w:rPr>
            </w:pPr>
            <w:r w:rsidRPr="00D26A35">
              <w:rPr>
                <w:rFonts w:eastAsia="Calibri" w:cs="Calibri"/>
                <w:color w:val="000000" w:themeColor="text1"/>
                <w:sz w:val="20"/>
                <w:szCs w:val="20"/>
              </w:rPr>
              <w:t>About one day of ITU</w:t>
            </w:r>
            <w:r w:rsidR="007222FB" w:rsidRPr="00D26A35">
              <w:rPr>
                <w:rFonts w:eastAsia="Calibri" w:cs="Calibri"/>
                <w:color w:val="000000" w:themeColor="text1"/>
                <w:sz w:val="20"/>
                <w:szCs w:val="20"/>
              </w:rPr>
              <w:t>’</w:t>
            </w:r>
            <w:r w:rsidRPr="00D26A35">
              <w:rPr>
                <w:rFonts w:eastAsia="Calibri" w:cs="Calibri"/>
                <w:color w:val="000000" w:themeColor="text1"/>
                <w:sz w:val="20"/>
                <w:szCs w:val="20"/>
              </w:rPr>
              <w:t>s staff time per month</w:t>
            </w:r>
          </w:p>
        </w:tc>
        <w:tc>
          <w:tcPr>
            <w:tcW w:w="1843" w:type="dxa"/>
          </w:tcPr>
          <w:p w14:paraId="25B28E2A" w14:textId="77777777" w:rsidR="003F4F52" w:rsidRPr="00D26A35" w:rsidRDefault="003F4F52" w:rsidP="007222FB">
            <w:pPr>
              <w:rPr>
                <w:rFonts w:eastAsia="Calibri" w:cs="Calibri"/>
                <w:sz w:val="20"/>
                <w:szCs w:val="20"/>
              </w:rPr>
            </w:pPr>
          </w:p>
        </w:tc>
      </w:tr>
      <w:tr w:rsidR="003F4F52" w:rsidRPr="00D26A35" w14:paraId="686348A5" w14:textId="77777777" w:rsidTr="00DF2C2F">
        <w:trPr>
          <w:tblHeader/>
          <w:jc w:val="center"/>
        </w:trPr>
        <w:tc>
          <w:tcPr>
            <w:tcW w:w="1907" w:type="dxa"/>
          </w:tcPr>
          <w:p w14:paraId="24DE3307" w14:textId="77777777" w:rsidR="003F4F52" w:rsidRPr="00D26A35" w:rsidRDefault="00CA2100" w:rsidP="007222FB">
            <w:pPr>
              <w:pStyle w:val="NoSpacing"/>
              <w:rPr>
                <w:rFonts w:eastAsia="Calibri" w:cs="Calibri"/>
                <w:sz w:val="20"/>
              </w:rPr>
            </w:pPr>
            <w:hyperlink r:id="rId138">
              <w:r w:rsidR="003F4F52" w:rsidRPr="00D26A35">
                <w:rPr>
                  <w:rStyle w:val="Hyperlink"/>
                  <w:rFonts w:eastAsia="Calibri" w:cs="Calibri"/>
                  <w:sz w:val="20"/>
                </w:rPr>
                <w:t>ERP Special Interest Group</w:t>
              </w:r>
              <w:r w:rsidR="003F4F52" w:rsidRPr="00D26A35">
                <w:rPr>
                  <w:rStyle w:val="Hyperlink"/>
                  <w:rFonts w:eastAsia="Calibri" w:cs="Calibri"/>
                  <w:b/>
                  <w:bCs/>
                  <w:sz w:val="20"/>
                </w:rPr>
                <w:t xml:space="preserve"> (ERP-SIG)</w:t>
              </w:r>
            </w:hyperlink>
          </w:p>
        </w:tc>
        <w:tc>
          <w:tcPr>
            <w:tcW w:w="3850" w:type="dxa"/>
          </w:tcPr>
          <w:p w14:paraId="7B5846CA" w14:textId="77777777" w:rsidR="003F4F52" w:rsidRPr="00D26A35" w:rsidRDefault="003F4F52" w:rsidP="007222FB">
            <w:pPr>
              <w:rPr>
                <w:rFonts w:eastAsia="Calibri" w:cs="Calibri"/>
                <w:sz w:val="20"/>
                <w:szCs w:val="20"/>
              </w:rPr>
            </w:pPr>
            <w:r w:rsidRPr="00D26A35">
              <w:rPr>
                <w:rFonts w:eastAsia="Calibri" w:cs="Calibri"/>
                <w:sz w:val="20"/>
                <w:szCs w:val="20"/>
              </w:rPr>
              <w:t>This ICT Special Interest Group (SIG) focuses on the needs of agencies using SAP, Oracle or other solutions for their ERP and aims to further the coordinated use and enhancements of these products.</w:t>
            </w:r>
          </w:p>
        </w:tc>
        <w:tc>
          <w:tcPr>
            <w:tcW w:w="3457" w:type="dxa"/>
          </w:tcPr>
          <w:p w14:paraId="04A0BCE1" w14:textId="77777777" w:rsidR="003F4F52" w:rsidRPr="00D26A35" w:rsidRDefault="003F4F52" w:rsidP="007222FB">
            <w:r w:rsidRPr="00D26A35">
              <w:rPr>
                <w:rFonts w:eastAsia="Calibri" w:cs="Calibri"/>
                <w:sz w:val="20"/>
                <w:szCs w:val="20"/>
              </w:rPr>
              <w:t xml:space="preserve">Identification of common needs and influence SAP/Oracle/other of future developments </w:t>
            </w:r>
          </w:p>
          <w:p w14:paraId="257AC334" w14:textId="77777777" w:rsidR="003F4F52" w:rsidRPr="00D26A35" w:rsidRDefault="003F4F52" w:rsidP="007222FB">
            <w:pPr>
              <w:rPr>
                <w:rFonts w:eastAsia="Calibri" w:cs="Calibri"/>
                <w:sz w:val="20"/>
                <w:szCs w:val="20"/>
              </w:rPr>
            </w:pPr>
            <w:r w:rsidRPr="00D26A35">
              <w:rPr>
                <w:rFonts w:eastAsia="Calibri" w:cs="Calibri"/>
                <w:sz w:val="20"/>
                <w:szCs w:val="20"/>
              </w:rPr>
              <w:t>Negotiation power vis-a-vis software vendors.</w:t>
            </w:r>
          </w:p>
          <w:p w14:paraId="719F75F5" w14:textId="77777777" w:rsidR="003F4F52" w:rsidRPr="00D26A35" w:rsidRDefault="003F4F52" w:rsidP="007222FB">
            <w:pPr>
              <w:rPr>
                <w:rFonts w:eastAsia="Calibri" w:cs="Calibri"/>
                <w:sz w:val="20"/>
                <w:szCs w:val="20"/>
              </w:rPr>
            </w:pPr>
            <w:r w:rsidRPr="00D26A35">
              <w:rPr>
                <w:rFonts w:eastAsia="Calibri" w:cs="Calibri"/>
                <w:sz w:val="20"/>
                <w:szCs w:val="20"/>
              </w:rPr>
              <w:t>Promotion of best business practices</w:t>
            </w:r>
          </w:p>
          <w:p w14:paraId="0D7D3091" w14:textId="77777777" w:rsidR="003F4F52" w:rsidRPr="00D26A35" w:rsidRDefault="003F4F52" w:rsidP="007222FB">
            <w:pPr>
              <w:spacing w:line="259" w:lineRule="auto"/>
              <w:rPr>
                <w:rFonts w:eastAsia="Calibri" w:cs="Calibri"/>
                <w:sz w:val="20"/>
                <w:szCs w:val="20"/>
              </w:rPr>
            </w:pPr>
            <w:r w:rsidRPr="00D26A35">
              <w:rPr>
                <w:rFonts w:eastAsia="Calibri" w:cs="Calibri"/>
                <w:sz w:val="20"/>
                <w:szCs w:val="20"/>
              </w:rPr>
              <w:t>Enable standardisation of infrastructure and methods</w:t>
            </w:r>
          </w:p>
        </w:tc>
        <w:tc>
          <w:tcPr>
            <w:tcW w:w="1843" w:type="dxa"/>
          </w:tcPr>
          <w:p w14:paraId="68247E82" w14:textId="6AE4BDDB" w:rsidR="003F4F52" w:rsidRPr="00D26A35" w:rsidRDefault="003F4F52" w:rsidP="003E2509">
            <w:pPr>
              <w:rPr>
                <w:rFonts w:eastAsia="Calibri" w:cs="Calibri"/>
                <w:sz w:val="20"/>
                <w:szCs w:val="20"/>
              </w:rPr>
            </w:pPr>
            <w:r w:rsidRPr="00D26A35">
              <w:rPr>
                <w:rFonts w:eastAsia="Calibri" w:cs="Calibri"/>
                <w:sz w:val="20"/>
                <w:szCs w:val="20"/>
              </w:rPr>
              <w:t>Once a year main meeting, with ad-hoc meetings/   conference calls</w:t>
            </w:r>
          </w:p>
        </w:tc>
        <w:tc>
          <w:tcPr>
            <w:tcW w:w="1984" w:type="dxa"/>
          </w:tcPr>
          <w:p w14:paraId="5B1631D8" w14:textId="77777777" w:rsidR="003F4F52" w:rsidRPr="00D26A35" w:rsidRDefault="003F4F52" w:rsidP="007222FB">
            <w:pPr>
              <w:rPr>
                <w:rFonts w:eastAsia="Calibri" w:cs="Calibri"/>
                <w:sz w:val="20"/>
                <w:szCs w:val="20"/>
              </w:rPr>
            </w:pPr>
            <w:r w:rsidRPr="00D26A35">
              <w:rPr>
                <w:rFonts w:eastAsia="Calibri" w:cs="Calibri"/>
                <w:sz w:val="20"/>
                <w:szCs w:val="20"/>
              </w:rPr>
              <w:t>3-day meeting + travel</w:t>
            </w:r>
          </w:p>
        </w:tc>
        <w:tc>
          <w:tcPr>
            <w:tcW w:w="1843" w:type="dxa"/>
          </w:tcPr>
          <w:p w14:paraId="267818FC" w14:textId="4F771126" w:rsidR="003F4F52" w:rsidRPr="00D26A35" w:rsidRDefault="003F4F52" w:rsidP="003E2509">
            <w:pPr>
              <w:rPr>
                <w:rFonts w:eastAsia="Calibri" w:cs="Calibri"/>
                <w:sz w:val="20"/>
                <w:szCs w:val="20"/>
              </w:rPr>
            </w:pPr>
            <w:r w:rsidRPr="00D26A35">
              <w:rPr>
                <w:rFonts w:eastAsia="Calibri" w:cs="Calibri"/>
                <w:sz w:val="20"/>
                <w:szCs w:val="20"/>
              </w:rPr>
              <w:t>Travel and DSA for staff attending</w:t>
            </w:r>
          </w:p>
        </w:tc>
      </w:tr>
      <w:tr w:rsidR="003F4F52" w:rsidRPr="00D26A35" w14:paraId="6589D3B9" w14:textId="77777777" w:rsidTr="00DF2C2F">
        <w:trPr>
          <w:tblHeader/>
          <w:jc w:val="center"/>
        </w:trPr>
        <w:tc>
          <w:tcPr>
            <w:tcW w:w="1907" w:type="dxa"/>
          </w:tcPr>
          <w:p w14:paraId="43E6DE9F" w14:textId="77777777" w:rsidR="003F4F52" w:rsidRPr="00D26A35" w:rsidRDefault="003F4F52" w:rsidP="007222FB">
            <w:pPr>
              <w:rPr>
                <w:rFonts w:eastAsia="Calibri" w:cs="Calibri"/>
                <w:sz w:val="20"/>
                <w:szCs w:val="20"/>
              </w:rPr>
            </w:pPr>
            <w:r w:rsidRPr="00D26A35">
              <w:rPr>
                <w:rFonts w:eastAsia="Calibri" w:cs="Calibri"/>
                <w:sz w:val="20"/>
                <w:szCs w:val="20"/>
              </w:rPr>
              <w:t xml:space="preserve">UN private sector focal points network    </w:t>
            </w:r>
          </w:p>
          <w:p w14:paraId="0AF75D32" w14:textId="77777777" w:rsidR="003F4F52" w:rsidRPr="00D26A35" w:rsidRDefault="003F4F52" w:rsidP="007222FB">
            <w:pPr>
              <w:pStyle w:val="NoSpacing"/>
              <w:rPr>
                <w:rFonts w:eastAsia="Calibri" w:cs="Calibri"/>
                <w:sz w:val="20"/>
              </w:rPr>
            </w:pPr>
          </w:p>
        </w:tc>
        <w:tc>
          <w:tcPr>
            <w:tcW w:w="3850" w:type="dxa"/>
          </w:tcPr>
          <w:p w14:paraId="4EBEFC10" w14:textId="0853806E" w:rsidR="003F4F52" w:rsidRPr="00D26A35" w:rsidRDefault="003F4F52" w:rsidP="007222FB">
            <w:pPr>
              <w:rPr>
                <w:rFonts w:eastAsia="Calibri" w:cs="Calibri"/>
                <w:sz w:val="20"/>
                <w:szCs w:val="20"/>
              </w:rPr>
            </w:pPr>
            <w:r w:rsidRPr="00D26A35">
              <w:rPr>
                <w:rFonts w:eastAsia="Calibri" w:cs="Calibri"/>
                <w:sz w:val="20"/>
                <w:szCs w:val="20"/>
              </w:rPr>
              <w:t>Group convened by UN Global Compact to share best practices. Major focus has been on due diligence and managing risks in partnerships with private sector and foundations. This group contributed to the JIU report on this subject.</w:t>
            </w:r>
            <w:r w:rsidR="00372E89" w:rsidRPr="00D26A35">
              <w:rPr>
                <w:rFonts w:eastAsia="Calibri" w:cs="Calibri"/>
                <w:sz w:val="20"/>
                <w:szCs w:val="20"/>
              </w:rPr>
              <w:t xml:space="preserve"> </w:t>
            </w:r>
          </w:p>
        </w:tc>
        <w:tc>
          <w:tcPr>
            <w:tcW w:w="3457" w:type="dxa"/>
          </w:tcPr>
          <w:p w14:paraId="0C684791" w14:textId="61844D63" w:rsidR="003F4F52" w:rsidRPr="00D26A35" w:rsidRDefault="00372E89" w:rsidP="003E2509">
            <w:pPr>
              <w:rPr>
                <w:rFonts w:eastAsia="Calibri" w:cs="Calibri"/>
                <w:sz w:val="20"/>
                <w:szCs w:val="20"/>
              </w:rPr>
            </w:pPr>
            <w:r w:rsidRPr="00D26A35">
              <w:rPr>
                <w:rFonts w:eastAsia="Calibri" w:cs="Calibri"/>
                <w:sz w:val="20"/>
                <w:szCs w:val="20"/>
              </w:rPr>
              <w:t xml:space="preserve">Following the PwC audit and internal audit, and leveraging best practices from the UN private sector focal points network, a new SO on due diligence is being developed whereby screening will be required before agreements can be made with non-ITU members from the private sector. </w:t>
            </w:r>
            <w:r w:rsidR="003F4F52" w:rsidRPr="00D26A35">
              <w:rPr>
                <w:rFonts w:eastAsia="Calibri" w:cs="Calibri"/>
                <w:sz w:val="20"/>
                <w:szCs w:val="20"/>
              </w:rPr>
              <w:t>ITU subscribes to t</w:t>
            </w:r>
            <w:r w:rsidRPr="00D26A35">
              <w:rPr>
                <w:rFonts w:eastAsia="Calibri" w:cs="Calibri"/>
                <w:sz w:val="20"/>
                <w:szCs w:val="20"/>
              </w:rPr>
              <w:t>wo</w:t>
            </w:r>
            <w:r w:rsidR="003F4F52" w:rsidRPr="00D26A35">
              <w:rPr>
                <w:rFonts w:eastAsia="Calibri" w:cs="Calibri"/>
                <w:sz w:val="20"/>
                <w:szCs w:val="20"/>
              </w:rPr>
              <w:t xml:space="preserve"> databases</w:t>
            </w:r>
            <w:r w:rsidRPr="00D26A35">
              <w:rPr>
                <w:rFonts w:eastAsia="Calibri" w:cs="Calibri"/>
                <w:sz w:val="20"/>
                <w:szCs w:val="20"/>
              </w:rPr>
              <w:t xml:space="preserve"> through the Global Compact and this private sector focal points network. The databases are</w:t>
            </w:r>
            <w:r w:rsidR="003F4F52" w:rsidRPr="00D26A35">
              <w:rPr>
                <w:rFonts w:eastAsia="Calibri" w:cs="Calibri"/>
                <w:sz w:val="20"/>
                <w:szCs w:val="20"/>
              </w:rPr>
              <w:t xml:space="preserve"> managed by </w:t>
            </w:r>
            <w:r w:rsidRPr="00D26A35">
              <w:rPr>
                <w:rFonts w:eastAsia="Calibri" w:cs="Calibri"/>
                <w:sz w:val="20"/>
                <w:szCs w:val="20"/>
              </w:rPr>
              <w:t>SPM (duediligence@itu.int)</w:t>
            </w:r>
            <w:r w:rsidR="003F4F52" w:rsidRPr="00D26A35">
              <w:rPr>
                <w:rFonts w:eastAsia="Calibri" w:cs="Calibri"/>
                <w:sz w:val="20"/>
                <w:szCs w:val="20"/>
              </w:rPr>
              <w:t xml:space="preserve">. </w:t>
            </w:r>
          </w:p>
        </w:tc>
        <w:tc>
          <w:tcPr>
            <w:tcW w:w="1843" w:type="dxa"/>
          </w:tcPr>
          <w:p w14:paraId="4586E699" w14:textId="148F63B3" w:rsidR="003F4F52" w:rsidRPr="00D26A35" w:rsidRDefault="003F4F52" w:rsidP="003E2509">
            <w:pPr>
              <w:rPr>
                <w:rFonts w:eastAsia="Calibri" w:cs="Calibri"/>
                <w:color w:val="000000" w:themeColor="text1"/>
                <w:sz w:val="20"/>
                <w:szCs w:val="20"/>
              </w:rPr>
            </w:pPr>
            <w:r w:rsidRPr="00D26A35">
              <w:rPr>
                <w:rFonts w:eastAsia="Calibri" w:cs="Calibri"/>
                <w:sz w:val="20"/>
                <w:szCs w:val="20"/>
              </w:rPr>
              <w:t>Once a year main meeting, with occasional conference calls and capacity building online workshops.</w:t>
            </w:r>
          </w:p>
        </w:tc>
        <w:tc>
          <w:tcPr>
            <w:tcW w:w="1984" w:type="dxa"/>
          </w:tcPr>
          <w:p w14:paraId="11DD0533" w14:textId="5BF0921B" w:rsidR="003F4F52" w:rsidRPr="00D26A35" w:rsidRDefault="003F4F52" w:rsidP="003E2509">
            <w:pPr>
              <w:rPr>
                <w:rFonts w:eastAsia="Calibri" w:cs="Calibri"/>
                <w:color w:val="000000" w:themeColor="text1"/>
                <w:sz w:val="20"/>
                <w:szCs w:val="20"/>
              </w:rPr>
            </w:pPr>
            <w:r w:rsidRPr="00D26A35">
              <w:rPr>
                <w:rFonts w:eastAsia="Calibri" w:cs="Calibri"/>
                <w:color w:val="000000" w:themeColor="text1"/>
                <w:sz w:val="20"/>
                <w:szCs w:val="20"/>
              </w:rPr>
              <w:t>Minimal time required to participate.</w:t>
            </w:r>
          </w:p>
        </w:tc>
        <w:tc>
          <w:tcPr>
            <w:tcW w:w="1843" w:type="dxa"/>
          </w:tcPr>
          <w:p w14:paraId="671D2E65" w14:textId="77777777" w:rsidR="003F4F52" w:rsidRPr="00D26A35" w:rsidRDefault="003F4F52" w:rsidP="007222FB">
            <w:pPr>
              <w:rPr>
                <w:rFonts w:eastAsia="Calibri" w:cs="Calibri"/>
                <w:color w:val="000000" w:themeColor="text1"/>
                <w:sz w:val="20"/>
                <w:szCs w:val="20"/>
              </w:rPr>
            </w:pPr>
            <w:r w:rsidRPr="00D26A35">
              <w:rPr>
                <w:rFonts w:eastAsia="Calibri" w:cs="Calibri"/>
                <w:color w:val="000000" w:themeColor="text1"/>
                <w:sz w:val="20"/>
                <w:szCs w:val="20"/>
              </w:rPr>
              <w:t>Mission costs if we participate in annual meeting outside of Geneva. NY office attends if held there. Cost of due diligence database licences is CHF 7,500 a year, currently covered by SPM.</w:t>
            </w:r>
          </w:p>
        </w:tc>
      </w:tr>
      <w:tr w:rsidR="003F4F52" w:rsidRPr="00D26A35" w14:paraId="452FA257" w14:textId="77777777" w:rsidTr="00DF2C2F">
        <w:trPr>
          <w:tblHeader/>
          <w:jc w:val="center"/>
        </w:trPr>
        <w:tc>
          <w:tcPr>
            <w:tcW w:w="1907" w:type="dxa"/>
          </w:tcPr>
          <w:p w14:paraId="738C43C9" w14:textId="77777777" w:rsidR="003F4F52" w:rsidRPr="00D26A35" w:rsidRDefault="00CA2100" w:rsidP="007222FB">
            <w:pPr>
              <w:rPr>
                <w:rFonts w:eastAsia="Calibri" w:cs="Calibri"/>
                <w:sz w:val="20"/>
                <w:szCs w:val="20"/>
              </w:rPr>
            </w:pPr>
            <w:hyperlink r:id="rId139">
              <w:r w:rsidR="003F4F52" w:rsidRPr="00D26A35">
                <w:rPr>
                  <w:rStyle w:val="Hyperlink"/>
                  <w:rFonts w:eastAsia="Calibri" w:cs="Calibri"/>
                  <w:sz w:val="20"/>
                  <w:szCs w:val="20"/>
                </w:rPr>
                <w:t>UN E-waste Coalition</w:t>
              </w:r>
            </w:hyperlink>
          </w:p>
          <w:p w14:paraId="67115F37" w14:textId="77777777" w:rsidR="003F4F52" w:rsidRPr="00D26A35" w:rsidRDefault="003F4F52" w:rsidP="007222FB">
            <w:pPr>
              <w:rPr>
                <w:rFonts w:eastAsia="Calibri" w:cs="Calibri"/>
                <w:sz w:val="20"/>
                <w:szCs w:val="20"/>
              </w:rPr>
            </w:pPr>
          </w:p>
          <w:p w14:paraId="207EC216" w14:textId="77777777" w:rsidR="003F4F52" w:rsidRPr="00D26A35" w:rsidRDefault="003F4F52" w:rsidP="007222FB">
            <w:pPr>
              <w:rPr>
                <w:rFonts w:eastAsia="Calibri" w:cs="Calibri"/>
                <w:sz w:val="20"/>
                <w:szCs w:val="20"/>
              </w:rPr>
            </w:pPr>
          </w:p>
          <w:p w14:paraId="39E87832" w14:textId="77777777" w:rsidR="003F4F52" w:rsidRPr="00D26A35" w:rsidRDefault="003F4F52" w:rsidP="007222FB">
            <w:pPr>
              <w:rPr>
                <w:rFonts w:eastAsia="Calibri" w:cs="Calibri"/>
                <w:sz w:val="20"/>
                <w:szCs w:val="20"/>
              </w:rPr>
            </w:pPr>
          </w:p>
        </w:tc>
        <w:tc>
          <w:tcPr>
            <w:tcW w:w="3850" w:type="dxa"/>
          </w:tcPr>
          <w:p w14:paraId="2657E477" w14:textId="77777777" w:rsidR="003F4F52" w:rsidRPr="00D26A35" w:rsidRDefault="003F4F52" w:rsidP="007222FB">
            <w:pPr>
              <w:rPr>
                <w:rFonts w:eastAsia="Calibri" w:cs="Calibri"/>
                <w:sz w:val="20"/>
                <w:szCs w:val="20"/>
              </w:rPr>
            </w:pPr>
            <w:r w:rsidRPr="00D26A35">
              <w:rPr>
                <w:rFonts w:eastAsia="Calibri" w:cs="Calibri"/>
                <w:sz w:val="20"/>
                <w:szCs w:val="20"/>
              </w:rPr>
              <w:t xml:space="preserve">Aims to raise awareness, increase knowledge and provide integrated support to countries in preventing, reducing, collecting, recycling and disposing of e-waste sustainably through enhanced coordination of the UN and its partners at all levels. </w:t>
            </w:r>
          </w:p>
        </w:tc>
        <w:tc>
          <w:tcPr>
            <w:tcW w:w="3457" w:type="dxa"/>
          </w:tcPr>
          <w:p w14:paraId="14E47BF4" w14:textId="2A8AAC12" w:rsidR="003F4F52" w:rsidRPr="00D26A35" w:rsidRDefault="003F4F52" w:rsidP="007222FB">
            <w:pPr>
              <w:rPr>
                <w:rFonts w:eastAsia="Calibri" w:cs="Calibri"/>
                <w:sz w:val="20"/>
                <w:szCs w:val="20"/>
              </w:rPr>
            </w:pPr>
            <w:r w:rsidRPr="00D26A35">
              <w:rPr>
                <w:rFonts w:eastAsia="Calibri" w:cs="Calibri"/>
                <w:sz w:val="20"/>
                <w:szCs w:val="20"/>
              </w:rPr>
              <w:t>Enhance ITU</w:t>
            </w:r>
            <w:r w:rsidR="007222FB" w:rsidRPr="00D26A35">
              <w:rPr>
                <w:rFonts w:eastAsia="Calibri" w:cs="Calibri"/>
                <w:sz w:val="20"/>
                <w:szCs w:val="20"/>
              </w:rPr>
              <w:t>’</w:t>
            </w:r>
            <w:r w:rsidRPr="00D26A35">
              <w:rPr>
                <w:rFonts w:eastAsia="Calibri" w:cs="Calibri"/>
                <w:sz w:val="20"/>
                <w:szCs w:val="20"/>
              </w:rPr>
              <w:t xml:space="preserve">s role in the e-waste discussion globally and in-country activities nationally. A forum through which to connect with all other e-waste-active UN entities and to identify potential partnerships for ITU. </w:t>
            </w:r>
          </w:p>
        </w:tc>
        <w:tc>
          <w:tcPr>
            <w:tcW w:w="1843" w:type="dxa"/>
          </w:tcPr>
          <w:p w14:paraId="1C740780" w14:textId="77777777" w:rsidR="003F4F52" w:rsidRPr="00D26A35" w:rsidRDefault="003F4F52" w:rsidP="007222FB">
            <w:pPr>
              <w:rPr>
                <w:rFonts w:eastAsia="Calibri" w:cs="Calibri"/>
                <w:sz w:val="20"/>
                <w:szCs w:val="20"/>
              </w:rPr>
            </w:pPr>
            <w:r w:rsidRPr="00D26A35">
              <w:rPr>
                <w:rFonts w:eastAsia="Calibri" w:cs="Calibri"/>
                <w:sz w:val="20"/>
                <w:szCs w:val="20"/>
              </w:rPr>
              <w:t xml:space="preserve">Roughly once every three months. </w:t>
            </w:r>
          </w:p>
        </w:tc>
        <w:tc>
          <w:tcPr>
            <w:tcW w:w="1984" w:type="dxa"/>
          </w:tcPr>
          <w:p w14:paraId="2A507465" w14:textId="560AF516" w:rsidR="003F4F52" w:rsidRPr="00D26A35" w:rsidRDefault="003F4F52" w:rsidP="007222FB">
            <w:pPr>
              <w:rPr>
                <w:rFonts w:eastAsia="Calibri" w:cs="Calibri"/>
                <w:color w:val="000000" w:themeColor="text1"/>
                <w:sz w:val="20"/>
                <w:szCs w:val="20"/>
              </w:rPr>
            </w:pPr>
            <w:r w:rsidRPr="00D26A35">
              <w:rPr>
                <w:rFonts w:eastAsia="Calibri" w:cs="Calibri"/>
                <w:color w:val="000000" w:themeColor="text1"/>
                <w:sz w:val="20"/>
                <w:szCs w:val="20"/>
              </w:rPr>
              <w:t>About one to two days of ITU</w:t>
            </w:r>
            <w:r w:rsidR="007222FB" w:rsidRPr="00D26A35">
              <w:rPr>
                <w:rFonts w:eastAsia="Calibri" w:cs="Calibri"/>
                <w:color w:val="000000" w:themeColor="text1"/>
                <w:sz w:val="20"/>
                <w:szCs w:val="20"/>
              </w:rPr>
              <w:t>’</w:t>
            </w:r>
            <w:r w:rsidRPr="00D26A35">
              <w:rPr>
                <w:rFonts w:eastAsia="Calibri" w:cs="Calibri"/>
                <w:color w:val="000000" w:themeColor="text1"/>
                <w:sz w:val="20"/>
                <w:szCs w:val="20"/>
              </w:rPr>
              <w:t xml:space="preserve">s staff time per month, roughly. </w:t>
            </w:r>
          </w:p>
        </w:tc>
        <w:tc>
          <w:tcPr>
            <w:tcW w:w="1843" w:type="dxa"/>
          </w:tcPr>
          <w:p w14:paraId="6B8E17B0" w14:textId="77777777" w:rsidR="003F4F52" w:rsidRPr="00D26A35" w:rsidRDefault="003F4F52" w:rsidP="007222FB">
            <w:pPr>
              <w:rPr>
                <w:rFonts w:eastAsia="Calibri" w:cs="Calibri"/>
                <w:color w:val="000000" w:themeColor="text1"/>
                <w:sz w:val="20"/>
                <w:szCs w:val="20"/>
              </w:rPr>
            </w:pPr>
            <w:r w:rsidRPr="00D26A35">
              <w:rPr>
                <w:rFonts w:eastAsia="Calibri" w:cs="Calibri"/>
                <w:color w:val="000000" w:themeColor="text1"/>
                <w:sz w:val="20"/>
                <w:szCs w:val="20"/>
              </w:rPr>
              <w:t>Travel and DSA required dependent on location of meeting/activities. And sometimes, travel and DSA of expert from the ICT sector to attend e-waste meetings.</w:t>
            </w:r>
          </w:p>
        </w:tc>
      </w:tr>
      <w:tr w:rsidR="003F4F52" w:rsidRPr="00D26A35" w14:paraId="766BB7BD" w14:textId="77777777" w:rsidTr="00DF2C2F">
        <w:trPr>
          <w:tblHeader/>
          <w:jc w:val="center"/>
        </w:trPr>
        <w:tc>
          <w:tcPr>
            <w:tcW w:w="1907" w:type="dxa"/>
          </w:tcPr>
          <w:p w14:paraId="4F73B08E" w14:textId="77777777" w:rsidR="003F4F52" w:rsidRPr="00D26A35" w:rsidRDefault="00CA2100" w:rsidP="007222FB">
            <w:pPr>
              <w:rPr>
                <w:rFonts w:eastAsia="Calibri" w:cs="Calibri"/>
                <w:sz w:val="20"/>
                <w:szCs w:val="20"/>
              </w:rPr>
            </w:pPr>
            <w:hyperlink r:id="rId140">
              <w:r w:rsidR="003F4F52" w:rsidRPr="00D26A35">
                <w:rPr>
                  <w:rStyle w:val="Hyperlink"/>
                  <w:rFonts w:eastAsia="Calibri" w:cs="Calibri"/>
                  <w:sz w:val="20"/>
                  <w:szCs w:val="20"/>
                </w:rPr>
                <w:t>United for Smart Sustainable Cities (U4SSC)</w:t>
              </w:r>
            </w:hyperlink>
          </w:p>
        </w:tc>
        <w:tc>
          <w:tcPr>
            <w:tcW w:w="3850" w:type="dxa"/>
          </w:tcPr>
          <w:p w14:paraId="24492655" w14:textId="77777777" w:rsidR="003F4F52" w:rsidRPr="00D26A35" w:rsidRDefault="003F4F52" w:rsidP="007222FB">
            <w:pPr>
              <w:rPr>
                <w:rFonts w:eastAsia="Calibri" w:cs="Calibri"/>
                <w:sz w:val="20"/>
                <w:szCs w:val="20"/>
              </w:rPr>
            </w:pPr>
            <w:r w:rsidRPr="00D26A35">
              <w:rPr>
                <w:rFonts w:eastAsia="Calibri" w:cs="Calibri"/>
                <w:sz w:val="20"/>
                <w:szCs w:val="20"/>
              </w:rPr>
              <w:t>U4SSC serves as the global platform to advocate for public policy and to encourage the use of ICTs to facilitate and ease the transition to smart sustainable cities.</w:t>
            </w:r>
          </w:p>
        </w:tc>
        <w:tc>
          <w:tcPr>
            <w:tcW w:w="3457" w:type="dxa"/>
          </w:tcPr>
          <w:p w14:paraId="21A2AE3F" w14:textId="31CACD83" w:rsidR="003E2509" w:rsidRPr="00D26A35" w:rsidRDefault="00CA2100" w:rsidP="007222FB">
            <w:pPr>
              <w:spacing w:line="257" w:lineRule="auto"/>
              <w:rPr>
                <w:rFonts w:eastAsia="Calibri" w:cs="Calibri"/>
                <w:sz w:val="20"/>
                <w:szCs w:val="20"/>
                <w:lang w:val="sv-SE"/>
              </w:rPr>
            </w:pPr>
            <w:hyperlink r:id="rId141" w:history="1">
              <w:r w:rsidR="003F4F52" w:rsidRPr="00D26A35">
                <w:rPr>
                  <w:rStyle w:val="Hyperlink"/>
                  <w:rFonts w:eastAsia="Calibri" w:cs="Calibri"/>
                  <w:sz w:val="20"/>
                  <w:lang w:val="sv-SE"/>
                </w:rPr>
                <w:t>PP R</w:t>
              </w:r>
              <w:r w:rsidR="003E2509" w:rsidRPr="00D26A35">
                <w:rPr>
                  <w:rStyle w:val="Hyperlink"/>
                  <w:rFonts w:eastAsia="Calibri" w:cs="Calibri"/>
                  <w:sz w:val="20"/>
                  <w:lang w:val="sv-SE"/>
                </w:rPr>
                <w:t>es</w:t>
              </w:r>
              <w:r w:rsidR="003F4F52" w:rsidRPr="00D26A35">
                <w:rPr>
                  <w:rStyle w:val="Hyperlink"/>
                  <w:rFonts w:eastAsia="Calibri" w:cs="Calibri"/>
                  <w:sz w:val="20"/>
                  <w:lang w:val="sv-SE"/>
                </w:rPr>
                <w:t>.</w:t>
              </w:r>
              <w:r w:rsidR="00455A2E" w:rsidRPr="00D26A35">
                <w:rPr>
                  <w:rStyle w:val="Hyperlink"/>
                  <w:rFonts w:eastAsia="Calibri" w:cs="Calibri"/>
                  <w:sz w:val="20"/>
                  <w:lang w:val="sv-SE"/>
                </w:rPr>
                <w:t xml:space="preserve"> </w:t>
              </w:r>
              <w:r w:rsidR="003F4F52" w:rsidRPr="00D26A35">
                <w:rPr>
                  <w:rStyle w:val="Hyperlink"/>
                  <w:rFonts w:eastAsia="Calibri" w:cs="Calibri"/>
                  <w:sz w:val="20"/>
                  <w:lang w:val="sv-SE"/>
                </w:rPr>
                <w:t>197 (Rev. Dubai, 2018)</w:t>
              </w:r>
            </w:hyperlink>
          </w:p>
          <w:p w14:paraId="25505031" w14:textId="26BC09D8" w:rsidR="003F4F52" w:rsidRPr="00D26A35" w:rsidRDefault="003F4F52" w:rsidP="007222FB">
            <w:pPr>
              <w:spacing w:line="257" w:lineRule="auto"/>
              <w:rPr>
                <w:lang w:val="sv-SE"/>
              </w:rPr>
            </w:pPr>
            <w:r w:rsidRPr="00D26A35">
              <w:rPr>
                <w:rFonts w:eastAsia="Calibri" w:cs="Calibri"/>
                <w:sz w:val="20"/>
                <w:lang w:val="sv-SE"/>
              </w:rPr>
              <w:t>WTSA-16 RES.98 (Rev. Hammamet, 2016)</w:t>
            </w:r>
          </w:p>
          <w:p w14:paraId="15211BF4" w14:textId="77777777" w:rsidR="003F4F52" w:rsidRPr="00D26A35" w:rsidRDefault="003F4F52" w:rsidP="007222FB">
            <w:pPr>
              <w:spacing w:line="257" w:lineRule="auto"/>
            </w:pPr>
            <w:r w:rsidRPr="00D26A35">
              <w:rPr>
                <w:rFonts w:eastAsia="Calibri" w:cs="Calibri"/>
                <w:sz w:val="20"/>
                <w:szCs w:val="20"/>
              </w:rPr>
              <w:t xml:space="preserve">The U4SSC is working through 11 Thematic Groups on a series of deliverables, </w:t>
            </w:r>
            <w:r w:rsidRPr="00D26A35">
              <w:rPr>
                <w:rFonts w:eastAsia="Calibri" w:cs="Calibri"/>
                <w:i/>
                <w:iCs/>
                <w:sz w:val="20"/>
                <w:szCs w:val="20"/>
              </w:rPr>
              <w:t>inter alia</w:t>
            </w:r>
            <w:r w:rsidRPr="00D26A35">
              <w:rPr>
                <w:rFonts w:eastAsia="Calibri" w:cs="Calibri"/>
                <w:sz w:val="20"/>
                <w:szCs w:val="20"/>
              </w:rPr>
              <w:t xml:space="preserve">, on Guiding principles for artificial intelligence in cities, blockchain for cities and U4SSC Index. </w:t>
            </w:r>
          </w:p>
          <w:p w14:paraId="323A234D" w14:textId="77777777" w:rsidR="003F4F52" w:rsidRPr="00D26A35" w:rsidRDefault="003F4F52" w:rsidP="007222FB">
            <w:pPr>
              <w:spacing w:line="257" w:lineRule="auto"/>
            </w:pPr>
            <w:r w:rsidRPr="00D26A35">
              <w:rPr>
                <w:rFonts w:eastAsia="Calibri" w:cs="Calibri"/>
                <w:sz w:val="20"/>
                <w:szCs w:val="20"/>
              </w:rPr>
              <w:t>U4SSC developed a set of international key performance indicators (KPIs) for Smart Sustainable Cities (SSC) to establish the criteria to evaluate ICT´s contributions in making cities smarter and more sustainable, and to provide cities with the means for self-assessments in order to achieve the sustainable development goals (SDGs).</w:t>
            </w:r>
          </w:p>
          <w:p w14:paraId="7B691BA2" w14:textId="77777777" w:rsidR="003F4F52" w:rsidRPr="00D26A35" w:rsidRDefault="003F4F52" w:rsidP="007222FB">
            <w:pPr>
              <w:spacing w:line="257" w:lineRule="auto"/>
            </w:pPr>
            <w:r w:rsidRPr="00D26A35">
              <w:rPr>
                <w:rFonts w:eastAsia="Calibri" w:cs="Calibri"/>
                <w:sz w:val="20"/>
                <w:szCs w:val="20"/>
              </w:rPr>
              <w:t>Over 100 cities worldwide are already implementing these KPIs.</w:t>
            </w:r>
          </w:p>
          <w:p w14:paraId="0A560DD1" w14:textId="77777777" w:rsidR="003F4F52" w:rsidRPr="00D26A35" w:rsidRDefault="003F4F52" w:rsidP="007222FB">
            <w:r w:rsidRPr="00D26A35">
              <w:rPr>
                <w:rFonts w:eastAsia="Calibri" w:cs="Calibri"/>
                <w:sz w:val="20"/>
                <w:szCs w:val="20"/>
              </w:rPr>
              <w:t>The U4SSC Implementation Programme (U4SSC-IP) carries out projects and builds partnerships, which aim to build smarter and more sustainable cities worldwide.</w:t>
            </w:r>
          </w:p>
        </w:tc>
        <w:tc>
          <w:tcPr>
            <w:tcW w:w="1843" w:type="dxa"/>
          </w:tcPr>
          <w:p w14:paraId="225CB710" w14:textId="77777777" w:rsidR="003F4F52" w:rsidRPr="00D26A35" w:rsidRDefault="003F4F52" w:rsidP="007222FB">
            <w:r w:rsidRPr="00D26A35">
              <w:rPr>
                <w:rFonts w:eastAsia="Calibri" w:cs="Calibri"/>
                <w:sz w:val="20"/>
                <w:szCs w:val="20"/>
              </w:rPr>
              <w:t xml:space="preserve">A physical meeting per year + an e-meeting per week  </w:t>
            </w:r>
          </w:p>
        </w:tc>
        <w:tc>
          <w:tcPr>
            <w:tcW w:w="1984" w:type="dxa"/>
          </w:tcPr>
          <w:p w14:paraId="59E793C3" w14:textId="49DA9ED2" w:rsidR="003F4F52" w:rsidRPr="00D26A35" w:rsidRDefault="003F4F52" w:rsidP="007222FB">
            <w:r w:rsidRPr="00D26A35">
              <w:rPr>
                <w:rFonts w:eastAsia="Calibri" w:cs="Calibri"/>
                <w:sz w:val="20"/>
                <w:szCs w:val="20"/>
              </w:rPr>
              <w:t>About 15 days of ITU</w:t>
            </w:r>
            <w:r w:rsidR="007222FB" w:rsidRPr="00D26A35">
              <w:rPr>
                <w:rFonts w:eastAsia="Calibri" w:cs="Calibri"/>
                <w:sz w:val="20"/>
                <w:szCs w:val="20"/>
              </w:rPr>
              <w:t>’</w:t>
            </w:r>
            <w:r w:rsidRPr="00D26A35">
              <w:rPr>
                <w:rFonts w:eastAsia="Calibri" w:cs="Calibri"/>
                <w:sz w:val="20"/>
                <w:szCs w:val="20"/>
              </w:rPr>
              <w:t>s staff time per month roughly.</w:t>
            </w:r>
          </w:p>
        </w:tc>
        <w:tc>
          <w:tcPr>
            <w:tcW w:w="1843" w:type="dxa"/>
          </w:tcPr>
          <w:p w14:paraId="241C8D76" w14:textId="77777777" w:rsidR="003F4F52" w:rsidRPr="00D26A35" w:rsidRDefault="003F4F52" w:rsidP="007222FB">
            <w:r w:rsidRPr="00D26A35">
              <w:rPr>
                <w:rFonts w:eastAsia="Calibri" w:cs="Calibri"/>
                <w:sz w:val="20"/>
                <w:szCs w:val="20"/>
              </w:rPr>
              <w:t>Staff costs, including travel and DSA, and expert costs and other workshop participants.</w:t>
            </w:r>
          </w:p>
        </w:tc>
      </w:tr>
      <w:tr w:rsidR="00754010" w:rsidRPr="00D26A35" w14:paraId="07307F3C" w14:textId="77777777" w:rsidTr="00041D51">
        <w:trPr>
          <w:trHeight w:val="4065"/>
          <w:tblHeader/>
          <w:jc w:val="center"/>
        </w:trPr>
        <w:tc>
          <w:tcPr>
            <w:tcW w:w="1907" w:type="dxa"/>
          </w:tcPr>
          <w:p w14:paraId="418D4CD7" w14:textId="0819E677" w:rsidR="00754010" w:rsidRPr="00D26A35" w:rsidRDefault="00CA2100" w:rsidP="007222FB">
            <w:pPr>
              <w:rPr>
                <w:sz w:val="20"/>
                <w:szCs w:val="20"/>
              </w:rPr>
            </w:pPr>
            <w:hyperlink r:id="rId142" w:history="1">
              <w:r w:rsidR="00754010" w:rsidRPr="00D26A35">
                <w:rPr>
                  <w:rStyle w:val="Hyperlink"/>
                  <w:sz w:val="20"/>
                </w:rPr>
                <w:t>UN COVID-19 MEDEVAC Medical Coordination Unit</w:t>
              </w:r>
            </w:hyperlink>
          </w:p>
        </w:tc>
        <w:tc>
          <w:tcPr>
            <w:tcW w:w="3850" w:type="dxa"/>
          </w:tcPr>
          <w:p w14:paraId="64C9A0FB" w14:textId="26082181" w:rsidR="003D5B61" w:rsidRPr="00D26A35" w:rsidRDefault="003D5B61" w:rsidP="00041D51">
            <w:pPr>
              <w:rPr>
                <w:rFonts w:eastAsia="Calibri" w:cs="Calibri"/>
                <w:sz w:val="20"/>
                <w:szCs w:val="20"/>
              </w:rPr>
            </w:pPr>
            <w:r w:rsidRPr="00D26A35">
              <w:rPr>
                <w:rFonts w:eastAsia="Calibri" w:cs="Calibri"/>
                <w:sz w:val="20"/>
                <w:szCs w:val="20"/>
              </w:rPr>
              <w:t>T</w:t>
            </w:r>
            <w:r w:rsidR="00754010" w:rsidRPr="00D26A35">
              <w:rPr>
                <w:rFonts w:eastAsia="Calibri" w:cs="Calibri"/>
                <w:sz w:val="20"/>
              </w:rPr>
              <w:t xml:space="preserve">he UN Secretary-General created a UN System-Wide Medevac Task Force in response to COVID-19. The Task Force has operationalised a unified COVID-19 MEDEVAC System. Under this System, eligible individuals who have a clinical need for healthcare not available at their duty location have access to regional treatment facilities, subject to availability and capacity. This includes support by the appropriate medical personnel, the deployment of air assets (aircraft and air ambulances), and a dedicated operations centre (the UN MEDEVAC Cell) to coordinate the joint resources of the UN system in operationalising COVID-19 MEDEVACs and </w:t>
            </w:r>
            <w:r w:rsidR="00041D51" w:rsidRPr="00D26A35">
              <w:rPr>
                <w:rFonts w:eastAsia="Calibri" w:cs="Calibri"/>
                <w:sz w:val="20"/>
              </w:rPr>
              <w:t>related services.</w:t>
            </w:r>
          </w:p>
        </w:tc>
        <w:tc>
          <w:tcPr>
            <w:tcW w:w="3457" w:type="dxa"/>
          </w:tcPr>
          <w:p w14:paraId="13E902A4" w14:textId="77777777" w:rsidR="003D5B61" w:rsidRPr="00D26A35" w:rsidRDefault="00754010" w:rsidP="007222FB">
            <w:pPr>
              <w:spacing w:line="257" w:lineRule="auto"/>
              <w:rPr>
                <w:sz w:val="20"/>
                <w:szCs w:val="20"/>
              </w:rPr>
            </w:pPr>
            <w:r w:rsidRPr="00D26A35">
              <w:rPr>
                <w:sz w:val="20"/>
              </w:rPr>
              <w:t xml:space="preserve">ITU’s Staff Nurse and Medical Advisor, are enrolled in the Medevac Cell, as Health operator and clinical coordinator. </w:t>
            </w:r>
          </w:p>
          <w:p w14:paraId="2631A4F6" w14:textId="04C85171" w:rsidR="00754010" w:rsidRPr="00D26A35" w:rsidRDefault="0096075E" w:rsidP="007222FB">
            <w:pPr>
              <w:spacing w:line="257" w:lineRule="auto"/>
              <w:rPr>
                <w:sz w:val="20"/>
                <w:szCs w:val="20"/>
              </w:rPr>
            </w:pPr>
            <w:r w:rsidRPr="00D26A35">
              <w:rPr>
                <w:sz w:val="20"/>
              </w:rPr>
              <w:t>The key benefit for ITU is to increase medical workforce skills in medical evacuations, other benefits are to increase inter-agency medical workforce cooperation and grow knowledge of the UN-led dedicated COVID-19 medical providers (that have proven beneficial for ITU staff in outside HQ duty stations or home-leave locations).</w:t>
            </w:r>
          </w:p>
        </w:tc>
        <w:tc>
          <w:tcPr>
            <w:tcW w:w="1843" w:type="dxa"/>
          </w:tcPr>
          <w:p w14:paraId="59923ACC" w14:textId="77777777" w:rsidR="00754010" w:rsidRPr="00D26A35" w:rsidRDefault="00754010" w:rsidP="007222FB">
            <w:pPr>
              <w:rPr>
                <w:rFonts w:eastAsia="Calibri" w:cs="Calibri"/>
                <w:sz w:val="20"/>
                <w:szCs w:val="20"/>
              </w:rPr>
            </w:pPr>
          </w:p>
        </w:tc>
        <w:tc>
          <w:tcPr>
            <w:tcW w:w="1984" w:type="dxa"/>
          </w:tcPr>
          <w:p w14:paraId="59E67E3F" w14:textId="436CB4F6" w:rsidR="00754010" w:rsidRPr="00D26A35" w:rsidRDefault="0096075E" w:rsidP="007222FB">
            <w:pPr>
              <w:rPr>
                <w:rFonts w:eastAsia="Calibri" w:cs="Calibri"/>
                <w:sz w:val="20"/>
                <w:szCs w:val="20"/>
              </w:rPr>
            </w:pPr>
            <w:r w:rsidRPr="00D26A35">
              <w:rPr>
                <w:rFonts w:eastAsia="Calibri" w:cs="Calibri"/>
                <w:sz w:val="20"/>
              </w:rPr>
              <w:t>1 day shift a week, 2 night shifts a month, 1 week-end shift every 6 week</w:t>
            </w:r>
          </w:p>
        </w:tc>
        <w:tc>
          <w:tcPr>
            <w:tcW w:w="1843" w:type="dxa"/>
          </w:tcPr>
          <w:p w14:paraId="7A86246E" w14:textId="01EAFBB1" w:rsidR="00754010" w:rsidRPr="00D26A35" w:rsidRDefault="0096075E" w:rsidP="007222FB">
            <w:pPr>
              <w:rPr>
                <w:rFonts w:eastAsia="Calibri" w:cs="Calibri"/>
                <w:sz w:val="20"/>
                <w:szCs w:val="20"/>
              </w:rPr>
            </w:pPr>
            <w:r w:rsidRPr="00D26A35">
              <w:rPr>
                <w:rFonts w:eastAsia="Calibri" w:cs="Calibri"/>
                <w:sz w:val="20"/>
              </w:rPr>
              <w:t>Staff costs</w:t>
            </w:r>
          </w:p>
        </w:tc>
      </w:tr>
      <w:tr w:rsidR="00041D51" w:rsidRPr="00D26A35" w14:paraId="6DA21122" w14:textId="77777777" w:rsidTr="00DF2C2F">
        <w:trPr>
          <w:trHeight w:val="195"/>
          <w:tblHeader/>
          <w:jc w:val="center"/>
        </w:trPr>
        <w:tc>
          <w:tcPr>
            <w:tcW w:w="1907" w:type="dxa"/>
          </w:tcPr>
          <w:p w14:paraId="782B659E" w14:textId="3D1AE7C2" w:rsidR="00041D51" w:rsidRPr="00D26A35" w:rsidRDefault="00CA2100" w:rsidP="007222FB">
            <w:pPr>
              <w:rPr>
                <w:sz w:val="20"/>
                <w:szCs w:val="18"/>
              </w:rPr>
            </w:pPr>
            <w:hyperlink r:id="rId143" w:history="1">
              <w:r w:rsidR="00041D51" w:rsidRPr="00D26A35">
                <w:rPr>
                  <w:rStyle w:val="Hyperlink"/>
                  <w:sz w:val="20"/>
                  <w:szCs w:val="18"/>
                </w:rPr>
                <w:t>UN Inter-Agency Team on SDG Good Practices</w:t>
              </w:r>
            </w:hyperlink>
            <w:r w:rsidR="00041D51" w:rsidRPr="00D26A35">
              <w:rPr>
                <w:sz w:val="20"/>
                <w:szCs w:val="18"/>
              </w:rPr>
              <w:t xml:space="preserve"> </w:t>
            </w:r>
          </w:p>
          <w:p w14:paraId="00BAD165" w14:textId="75D49A2B" w:rsidR="00041D51" w:rsidRPr="00D26A35" w:rsidRDefault="00041D51" w:rsidP="007222FB"/>
        </w:tc>
        <w:tc>
          <w:tcPr>
            <w:tcW w:w="3850" w:type="dxa"/>
          </w:tcPr>
          <w:p w14:paraId="7DF3E25E" w14:textId="77777777" w:rsidR="00041D51" w:rsidRPr="00D26A35" w:rsidRDefault="00041D51" w:rsidP="00041D51">
            <w:pPr>
              <w:rPr>
                <w:rFonts w:eastAsia="Calibri" w:cs="Calibri"/>
                <w:sz w:val="20"/>
              </w:rPr>
            </w:pPr>
            <w:r w:rsidRPr="00D26A35">
              <w:rPr>
                <w:rFonts w:eastAsia="Calibri" w:cs="Calibri"/>
                <w:sz w:val="20"/>
              </w:rPr>
              <w:t xml:space="preserve">Five years into the implementation of the 2030 Agenda and SDGs, many governments, UN entities, international and regional organizations, and stakeholders from all sectors, have accumulated experiences and lessons learned towards the implementation of SDGs. </w:t>
            </w:r>
          </w:p>
          <w:p w14:paraId="12660002" w14:textId="39138666" w:rsidR="00041D51" w:rsidRPr="00D26A35" w:rsidRDefault="00041D51" w:rsidP="00041D51">
            <w:pPr>
              <w:rPr>
                <w:rFonts w:eastAsia="Calibri" w:cs="Calibri"/>
                <w:sz w:val="20"/>
              </w:rPr>
            </w:pPr>
            <w:r w:rsidRPr="00D26A35">
              <w:rPr>
                <w:rFonts w:eastAsia="Calibri" w:cs="Calibri"/>
                <w:sz w:val="20"/>
              </w:rPr>
              <w:t xml:space="preserve">A dedicated UN inter-agency team was created to identify SDG good practices and success stories, which can be replicated and scaled up to address existing aps and constraints. </w:t>
            </w:r>
          </w:p>
          <w:p w14:paraId="19FFD36E" w14:textId="54DE26C4" w:rsidR="00041D51" w:rsidRPr="00D26A35" w:rsidRDefault="00041D51" w:rsidP="00041D51">
            <w:pPr>
              <w:rPr>
                <w:rFonts w:eastAsia="Calibri" w:cs="Calibri"/>
                <w:sz w:val="20"/>
              </w:rPr>
            </w:pPr>
          </w:p>
        </w:tc>
        <w:tc>
          <w:tcPr>
            <w:tcW w:w="3457" w:type="dxa"/>
          </w:tcPr>
          <w:p w14:paraId="73411424" w14:textId="4E77A754" w:rsidR="00041D51" w:rsidRPr="00D26A35" w:rsidRDefault="00041D51" w:rsidP="00041D51">
            <w:pPr>
              <w:rPr>
                <w:rFonts w:eastAsia="Calibri" w:cs="Calibri"/>
                <w:sz w:val="20"/>
              </w:rPr>
            </w:pPr>
            <w:r w:rsidRPr="00D26A35">
              <w:rPr>
                <w:rFonts w:eastAsia="Calibri" w:cs="Calibri"/>
                <w:sz w:val="20"/>
              </w:rPr>
              <w:t xml:space="preserve">A second open call for SDG good practices has been open since 2 December 2020 till 14 March 2021. </w:t>
            </w:r>
          </w:p>
          <w:p w14:paraId="22AE8FF5" w14:textId="53D8E12A" w:rsidR="00041D51" w:rsidRPr="00D26A35" w:rsidRDefault="00041D51" w:rsidP="00041D51">
            <w:pPr>
              <w:rPr>
                <w:rFonts w:eastAsia="Calibri" w:cs="Calibri"/>
                <w:sz w:val="20"/>
              </w:rPr>
            </w:pPr>
            <w:r w:rsidRPr="00D26A35">
              <w:rPr>
                <w:rFonts w:eastAsia="Calibri" w:cs="Calibri"/>
                <w:sz w:val="20"/>
              </w:rPr>
              <w:t xml:space="preserve">As part of the IAT, ITU will </w:t>
            </w:r>
            <w:proofErr w:type="spellStart"/>
            <w:r w:rsidRPr="00D26A35">
              <w:rPr>
                <w:rFonts w:eastAsia="Calibri" w:cs="Calibri"/>
                <w:sz w:val="20"/>
              </w:rPr>
              <w:t>analyze</w:t>
            </w:r>
            <w:proofErr w:type="spellEnd"/>
            <w:r w:rsidRPr="00D26A35">
              <w:rPr>
                <w:rFonts w:eastAsia="Calibri" w:cs="Calibri"/>
                <w:sz w:val="20"/>
              </w:rPr>
              <w:t xml:space="preserve"> the submission and decide whether they can be </w:t>
            </w:r>
            <w:proofErr w:type="spellStart"/>
            <w:r w:rsidRPr="00D26A35">
              <w:rPr>
                <w:rFonts w:eastAsia="Calibri" w:cs="Calibri"/>
                <w:sz w:val="20"/>
              </w:rPr>
              <w:t>idenfied</w:t>
            </w:r>
            <w:proofErr w:type="spellEnd"/>
            <w:r w:rsidRPr="00D26A35">
              <w:rPr>
                <w:rFonts w:eastAsia="Calibri" w:cs="Calibri"/>
                <w:sz w:val="20"/>
              </w:rPr>
              <w:t xml:space="preserve"> as </w:t>
            </w:r>
            <w:proofErr w:type="gramStart"/>
            <w:r w:rsidRPr="00D26A35">
              <w:rPr>
                <w:rFonts w:eastAsia="Calibri" w:cs="Calibri"/>
                <w:sz w:val="20"/>
              </w:rPr>
              <w:t>a</w:t>
            </w:r>
            <w:proofErr w:type="gramEnd"/>
            <w:r w:rsidRPr="00D26A35">
              <w:rPr>
                <w:rFonts w:eastAsia="Calibri" w:cs="Calibri"/>
                <w:sz w:val="20"/>
              </w:rPr>
              <w:t xml:space="preserve"> SDG Good Practices. Where applicable, ITU will also submit its good practices to achieve SDGs. </w:t>
            </w:r>
          </w:p>
          <w:p w14:paraId="1A4F2293" w14:textId="0E78A397" w:rsidR="00041D51" w:rsidRPr="00D26A35" w:rsidRDefault="00041D51" w:rsidP="00041D51">
            <w:pPr>
              <w:rPr>
                <w:rFonts w:eastAsia="Calibri" w:cs="Calibri"/>
                <w:sz w:val="20"/>
                <w:szCs w:val="20"/>
              </w:rPr>
            </w:pPr>
            <w:r w:rsidRPr="00D26A35">
              <w:rPr>
                <w:rFonts w:eastAsia="Calibri" w:cs="Calibri"/>
                <w:sz w:val="20"/>
                <w:szCs w:val="20"/>
              </w:rPr>
              <w:t>Enhance the role of ITU as the Specialized Agency for ICTs, and demonstrate its expertise on using ICTs to accelerate the achievement of SDGs.</w:t>
            </w:r>
          </w:p>
          <w:p w14:paraId="065EDE3C" w14:textId="04EA80AE" w:rsidR="00041D51" w:rsidRPr="00D26A35" w:rsidRDefault="00041D51" w:rsidP="00041D51">
            <w:pPr>
              <w:rPr>
                <w:sz w:val="20"/>
              </w:rPr>
            </w:pPr>
          </w:p>
        </w:tc>
        <w:tc>
          <w:tcPr>
            <w:tcW w:w="1843" w:type="dxa"/>
          </w:tcPr>
          <w:p w14:paraId="0080566A" w14:textId="640F1B44" w:rsidR="00041D51" w:rsidRPr="00D26A35" w:rsidRDefault="00041D51" w:rsidP="007222FB">
            <w:pPr>
              <w:rPr>
                <w:rFonts w:eastAsia="Calibri" w:cs="Calibri"/>
                <w:sz w:val="20"/>
              </w:rPr>
            </w:pPr>
            <w:r w:rsidRPr="00D26A35">
              <w:rPr>
                <w:rFonts w:eastAsia="Calibri" w:cs="Calibri"/>
                <w:sz w:val="20"/>
              </w:rPr>
              <w:t xml:space="preserve">Many (7-10) virtual meetings as necessary.  </w:t>
            </w:r>
          </w:p>
        </w:tc>
        <w:tc>
          <w:tcPr>
            <w:tcW w:w="1984" w:type="dxa"/>
          </w:tcPr>
          <w:p w14:paraId="7C5EBACF" w14:textId="68910E46" w:rsidR="00041D51" w:rsidRPr="00D26A35" w:rsidRDefault="00041D51" w:rsidP="007222FB">
            <w:pPr>
              <w:rPr>
                <w:rFonts w:eastAsia="Calibri" w:cs="Calibri"/>
                <w:sz w:val="20"/>
              </w:rPr>
            </w:pPr>
            <w:r w:rsidRPr="00D26A35">
              <w:rPr>
                <w:rFonts w:eastAsia="Calibri" w:cs="Calibri"/>
                <w:sz w:val="20"/>
              </w:rPr>
              <w:t xml:space="preserve">1.5 hours per meeting, and 1~3 days of ITU staff time, roughly. </w:t>
            </w:r>
          </w:p>
          <w:p w14:paraId="567FDB96" w14:textId="5F094141" w:rsidR="00041D51" w:rsidRPr="00D26A35" w:rsidRDefault="00041D51" w:rsidP="007222FB">
            <w:pPr>
              <w:rPr>
                <w:rFonts w:eastAsia="Calibri" w:cs="Calibri"/>
                <w:sz w:val="20"/>
              </w:rPr>
            </w:pPr>
          </w:p>
        </w:tc>
        <w:tc>
          <w:tcPr>
            <w:tcW w:w="1843" w:type="dxa"/>
          </w:tcPr>
          <w:p w14:paraId="0217FF19" w14:textId="6385848F" w:rsidR="00041D51" w:rsidRPr="00D26A35" w:rsidRDefault="00041D51" w:rsidP="007222FB">
            <w:pPr>
              <w:rPr>
                <w:rFonts w:eastAsia="Calibri" w:cs="Calibri"/>
                <w:sz w:val="20"/>
              </w:rPr>
            </w:pPr>
            <w:r w:rsidRPr="00D26A35">
              <w:rPr>
                <w:rFonts w:eastAsia="Calibri" w:cs="Calibri"/>
                <w:sz w:val="20"/>
              </w:rPr>
              <w:t xml:space="preserve">No additional cost </w:t>
            </w:r>
          </w:p>
        </w:tc>
      </w:tr>
      <w:tr w:rsidR="00B52691" w:rsidRPr="00D26A35" w14:paraId="3E809CA4" w14:textId="77777777" w:rsidTr="00DF2C2F">
        <w:trPr>
          <w:trHeight w:val="195"/>
          <w:tblHeader/>
          <w:jc w:val="center"/>
        </w:trPr>
        <w:tc>
          <w:tcPr>
            <w:tcW w:w="1907" w:type="dxa"/>
          </w:tcPr>
          <w:p w14:paraId="4DD58452" w14:textId="02FCA419" w:rsidR="00B52691" w:rsidRDefault="00CA2100" w:rsidP="00B52691">
            <w:hyperlink r:id="rId144" w:history="1">
              <w:r w:rsidR="00B52691" w:rsidRPr="002E4589">
                <w:rPr>
                  <w:rStyle w:val="Hyperlink"/>
                  <w:rFonts w:eastAsia="Calibri" w:cs="Calibri"/>
                  <w:lang w:val="en-US"/>
                </w:rPr>
                <w:t>UN Energy</w:t>
              </w:r>
            </w:hyperlink>
          </w:p>
        </w:tc>
        <w:tc>
          <w:tcPr>
            <w:tcW w:w="3850" w:type="dxa"/>
          </w:tcPr>
          <w:p w14:paraId="13421B3A" w14:textId="312FF76C" w:rsidR="00B52691" w:rsidRPr="00D26A35" w:rsidRDefault="00B52691" w:rsidP="00B52691">
            <w:pPr>
              <w:rPr>
                <w:rFonts w:eastAsia="Calibri" w:cs="Calibri"/>
                <w:sz w:val="20"/>
              </w:rPr>
            </w:pPr>
            <w:r w:rsidRPr="002E4589">
              <w:rPr>
                <w:rFonts w:eastAsia="Calibri" w:cs="Calibri"/>
                <w:sz w:val="20"/>
                <w:szCs w:val="20"/>
              </w:rPr>
              <w:t>UN-Energy was established by the UN System Chief Executives Board for Coordination (CEB) in 2004 as the United Nations ‘mechanism for inter-agency collaboration in the field of energy.</w:t>
            </w:r>
          </w:p>
        </w:tc>
        <w:tc>
          <w:tcPr>
            <w:tcW w:w="3457" w:type="dxa"/>
          </w:tcPr>
          <w:p w14:paraId="1833C7C0" w14:textId="77777777" w:rsidR="00B52691" w:rsidRPr="00614543" w:rsidRDefault="00B52691" w:rsidP="00B52691">
            <w:pPr>
              <w:spacing w:line="257" w:lineRule="auto"/>
              <w:rPr>
                <w:rFonts w:eastAsia="Calibri" w:cs="Calibri"/>
                <w:sz w:val="20"/>
                <w:szCs w:val="20"/>
              </w:rPr>
            </w:pPr>
            <w:r w:rsidRPr="00614543">
              <w:rPr>
                <w:rFonts w:eastAsia="Calibri" w:cs="Calibri"/>
                <w:sz w:val="20"/>
                <w:szCs w:val="20"/>
              </w:rPr>
              <w:t xml:space="preserve">ITU is working on sustainable and innovative power solutions for broadband connectivity, to assist </w:t>
            </w:r>
          </w:p>
          <w:p w14:paraId="6A1B46F3" w14:textId="1582CF3E" w:rsidR="00B52691" w:rsidRPr="00D26A35" w:rsidRDefault="00B52691" w:rsidP="00B52691">
            <w:pPr>
              <w:rPr>
                <w:rFonts w:eastAsia="Calibri" w:cs="Calibri"/>
                <w:sz w:val="20"/>
              </w:rPr>
            </w:pPr>
            <w:r w:rsidRPr="00614543">
              <w:rPr>
                <w:rFonts w:eastAsia="Calibri" w:cs="Calibri"/>
                <w:sz w:val="20"/>
                <w:szCs w:val="20"/>
              </w:rPr>
              <w:t>Member States in upgrading their networks and integrating modern and more energy-efficient networks. This includes more efficient working methods that can be used to replace or displace higher energy consuming technologies. Through its work, ITU supports the development of greener ICTs, smart green communities and smart grids that can build more controllable and efficient energy systems and reduce carbon emissions.</w:t>
            </w:r>
          </w:p>
        </w:tc>
        <w:tc>
          <w:tcPr>
            <w:tcW w:w="1843" w:type="dxa"/>
          </w:tcPr>
          <w:p w14:paraId="337DD209" w14:textId="77777777" w:rsidR="00B52691" w:rsidRPr="00D26A35" w:rsidRDefault="00B52691" w:rsidP="00B52691">
            <w:pPr>
              <w:rPr>
                <w:rFonts w:eastAsia="Calibri" w:cs="Calibri"/>
                <w:sz w:val="20"/>
              </w:rPr>
            </w:pPr>
          </w:p>
        </w:tc>
        <w:tc>
          <w:tcPr>
            <w:tcW w:w="1984" w:type="dxa"/>
          </w:tcPr>
          <w:p w14:paraId="7CEF8379" w14:textId="77777777" w:rsidR="00B52691" w:rsidRPr="00D26A35" w:rsidRDefault="00B52691" w:rsidP="00B52691">
            <w:pPr>
              <w:rPr>
                <w:rFonts w:eastAsia="Calibri" w:cs="Calibri"/>
                <w:sz w:val="20"/>
              </w:rPr>
            </w:pPr>
          </w:p>
        </w:tc>
        <w:tc>
          <w:tcPr>
            <w:tcW w:w="1843" w:type="dxa"/>
          </w:tcPr>
          <w:p w14:paraId="0B93C1DB" w14:textId="1C535223" w:rsidR="00B52691" w:rsidRPr="00D26A35" w:rsidRDefault="00B52691" w:rsidP="00B52691">
            <w:pPr>
              <w:rPr>
                <w:rFonts w:eastAsia="Calibri" w:cs="Calibri"/>
                <w:sz w:val="20"/>
              </w:rPr>
            </w:pPr>
            <w:r>
              <w:rPr>
                <w:rFonts w:eastAsia="Calibri" w:cs="Calibri"/>
                <w:sz w:val="20"/>
              </w:rPr>
              <w:t>Mo additional cost</w:t>
            </w:r>
          </w:p>
        </w:tc>
      </w:tr>
      <w:tr w:rsidR="00B52691" w:rsidRPr="00D26A35" w14:paraId="4A150FF4" w14:textId="77777777" w:rsidTr="00DF2C2F">
        <w:trPr>
          <w:trHeight w:val="195"/>
          <w:tblHeader/>
          <w:jc w:val="center"/>
        </w:trPr>
        <w:tc>
          <w:tcPr>
            <w:tcW w:w="1907" w:type="dxa"/>
          </w:tcPr>
          <w:p w14:paraId="05959CAF" w14:textId="565543BB" w:rsidR="00B52691" w:rsidRDefault="00CA2100" w:rsidP="00B52691">
            <w:hyperlink r:id="rId145" w:history="1">
              <w:r w:rsidR="00B52691" w:rsidRPr="00E2512B">
                <w:rPr>
                  <w:rStyle w:val="Hyperlink"/>
                  <w:rFonts w:eastAsia="Calibri" w:cs="Calibri"/>
                  <w:lang w:val="en-US"/>
                </w:rPr>
                <w:t>UN Water</w:t>
              </w:r>
            </w:hyperlink>
          </w:p>
        </w:tc>
        <w:tc>
          <w:tcPr>
            <w:tcW w:w="3850" w:type="dxa"/>
          </w:tcPr>
          <w:p w14:paraId="20143E58" w14:textId="77777777" w:rsidR="00B52691" w:rsidRDefault="00B52691" w:rsidP="00B52691">
            <w:pPr>
              <w:rPr>
                <w:rFonts w:eastAsia="Calibri" w:cs="Calibri"/>
                <w:sz w:val="20"/>
                <w:szCs w:val="20"/>
              </w:rPr>
            </w:pPr>
            <w:r w:rsidRPr="00614543">
              <w:rPr>
                <w:rFonts w:eastAsia="Calibri" w:cs="Calibri"/>
                <w:sz w:val="20"/>
                <w:szCs w:val="20"/>
              </w:rPr>
              <w:t>UN-Water coordinates the efforts of UN entities and international organizations working on water and sanitation issues.</w:t>
            </w:r>
          </w:p>
          <w:p w14:paraId="57A8A2A4" w14:textId="2FA5834B" w:rsidR="00B52691" w:rsidRPr="00D26A35" w:rsidRDefault="00B52691" w:rsidP="00B52691">
            <w:pPr>
              <w:rPr>
                <w:rFonts w:eastAsia="Calibri" w:cs="Calibri"/>
                <w:sz w:val="20"/>
              </w:rPr>
            </w:pPr>
            <w:r>
              <w:rPr>
                <w:rFonts w:eastAsia="Calibri" w:cs="Calibri"/>
                <w:sz w:val="20"/>
                <w:szCs w:val="20"/>
              </w:rPr>
              <w:t>ITU is a full member of UN Water</w:t>
            </w:r>
          </w:p>
        </w:tc>
        <w:tc>
          <w:tcPr>
            <w:tcW w:w="3457" w:type="dxa"/>
          </w:tcPr>
          <w:p w14:paraId="7BAAA1F2" w14:textId="77777777" w:rsidR="00B52691" w:rsidRDefault="00B52691" w:rsidP="00B52691">
            <w:pPr>
              <w:spacing w:line="257" w:lineRule="auto"/>
              <w:rPr>
                <w:rFonts w:eastAsia="Calibri" w:cs="Calibri"/>
                <w:sz w:val="20"/>
                <w:szCs w:val="20"/>
              </w:rPr>
            </w:pPr>
            <w:r w:rsidRPr="00E2512B">
              <w:rPr>
                <w:rFonts w:eastAsia="Calibri" w:cs="Calibri"/>
                <w:sz w:val="20"/>
                <w:szCs w:val="20"/>
              </w:rPr>
              <w:t>ITU can significantly help improve sustainably-managed water and sanitation services.</w:t>
            </w:r>
          </w:p>
          <w:p w14:paraId="5C13A89D" w14:textId="77777777" w:rsidR="00B52691" w:rsidRDefault="00B52691" w:rsidP="00B52691">
            <w:pPr>
              <w:spacing w:line="257" w:lineRule="auto"/>
              <w:rPr>
                <w:rFonts w:eastAsia="Calibri" w:cs="Calibri"/>
                <w:sz w:val="20"/>
                <w:szCs w:val="20"/>
              </w:rPr>
            </w:pPr>
            <w:r w:rsidRPr="00E2512B">
              <w:rPr>
                <w:rFonts w:eastAsia="Calibri" w:cs="Calibri"/>
                <w:sz w:val="20"/>
                <w:szCs w:val="20"/>
              </w:rPr>
              <w:t xml:space="preserve">ITU-T Study Group 5) on “Environment, climate change and circular economy” which has developed international standards on smart water management, set the requirements for water sensing and early warning systems and more. </w:t>
            </w:r>
          </w:p>
          <w:p w14:paraId="065B112F" w14:textId="77777777" w:rsidR="00B52691" w:rsidRDefault="00B52691" w:rsidP="00B52691">
            <w:pPr>
              <w:spacing w:line="257" w:lineRule="auto"/>
              <w:rPr>
                <w:rFonts w:eastAsia="Calibri" w:cs="Calibri"/>
                <w:sz w:val="20"/>
                <w:szCs w:val="20"/>
              </w:rPr>
            </w:pPr>
            <w:r w:rsidRPr="00E2512B">
              <w:rPr>
                <w:rFonts w:eastAsia="Calibri" w:cs="Calibri"/>
                <w:sz w:val="20"/>
                <w:szCs w:val="20"/>
              </w:rPr>
              <w:t xml:space="preserve">Focus Group on “Environmental Efficiency for Artificial Intelligence and other Emerging Technologies” can also provide valuable guidance on leveraging disruptive technologies for smart water management. </w:t>
            </w:r>
          </w:p>
          <w:p w14:paraId="7B7448D6" w14:textId="4A7AB045" w:rsidR="00B52691" w:rsidRPr="00D26A35" w:rsidRDefault="00B52691" w:rsidP="00B52691">
            <w:pPr>
              <w:rPr>
                <w:rFonts w:eastAsia="Calibri" w:cs="Calibri"/>
                <w:sz w:val="20"/>
              </w:rPr>
            </w:pPr>
            <w:r w:rsidRPr="00E2512B">
              <w:rPr>
                <w:rFonts w:eastAsia="Calibri" w:cs="Calibri"/>
                <w:sz w:val="20"/>
                <w:szCs w:val="20"/>
              </w:rPr>
              <w:t>ITU recently concluded a project on Smart Water Management in Egypt that shed light on the potential of utilizing internet of things and data in monitoring and managing groundwater resources. .</w:t>
            </w:r>
          </w:p>
        </w:tc>
        <w:tc>
          <w:tcPr>
            <w:tcW w:w="1843" w:type="dxa"/>
          </w:tcPr>
          <w:p w14:paraId="371B4316" w14:textId="77777777" w:rsidR="00B52691" w:rsidRPr="00D26A35" w:rsidRDefault="00B52691" w:rsidP="00B52691">
            <w:pPr>
              <w:rPr>
                <w:rFonts w:eastAsia="Calibri" w:cs="Calibri"/>
                <w:sz w:val="20"/>
              </w:rPr>
            </w:pPr>
          </w:p>
        </w:tc>
        <w:tc>
          <w:tcPr>
            <w:tcW w:w="1984" w:type="dxa"/>
          </w:tcPr>
          <w:p w14:paraId="2BE97AE2" w14:textId="77777777" w:rsidR="00B52691" w:rsidRPr="00D26A35" w:rsidRDefault="00B52691" w:rsidP="00B52691">
            <w:pPr>
              <w:rPr>
                <w:rFonts w:eastAsia="Calibri" w:cs="Calibri"/>
                <w:sz w:val="20"/>
              </w:rPr>
            </w:pPr>
          </w:p>
        </w:tc>
        <w:tc>
          <w:tcPr>
            <w:tcW w:w="1843" w:type="dxa"/>
          </w:tcPr>
          <w:p w14:paraId="371C0C6A" w14:textId="63B9AC28" w:rsidR="00B52691" w:rsidRPr="00D26A35" w:rsidRDefault="00B52691" w:rsidP="00B52691">
            <w:pPr>
              <w:rPr>
                <w:rFonts w:eastAsia="Calibri" w:cs="Calibri"/>
                <w:sz w:val="20"/>
              </w:rPr>
            </w:pPr>
            <w:r>
              <w:rPr>
                <w:rFonts w:eastAsia="Calibri" w:cs="Calibri"/>
                <w:sz w:val="20"/>
              </w:rPr>
              <w:t>No additional cost</w:t>
            </w:r>
          </w:p>
        </w:tc>
      </w:tr>
    </w:tbl>
    <w:bookmarkEnd w:id="12"/>
    <w:p w14:paraId="1D74BFA1" w14:textId="0FB95909" w:rsidR="003F4F52" w:rsidRPr="00D26A35" w:rsidRDefault="00041D51" w:rsidP="007222FB">
      <w:r w:rsidRPr="00D26A35">
        <w:t xml:space="preserve"> </w:t>
      </w:r>
      <w:r w:rsidR="003F4F52" w:rsidRPr="00D26A35">
        <w:t>(*)</w:t>
      </w:r>
      <w:r w:rsidR="003F4F52" w:rsidRPr="00D26A35">
        <w:rPr>
          <w:rFonts w:eastAsia="Calibri" w:cs="Calibri"/>
          <w:szCs w:val="24"/>
        </w:rPr>
        <w:t xml:space="preserve"> More than half of the meetings are conducted via electronic means. This practice is also increasing.</w:t>
      </w:r>
    </w:p>
    <w:p w14:paraId="78604418" w14:textId="6181B410" w:rsidR="00D338E0" w:rsidRPr="002A2188" w:rsidRDefault="00DA4743" w:rsidP="00564318">
      <w:pPr>
        <w:spacing w:before="840"/>
        <w:jc w:val="center"/>
        <w:rPr>
          <w:lang w:val="en-US"/>
        </w:rPr>
      </w:pPr>
      <w:r w:rsidRPr="00D26A35">
        <w:rPr>
          <w:lang w:val="en-US"/>
        </w:rPr>
        <w:t>________________</w:t>
      </w:r>
    </w:p>
    <w:sectPr w:rsidR="00D338E0" w:rsidRPr="002A2188" w:rsidSect="003F4F52">
      <w:headerReference w:type="first" r:id="rId146"/>
      <w:footerReference w:type="first" r:id="rId147"/>
      <w:pgSz w:w="16834" w:h="11907" w:orient="landscape"/>
      <w:pgMar w:top="1134" w:right="1418" w:bottom="1134" w:left="993"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C1D2" w14:textId="77777777" w:rsidR="00A41D78" w:rsidRDefault="00A41D78">
      <w:r>
        <w:separator/>
      </w:r>
    </w:p>
  </w:endnote>
  <w:endnote w:type="continuationSeparator" w:id="0">
    <w:p w14:paraId="1F5401F8" w14:textId="77777777" w:rsidR="00A41D78" w:rsidRDefault="00A41D78">
      <w:r>
        <w:continuationSeparator/>
      </w:r>
    </w:p>
  </w:endnote>
  <w:endnote w:type="continuationNotice" w:id="1">
    <w:p w14:paraId="44600F6E" w14:textId="77777777" w:rsidR="00A41D78" w:rsidRDefault="00A41D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1E76" w14:textId="2E970CEC" w:rsidR="00CF3C3C" w:rsidRDefault="00CF3C3C" w:rsidP="00A95CBB">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C626" w14:textId="188D86C2" w:rsidR="00CF3C3C" w:rsidRPr="003F4F52" w:rsidRDefault="00CF3C3C" w:rsidP="003F4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953B" w14:textId="77777777" w:rsidR="00A41D78" w:rsidRDefault="00A41D78">
      <w:r>
        <w:t>____________________</w:t>
      </w:r>
    </w:p>
  </w:footnote>
  <w:footnote w:type="continuationSeparator" w:id="0">
    <w:p w14:paraId="367590D3" w14:textId="77777777" w:rsidR="00A41D78" w:rsidRDefault="00A41D78">
      <w:r>
        <w:continuationSeparator/>
      </w:r>
    </w:p>
  </w:footnote>
  <w:footnote w:type="continuationNotice" w:id="1">
    <w:p w14:paraId="125C13F3" w14:textId="77777777" w:rsidR="00A41D78" w:rsidRDefault="00A41D7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3BEA" w14:textId="14D32F98" w:rsidR="00CF3C3C" w:rsidRDefault="00CF3C3C" w:rsidP="00CE433C">
    <w:pPr>
      <w:pStyle w:val="Header"/>
    </w:pPr>
    <w:r>
      <w:fldChar w:fldCharType="begin"/>
    </w:r>
    <w:r>
      <w:instrText>PAGE</w:instrText>
    </w:r>
    <w:r>
      <w:fldChar w:fldCharType="separate"/>
    </w:r>
    <w:r w:rsidR="00C80744">
      <w:rPr>
        <w:noProof/>
      </w:rPr>
      <w:t>27</w:t>
    </w:r>
    <w:r>
      <w:rPr>
        <w:noProof/>
      </w:rPr>
      <w:fldChar w:fldCharType="end"/>
    </w:r>
  </w:p>
  <w:p w14:paraId="0F4E7486" w14:textId="5668919B" w:rsidR="00CF3C3C" w:rsidRDefault="00CF3C3C" w:rsidP="00D338E0">
    <w:pPr>
      <w:pStyle w:val="Header"/>
      <w:rPr>
        <w:bCs/>
      </w:rPr>
    </w:pPr>
    <w:r>
      <w:rPr>
        <w:bCs/>
      </w:rPr>
      <w:t>C2</w:t>
    </w:r>
    <w:r w:rsidR="00BF3772">
      <w:rPr>
        <w:bCs/>
      </w:rPr>
      <w:t>2</w:t>
    </w:r>
    <w:r w:rsidRPr="00623AE3">
      <w:rPr>
        <w:bCs/>
      </w:rPr>
      <w:t>/</w:t>
    </w:r>
    <w:r>
      <w:rPr>
        <w:bCs/>
      </w:rPr>
      <w:t>INF/</w:t>
    </w:r>
    <w:r w:rsidR="00BF3772">
      <w:rPr>
        <w:bCs/>
      </w:rPr>
      <w:t>2</w:t>
    </w:r>
    <w:r w:rsidRPr="00623AE3">
      <w:rPr>
        <w:bCs/>
      </w:rPr>
      <w:t>-E</w:t>
    </w:r>
  </w:p>
  <w:p w14:paraId="04A6D801" w14:textId="77777777" w:rsidR="00564318" w:rsidRPr="00623AE3" w:rsidRDefault="00564318" w:rsidP="00D338E0">
    <w:pPr>
      <w:pStyle w:val="Header"/>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3B0E" w14:textId="2D1853BD" w:rsidR="00CF3C3C" w:rsidRDefault="00CF3C3C" w:rsidP="003F4F52">
    <w:pPr>
      <w:pStyle w:val="Header"/>
    </w:pPr>
    <w:r>
      <w:fldChar w:fldCharType="begin"/>
    </w:r>
    <w:r>
      <w:instrText>PAGE</w:instrText>
    </w:r>
    <w:r>
      <w:fldChar w:fldCharType="separate"/>
    </w:r>
    <w:r w:rsidR="00C80744">
      <w:rPr>
        <w:noProof/>
      </w:rPr>
      <w:t>10</w:t>
    </w:r>
    <w:r>
      <w:rPr>
        <w:noProof/>
      </w:rPr>
      <w:fldChar w:fldCharType="end"/>
    </w:r>
  </w:p>
  <w:p w14:paraId="0EBB5B42" w14:textId="10462FF3" w:rsidR="00CF3C3C" w:rsidRPr="00623AE3" w:rsidRDefault="00CF3C3C" w:rsidP="003F4F52">
    <w:pPr>
      <w:pStyle w:val="Header"/>
      <w:rPr>
        <w:bCs/>
      </w:rPr>
    </w:pPr>
    <w:r>
      <w:rPr>
        <w:bCs/>
      </w:rPr>
      <w:t>C2</w:t>
    </w:r>
    <w:r w:rsidR="00564318">
      <w:rPr>
        <w:bCs/>
      </w:rPr>
      <w:t>2</w:t>
    </w:r>
    <w:r w:rsidRPr="00623AE3">
      <w:rPr>
        <w:bCs/>
      </w:rPr>
      <w:t>/</w:t>
    </w:r>
    <w:r>
      <w:rPr>
        <w:bCs/>
      </w:rPr>
      <w:t>INF/</w:t>
    </w:r>
    <w:r w:rsidR="00564318">
      <w:rPr>
        <w:bCs/>
      </w:rPr>
      <w:t>2</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662D8"/>
    <w:multiLevelType w:val="hybridMultilevel"/>
    <w:tmpl w:val="7C58A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E5ED9"/>
    <w:multiLevelType w:val="hybridMultilevel"/>
    <w:tmpl w:val="CB18D5FE"/>
    <w:lvl w:ilvl="0" w:tplc="0809000F">
      <w:start w:val="1"/>
      <w:numFmt w:val="decimal"/>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3" w15:restartNumberingAfterBreak="0">
    <w:nsid w:val="0C413C30"/>
    <w:multiLevelType w:val="hybridMultilevel"/>
    <w:tmpl w:val="5AFE5A3C"/>
    <w:lvl w:ilvl="0" w:tplc="0896B51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5551F9"/>
    <w:multiLevelType w:val="hybridMultilevel"/>
    <w:tmpl w:val="4C0E2D74"/>
    <w:lvl w:ilvl="0" w:tplc="08090003">
      <w:start w:val="1"/>
      <w:numFmt w:val="bullet"/>
      <w:lvlText w:val="o"/>
      <w:lvlJc w:val="left"/>
      <w:pPr>
        <w:ind w:left="2287" w:hanging="360"/>
      </w:pPr>
      <w:rPr>
        <w:rFonts w:ascii="Courier New" w:hAnsi="Courier New" w:cs="Courier New" w:hint="default"/>
      </w:rPr>
    </w:lvl>
    <w:lvl w:ilvl="1" w:tplc="08090003">
      <w:start w:val="1"/>
      <w:numFmt w:val="bullet"/>
      <w:lvlText w:val="o"/>
      <w:lvlJc w:val="left"/>
      <w:pPr>
        <w:ind w:left="3007" w:hanging="360"/>
      </w:pPr>
      <w:rPr>
        <w:rFonts w:ascii="Courier New" w:hAnsi="Courier New" w:cs="Courier New" w:hint="default"/>
      </w:rPr>
    </w:lvl>
    <w:lvl w:ilvl="2" w:tplc="08090005" w:tentative="1">
      <w:start w:val="1"/>
      <w:numFmt w:val="bullet"/>
      <w:lvlText w:val=""/>
      <w:lvlJc w:val="left"/>
      <w:pPr>
        <w:ind w:left="3727" w:hanging="360"/>
      </w:pPr>
      <w:rPr>
        <w:rFonts w:ascii="Wingdings" w:hAnsi="Wingdings" w:hint="default"/>
      </w:rPr>
    </w:lvl>
    <w:lvl w:ilvl="3" w:tplc="08090001" w:tentative="1">
      <w:start w:val="1"/>
      <w:numFmt w:val="bullet"/>
      <w:lvlText w:val=""/>
      <w:lvlJc w:val="left"/>
      <w:pPr>
        <w:ind w:left="4447" w:hanging="360"/>
      </w:pPr>
      <w:rPr>
        <w:rFonts w:ascii="Symbol" w:hAnsi="Symbol" w:hint="default"/>
      </w:rPr>
    </w:lvl>
    <w:lvl w:ilvl="4" w:tplc="08090003" w:tentative="1">
      <w:start w:val="1"/>
      <w:numFmt w:val="bullet"/>
      <w:lvlText w:val="o"/>
      <w:lvlJc w:val="left"/>
      <w:pPr>
        <w:ind w:left="5167" w:hanging="360"/>
      </w:pPr>
      <w:rPr>
        <w:rFonts w:ascii="Courier New" w:hAnsi="Courier New" w:cs="Courier New" w:hint="default"/>
      </w:rPr>
    </w:lvl>
    <w:lvl w:ilvl="5" w:tplc="08090005" w:tentative="1">
      <w:start w:val="1"/>
      <w:numFmt w:val="bullet"/>
      <w:lvlText w:val=""/>
      <w:lvlJc w:val="left"/>
      <w:pPr>
        <w:ind w:left="5887" w:hanging="360"/>
      </w:pPr>
      <w:rPr>
        <w:rFonts w:ascii="Wingdings" w:hAnsi="Wingdings" w:hint="default"/>
      </w:rPr>
    </w:lvl>
    <w:lvl w:ilvl="6" w:tplc="08090001" w:tentative="1">
      <w:start w:val="1"/>
      <w:numFmt w:val="bullet"/>
      <w:lvlText w:val=""/>
      <w:lvlJc w:val="left"/>
      <w:pPr>
        <w:ind w:left="6607" w:hanging="360"/>
      </w:pPr>
      <w:rPr>
        <w:rFonts w:ascii="Symbol" w:hAnsi="Symbol" w:hint="default"/>
      </w:rPr>
    </w:lvl>
    <w:lvl w:ilvl="7" w:tplc="08090003" w:tentative="1">
      <w:start w:val="1"/>
      <w:numFmt w:val="bullet"/>
      <w:lvlText w:val="o"/>
      <w:lvlJc w:val="left"/>
      <w:pPr>
        <w:ind w:left="7327" w:hanging="360"/>
      </w:pPr>
      <w:rPr>
        <w:rFonts w:ascii="Courier New" w:hAnsi="Courier New" w:cs="Courier New" w:hint="default"/>
      </w:rPr>
    </w:lvl>
    <w:lvl w:ilvl="8" w:tplc="08090005" w:tentative="1">
      <w:start w:val="1"/>
      <w:numFmt w:val="bullet"/>
      <w:lvlText w:val=""/>
      <w:lvlJc w:val="left"/>
      <w:pPr>
        <w:ind w:left="8047" w:hanging="360"/>
      </w:pPr>
      <w:rPr>
        <w:rFonts w:ascii="Wingdings" w:hAnsi="Wingdings" w:hint="default"/>
      </w:rPr>
    </w:lvl>
  </w:abstractNum>
  <w:abstractNum w:abstractNumId="5" w15:restartNumberingAfterBreak="0">
    <w:nsid w:val="146F22B7"/>
    <w:multiLevelType w:val="hybridMultilevel"/>
    <w:tmpl w:val="17DA4C7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26E94"/>
    <w:multiLevelType w:val="hybridMultilevel"/>
    <w:tmpl w:val="E55693E6"/>
    <w:lvl w:ilvl="0" w:tplc="559A83BE">
      <w:start w:val="1"/>
      <w:numFmt w:val="bullet"/>
      <w:lvlText w:val=""/>
      <w:lvlJc w:val="left"/>
      <w:pPr>
        <w:ind w:left="720" w:hanging="360"/>
      </w:pPr>
      <w:rPr>
        <w:rFonts w:ascii="Symbol" w:hAnsi="Symbol" w:hint="default"/>
      </w:rPr>
    </w:lvl>
    <w:lvl w:ilvl="1" w:tplc="9FC49192">
      <w:start w:val="1"/>
      <w:numFmt w:val="bullet"/>
      <w:lvlText w:val="o"/>
      <w:lvlJc w:val="left"/>
      <w:pPr>
        <w:ind w:left="1440" w:hanging="360"/>
      </w:pPr>
      <w:rPr>
        <w:rFonts w:ascii="Courier New" w:hAnsi="Courier New" w:hint="default"/>
      </w:rPr>
    </w:lvl>
    <w:lvl w:ilvl="2" w:tplc="FE000D22">
      <w:start w:val="1"/>
      <w:numFmt w:val="bullet"/>
      <w:lvlText w:val=""/>
      <w:lvlJc w:val="left"/>
      <w:pPr>
        <w:ind w:left="2160" w:hanging="360"/>
      </w:pPr>
      <w:rPr>
        <w:rFonts w:ascii="Wingdings" w:hAnsi="Wingdings" w:hint="default"/>
      </w:rPr>
    </w:lvl>
    <w:lvl w:ilvl="3" w:tplc="4AE223C4">
      <w:start w:val="1"/>
      <w:numFmt w:val="bullet"/>
      <w:lvlText w:val=""/>
      <w:lvlJc w:val="left"/>
      <w:pPr>
        <w:ind w:left="2880" w:hanging="360"/>
      </w:pPr>
      <w:rPr>
        <w:rFonts w:ascii="Symbol" w:hAnsi="Symbol" w:hint="default"/>
      </w:rPr>
    </w:lvl>
    <w:lvl w:ilvl="4" w:tplc="745ED66C">
      <w:start w:val="1"/>
      <w:numFmt w:val="bullet"/>
      <w:lvlText w:val="o"/>
      <w:lvlJc w:val="left"/>
      <w:pPr>
        <w:ind w:left="3600" w:hanging="360"/>
      </w:pPr>
      <w:rPr>
        <w:rFonts w:ascii="Courier New" w:hAnsi="Courier New" w:hint="default"/>
      </w:rPr>
    </w:lvl>
    <w:lvl w:ilvl="5" w:tplc="7C5A2BA0">
      <w:start w:val="1"/>
      <w:numFmt w:val="bullet"/>
      <w:lvlText w:val=""/>
      <w:lvlJc w:val="left"/>
      <w:pPr>
        <w:ind w:left="4320" w:hanging="360"/>
      </w:pPr>
      <w:rPr>
        <w:rFonts w:ascii="Wingdings" w:hAnsi="Wingdings" w:hint="default"/>
      </w:rPr>
    </w:lvl>
    <w:lvl w:ilvl="6" w:tplc="02F6E71C">
      <w:start w:val="1"/>
      <w:numFmt w:val="bullet"/>
      <w:lvlText w:val=""/>
      <w:lvlJc w:val="left"/>
      <w:pPr>
        <w:ind w:left="5040" w:hanging="360"/>
      </w:pPr>
      <w:rPr>
        <w:rFonts w:ascii="Symbol" w:hAnsi="Symbol" w:hint="default"/>
      </w:rPr>
    </w:lvl>
    <w:lvl w:ilvl="7" w:tplc="A9324FFC">
      <w:start w:val="1"/>
      <w:numFmt w:val="bullet"/>
      <w:lvlText w:val="o"/>
      <w:lvlJc w:val="left"/>
      <w:pPr>
        <w:ind w:left="5760" w:hanging="360"/>
      </w:pPr>
      <w:rPr>
        <w:rFonts w:ascii="Courier New" w:hAnsi="Courier New" w:hint="default"/>
      </w:rPr>
    </w:lvl>
    <w:lvl w:ilvl="8" w:tplc="10CCD0E0">
      <w:start w:val="1"/>
      <w:numFmt w:val="bullet"/>
      <w:lvlText w:val=""/>
      <w:lvlJc w:val="left"/>
      <w:pPr>
        <w:ind w:left="6480" w:hanging="360"/>
      </w:pPr>
      <w:rPr>
        <w:rFonts w:ascii="Wingdings" w:hAnsi="Wingdings" w:hint="default"/>
      </w:rPr>
    </w:lvl>
  </w:abstractNum>
  <w:abstractNum w:abstractNumId="7" w15:restartNumberingAfterBreak="0">
    <w:nsid w:val="17C17B76"/>
    <w:multiLevelType w:val="hybridMultilevel"/>
    <w:tmpl w:val="284069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B4F7E"/>
    <w:multiLevelType w:val="hybridMultilevel"/>
    <w:tmpl w:val="D95E983A"/>
    <w:lvl w:ilvl="0" w:tplc="08090003">
      <w:start w:val="1"/>
      <w:numFmt w:val="bullet"/>
      <w:lvlText w:val="o"/>
      <w:lvlJc w:val="left"/>
      <w:pPr>
        <w:ind w:left="1124" w:hanging="360"/>
      </w:pPr>
      <w:rPr>
        <w:rFonts w:ascii="Courier New" w:hAnsi="Courier New" w:cs="Courier New" w:hint="default"/>
      </w:rPr>
    </w:lvl>
    <w:lvl w:ilvl="1" w:tplc="08090003">
      <w:start w:val="1"/>
      <w:numFmt w:val="bullet"/>
      <w:lvlText w:val="o"/>
      <w:lvlJc w:val="left"/>
      <w:pPr>
        <w:ind w:left="1844" w:hanging="360"/>
      </w:pPr>
      <w:rPr>
        <w:rFonts w:ascii="Courier New" w:hAnsi="Courier New" w:cs="Courier New" w:hint="default"/>
      </w:rPr>
    </w:lvl>
    <w:lvl w:ilvl="2" w:tplc="08090005" w:tentative="1">
      <w:start w:val="1"/>
      <w:numFmt w:val="bullet"/>
      <w:lvlText w:val=""/>
      <w:lvlJc w:val="left"/>
      <w:pPr>
        <w:ind w:left="2564" w:hanging="360"/>
      </w:pPr>
      <w:rPr>
        <w:rFonts w:ascii="Wingdings" w:hAnsi="Wingdings" w:hint="default"/>
      </w:rPr>
    </w:lvl>
    <w:lvl w:ilvl="3" w:tplc="08090001" w:tentative="1">
      <w:start w:val="1"/>
      <w:numFmt w:val="bullet"/>
      <w:lvlText w:val=""/>
      <w:lvlJc w:val="left"/>
      <w:pPr>
        <w:ind w:left="3284" w:hanging="360"/>
      </w:pPr>
      <w:rPr>
        <w:rFonts w:ascii="Symbol" w:hAnsi="Symbol" w:hint="default"/>
      </w:rPr>
    </w:lvl>
    <w:lvl w:ilvl="4" w:tplc="08090003" w:tentative="1">
      <w:start w:val="1"/>
      <w:numFmt w:val="bullet"/>
      <w:lvlText w:val="o"/>
      <w:lvlJc w:val="left"/>
      <w:pPr>
        <w:ind w:left="4004" w:hanging="360"/>
      </w:pPr>
      <w:rPr>
        <w:rFonts w:ascii="Courier New" w:hAnsi="Courier New" w:cs="Courier New" w:hint="default"/>
      </w:rPr>
    </w:lvl>
    <w:lvl w:ilvl="5" w:tplc="08090005" w:tentative="1">
      <w:start w:val="1"/>
      <w:numFmt w:val="bullet"/>
      <w:lvlText w:val=""/>
      <w:lvlJc w:val="left"/>
      <w:pPr>
        <w:ind w:left="4724" w:hanging="360"/>
      </w:pPr>
      <w:rPr>
        <w:rFonts w:ascii="Wingdings" w:hAnsi="Wingdings" w:hint="default"/>
      </w:rPr>
    </w:lvl>
    <w:lvl w:ilvl="6" w:tplc="08090001" w:tentative="1">
      <w:start w:val="1"/>
      <w:numFmt w:val="bullet"/>
      <w:lvlText w:val=""/>
      <w:lvlJc w:val="left"/>
      <w:pPr>
        <w:ind w:left="5444" w:hanging="360"/>
      </w:pPr>
      <w:rPr>
        <w:rFonts w:ascii="Symbol" w:hAnsi="Symbol" w:hint="default"/>
      </w:rPr>
    </w:lvl>
    <w:lvl w:ilvl="7" w:tplc="08090003" w:tentative="1">
      <w:start w:val="1"/>
      <w:numFmt w:val="bullet"/>
      <w:lvlText w:val="o"/>
      <w:lvlJc w:val="left"/>
      <w:pPr>
        <w:ind w:left="6164" w:hanging="360"/>
      </w:pPr>
      <w:rPr>
        <w:rFonts w:ascii="Courier New" w:hAnsi="Courier New" w:cs="Courier New" w:hint="default"/>
      </w:rPr>
    </w:lvl>
    <w:lvl w:ilvl="8" w:tplc="08090005" w:tentative="1">
      <w:start w:val="1"/>
      <w:numFmt w:val="bullet"/>
      <w:lvlText w:val=""/>
      <w:lvlJc w:val="left"/>
      <w:pPr>
        <w:ind w:left="6884" w:hanging="360"/>
      </w:pPr>
      <w:rPr>
        <w:rFonts w:ascii="Wingdings" w:hAnsi="Wingdings" w:hint="default"/>
      </w:rPr>
    </w:lvl>
  </w:abstractNum>
  <w:abstractNum w:abstractNumId="9" w15:restartNumberingAfterBreak="0">
    <w:nsid w:val="2A8E4362"/>
    <w:multiLevelType w:val="multilevel"/>
    <w:tmpl w:val="B7EC696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1" w15:restartNumberingAfterBreak="0">
    <w:nsid w:val="2D9851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D57F9D"/>
    <w:multiLevelType w:val="hybridMultilevel"/>
    <w:tmpl w:val="E88C0952"/>
    <w:lvl w:ilvl="0" w:tplc="0896B5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E79E1"/>
    <w:multiLevelType w:val="hybridMultilevel"/>
    <w:tmpl w:val="0E786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E36C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D5020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DE66243"/>
    <w:multiLevelType w:val="hybridMultilevel"/>
    <w:tmpl w:val="94AE44F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D705FD"/>
    <w:multiLevelType w:val="hybridMultilevel"/>
    <w:tmpl w:val="A8C2A6BE"/>
    <w:lvl w:ilvl="0" w:tplc="08090003">
      <w:start w:val="1"/>
      <w:numFmt w:val="bullet"/>
      <w:lvlText w:val="o"/>
      <w:lvlJc w:val="left"/>
      <w:pPr>
        <w:ind w:left="1014" w:hanging="360"/>
      </w:pPr>
      <w:rPr>
        <w:rFonts w:ascii="Courier New" w:hAnsi="Courier New" w:cs="Courier New"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8" w15:restartNumberingAfterBreak="0">
    <w:nsid w:val="4961503A"/>
    <w:multiLevelType w:val="hybridMultilevel"/>
    <w:tmpl w:val="76C86600"/>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569D110A"/>
    <w:multiLevelType w:val="hybridMultilevel"/>
    <w:tmpl w:val="4EDE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6E7027"/>
    <w:multiLevelType w:val="multilevel"/>
    <w:tmpl w:val="D7BCD7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D34E09"/>
    <w:multiLevelType w:val="hybridMultilevel"/>
    <w:tmpl w:val="C8969A38"/>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22" w15:restartNumberingAfterBreak="0">
    <w:nsid w:val="60F31B58"/>
    <w:multiLevelType w:val="hybridMultilevel"/>
    <w:tmpl w:val="565EEC3C"/>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C250B94"/>
    <w:multiLevelType w:val="hybridMultilevel"/>
    <w:tmpl w:val="9D54251E"/>
    <w:lvl w:ilvl="0" w:tplc="450A1826">
      <w:start w:val="1"/>
      <w:numFmt w:val="bullet"/>
      <w:lvlText w:val=""/>
      <w:lvlJc w:val="left"/>
      <w:pPr>
        <w:ind w:left="720" w:hanging="360"/>
      </w:pPr>
      <w:rPr>
        <w:rFonts w:ascii="Symbol" w:hAnsi="Symbol" w:hint="default"/>
      </w:rPr>
    </w:lvl>
    <w:lvl w:ilvl="1" w:tplc="BEBEFDC4">
      <w:start w:val="1"/>
      <w:numFmt w:val="bullet"/>
      <w:lvlText w:val="o"/>
      <w:lvlJc w:val="left"/>
      <w:pPr>
        <w:ind w:left="1440" w:hanging="360"/>
      </w:pPr>
      <w:rPr>
        <w:rFonts w:ascii="Courier New" w:hAnsi="Courier New" w:hint="default"/>
      </w:rPr>
    </w:lvl>
    <w:lvl w:ilvl="2" w:tplc="DC4AB15A">
      <w:start w:val="1"/>
      <w:numFmt w:val="bullet"/>
      <w:lvlText w:val=""/>
      <w:lvlJc w:val="left"/>
      <w:pPr>
        <w:ind w:left="2160" w:hanging="360"/>
      </w:pPr>
      <w:rPr>
        <w:rFonts w:ascii="Wingdings" w:hAnsi="Wingdings" w:hint="default"/>
      </w:rPr>
    </w:lvl>
    <w:lvl w:ilvl="3" w:tplc="80CEF8C0">
      <w:start w:val="1"/>
      <w:numFmt w:val="bullet"/>
      <w:lvlText w:val=""/>
      <w:lvlJc w:val="left"/>
      <w:pPr>
        <w:ind w:left="2880" w:hanging="360"/>
      </w:pPr>
      <w:rPr>
        <w:rFonts w:ascii="Symbol" w:hAnsi="Symbol" w:hint="default"/>
      </w:rPr>
    </w:lvl>
    <w:lvl w:ilvl="4" w:tplc="87729586">
      <w:start w:val="1"/>
      <w:numFmt w:val="bullet"/>
      <w:lvlText w:val="o"/>
      <w:lvlJc w:val="left"/>
      <w:pPr>
        <w:ind w:left="3600" w:hanging="360"/>
      </w:pPr>
      <w:rPr>
        <w:rFonts w:ascii="Courier New" w:hAnsi="Courier New" w:hint="default"/>
      </w:rPr>
    </w:lvl>
    <w:lvl w:ilvl="5" w:tplc="9B440D72">
      <w:start w:val="1"/>
      <w:numFmt w:val="bullet"/>
      <w:lvlText w:val=""/>
      <w:lvlJc w:val="left"/>
      <w:pPr>
        <w:ind w:left="4320" w:hanging="360"/>
      </w:pPr>
      <w:rPr>
        <w:rFonts w:ascii="Wingdings" w:hAnsi="Wingdings" w:hint="default"/>
      </w:rPr>
    </w:lvl>
    <w:lvl w:ilvl="6" w:tplc="247E3988">
      <w:start w:val="1"/>
      <w:numFmt w:val="bullet"/>
      <w:lvlText w:val=""/>
      <w:lvlJc w:val="left"/>
      <w:pPr>
        <w:ind w:left="5040" w:hanging="360"/>
      </w:pPr>
      <w:rPr>
        <w:rFonts w:ascii="Symbol" w:hAnsi="Symbol" w:hint="default"/>
      </w:rPr>
    </w:lvl>
    <w:lvl w:ilvl="7" w:tplc="93FCBDDC">
      <w:start w:val="1"/>
      <w:numFmt w:val="bullet"/>
      <w:lvlText w:val="o"/>
      <w:lvlJc w:val="left"/>
      <w:pPr>
        <w:ind w:left="5760" w:hanging="360"/>
      </w:pPr>
      <w:rPr>
        <w:rFonts w:ascii="Courier New" w:hAnsi="Courier New" w:hint="default"/>
      </w:rPr>
    </w:lvl>
    <w:lvl w:ilvl="8" w:tplc="37AC24BC">
      <w:start w:val="1"/>
      <w:numFmt w:val="bullet"/>
      <w:lvlText w:val=""/>
      <w:lvlJc w:val="left"/>
      <w:pPr>
        <w:ind w:left="6480" w:hanging="360"/>
      </w:pPr>
      <w:rPr>
        <w:rFonts w:ascii="Wingdings" w:hAnsi="Wingdings" w:hint="default"/>
      </w:rPr>
    </w:lvl>
  </w:abstractNum>
  <w:abstractNum w:abstractNumId="24" w15:restartNumberingAfterBreak="0">
    <w:nsid w:val="70CB69D3"/>
    <w:multiLevelType w:val="hybridMultilevel"/>
    <w:tmpl w:val="0D9A3D2A"/>
    <w:lvl w:ilvl="0" w:tplc="08090003">
      <w:start w:val="1"/>
      <w:numFmt w:val="bullet"/>
      <w:lvlText w:val="o"/>
      <w:lvlJc w:val="left"/>
      <w:pPr>
        <w:ind w:left="1014" w:hanging="360"/>
      </w:pPr>
      <w:rPr>
        <w:rFonts w:ascii="Courier New" w:hAnsi="Courier New" w:cs="Courier New"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25" w15:restartNumberingAfterBreak="0">
    <w:nsid w:val="759A59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13720C"/>
    <w:multiLevelType w:val="multilevel"/>
    <w:tmpl w:val="1F267B6C"/>
    <w:lvl w:ilvl="0">
      <w:start w:val="1"/>
      <w:numFmt w:val="decimal"/>
      <w:lvlText w:val="%1."/>
      <w:lvlJc w:val="left"/>
      <w:pPr>
        <w:ind w:left="720" w:hanging="360"/>
      </w:pPr>
      <w:rPr>
        <w:rFonts w:hint="default"/>
        <w:b/>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0"/>
  </w:num>
  <w:num w:numId="2">
    <w:abstractNumId w:val="26"/>
  </w:num>
  <w:num w:numId="3">
    <w:abstractNumId w:val="16"/>
  </w:num>
  <w:num w:numId="4">
    <w:abstractNumId w:val="5"/>
  </w:num>
  <w:num w:numId="5">
    <w:abstractNumId w:val="18"/>
  </w:num>
  <w:num w:numId="6">
    <w:abstractNumId w:val="10"/>
  </w:num>
  <w:num w:numId="7">
    <w:abstractNumId w:val="12"/>
  </w:num>
  <w:num w:numId="8">
    <w:abstractNumId w:val="3"/>
  </w:num>
  <w:num w:numId="9">
    <w:abstractNumId w:val="16"/>
  </w:num>
  <w:num w:numId="10">
    <w:abstractNumId w:val="16"/>
  </w:num>
  <w:num w:numId="11">
    <w:abstractNumId w:val="17"/>
  </w:num>
  <w:num w:numId="12">
    <w:abstractNumId w:val="7"/>
  </w:num>
  <w:num w:numId="13">
    <w:abstractNumId w:val="8"/>
  </w:num>
  <w:num w:numId="14">
    <w:abstractNumId w:val="4"/>
  </w:num>
  <w:num w:numId="15">
    <w:abstractNumId w:val="24"/>
  </w:num>
  <w:num w:numId="16">
    <w:abstractNumId w:val="21"/>
  </w:num>
  <w:num w:numId="17">
    <w:abstractNumId w:val="6"/>
  </w:num>
  <w:num w:numId="18">
    <w:abstractNumId w:val="23"/>
  </w:num>
  <w:num w:numId="19">
    <w:abstractNumId w:val="16"/>
  </w:num>
  <w:num w:numId="20">
    <w:abstractNumId w:val="15"/>
  </w:num>
  <w:num w:numId="21">
    <w:abstractNumId w:val="2"/>
  </w:num>
  <w:num w:numId="22">
    <w:abstractNumId w:val="9"/>
  </w:num>
  <w:num w:numId="23">
    <w:abstractNumId w:val="14"/>
  </w:num>
  <w:num w:numId="24">
    <w:abstractNumId w:val="25"/>
  </w:num>
  <w:num w:numId="25">
    <w:abstractNumId w:val="13"/>
  </w:num>
  <w:num w:numId="26">
    <w:abstractNumId w:val="11"/>
  </w:num>
  <w:num w:numId="27">
    <w:abstractNumId w:val="20"/>
  </w:num>
  <w:num w:numId="28">
    <w:abstractNumId w:val="1"/>
  </w:num>
  <w:num w:numId="29">
    <w:abstractNumId w:val="1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MjO1sDA0MTUyMzBU0lEKTi0uzszPAykwrgUAnPbreywAAAA="/>
  </w:docVars>
  <w:rsids>
    <w:rsidRoot w:val="005F3269"/>
    <w:rsid w:val="000016E1"/>
    <w:rsid w:val="00007631"/>
    <w:rsid w:val="000210D4"/>
    <w:rsid w:val="00030056"/>
    <w:rsid w:val="00041D51"/>
    <w:rsid w:val="000545D0"/>
    <w:rsid w:val="000622B7"/>
    <w:rsid w:val="00063016"/>
    <w:rsid w:val="00066795"/>
    <w:rsid w:val="000769F6"/>
    <w:rsid w:val="00076AF6"/>
    <w:rsid w:val="00084356"/>
    <w:rsid w:val="00085CF2"/>
    <w:rsid w:val="00091BFB"/>
    <w:rsid w:val="000A1243"/>
    <w:rsid w:val="000A2139"/>
    <w:rsid w:val="000A3F49"/>
    <w:rsid w:val="000A578C"/>
    <w:rsid w:val="000A6F71"/>
    <w:rsid w:val="000B139C"/>
    <w:rsid w:val="000B1705"/>
    <w:rsid w:val="000D3275"/>
    <w:rsid w:val="000D5544"/>
    <w:rsid w:val="000D75B2"/>
    <w:rsid w:val="000E2134"/>
    <w:rsid w:val="001016C0"/>
    <w:rsid w:val="001118E8"/>
    <w:rsid w:val="001121F5"/>
    <w:rsid w:val="00133709"/>
    <w:rsid w:val="001400DC"/>
    <w:rsid w:val="00140CE1"/>
    <w:rsid w:val="001441A3"/>
    <w:rsid w:val="001566C5"/>
    <w:rsid w:val="001568B1"/>
    <w:rsid w:val="00160863"/>
    <w:rsid w:val="0017539C"/>
    <w:rsid w:val="001757BC"/>
    <w:rsid w:val="00175AC2"/>
    <w:rsid w:val="0017609F"/>
    <w:rsid w:val="001769A3"/>
    <w:rsid w:val="001775B4"/>
    <w:rsid w:val="00186A19"/>
    <w:rsid w:val="00186FFD"/>
    <w:rsid w:val="0019245A"/>
    <w:rsid w:val="001A347A"/>
    <w:rsid w:val="001A3E9C"/>
    <w:rsid w:val="001A4A4F"/>
    <w:rsid w:val="001C351A"/>
    <w:rsid w:val="001C4A6B"/>
    <w:rsid w:val="001C628E"/>
    <w:rsid w:val="001C7090"/>
    <w:rsid w:val="001D019E"/>
    <w:rsid w:val="001D2505"/>
    <w:rsid w:val="001E0F7B"/>
    <w:rsid w:val="001E145F"/>
    <w:rsid w:val="001F1851"/>
    <w:rsid w:val="0020566C"/>
    <w:rsid w:val="002068B8"/>
    <w:rsid w:val="002107B6"/>
    <w:rsid w:val="002119FD"/>
    <w:rsid w:val="002130E0"/>
    <w:rsid w:val="00221C65"/>
    <w:rsid w:val="002227C0"/>
    <w:rsid w:val="00226D79"/>
    <w:rsid w:val="002333AD"/>
    <w:rsid w:val="00241547"/>
    <w:rsid w:val="00243822"/>
    <w:rsid w:val="00244D43"/>
    <w:rsid w:val="00250ABC"/>
    <w:rsid w:val="002629EA"/>
    <w:rsid w:val="00263801"/>
    <w:rsid w:val="00264425"/>
    <w:rsid w:val="00265875"/>
    <w:rsid w:val="002710A2"/>
    <w:rsid w:val="0027303B"/>
    <w:rsid w:val="0027696E"/>
    <w:rsid w:val="0028109B"/>
    <w:rsid w:val="00285953"/>
    <w:rsid w:val="00285CAC"/>
    <w:rsid w:val="00290355"/>
    <w:rsid w:val="00295077"/>
    <w:rsid w:val="002A1A08"/>
    <w:rsid w:val="002A2188"/>
    <w:rsid w:val="002B1F58"/>
    <w:rsid w:val="002B208D"/>
    <w:rsid w:val="002B60DB"/>
    <w:rsid w:val="002B7F24"/>
    <w:rsid w:val="002C1C7A"/>
    <w:rsid w:val="002C7EA0"/>
    <w:rsid w:val="002D05B4"/>
    <w:rsid w:val="002F1FBE"/>
    <w:rsid w:val="0030160F"/>
    <w:rsid w:val="00314EFB"/>
    <w:rsid w:val="00322D0D"/>
    <w:rsid w:val="0032682A"/>
    <w:rsid w:val="0034162B"/>
    <w:rsid w:val="00343523"/>
    <w:rsid w:val="00343BC9"/>
    <w:rsid w:val="00350569"/>
    <w:rsid w:val="00364F8D"/>
    <w:rsid w:val="003705DF"/>
    <w:rsid w:val="00372E89"/>
    <w:rsid w:val="00381D7F"/>
    <w:rsid w:val="003871C5"/>
    <w:rsid w:val="003942D4"/>
    <w:rsid w:val="003958A8"/>
    <w:rsid w:val="003B5E70"/>
    <w:rsid w:val="003C2533"/>
    <w:rsid w:val="003C6B75"/>
    <w:rsid w:val="003D03D3"/>
    <w:rsid w:val="003D3F60"/>
    <w:rsid w:val="003D5B61"/>
    <w:rsid w:val="003D7C4A"/>
    <w:rsid w:val="003E2509"/>
    <w:rsid w:val="003E7F41"/>
    <w:rsid w:val="003F3662"/>
    <w:rsid w:val="003F4F52"/>
    <w:rsid w:val="003F7588"/>
    <w:rsid w:val="00402290"/>
    <w:rsid w:val="0040435A"/>
    <w:rsid w:val="00416A24"/>
    <w:rsid w:val="0041764F"/>
    <w:rsid w:val="00425094"/>
    <w:rsid w:val="00430C4C"/>
    <w:rsid w:val="00431D9E"/>
    <w:rsid w:val="00433CE8"/>
    <w:rsid w:val="00434763"/>
    <w:rsid w:val="00434A5C"/>
    <w:rsid w:val="004377FC"/>
    <w:rsid w:val="004544D9"/>
    <w:rsid w:val="0045461C"/>
    <w:rsid w:val="00455A2E"/>
    <w:rsid w:val="004613A8"/>
    <w:rsid w:val="00464EDA"/>
    <w:rsid w:val="0046615A"/>
    <w:rsid w:val="00472B96"/>
    <w:rsid w:val="004730AC"/>
    <w:rsid w:val="00475A93"/>
    <w:rsid w:val="00475B4F"/>
    <w:rsid w:val="004903F4"/>
    <w:rsid w:val="00490E72"/>
    <w:rsid w:val="00491157"/>
    <w:rsid w:val="004921C8"/>
    <w:rsid w:val="004956C2"/>
    <w:rsid w:val="004C0C2A"/>
    <w:rsid w:val="004C3716"/>
    <w:rsid w:val="004D05A3"/>
    <w:rsid w:val="004D1851"/>
    <w:rsid w:val="004D599D"/>
    <w:rsid w:val="004E2078"/>
    <w:rsid w:val="004E2EA5"/>
    <w:rsid w:val="004E3AEB"/>
    <w:rsid w:val="004F0209"/>
    <w:rsid w:val="004F0D8D"/>
    <w:rsid w:val="0050223C"/>
    <w:rsid w:val="005030A8"/>
    <w:rsid w:val="00506F73"/>
    <w:rsid w:val="00510802"/>
    <w:rsid w:val="00514AAD"/>
    <w:rsid w:val="005215DC"/>
    <w:rsid w:val="005231A2"/>
    <w:rsid w:val="00523F87"/>
    <w:rsid w:val="005243FF"/>
    <w:rsid w:val="00532947"/>
    <w:rsid w:val="0055041E"/>
    <w:rsid w:val="00550A97"/>
    <w:rsid w:val="00557844"/>
    <w:rsid w:val="00564318"/>
    <w:rsid w:val="00564FBC"/>
    <w:rsid w:val="00582106"/>
    <w:rsid w:val="00582442"/>
    <w:rsid w:val="005877BD"/>
    <w:rsid w:val="00592252"/>
    <w:rsid w:val="005B4CAF"/>
    <w:rsid w:val="005C2934"/>
    <w:rsid w:val="005E19DB"/>
    <w:rsid w:val="005F1AD9"/>
    <w:rsid w:val="005F3269"/>
    <w:rsid w:val="005F698C"/>
    <w:rsid w:val="00606B95"/>
    <w:rsid w:val="00623AE3"/>
    <w:rsid w:val="006251AF"/>
    <w:rsid w:val="006252A9"/>
    <w:rsid w:val="0064737F"/>
    <w:rsid w:val="00652502"/>
    <w:rsid w:val="006535F1"/>
    <w:rsid w:val="00655188"/>
    <w:rsid w:val="0065557D"/>
    <w:rsid w:val="00656454"/>
    <w:rsid w:val="00662984"/>
    <w:rsid w:val="00664DBE"/>
    <w:rsid w:val="006716BB"/>
    <w:rsid w:val="00692BAD"/>
    <w:rsid w:val="00694E2F"/>
    <w:rsid w:val="006A7702"/>
    <w:rsid w:val="006B5346"/>
    <w:rsid w:val="006B6680"/>
    <w:rsid w:val="006B6BA4"/>
    <w:rsid w:val="006B6DCC"/>
    <w:rsid w:val="006D45D6"/>
    <w:rsid w:val="006E0EA9"/>
    <w:rsid w:val="00702DEF"/>
    <w:rsid w:val="00706861"/>
    <w:rsid w:val="00707AA3"/>
    <w:rsid w:val="007162F3"/>
    <w:rsid w:val="00717668"/>
    <w:rsid w:val="007222FB"/>
    <w:rsid w:val="007322F9"/>
    <w:rsid w:val="0073389E"/>
    <w:rsid w:val="00740FE3"/>
    <w:rsid w:val="00741970"/>
    <w:rsid w:val="0075051B"/>
    <w:rsid w:val="00754010"/>
    <w:rsid w:val="00757B40"/>
    <w:rsid w:val="0076276C"/>
    <w:rsid w:val="007629FA"/>
    <w:rsid w:val="007655E9"/>
    <w:rsid w:val="00792074"/>
    <w:rsid w:val="00792162"/>
    <w:rsid w:val="00793188"/>
    <w:rsid w:val="00794D34"/>
    <w:rsid w:val="007B38EB"/>
    <w:rsid w:val="007C3DC6"/>
    <w:rsid w:val="007D4951"/>
    <w:rsid w:val="007D54CB"/>
    <w:rsid w:val="007D70AD"/>
    <w:rsid w:val="007E635C"/>
    <w:rsid w:val="007F16CF"/>
    <w:rsid w:val="008044B8"/>
    <w:rsid w:val="00813E5E"/>
    <w:rsid w:val="00816A89"/>
    <w:rsid w:val="0082181C"/>
    <w:rsid w:val="00821D3C"/>
    <w:rsid w:val="008350A3"/>
    <w:rsid w:val="0083581B"/>
    <w:rsid w:val="00840CF8"/>
    <w:rsid w:val="00864AFF"/>
    <w:rsid w:val="0086557A"/>
    <w:rsid w:val="00881D45"/>
    <w:rsid w:val="008872C8"/>
    <w:rsid w:val="00895811"/>
    <w:rsid w:val="00897CE9"/>
    <w:rsid w:val="008B2923"/>
    <w:rsid w:val="008B4A6A"/>
    <w:rsid w:val="008C0FFF"/>
    <w:rsid w:val="008C2C2B"/>
    <w:rsid w:val="008C7E27"/>
    <w:rsid w:val="008D1143"/>
    <w:rsid w:val="008D2ED5"/>
    <w:rsid w:val="008D3838"/>
    <w:rsid w:val="008E2088"/>
    <w:rsid w:val="008E75C9"/>
    <w:rsid w:val="008F36E5"/>
    <w:rsid w:val="008F3B26"/>
    <w:rsid w:val="008F65CB"/>
    <w:rsid w:val="009173EF"/>
    <w:rsid w:val="00922DCA"/>
    <w:rsid w:val="00923861"/>
    <w:rsid w:val="00930F0D"/>
    <w:rsid w:val="00931700"/>
    <w:rsid w:val="00931B12"/>
    <w:rsid w:val="00932906"/>
    <w:rsid w:val="00944734"/>
    <w:rsid w:val="00951920"/>
    <w:rsid w:val="00953489"/>
    <w:rsid w:val="00955003"/>
    <w:rsid w:val="00956D1A"/>
    <w:rsid w:val="0096075E"/>
    <w:rsid w:val="00961B0B"/>
    <w:rsid w:val="00966342"/>
    <w:rsid w:val="00967EDB"/>
    <w:rsid w:val="00970B05"/>
    <w:rsid w:val="00971EE5"/>
    <w:rsid w:val="00994DD6"/>
    <w:rsid w:val="00994ED4"/>
    <w:rsid w:val="009A0530"/>
    <w:rsid w:val="009A551B"/>
    <w:rsid w:val="009A63CF"/>
    <w:rsid w:val="009B38C3"/>
    <w:rsid w:val="009D204C"/>
    <w:rsid w:val="009E17BD"/>
    <w:rsid w:val="009E485A"/>
    <w:rsid w:val="009E5609"/>
    <w:rsid w:val="009F0070"/>
    <w:rsid w:val="009F550C"/>
    <w:rsid w:val="009F66A3"/>
    <w:rsid w:val="009F76F4"/>
    <w:rsid w:val="00A00EB2"/>
    <w:rsid w:val="00A013D4"/>
    <w:rsid w:val="00A04CEC"/>
    <w:rsid w:val="00A11DB5"/>
    <w:rsid w:val="00A14580"/>
    <w:rsid w:val="00A2034F"/>
    <w:rsid w:val="00A219FF"/>
    <w:rsid w:val="00A27F92"/>
    <w:rsid w:val="00A321BC"/>
    <w:rsid w:val="00A32257"/>
    <w:rsid w:val="00A36D20"/>
    <w:rsid w:val="00A41D78"/>
    <w:rsid w:val="00A436A6"/>
    <w:rsid w:val="00A52A36"/>
    <w:rsid w:val="00A55622"/>
    <w:rsid w:val="00A63599"/>
    <w:rsid w:val="00A64845"/>
    <w:rsid w:val="00A708A0"/>
    <w:rsid w:val="00A7457A"/>
    <w:rsid w:val="00A80A35"/>
    <w:rsid w:val="00A83502"/>
    <w:rsid w:val="00A8382F"/>
    <w:rsid w:val="00A93564"/>
    <w:rsid w:val="00A93A32"/>
    <w:rsid w:val="00A9548A"/>
    <w:rsid w:val="00A95CBB"/>
    <w:rsid w:val="00AA3FF0"/>
    <w:rsid w:val="00AA7735"/>
    <w:rsid w:val="00AB7E89"/>
    <w:rsid w:val="00AC4116"/>
    <w:rsid w:val="00AC47C8"/>
    <w:rsid w:val="00AC6177"/>
    <w:rsid w:val="00AD15B3"/>
    <w:rsid w:val="00AD22FF"/>
    <w:rsid w:val="00AD6230"/>
    <w:rsid w:val="00AE32FA"/>
    <w:rsid w:val="00AE4E93"/>
    <w:rsid w:val="00AF6E45"/>
    <w:rsid w:val="00AF6E49"/>
    <w:rsid w:val="00B004AF"/>
    <w:rsid w:val="00B04A67"/>
    <w:rsid w:val="00B0583C"/>
    <w:rsid w:val="00B16ED9"/>
    <w:rsid w:val="00B20B1B"/>
    <w:rsid w:val="00B24576"/>
    <w:rsid w:val="00B339F4"/>
    <w:rsid w:val="00B33C77"/>
    <w:rsid w:val="00B40A81"/>
    <w:rsid w:val="00B43ACE"/>
    <w:rsid w:val="00B43C5D"/>
    <w:rsid w:val="00B44910"/>
    <w:rsid w:val="00B52691"/>
    <w:rsid w:val="00B53710"/>
    <w:rsid w:val="00B72267"/>
    <w:rsid w:val="00B76EB6"/>
    <w:rsid w:val="00B7737B"/>
    <w:rsid w:val="00B824C8"/>
    <w:rsid w:val="00BA6DD3"/>
    <w:rsid w:val="00BC251A"/>
    <w:rsid w:val="00BC2ADC"/>
    <w:rsid w:val="00BD032B"/>
    <w:rsid w:val="00BD5545"/>
    <w:rsid w:val="00BE2640"/>
    <w:rsid w:val="00BF2C5D"/>
    <w:rsid w:val="00BF3772"/>
    <w:rsid w:val="00BF439E"/>
    <w:rsid w:val="00C01189"/>
    <w:rsid w:val="00C0359D"/>
    <w:rsid w:val="00C2147A"/>
    <w:rsid w:val="00C2225E"/>
    <w:rsid w:val="00C22817"/>
    <w:rsid w:val="00C374DE"/>
    <w:rsid w:val="00C40E21"/>
    <w:rsid w:val="00C42E32"/>
    <w:rsid w:val="00C44394"/>
    <w:rsid w:val="00C47AD4"/>
    <w:rsid w:val="00C52D81"/>
    <w:rsid w:val="00C55198"/>
    <w:rsid w:val="00C57F44"/>
    <w:rsid w:val="00C61D0F"/>
    <w:rsid w:val="00C629B3"/>
    <w:rsid w:val="00C70BF3"/>
    <w:rsid w:val="00C80744"/>
    <w:rsid w:val="00C80919"/>
    <w:rsid w:val="00C821FF"/>
    <w:rsid w:val="00C82F25"/>
    <w:rsid w:val="00CA0B63"/>
    <w:rsid w:val="00CA5789"/>
    <w:rsid w:val="00CA6393"/>
    <w:rsid w:val="00CA6E0A"/>
    <w:rsid w:val="00CB09FE"/>
    <w:rsid w:val="00CB18FF"/>
    <w:rsid w:val="00CB32FF"/>
    <w:rsid w:val="00CB5F44"/>
    <w:rsid w:val="00CB7D0E"/>
    <w:rsid w:val="00CD0C08"/>
    <w:rsid w:val="00CD4F02"/>
    <w:rsid w:val="00CE03FB"/>
    <w:rsid w:val="00CE433C"/>
    <w:rsid w:val="00CF1D19"/>
    <w:rsid w:val="00CF33F3"/>
    <w:rsid w:val="00CF3C3C"/>
    <w:rsid w:val="00D05BE8"/>
    <w:rsid w:val="00D06183"/>
    <w:rsid w:val="00D12FE7"/>
    <w:rsid w:val="00D16557"/>
    <w:rsid w:val="00D174AC"/>
    <w:rsid w:val="00D22C42"/>
    <w:rsid w:val="00D26A35"/>
    <w:rsid w:val="00D312A0"/>
    <w:rsid w:val="00D32AB6"/>
    <w:rsid w:val="00D338E0"/>
    <w:rsid w:val="00D33B11"/>
    <w:rsid w:val="00D46D27"/>
    <w:rsid w:val="00D51866"/>
    <w:rsid w:val="00D65041"/>
    <w:rsid w:val="00D7152D"/>
    <w:rsid w:val="00D851FE"/>
    <w:rsid w:val="00D93EB2"/>
    <w:rsid w:val="00D96174"/>
    <w:rsid w:val="00D970B0"/>
    <w:rsid w:val="00DA4743"/>
    <w:rsid w:val="00DB0E45"/>
    <w:rsid w:val="00DB384B"/>
    <w:rsid w:val="00DB4125"/>
    <w:rsid w:val="00DB57CE"/>
    <w:rsid w:val="00DC0B8E"/>
    <w:rsid w:val="00DC48A2"/>
    <w:rsid w:val="00DD0C75"/>
    <w:rsid w:val="00DD23F5"/>
    <w:rsid w:val="00DD5632"/>
    <w:rsid w:val="00DD6B9B"/>
    <w:rsid w:val="00DF2C2F"/>
    <w:rsid w:val="00E06A6B"/>
    <w:rsid w:val="00E10E80"/>
    <w:rsid w:val="00E11122"/>
    <w:rsid w:val="00E11A50"/>
    <w:rsid w:val="00E124F0"/>
    <w:rsid w:val="00E13658"/>
    <w:rsid w:val="00E32AC6"/>
    <w:rsid w:val="00E60F04"/>
    <w:rsid w:val="00E7091D"/>
    <w:rsid w:val="00E854E4"/>
    <w:rsid w:val="00E944EF"/>
    <w:rsid w:val="00EA1E80"/>
    <w:rsid w:val="00EA4C80"/>
    <w:rsid w:val="00EB0D6F"/>
    <w:rsid w:val="00EB2232"/>
    <w:rsid w:val="00EC0778"/>
    <w:rsid w:val="00EC22F1"/>
    <w:rsid w:val="00EC5337"/>
    <w:rsid w:val="00EC539D"/>
    <w:rsid w:val="00EC70B4"/>
    <w:rsid w:val="00ED6D10"/>
    <w:rsid w:val="00EE2752"/>
    <w:rsid w:val="00EE38DD"/>
    <w:rsid w:val="00EF291E"/>
    <w:rsid w:val="00EF5C11"/>
    <w:rsid w:val="00EF6C70"/>
    <w:rsid w:val="00F073C1"/>
    <w:rsid w:val="00F103FF"/>
    <w:rsid w:val="00F13ACC"/>
    <w:rsid w:val="00F2150A"/>
    <w:rsid w:val="00F231D8"/>
    <w:rsid w:val="00F36A10"/>
    <w:rsid w:val="00F45F22"/>
    <w:rsid w:val="00F46C5F"/>
    <w:rsid w:val="00F47356"/>
    <w:rsid w:val="00F51CA8"/>
    <w:rsid w:val="00F54B1C"/>
    <w:rsid w:val="00F5650D"/>
    <w:rsid w:val="00F676CD"/>
    <w:rsid w:val="00F73DA0"/>
    <w:rsid w:val="00F77BB2"/>
    <w:rsid w:val="00F91067"/>
    <w:rsid w:val="00F93C1F"/>
    <w:rsid w:val="00F94A63"/>
    <w:rsid w:val="00FA12C0"/>
    <w:rsid w:val="00FA1C28"/>
    <w:rsid w:val="00FA3C10"/>
    <w:rsid w:val="00FA5C45"/>
    <w:rsid w:val="00FB1279"/>
    <w:rsid w:val="00FB7596"/>
    <w:rsid w:val="00FC26B7"/>
    <w:rsid w:val="00FD38DF"/>
    <w:rsid w:val="00FE4077"/>
    <w:rsid w:val="00FE5BF2"/>
    <w:rsid w:val="00FE77D2"/>
    <w:rsid w:val="00FF0E20"/>
    <w:rsid w:val="00FF2D30"/>
    <w:rsid w:val="013242DB"/>
    <w:rsid w:val="0D8C448A"/>
    <w:rsid w:val="0DD72FC6"/>
    <w:rsid w:val="167B6272"/>
    <w:rsid w:val="1E488A8E"/>
    <w:rsid w:val="1F283C42"/>
    <w:rsid w:val="1FB1ACF0"/>
    <w:rsid w:val="212DEC50"/>
    <w:rsid w:val="24656F09"/>
    <w:rsid w:val="2E805846"/>
    <w:rsid w:val="308FDD32"/>
    <w:rsid w:val="31F438C7"/>
    <w:rsid w:val="32BE645F"/>
    <w:rsid w:val="33B17363"/>
    <w:rsid w:val="358A1B57"/>
    <w:rsid w:val="36AF8549"/>
    <w:rsid w:val="39C07AB1"/>
    <w:rsid w:val="3CFEC824"/>
    <w:rsid w:val="3D376F21"/>
    <w:rsid w:val="40CD3D3C"/>
    <w:rsid w:val="4BB0834B"/>
    <w:rsid w:val="4CD3D1E1"/>
    <w:rsid w:val="4DC14251"/>
    <w:rsid w:val="4E305A9A"/>
    <w:rsid w:val="58A7FF8C"/>
    <w:rsid w:val="5D5FF0AE"/>
    <w:rsid w:val="6376E38D"/>
    <w:rsid w:val="63FA898A"/>
    <w:rsid w:val="646C91C8"/>
    <w:rsid w:val="66E5247D"/>
    <w:rsid w:val="6B00AF96"/>
    <w:rsid w:val="6CF565C0"/>
    <w:rsid w:val="706B80AC"/>
    <w:rsid w:val="71D9705A"/>
    <w:rsid w:val="7207EA9E"/>
    <w:rsid w:val="7A83502E"/>
    <w:rsid w:val="7A8B7028"/>
    <w:rsid w:val="7B73B38A"/>
    <w:rsid w:val="7E083B63"/>
    <w:rsid w:val="7F0A7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291E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numPr>
        <w:numId w:val="20"/>
      </w:numPr>
      <w:spacing w:before="480"/>
      <w:outlineLvl w:val="0"/>
    </w:pPr>
    <w:rPr>
      <w:b/>
      <w:sz w:val="28"/>
    </w:rPr>
  </w:style>
  <w:style w:type="paragraph" w:styleId="Heading2">
    <w:name w:val="heading 2"/>
    <w:basedOn w:val="Heading1"/>
    <w:next w:val="Normal"/>
    <w:qFormat/>
    <w:rsid w:val="00813E5E"/>
    <w:pPr>
      <w:numPr>
        <w:ilvl w:val="1"/>
      </w:numPr>
      <w:spacing w:before="320"/>
      <w:outlineLvl w:val="1"/>
    </w:pPr>
    <w:rPr>
      <w:sz w:val="24"/>
    </w:rPr>
  </w:style>
  <w:style w:type="paragraph" w:styleId="Heading3">
    <w:name w:val="heading 3"/>
    <w:basedOn w:val="Heading1"/>
    <w:next w:val="Normal"/>
    <w:qFormat/>
    <w:rsid w:val="00813E5E"/>
    <w:pPr>
      <w:numPr>
        <w:ilvl w:val="2"/>
      </w:numPr>
      <w:spacing w:before="200"/>
      <w:outlineLvl w:val="2"/>
    </w:pPr>
    <w:rPr>
      <w:sz w:val="24"/>
    </w:rPr>
  </w:style>
  <w:style w:type="paragraph" w:styleId="Heading4">
    <w:name w:val="heading 4"/>
    <w:basedOn w:val="Heading3"/>
    <w:next w:val="Normal"/>
    <w:qFormat/>
    <w:rsid w:val="00813E5E"/>
    <w:pPr>
      <w:numPr>
        <w:ilvl w:val="3"/>
      </w:numPr>
      <w:outlineLvl w:val="3"/>
    </w:pPr>
  </w:style>
  <w:style w:type="paragraph" w:styleId="Heading5">
    <w:name w:val="heading 5"/>
    <w:basedOn w:val="Heading4"/>
    <w:next w:val="Normal"/>
    <w:qFormat/>
    <w:rsid w:val="00813E5E"/>
    <w:pPr>
      <w:numPr>
        <w:ilvl w:val="4"/>
      </w:numPr>
      <w:outlineLvl w:val="4"/>
    </w:pPr>
  </w:style>
  <w:style w:type="paragraph" w:styleId="Heading6">
    <w:name w:val="heading 6"/>
    <w:basedOn w:val="Heading4"/>
    <w:next w:val="Normal"/>
    <w:qFormat/>
    <w:rsid w:val="00813E5E"/>
    <w:pPr>
      <w:numPr>
        <w:ilvl w:val="5"/>
      </w:numPr>
      <w:outlineLvl w:val="5"/>
    </w:pPr>
  </w:style>
  <w:style w:type="paragraph" w:styleId="Heading7">
    <w:name w:val="heading 7"/>
    <w:basedOn w:val="Heading4"/>
    <w:next w:val="Normal"/>
    <w:qFormat/>
    <w:rsid w:val="00813E5E"/>
    <w:pPr>
      <w:numPr>
        <w:ilvl w:val="6"/>
      </w:numPr>
      <w:outlineLvl w:val="6"/>
    </w:pPr>
  </w:style>
  <w:style w:type="paragraph" w:styleId="Heading8">
    <w:name w:val="heading 8"/>
    <w:basedOn w:val="Heading4"/>
    <w:next w:val="Normal"/>
    <w:qFormat/>
    <w:rsid w:val="00813E5E"/>
    <w:pPr>
      <w:numPr>
        <w:ilvl w:val="7"/>
      </w:numPr>
      <w:outlineLvl w:val="7"/>
    </w:pPr>
  </w:style>
  <w:style w:type="paragraph" w:styleId="Heading9">
    <w:name w:val="heading 9"/>
    <w:basedOn w:val="Heading4"/>
    <w:next w:val="Normal"/>
    <w:qFormat/>
    <w:rsid w:val="00813E5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UnresolvedMention1">
    <w:name w:val="Unresolved Mention1"/>
    <w:basedOn w:val="DefaultParagraphFont"/>
    <w:uiPriority w:val="99"/>
    <w:semiHidden/>
    <w:unhideWhenUsed/>
    <w:rsid w:val="00DA4743"/>
    <w:rPr>
      <w:color w:val="605E5C"/>
      <w:shd w:val="clear" w:color="auto" w:fill="E1DFDD"/>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DA4743"/>
    <w:pPr>
      <w:ind w:left="720"/>
      <w:contextualSpacing/>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DA4743"/>
    <w:rPr>
      <w:rFonts w:ascii="Calibri" w:hAnsi="Calibri"/>
      <w:sz w:val="24"/>
      <w:lang w:val="en-GB" w:eastAsia="en-US"/>
    </w:rPr>
  </w:style>
  <w:style w:type="paragraph" w:styleId="NoSpacing">
    <w:name w:val="No Spacing"/>
    <w:uiPriority w:val="1"/>
    <w:qFormat/>
    <w:rsid w:val="00DA4743"/>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n-GB" w:eastAsia="en-US"/>
    </w:rPr>
  </w:style>
  <w:style w:type="character" w:customStyle="1" w:styleId="FootnoteTextChar">
    <w:name w:val="Footnote Text Char"/>
    <w:basedOn w:val="DefaultParagraphFont"/>
    <w:link w:val="FootnoteText"/>
    <w:uiPriority w:val="99"/>
    <w:rsid w:val="00532947"/>
    <w:rPr>
      <w:rFonts w:ascii="Calibri" w:hAnsi="Calibri"/>
      <w:sz w:val="24"/>
      <w:lang w:val="en-GB" w:eastAsia="en-US"/>
    </w:rPr>
  </w:style>
  <w:style w:type="paragraph" w:styleId="BalloonText">
    <w:name w:val="Balloon Text"/>
    <w:basedOn w:val="Normal"/>
    <w:link w:val="BalloonTextChar"/>
    <w:semiHidden/>
    <w:unhideWhenUsed/>
    <w:rsid w:val="006A770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A7702"/>
    <w:rPr>
      <w:rFonts w:ascii="Segoe UI" w:hAnsi="Segoe UI" w:cs="Segoe UI"/>
      <w:sz w:val="18"/>
      <w:szCs w:val="18"/>
      <w:lang w:val="en-GB" w:eastAsia="en-US"/>
    </w:rPr>
  </w:style>
  <w:style w:type="paragraph" w:customStyle="1" w:styleId="normalWSIS">
    <w:name w:val="normal WSIS"/>
    <w:basedOn w:val="ListParagraph"/>
    <w:link w:val="normalWSISChar"/>
    <w:qFormat/>
    <w:rsid w:val="00C821FF"/>
    <w:pPr>
      <w:numPr>
        <w:numId w:val="6"/>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ascii="Times New Roman" w:hAnsi="Times New Roman"/>
      <w:sz w:val="22"/>
      <w:szCs w:val="22"/>
      <w:lang w:eastAsia="ja-JP"/>
    </w:rPr>
  </w:style>
  <w:style w:type="character" w:customStyle="1" w:styleId="normalWSISChar">
    <w:name w:val="normal WSIS Char"/>
    <w:basedOn w:val="ListParagraphChar"/>
    <w:link w:val="normalWSIS"/>
    <w:rsid w:val="00C821FF"/>
    <w:rPr>
      <w:rFonts w:ascii="Times New Roman" w:eastAsia="SimSun" w:hAnsi="Times New Roman"/>
      <w:sz w:val="22"/>
      <w:szCs w:val="22"/>
      <w:lang w:val="en-GB" w:eastAsia="ja-JP"/>
    </w:rPr>
  </w:style>
  <w:style w:type="character" w:styleId="CommentReference">
    <w:name w:val="annotation reference"/>
    <w:basedOn w:val="DefaultParagraphFont"/>
    <w:semiHidden/>
    <w:unhideWhenUsed/>
    <w:rsid w:val="00A80A35"/>
    <w:rPr>
      <w:sz w:val="16"/>
      <w:szCs w:val="16"/>
    </w:rPr>
  </w:style>
  <w:style w:type="paragraph" w:styleId="CommentText">
    <w:name w:val="annotation text"/>
    <w:basedOn w:val="Normal"/>
    <w:link w:val="CommentTextChar"/>
    <w:semiHidden/>
    <w:unhideWhenUsed/>
    <w:rsid w:val="00A80A35"/>
    <w:rPr>
      <w:sz w:val="20"/>
    </w:rPr>
  </w:style>
  <w:style w:type="character" w:customStyle="1" w:styleId="CommentTextChar">
    <w:name w:val="Comment Text Char"/>
    <w:basedOn w:val="DefaultParagraphFont"/>
    <w:link w:val="CommentText"/>
    <w:semiHidden/>
    <w:rsid w:val="00A80A35"/>
    <w:rPr>
      <w:rFonts w:ascii="Calibri" w:hAnsi="Calibri"/>
      <w:lang w:val="en-GB" w:eastAsia="en-US"/>
    </w:rPr>
  </w:style>
  <w:style w:type="paragraph" w:styleId="CommentSubject">
    <w:name w:val="annotation subject"/>
    <w:basedOn w:val="CommentText"/>
    <w:next w:val="CommentText"/>
    <w:link w:val="CommentSubjectChar"/>
    <w:semiHidden/>
    <w:unhideWhenUsed/>
    <w:rsid w:val="00A80A35"/>
    <w:rPr>
      <w:b/>
      <w:bCs/>
    </w:rPr>
  </w:style>
  <w:style w:type="character" w:customStyle="1" w:styleId="CommentSubjectChar">
    <w:name w:val="Comment Subject Char"/>
    <w:basedOn w:val="CommentTextChar"/>
    <w:link w:val="CommentSubject"/>
    <w:semiHidden/>
    <w:rsid w:val="00A80A35"/>
    <w:rPr>
      <w:rFonts w:ascii="Calibri" w:hAnsi="Calibri"/>
      <w:b/>
      <w:bCs/>
      <w:lang w:val="en-GB" w:eastAsia="en-US"/>
    </w:rPr>
  </w:style>
  <w:style w:type="table" w:styleId="TableGrid">
    <w:name w:val="Table Grid"/>
    <w:basedOn w:val="TableNormal"/>
    <w:rsid w:val="003F4F52"/>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56D1A"/>
  </w:style>
  <w:style w:type="paragraph" w:styleId="Revision">
    <w:name w:val="Revision"/>
    <w:hidden/>
    <w:uiPriority w:val="99"/>
    <w:semiHidden/>
    <w:rsid w:val="00EC539D"/>
    <w:rPr>
      <w:rFonts w:ascii="Calibri" w:hAnsi="Calibri"/>
      <w:sz w:val="24"/>
      <w:lang w:val="en-GB" w:eastAsia="en-US"/>
    </w:rPr>
  </w:style>
  <w:style w:type="paragraph" w:styleId="NormalWeb">
    <w:name w:val="Normal (Web)"/>
    <w:basedOn w:val="Normal"/>
    <w:uiPriority w:val="99"/>
    <w:unhideWhenUsed/>
    <w:rsid w:val="004D05A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UnresolvedMention">
    <w:name w:val="Unresolved Mention"/>
    <w:basedOn w:val="DefaultParagraphFont"/>
    <w:uiPriority w:val="99"/>
    <w:semiHidden/>
    <w:unhideWhenUsed/>
    <w:rsid w:val="00F93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1782">
      <w:bodyDiv w:val="1"/>
      <w:marLeft w:val="0"/>
      <w:marRight w:val="0"/>
      <w:marTop w:val="0"/>
      <w:marBottom w:val="0"/>
      <w:divBdr>
        <w:top w:val="none" w:sz="0" w:space="0" w:color="auto"/>
        <w:left w:val="none" w:sz="0" w:space="0" w:color="auto"/>
        <w:bottom w:val="none" w:sz="0" w:space="0" w:color="auto"/>
        <w:right w:val="none" w:sz="0" w:space="0" w:color="auto"/>
      </w:divBdr>
    </w:div>
    <w:div w:id="307054686">
      <w:bodyDiv w:val="1"/>
      <w:marLeft w:val="0"/>
      <w:marRight w:val="0"/>
      <w:marTop w:val="0"/>
      <w:marBottom w:val="0"/>
      <w:divBdr>
        <w:top w:val="none" w:sz="0" w:space="0" w:color="auto"/>
        <w:left w:val="none" w:sz="0" w:space="0" w:color="auto"/>
        <w:bottom w:val="none" w:sz="0" w:space="0" w:color="auto"/>
        <w:right w:val="none" w:sz="0" w:space="0" w:color="auto"/>
      </w:divBdr>
    </w:div>
    <w:div w:id="717323271">
      <w:bodyDiv w:val="1"/>
      <w:marLeft w:val="0"/>
      <w:marRight w:val="0"/>
      <w:marTop w:val="0"/>
      <w:marBottom w:val="0"/>
      <w:divBdr>
        <w:top w:val="none" w:sz="0" w:space="0" w:color="auto"/>
        <w:left w:val="none" w:sz="0" w:space="0" w:color="auto"/>
        <w:bottom w:val="none" w:sz="0" w:space="0" w:color="auto"/>
        <w:right w:val="none" w:sz="0" w:space="0" w:color="auto"/>
      </w:divBdr>
    </w:div>
    <w:div w:id="749933100">
      <w:bodyDiv w:val="1"/>
      <w:marLeft w:val="0"/>
      <w:marRight w:val="0"/>
      <w:marTop w:val="0"/>
      <w:marBottom w:val="0"/>
      <w:divBdr>
        <w:top w:val="none" w:sz="0" w:space="0" w:color="auto"/>
        <w:left w:val="none" w:sz="0" w:space="0" w:color="auto"/>
        <w:bottom w:val="none" w:sz="0" w:space="0" w:color="auto"/>
        <w:right w:val="none" w:sz="0" w:space="0" w:color="auto"/>
      </w:divBdr>
    </w:div>
    <w:div w:id="928074880">
      <w:bodyDiv w:val="1"/>
      <w:marLeft w:val="0"/>
      <w:marRight w:val="0"/>
      <w:marTop w:val="0"/>
      <w:marBottom w:val="0"/>
      <w:divBdr>
        <w:top w:val="none" w:sz="0" w:space="0" w:color="auto"/>
        <w:left w:val="none" w:sz="0" w:space="0" w:color="auto"/>
        <w:bottom w:val="none" w:sz="0" w:space="0" w:color="auto"/>
        <w:right w:val="none" w:sz="0" w:space="0" w:color="auto"/>
      </w:divBdr>
    </w:div>
    <w:div w:id="951206663">
      <w:bodyDiv w:val="1"/>
      <w:marLeft w:val="0"/>
      <w:marRight w:val="0"/>
      <w:marTop w:val="0"/>
      <w:marBottom w:val="0"/>
      <w:divBdr>
        <w:top w:val="none" w:sz="0" w:space="0" w:color="auto"/>
        <w:left w:val="none" w:sz="0" w:space="0" w:color="auto"/>
        <w:bottom w:val="none" w:sz="0" w:space="0" w:color="auto"/>
        <w:right w:val="none" w:sz="0" w:space="0" w:color="auto"/>
      </w:divBdr>
    </w:div>
    <w:div w:id="994643516">
      <w:bodyDiv w:val="1"/>
      <w:marLeft w:val="0"/>
      <w:marRight w:val="0"/>
      <w:marTop w:val="0"/>
      <w:marBottom w:val="0"/>
      <w:divBdr>
        <w:top w:val="none" w:sz="0" w:space="0" w:color="auto"/>
        <w:left w:val="none" w:sz="0" w:space="0" w:color="auto"/>
        <w:bottom w:val="none" w:sz="0" w:space="0" w:color="auto"/>
        <w:right w:val="none" w:sz="0" w:space="0" w:color="auto"/>
      </w:divBdr>
    </w:div>
    <w:div w:id="1073502329">
      <w:bodyDiv w:val="1"/>
      <w:marLeft w:val="0"/>
      <w:marRight w:val="0"/>
      <w:marTop w:val="0"/>
      <w:marBottom w:val="0"/>
      <w:divBdr>
        <w:top w:val="none" w:sz="0" w:space="0" w:color="auto"/>
        <w:left w:val="none" w:sz="0" w:space="0" w:color="auto"/>
        <w:bottom w:val="none" w:sz="0" w:space="0" w:color="auto"/>
        <w:right w:val="none" w:sz="0" w:space="0" w:color="auto"/>
      </w:divBdr>
    </w:div>
    <w:div w:id="1215309347">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802184574">
      <w:bodyDiv w:val="1"/>
      <w:marLeft w:val="0"/>
      <w:marRight w:val="0"/>
      <w:marTop w:val="0"/>
      <w:marBottom w:val="0"/>
      <w:divBdr>
        <w:top w:val="none" w:sz="0" w:space="0" w:color="auto"/>
        <w:left w:val="none" w:sz="0" w:space="0" w:color="auto"/>
        <w:bottom w:val="none" w:sz="0" w:space="0" w:color="auto"/>
        <w:right w:val="none" w:sz="0" w:space="0" w:color="auto"/>
      </w:divBdr>
    </w:div>
    <w:div w:id="1905019489">
      <w:bodyDiv w:val="1"/>
      <w:marLeft w:val="0"/>
      <w:marRight w:val="0"/>
      <w:marTop w:val="0"/>
      <w:marBottom w:val="0"/>
      <w:divBdr>
        <w:top w:val="none" w:sz="0" w:space="0" w:color="auto"/>
        <w:left w:val="none" w:sz="0" w:space="0" w:color="auto"/>
        <w:bottom w:val="none" w:sz="0" w:space="0" w:color="auto"/>
        <w:right w:val="none" w:sz="0" w:space="0" w:color="auto"/>
      </w:divBdr>
    </w:div>
    <w:div w:id="21385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council/Documents/basic-texts/RES-136-E.pdf" TargetMode="External"/><Relationship Id="rId21" Type="http://schemas.openxmlformats.org/officeDocument/2006/relationships/hyperlink" Target="https://www.itu.int/md/S18-CL-INF-0004/en" TargetMode="External"/><Relationship Id="rId42" Type="http://schemas.openxmlformats.org/officeDocument/2006/relationships/hyperlink" Target="https://aiforgood.itu.int/event/ai-for-road-safety/" TargetMode="External"/><Relationship Id="rId63" Type="http://schemas.openxmlformats.org/officeDocument/2006/relationships/footer" Target="footer1.xml"/><Relationship Id="rId84" Type="http://schemas.openxmlformats.org/officeDocument/2006/relationships/hyperlink" Target="https://www.itu.int/en/council/Documents/basic-texts/RES-131-E.pdf" TargetMode="External"/><Relationship Id="rId138" Type="http://schemas.openxmlformats.org/officeDocument/2006/relationships/hyperlink" Target="https://www.unsystem.org/content/special-interest-group-sap-sap-sig" TargetMode="External"/><Relationship Id="rId107" Type="http://schemas.openxmlformats.org/officeDocument/2006/relationships/hyperlink" Target="https://www.itu.int/en/council/Documents/basic-texts/RES-139-E.pdf" TargetMode="External"/><Relationship Id="rId11" Type="http://schemas.openxmlformats.org/officeDocument/2006/relationships/endnotes" Target="endnotes.xml"/><Relationship Id="rId32" Type="http://schemas.openxmlformats.org/officeDocument/2006/relationships/hyperlink" Target="https://aiforgood.itu.int" TargetMode="External"/><Relationship Id="rId53" Type="http://schemas.openxmlformats.org/officeDocument/2006/relationships/hyperlink" Target="http://www.wsis.rog/prizes" TargetMode="External"/><Relationship Id="rId74" Type="http://schemas.openxmlformats.org/officeDocument/2006/relationships/hyperlink" Target="https://www.itu.int/en/council/Documents/basic-texts/RES-140-E.pdf" TargetMode="External"/><Relationship Id="rId128" Type="http://schemas.openxmlformats.org/officeDocument/2006/relationships/hyperlink" Target="https://www.itu.int/md/S19-CL-C-0138/en" TargetMode="External"/><Relationship Id="rId149" Type="http://schemas.openxmlformats.org/officeDocument/2006/relationships/theme" Target="theme/theme1.xml"/><Relationship Id="rId5" Type="http://schemas.openxmlformats.org/officeDocument/2006/relationships/customXml" Target="../customXml/item5.xml"/><Relationship Id="rId95" Type="http://schemas.openxmlformats.org/officeDocument/2006/relationships/hyperlink" Target="https://www.itu.int/en/council/Documents/basic-texts/RES-175-E.pdf" TargetMode="External"/><Relationship Id="rId22" Type="http://schemas.openxmlformats.org/officeDocument/2006/relationships/hyperlink" Target="https://www.itu.int/md/S19-CL-INF-0008/en" TargetMode="External"/><Relationship Id="rId27" Type="http://schemas.openxmlformats.org/officeDocument/2006/relationships/hyperlink" Target="https://undocs.org/Home/Mobile?FinalSymbol=A%2FC.2%2F76%2FL.56&amp;Language=E&amp;DeviceType=Desktop" TargetMode="External"/><Relationship Id="rId43" Type="http://schemas.openxmlformats.org/officeDocument/2006/relationships/hyperlink" Target="https://undocs.org/en/A/RES/74/299" TargetMode="External"/><Relationship Id="rId48" Type="http://schemas.openxmlformats.org/officeDocument/2006/relationships/hyperlink" Target="http://www.who.int/deafness/make-listening-safe/en/" TargetMode="External"/><Relationship Id="rId64" Type="http://schemas.openxmlformats.org/officeDocument/2006/relationships/hyperlink" Target="https://www.unsystem.org/content/what-we-do" TargetMode="External"/><Relationship Id="rId69" Type="http://schemas.openxmlformats.org/officeDocument/2006/relationships/hyperlink" Target="https://www.unsystem.org/content/digital-and-technology-network" TargetMode="External"/><Relationship Id="rId113" Type="http://schemas.openxmlformats.org/officeDocument/2006/relationships/hyperlink" Target="https://www.unsceb.org/content/united-nations-environment-management-group-emg-0" TargetMode="External"/><Relationship Id="rId118" Type="http://schemas.openxmlformats.org/officeDocument/2006/relationships/hyperlink" Target="https://www.unoosa.org/oosa/en/ourwork/un-space/iam.html" TargetMode="External"/><Relationship Id="rId134" Type="http://schemas.openxmlformats.org/officeDocument/2006/relationships/hyperlink" Target="https://www.unglobalpulse.org/data-privacy-advisory-group" TargetMode="External"/><Relationship Id="rId139" Type="http://schemas.openxmlformats.org/officeDocument/2006/relationships/hyperlink" Target="https://www.itu.int/en/ITU-D/Climate-Change/Pages/ewaste/E-waste-Coalition.aspx" TargetMode="External"/><Relationship Id="rId80" Type="http://schemas.openxmlformats.org/officeDocument/2006/relationships/hyperlink" Target="https://unstats.un.org/sdgs/iaeg-sdgs/" TargetMode="External"/><Relationship Id="rId85" Type="http://schemas.openxmlformats.org/officeDocument/2006/relationships/hyperlink" Target="https://www.itu.int/en/council/Documents/basic-texts/RES-070-E.pdf" TargetMode="External"/><Relationship Id="rId12" Type="http://schemas.openxmlformats.org/officeDocument/2006/relationships/image" Target="media/image1.jpeg"/><Relationship Id="rId17" Type="http://schemas.openxmlformats.org/officeDocument/2006/relationships/hyperlink" Target="http://www.itu.int/md/S14-CL-INF-0007/en" TargetMode="External"/><Relationship Id="rId33" Type="http://schemas.openxmlformats.org/officeDocument/2006/relationships/hyperlink" Target="https://aiforgood.itu.int/programme/" TargetMode="External"/><Relationship Id="rId38" Type="http://schemas.openxmlformats.org/officeDocument/2006/relationships/hyperlink" Target="https://www.itu.int/en/ITU-T/focusgroups/ai4h" TargetMode="External"/><Relationship Id="rId59" Type="http://schemas.openxmlformats.org/officeDocument/2006/relationships/hyperlink" Target="http://www.digital-capacity.org" TargetMode="External"/><Relationship Id="rId103" Type="http://schemas.openxmlformats.org/officeDocument/2006/relationships/hyperlink" Target="https://www.itu.int/en/ITU-D/Conferences/WTDC/WTDC17/Documents/WTDC17_final_report_en.pdf" TargetMode="External"/><Relationship Id="rId108" Type="http://schemas.openxmlformats.org/officeDocument/2006/relationships/hyperlink" Target="https://sustainabledevelopment.un.org/content/documents/8569TOR%20IATT%2026%20Oct%202015rev.pdf" TargetMode="External"/><Relationship Id="rId124" Type="http://schemas.openxmlformats.org/officeDocument/2006/relationships/hyperlink" Target="https://www.itu.int/en/council/Documents/basic-texts/DEC-005-E.pdf" TargetMode="External"/><Relationship Id="rId129" Type="http://schemas.openxmlformats.org/officeDocument/2006/relationships/hyperlink" Target="https://www.unsystem.org/content/inter-agency-security-management-network-iasmn" TargetMode="External"/><Relationship Id="rId54" Type="http://schemas.openxmlformats.org/officeDocument/2006/relationships/hyperlink" Target="file:///C:\Users\castro\AppData\Local\Microsoft\Windows\INetCache\Content.Outlook\U26NPB1Q\uninnovation.network\techlearntalks" TargetMode="External"/><Relationship Id="rId70" Type="http://schemas.openxmlformats.org/officeDocument/2006/relationships/hyperlink" Target="https://www.unicc.org/who-we-are/governance/" TargetMode="External"/><Relationship Id="rId75" Type="http://schemas.openxmlformats.org/officeDocument/2006/relationships/hyperlink" Target="https://www.unsceb.org/content/executive-committee-economic-and-social-affairs-ecesa-0" TargetMode="External"/><Relationship Id="rId91" Type="http://schemas.openxmlformats.org/officeDocument/2006/relationships/hyperlink" Target="https://www.itu.int/en/council/Documents/basic-texts/RES-198-E.pdf" TargetMode="External"/><Relationship Id="rId96" Type="http://schemas.openxmlformats.org/officeDocument/2006/relationships/hyperlink" Target="https://www.un.org/development/desa/indigenouspeoples/about-us/inter-agency-support-group.html" TargetMode="External"/><Relationship Id="rId140" Type="http://schemas.openxmlformats.org/officeDocument/2006/relationships/hyperlink" Target="https://www.itu.int/en/ITU-T/ssc/united/Pages/default.aspx" TargetMode="External"/><Relationship Id="rId145" Type="http://schemas.openxmlformats.org/officeDocument/2006/relationships/hyperlink" Target="https://www.unwater.org/about-unwater/"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itu.int/md/S20-CL-INF-0003/en" TargetMode="External"/><Relationship Id="rId28" Type="http://schemas.openxmlformats.org/officeDocument/2006/relationships/hyperlink" Target="https://undocs.org/en/A/C.2/76/L.60" TargetMode="External"/><Relationship Id="rId49" Type="http://schemas.openxmlformats.org/officeDocument/2006/relationships/hyperlink" Target="https://www.broadbandcommission.org/" TargetMode="External"/><Relationship Id="rId114" Type="http://schemas.openxmlformats.org/officeDocument/2006/relationships/hyperlink" Target="https://www.itu.int/en/council/Documents/basic-texts/RES-071-E.pdf" TargetMode="External"/><Relationship Id="rId119" Type="http://schemas.openxmlformats.org/officeDocument/2006/relationships/hyperlink" Target="https://www.itu.int/en/council/Documents/basic-texts/RES-186-E.pdf" TargetMode="External"/><Relationship Id="rId44" Type="http://schemas.openxmlformats.org/officeDocument/2006/relationships/hyperlink" Target="https://www.itu.int/en/ITU-T/focusgroups/ai4a/Pages/default.aspx" TargetMode="External"/><Relationship Id="rId60" Type="http://schemas.openxmlformats.org/officeDocument/2006/relationships/hyperlink" Target="https://undocs.org/en/A/75/982" TargetMode="External"/><Relationship Id="rId65" Type="http://schemas.openxmlformats.org/officeDocument/2006/relationships/hyperlink" Target="https://www.itu.int/en/council/Documents/basic-texts/RES-064-E.pdf" TargetMode="External"/><Relationship Id="rId81" Type="http://schemas.openxmlformats.org/officeDocument/2006/relationships/hyperlink" Target="https://www.itu.int/en/council/Documents/basic-texts/RES-131-E.pdf" TargetMode="External"/><Relationship Id="rId86" Type="http://schemas.openxmlformats.org/officeDocument/2006/relationships/hyperlink" Target="https://www.itu.int/en/council/Documents/basic-texts/RES-070-E.pdf" TargetMode="External"/><Relationship Id="rId130" Type="http://schemas.openxmlformats.org/officeDocument/2006/relationships/hyperlink" Target="https://unic.un.org/aroundworld/unics/en/partnerships/communicationGroup/index.asp" TargetMode="External"/><Relationship Id="rId135" Type="http://schemas.openxmlformats.org/officeDocument/2006/relationships/hyperlink" Target="https://www.itu.int/en/council/Documents/basic-texts/RES-130-E.pdf" TargetMode="External"/><Relationship Id="rId13" Type="http://schemas.openxmlformats.org/officeDocument/2006/relationships/hyperlink" Target="http://www.itu.int/md/S08-CL-INF-0008/en" TargetMode="External"/><Relationship Id="rId18" Type="http://schemas.openxmlformats.org/officeDocument/2006/relationships/hyperlink" Target="http://www.itu.int/md/S15-CL-INF-0004/en" TargetMode="External"/><Relationship Id="rId39" Type="http://schemas.openxmlformats.org/officeDocument/2006/relationships/hyperlink" Target="http://www.itu.int/en/ITU-T/ssc/united/Pages/default.aspx" TargetMode="External"/><Relationship Id="rId109" Type="http://schemas.openxmlformats.org/officeDocument/2006/relationships/hyperlink" Target="https://www.itu.int/en/council/Documents/basic-texts/RES-139-E.pdf" TargetMode="External"/><Relationship Id="rId34" Type="http://schemas.openxmlformats.org/officeDocument/2006/relationships/hyperlink" Target="https://aiforgood.itu.int/" TargetMode="External"/><Relationship Id="rId50" Type="http://schemas.openxmlformats.org/officeDocument/2006/relationships/hyperlink" Target="https://www.broadbandcommission.org/working-groups/" TargetMode="External"/><Relationship Id="rId55" Type="http://schemas.openxmlformats.org/officeDocument/2006/relationships/hyperlink" Target="https://aiforgood.itu.int/event/7th-un-partners-meeting-at-wtpf-21/" TargetMode="External"/><Relationship Id="rId76" Type="http://schemas.openxmlformats.org/officeDocument/2006/relationships/hyperlink" Target="https://www.unsceb.org/content/committee-coordination-statistical-activities-ccsa" TargetMode="External"/><Relationship Id="rId97" Type="http://schemas.openxmlformats.org/officeDocument/2006/relationships/hyperlink" Target="https://www.itu.int/en/ITU-D/Digital-Inclusion/Doc/Indigenous%20Women%20UN%20ResolutionN1225405.pdf" TargetMode="External"/><Relationship Id="rId104" Type="http://schemas.openxmlformats.org/officeDocument/2006/relationships/hyperlink" Target="https://www.itu.int/en/council/Documents/basic-texts/RES-139-E.pdf" TargetMode="External"/><Relationship Id="rId120" Type="http://schemas.openxmlformats.org/officeDocument/2006/relationships/hyperlink" Target="https://www.who.int/ncds/un-task-force/en/" TargetMode="External"/><Relationship Id="rId125" Type="http://schemas.openxmlformats.org/officeDocument/2006/relationships/hyperlink" Target="https://www.itu.int/md/S19-CL-C-0138/en" TargetMode="External"/><Relationship Id="rId141" Type="http://schemas.openxmlformats.org/officeDocument/2006/relationships/hyperlink" Target="https://www.itu.int/en/council/Documents/basic-texts/RES-197-E.pdf" TargetMode="External"/><Relationship Id="rId146" Type="http://schemas.openxmlformats.org/officeDocument/2006/relationships/header" Target="header2.xml"/><Relationship Id="rId7" Type="http://schemas.openxmlformats.org/officeDocument/2006/relationships/styles" Target="styles.xml"/><Relationship Id="rId71" Type="http://schemas.openxmlformats.org/officeDocument/2006/relationships/hyperlink" Target="https://www.unsystem.org/content/human-resources-network" TargetMode="External"/><Relationship Id="rId92" Type="http://schemas.openxmlformats.org/officeDocument/2006/relationships/hyperlink" Target="https://www.itu.int/en/council/Documents/basic-texts/RES-071-E.pdf" TargetMode="External"/><Relationship Id="rId2" Type="http://schemas.openxmlformats.org/officeDocument/2006/relationships/customXml" Target="../customXml/item2.xml"/><Relationship Id="rId29" Type="http://schemas.openxmlformats.org/officeDocument/2006/relationships/hyperlink" Target="https://www.un.org/ga/search/view_doc.asp?symbol=E/RES/2021/29" TargetMode="External"/><Relationship Id="rId24" Type="http://schemas.openxmlformats.org/officeDocument/2006/relationships/hyperlink" Target="https://www.itu.int/md/S21-CL-INF-0002/en" TargetMode="External"/><Relationship Id="rId40" Type="http://schemas.openxmlformats.org/officeDocument/2006/relationships/hyperlink" Target="https://www.itu.int/en/ITU-T/ssc/united/Pages/publication-U4SSC-KPIs.aspx" TargetMode="External"/><Relationship Id="rId45" Type="http://schemas.openxmlformats.org/officeDocument/2006/relationships/hyperlink" Target="https://www.fao.org/home/en" TargetMode="External"/><Relationship Id="rId66" Type="http://schemas.openxmlformats.org/officeDocument/2006/relationships/hyperlink" Target="https://www.unsystem.org/content/hlcp" TargetMode="External"/><Relationship Id="rId87" Type="http://schemas.openxmlformats.org/officeDocument/2006/relationships/hyperlink" Target="https://www.itu.int/en/council/Documents/basic-texts/RES-071-E.pdf" TargetMode="External"/><Relationship Id="rId110" Type="http://schemas.openxmlformats.org/officeDocument/2006/relationships/hyperlink" Target="https://www.itu.int/en/council/Documents/basic-texts/RES-200-E.pdf" TargetMode="External"/><Relationship Id="rId115" Type="http://schemas.openxmlformats.org/officeDocument/2006/relationships/hyperlink" Target="http://www.greeningtheblue.org/focal-point-area" TargetMode="External"/><Relationship Id="rId131" Type="http://schemas.openxmlformats.org/officeDocument/2006/relationships/hyperlink" Target="https://www.unsystem.org/content/united-nations-strategic-planning-network-unspn" TargetMode="External"/><Relationship Id="rId136" Type="http://schemas.openxmlformats.org/officeDocument/2006/relationships/hyperlink" Target="https://www.uninnovation.network/about-us" TargetMode="External"/><Relationship Id="rId61" Type="http://schemas.openxmlformats.org/officeDocument/2006/relationships/hyperlink" Target="https://www.unjiu.org/content/reports" TargetMode="External"/><Relationship Id="rId82" Type="http://schemas.openxmlformats.org/officeDocument/2006/relationships/hyperlink" Target="https://unstats.un.org/bigdata/bureau/" TargetMode="External"/><Relationship Id="rId19" Type="http://schemas.openxmlformats.org/officeDocument/2006/relationships/hyperlink" Target="http://www.itu.int/md/S16-CL-C-0057/en" TargetMode="External"/><Relationship Id="rId14" Type="http://schemas.openxmlformats.org/officeDocument/2006/relationships/hyperlink" Target="http://www.itu.int/md/S11-CL-INF-0006/en" TargetMode="External"/><Relationship Id="rId30" Type="http://schemas.openxmlformats.org/officeDocument/2006/relationships/hyperlink" Target="https://www.un.org/ga/search/view_doc.asp?symbol=E/RES/2021/28" TargetMode="External"/><Relationship Id="rId35" Type="http://schemas.openxmlformats.org/officeDocument/2006/relationships/hyperlink" Target="https://www.itu.int/en/ITU-T/extcoop/figisymposium/Pages/default.aspx" TargetMode="External"/><Relationship Id="rId56" Type="http://schemas.openxmlformats.org/officeDocument/2006/relationships/hyperlink" Target="https://aiforgood.itu.int/about/un-ai-actions/" TargetMode="External"/><Relationship Id="rId77" Type="http://schemas.openxmlformats.org/officeDocument/2006/relationships/hyperlink" Target="https://www.itu.int/en/council/Documents/basic-texts/RES-131-E.pdf" TargetMode="External"/><Relationship Id="rId100" Type="http://schemas.openxmlformats.org/officeDocument/2006/relationships/hyperlink" Target="https://www.itu.int/en/ITU-D/Conferences/WTDC/WTDC17/Documents/WTDC17_final_report_en.pdf" TargetMode="External"/><Relationship Id="rId105" Type="http://schemas.openxmlformats.org/officeDocument/2006/relationships/hyperlink" Target="https://www.itu.int/en/council/Documents/basic-texts/RES-139-E.pdf" TargetMode="External"/><Relationship Id="rId126" Type="http://schemas.openxmlformats.org/officeDocument/2006/relationships/hyperlink" Target="https://www.itu.int/en/council/Documents/basic-texts/RES-154-E.pdf" TargetMode="External"/><Relationship Id="rId147"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broadbandcommission.org/manifesto/" TargetMode="External"/><Relationship Id="rId72" Type="http://schemas.openxmlformats.org/officeDocument/2006/relationships/hyperlink" Target="https://www.itu.int/en/council/Documents/basic-texts/RES-200-E.pdf" TargetMode="External"/><Relationship Id="rId93" Type="http://schemas.openxmlformats.org/officeDocument/2006/relationships/hyperlink" Target="https://www.unjspf.org/pension-board/" TargetMode="External"/><Relationship Id="rId98" Type="http://schemas.openxmlformats.org/officeDocument/2006/relationships/hyperlink" Target="https://www.itu.int/en/ITU-D/Digital-Inclusion/Doc/PP-10%20RESOLUTION%20%20184-Indigenous.docx" TargetMode="External"/><Relationship Id="rId121" Type="http://schemas.openxmlformats.org/officeDocument/2006/relationships/hyperlink" Target="https://www.unsystem.org/content/action-harmonized-system-wide-approaches-fraud-cases" TargetMode="External"/><Relationship Id="rId142" Type="http://schemas.openxmlformats.org/officeDocument/2006/relationships/hyperlink" Target="https://www.un.org/en/coronavirus/covid-19-coordinators" TargetMode="External"/><Relationship Id="rId3" Type="http://schemas.openxmlformats.org/officeDocument/2006/relationships/customXml" Target="../customXml/item3.xml"/><Relationship Id="rId25" Type="http://schemas.openxmlformats.org/officeDocument/2006/relationships/hyperlink" Target="https://www.itu.int/md/S21-CWGWSIS36-C-0022/en" TargetMode="External"/><Relationship Id="rId46" Type="http://schemas.openxmlformats.org/officeDocument/2006/relationships/hyperlink" Target="https://www.itu.int/en/ITU-T/focusgroups/ai4ndm/Pages/default.aspx" TargetMode="External"/><Relationship Id="rId67" Type="http://schemas.openxmlformats.org/officeDocument/2006/relationships/hyperlink" Target="https://www.unsystem.org/content/hlcm" TargetMode="External"/><Relationship Id="rId116" Type="http://schemas.openxmlformats.org/officeDocument/2006/relationships/hyperlink" Target="https://www.etcluster.org/about-etc" TargetMode="External"/><Relationship Id="rId137" Type="http://schemas.openxmlformats.org/officeDocument/2006/relationships/hyperlink" Target="https://www.itu.int/en/council/Documents/basic-texts/RES-205-E.pdf" TargetMode="External"/><Relationship Id="rId20" Type="http://schemas.openxmlformats.org/officeDocument/2006/relationships/hyperlink" Target="https://www.itu.int/md/S17-CL-INF-0010/en" TargetMode="External"/><Relationship Id="rId41" Type="http://schemas.openxmlformats.org/officeDocument/2006/relationships/hyperlink" Target="https://aiforgood.itu.int/about/ai-ml-pre-standardization/ai4roadsafety/" TargetMode="External"/><Relationship Id="rId62" Type="http://schemas.openxmlformats.org/officeDocument/2006/relationships/header" Target="header1.xml"/><Relationship Id="rId83" Type="http://schemas.openxmlformats.org/officeDocument/2006/relationships/hyperlink" Target="https://unstats.un.org/unsd/iaeggs/ToR_Final.pdf" TargetMode="External"/><Relationship Id="rId88" Type="http://schemas.openxmlformats.org/officeDocument/2006/relationships/hyperlink" Target="https://www.itu.int/en/council/Documents/basic-texts/RES-198-E.pdf" TargetMode="External"/><Relationship Id="rId111" Type="http://schemas.openxmlformats.org/officeDocument/2006/relationships/hyperlink" Target="https://icat.network/about-us" TargetMode="External"/><Relationship Id="rId132" Type="http://schemas.openxmlformats.org/officeDocument/2006/relationships/hyperlink" Target="https://www.itu.int/en/council/Documents/basic-texts/RES-071-E.pdf" TargetMode="External"/><Relationship Id="rId15" Type="http://schemas.openxmlformats.org/officeDocument/2006/relationships/hyperlink" Target="http://www.itu.int/md/S12-CL-INF-0001/en" TargetMode="External"/><Relationship Id="rId36" Type="http://schemas.openxmlformats.org/officeDocument/2006/relationships/hyperlink" Target="https://www.itu.int/en/ITU-T/climatechange/task-force-sc/Pages/default.aspx" TargetMode="External"/><Relationship Id="rId57" Type="http://schemas.openxmlformats.org/officeDocument/2006/relationships/hyperlink" Target="https://2ja3zj1n4vsz2sq9zh82y3wi-wpengine.netdna-ssl.com/wp-content/uploads/2020/12/21-00794_UN-Activities-on-AI-ExecSum.pdf" TargetMode="External"/><Relationship Id="rId106" Type="http://schemas.openxmlformats.org/officeDocument/2006/relationships/hyperlink" Target="https://developmentfinance.un.org/about-iatf" TargetMode="External"/><Relationship Id="rId127" Type="http://schemas.openxmlformats.org/officeDocument/2006/relationships/hyperlink" Target="https://www.itu.int/en/council/Documents/basic-texts/DEC-005-E.pdf" TargetMode="External"/><Relationship Id="rId10" Type="http://schemas.openxmlformats.org/officeDocument/2006/relationships/footnotes" Target="footnotes.xml"/><Relationship Id="rId31" Type="http://schemas.openxmlformats.org/officeDocument/2006/relationships/hyperlink" Target="https://www.itu.int/en/ITU-R/space/snl/Pages/reportSTS.aspx" TargetMode="External"/><Relationship Id="rId52" Type="http://schemas.openxmlformats.org/officeDocument/2006/relationships/hyperlink" Target="http://www.wsis.org/forum" TargetMode="External"/><Relationship Id="rId73" Type="http://schemas.openxmlformats.org/officeDocument/2006/relationships/hyperlink" Target="http://www.ungis.org/Home.aspx" TargetMode="External"/><Relationship Id="rId78" Type="http://schemas.openxmlformats.org/officeDocument/2006/relationships/hyperlink" Target="https://unstats.un.org/unsd/statcom/" TargetMode="External"/><Relationship Id="rId94" Type="http://schemas.openxmlformats.org/officeDocument/2006/relationships/hyperlink" Target="https://www.itu.int/en/ITU-D/Conferences/WTDC/WTDC17/Documents/WTDC17_final_report_en.pdf" TargetMode="External"/><Relationship Id="rId99" Type="http://schemas.openxmlformats.org/officeDocument/2006/relationships/hyperlink" Target="https://www.itu.int/en/ITU-D/Conferences/WTDC/WTDC17/Documents/WTDC17_final_report_en.pdf" TargetMode="External"/><Relationship Id="rId101" Type="http://schemas.openxmlformats.org/officeDocument/2006/relationships/hyperlink" Target="https://www.un.org/development/desa/disabilities/about-us/inter-agency-support-group-for-the-convention-on-the-rights-of-persons-with-disabilities.html" TargetMode="External"/><Relationship Id="rId122" Type="http://schemas.openxmlformats.org/officeDocument/2006/relationships/hyperlink" Target="https://www.un.org/geospatial/mandates/agencies" TargetMode="External"/><Relationship Id="rId143" Type="http://schemas.openxmlformats.org/officeDocument/2006/relationships/hyperlink" Target="https://sdgs.un.org/sdg-good-practices"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sustainabledevelopment.un.org/content/documents/27613Compilation_of_main_messages_for_the_2021_VNR.pdf" TargetMode="External"/><Relationship Id="rId47" Type="http://schemas.openxmlformats.org/officeDocument/2006/relationships/hyperlink" Target="http://handle.itu.int/11.1002/1000/13686" TargetMode="External"/><Relationship Id="rId68" Type="http://schemas.openxmlformats.org/officeDocument/2006/relationships/hyperlink" Target="https://www.unsystem.org/content/reports-digital-and-technology-network" TargetMode="External"/><Relationship Id="rId89" Type="http://schemas.openxmlformats.org/officeDocument/2006/relationships/hyperlink" Target="https://www.itu.int/en/council/Documents/basic-texts/RES-071-E.pdf" TargetMode="External"/><Relationship Id="rId112" Type="http://schemas.openxmlformats.org/officeDocument/2006/relationships/hyperlink" Target="https://www.itu.int/en/council/Documents/basic-texts/REC-007-E.pdf" TargetMode="External"/><Relationship Id="rId133" Type="http://schemas.openxmlformats.org/officeDocument/2006/relationships/hyperlink" Target="https://www.unsystem.org/content/information-security-special-interest-group" TargetMode="External"/><Relationship Id="rId16" Type="http://schemas.openxmlformats.org/officeDocument/2006/relationships/hyperlink" Target="http://www.itu.int/md/S13-CL-INF-0010/en" TargetMode="External"/><Relationship Id="rId37" Type="http://schemas.openxmlformats.org/officeDocument/2006/relationships/hyperlink" Target="https://www.itu.int/en/fnc/Pages/default.aspx" TargetMode="External"/><Relationship Id="rId58" Type="http://schemas.openxmlformats.org/officeDocument/2006/relationships/hyperlink" Target="https://undocs.org/A/74/821" TargetMode="External"/><Relationship Id="rId79" Type="http://schemas.openxmlformats.org/officeDocument/2006/relationships/hyperlink" Target="https://www.itu.int/en/council/Documents/basic-texts/RES-131-E.pdf" TargetMode="External"/><Relationship Id="rId102" Type="http://schemas.openxmlformats.org/officeDocument/2006/relationships/hyperlink" Target="https://www.itu.int/en/council/Documents/basic-texts/RES-175-E.pdf" TargetMode="External"/><Relationship Id="rId123" Type="http://schemas.openxmlformats.org/officeDocument/2006/relationships/hyperlink" Target="https://www.itu.int/en/council/Documents/basic-texts/RES-154-E.pdf" TargetMode="External"/><Relationship Id="rId144" Type="http://schemas.openxmlformats.org/officeDocument/2006/relationships/hyperlink" Target="https://un-energy.org/" TargetMode="External"/><Relationship Id="rId90" Type="http://schemas.openxmlformats.org/officeDocument/2006/relationships/hyperlink" Target="http://www.young-un.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A20BCD90392CE4983D33C8AE8606CB9" ma:contentTypeVersion="4" ma:contentTypeDescription="Create a new document." ma:contentTypeScope="" ma:versionID="ab0278a19d79d79aba07f0fc42ad4ff1">
  <xsd:schema xmlns:xsd="http://www.w3.org/2001/XMLSchema" xmlns:xs="http://www.w3.org/2001/XMLSchema" xmlns:p="http://schemas.microsoft.com/office/2006/metadata/properties" xmlns:ns2="4c272582-4164-40b3-8c4b-3c1a04c8dc1b" targetNamespace="http://schemas.microsoft.com/office/2006/metadata/properties" ma:root="true" ma:fieldsID="350f63e12ddd2528da1f5e323684cf9d" ns2:_="">
    <xsd:import namespace="4c272582-4164-40b3-8c4b-3c1a04c8d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72582-4164-40b3-8c4b-3c1a04c8d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DCAE4-9A2A-4146-B5E4-EFAA83C9D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47FDF-23BD-4B0F-AFD5-1D4555CAB02D}">
  <ds:schemaRefs>
    <ds:schemaRef ds:uri="http://schemas.microsoft.com/sharepoint/v3/contenttype/forms"/>
  </ds:schemaRefs>
</ds:datastoreItem>
</file>

<file path=customXml/itemProps3.xml><?xml version="1.0" encoding="utf-8"?>
<ds:datastoreItem xmlns:ds="http://schemas.openxmlformats.org/officeDocument/2006/customXml" ds:itemID="{EC87FA8C-1588-4D8F-9E37-BD552BFBAA1D}">
  <ds:schemaRefs>
    <ds:schemaRef ds:uri="http://schemas.microsoft.com/office/2006/documentManagement/types"/>
    <ds:schemaRef ds:uri="http://purl.org/dc/elements/1.1/"/>
    <ds:schemaRef ds:uri="http://purl.org/dc/terms/"/>
    <ds:schemaRef ds:uri="24aa669f-0257-4567-9ac2-1cbb111e64a7"/>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af2cbe1-1f56-4dd9-bdab-6526eb218db6"/>
  </ds:schemaRefs>
</ds:datastoreItem>
</file>

<file path=customXml/itemProps4.xml><?xml version="1.0" encoding="utf-8"?>
<ds:datastoreItem xmlns:ds="http://schemas.openxmlformats.org/officeDocument/2006/customXml" ds:itemID="{142678DF-BC89-4192-A3F3-F1D193CFBA80}">
  <ds:schemaRefs>
    <ds:schemaRef ds:uri="http://schemas.openxmlformats.org/officeDocument/2006/bibliography"/>
  </ds:schemaRefs>
</ds:datastoreItem>
</file>

<file path=customXml/itemProps5.xml><?xml version="1.0" encoding="utf-8"?>
<ds:datastoreItem xmlns:ds="http://schemas.openxmlformats.org/officeDocument/2006/customXml" ds:itemID="{422E4F09-C5F9-4A30-BE90-3B8616A4B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72582-4164-40b3-8c4b-3c1a04c8d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11717</Words>
  <Characters>78816</Characters>
  <Application>Microsoft Office Word</Application>
  <DocSecurity>0</DocSecurity>
  <Lines>656</Lines>
  <Paragraphs>180</Paragraphs>
  <ScaleCrop>false</ScaleCrop>
  <HeadingPairs>
    <vt:vector size="2" baseType="variant">
      <vt:variant>
        <vt:lpstr>Title</vt:lpstr>
      </vt:variant>
      <vt:variant>
        <vt:i4>1</vt:i4>
      </vt:variant>
    </vt:vector>
  </HeadingPairs>
  <TitlesOfParts>
    <vt:vector size="1" baseType="lpstr">
      <vt:lpstr>Collaboration with the United Nations system</vt:lpstr>
    </vt:vector>
  </TitlesOfParts>
  <Manager>General Secretariat - Pool</Manager>
  <Company>International Telecommunication Union (ITU)</Company>
  <LinksUpToDate>false</LinksUpToDate>
  <CharactersWithSpaces>90353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with the United Nations system</dc:title>
  <dc:subject>Council 2022</dc:subject>
  <dc:creator>Brouard, Ricarda</dc:creator>
  <cp:keywords>C2022, C22, Council-22</cp:keywords>
  <dc:description/>
  <cp:lastModifiedBy>Xue, Kun</cp:lastModifiedBy>
  <cp:revision>4</cp:revision>
  <cp:lastPrinted>2020-03-02T09:46:00Z</cp:lastPrinted>
  <dcterms:created xsi:type="dcterms:W3CDTF">2022-02-07T14:44:00Z</dcterms:created>
  <dcterms:modified xsi:type="dcterms:W3CDTF">2022-02-07T15:02:00Z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0x0101003A20BCD90392CE4983D33C8AE8606CB9</vt:lpwstr>
  </property>
</Properties>
</file>