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4C7019" w14:paraId="615D7DD6" w14:textId="77777777">
        <w:trPr>
          <w:cantSplit/>
        </w:trPr>
        <w:tc>
          <w:tcPr>
            <w:tcW w:w="6911" w:type="dxa"/>
          </w:tcPr>
          <w:p w14:paraId="1A9DE82C" w14:textId="5D15BA68" w:rsidR="00700D1F" w:rsidRPr="004C7019" w:rsidRDefault="005133D3" w:rsidP="00D42120">
            <w:pPr>
              <w:spacing w:before="360" w:after="48"/>
              <w:rPr>
                <w:position w:val="6"/>
                <w:lang w:eastAsia="zh-CN"/>
              </w:rPr>
            </w:pPr>
            <w:r w:rsidRPr="005133D3">
              <w:rPr>
                <w:rFonts w:hint="eastAsia"/>
                <w:b/>
                <w:sz w:val="28"/>
                <w:szCs w:val="28"/>
                <w:lang w:eastAsia="zh-CN"/>
              </w:rPr>
              <w:t>理事会</w:t>
            </w:r>
            <w:r w:rsidRPr="005133D3">
              <w:rPr>
                <w:b/>
                <w:sz w:val="28"/>
                <w:szCs w:val="28"/>
                <w:lang w:eastAsia="zh-CN"/>
              </w:rPr>
              <w:t>202</w:t>
            </w:r>
            <w:r w:rsidRPr="005133D3">
              <w:rPr>
                <w:rFonts w:hint="eastAsia"/>
                <w:b/>
                <w:sz w:val="28"/>
                <w:szCs w:val="28"/>
                <w:lang w:eastAsia="zh-CN"/>
              </w:rPr>
              <w:t>4</w:t>
            </w:r>
            <w:r w:rsidRPr="005133D3">
              <w:rPr>
                <w:b/>
                <w:sz w:val="28"/>
                <w:szCs w:val="28"/>
                <w:lang w:eastAsia="zh-CN"/>
              </w:rPr>
              <w:t>-202</w:t>
            </w:r>
            <w:r w:rsidRPr="005133D3">
              <w:rPr>
                <w:rFonts w:hint="eastAsia"/>
                <w:b/>
                <w:sz w:val="28"/>
                <w:szCs w:val="28"/>
                <w:lang w:eastAsia="zh-CN"/>
              </w:rPr>
              <w:t>7</w:t>
            </w:r>
            <w:r w:rsidRPr="005133D3">
              <w:rPr>
                <w:rFonts w:hint="eastAsia"/>
                <w:b/>
                <w:sz w:val="28"/>
                <w:szCs w:val="28"/>
                <w:lang w:eastAsia="zh-CN"/>
              </w:rPr>
              <w:t>年战略规划</w:t>
            </w:r>
            <w:r w:rsidRPr="005133D3">
              <w:rPr>
                <w:b/>
                <w:sz w:val="28"/>
                <w:szCs w:val="28"/>
                <w:lang w:eastAsia="zh-CN"/>
              </w:rPr>
              <w:t>和财务规划工作组</w:t>
            </w:r>
            <w:r w:rsidRPr="005133D3">
              <w:rPr>
                <w:b/>
                <w:sz w:val="28"/>
                <w:szCs w:val="28"/>
                <w:lang w:eastAsia="zh-CN"/>
              </w:rPr>
              <w:br/>
            </w:r>
            <w:r w:rsidRPr="005368D6">
              <w:rPr>
                <w:rFonts w:hint="eastAsia"/>
                <w:b/>
                <w:szCs w:val="24"/>
                <w:lang w:eastAsia="zh-CN"/>
              </w:rPr>
              <w:t>第</w:t>
            </w:r>
            <w:r w:rsidR="00D42120" w:rsidRPr="005368D6">
              <w:rPr>
                <w:rFonts w:hint="eastAsia"/>
                <w:b/>
                <w:szCs w:val="24"/>
                <w:lang w:eastAsia="zh-CN"/>
              </w:rPr>
              <w:t>三</w:t>
            </w:r>
            <w:r w:rsidRPr="005368D6">
              <w:rPr>
                <w:b/>
                <w:szCs w:val="24"/>
                <w:lang w:eastAsia="zh-CN"/>
              </w:rPr>
              <w:t>次会议</w:t>
            </w:r>
            <w:r w:rsidRPr="005368D6">
              <w:rPr>
                <w:b/>
                <w:szCs w:val="24"/>
                <w:lang w:eastAsia="zh-CN"/>
              </w:rPr>
              <w:t xml:space="preserve"> –</w:t>
            </w:r>
            <w:r w:rsidRPr="005368D6">
              <w:rPr>
                <w:rFonts w:hint="eastAsia"/>
                <w:b/>
                <w:szCs w:val="24"/>
                <w:lang w:eastAsia="zh-CN"/>
              </w:rPr>
              <w:t xml:space="preserve"> </w:t>
            </w:r>
            <w:r w:rsidR="00D91323" w:rsidRPr="005368D6">
              <w:rPr>
                <w:b/>
                <w:szCs w:val="24"/>
                <w:lang w:eastAsia="zh-CN"/>
              </w:rPr>
              <w:t>20</w:t>
            </w:r>
            <w:r w:rsidR="00D91323" w:rsidRPr="005368D6">
              <w:rPr>
                <w:rFonts w:hint="eastAsia"/>
                <w:b/>
                <w:szCs w:val="24"/>
                <w:lang w:eastAsia="zh-CN"/>
              </w:rPr>
              <w:t>22</w:t>
            </w:r>
            <w:r w:rsidR="00D91323" w:rsidRPr="005368D6">
              <w:rPr>
                <w:b/>
                <w:szCs w:val="24"/>
                <w:lang w:eastAsia="zh-CN"/>
              </w:rPr>
              <w:t>年</w:t>
            </w:r>
            <w:r w:rsidR="00D91323" w:rsidRPr="005368D6">
              <w:rPr>
                <w:b/>
                <w:szCs w:val="24"/>
                <w:lang w:eastAsia="zh-CN"/>
              </w:rPr>
              <w:t>2</w:t>
            </w:r>
            <w:r w:rsidR="00D91323" w:rsidRPr="005368D6">
              <w:rPr>
                <w:b/>
                <w:szCs w:val="24"/>
                <w:lang w:eastAsia="zh-CN"/>
              </w:rPr>
              <w:t>月</w:t>
            </w:r>
            <w:r w:rsidR="00D91323" w:rsidRPr="005368D6">
              <w:rPr>
                <w:rFonts w:hint="eastAsia"/>
                <w:b/>
                <w:szCs w:val="24"/>
                <w:lang w:eastAsia="zh-CN"/>
              </w:rPr>
              <w:t>21-</w:t>
            </w:r>
            <w:r w:rsidR="00D91323" w:rsidRPr="005368D6">
              <w:rPr>
                <w:b/>
                <w:szCs w:val="24"/>
                <w:lang w:eastAsia="zh-CN"/>
              </w:rPr>
              <w:t>22</w:t>
            </w:r>
            <w:r w:rsidR="00D91323" w:rsidRPr="005368D6">
              <w:rPr>
                <w:rFonts w:hint="eastAsia"/>
                <w:b/>
                <w:szCs w:val="24"/>
                <w:lang w:eastAsia="zh-CN"/>
              </w:rPr>
              <w:t>日</w:t>
            </w:r>
          </w:p>
        </w:tc>
        <w:tc>
          <w:tcPr>
            <w:tcW w:w="3120" w:type="dxa"/>
          </w:tcPr>
          <w:p w14:paraId="36E09915" w14:textId="77777777" w:rsidR="00700D1F" w:rsidRPr="004C7019" w:rsidRDefault="009D2585" w:rsidP="009D2585">
            <w:pPr>
              <w:spacing w:before="0"/>
            </w:pPr>
            <w:bookmarkStart w:id="0" w:name="ditulogo"/>
            <w:bookmarkEnd w:id="0"/>
            <w:r w:rsidRPr="004C7019">
              <w:rPr>
                <w:noProof/>
                <w:lang w:val="en-US" w:eastAsia="zh-CN"/>
              </w:rPr>
              <w:drawing>
                <wp:inline distT="0" distB="0" distL="0" distR="0" wp14:anchorId="79267DB9" wp14:editId="54B2105A">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4C7019" w14:paraId="73E044B5" w14:textId="77777777">
        <w:trPr>
          <w:cantSplit/>
        </w:trPr>
        <w:tc>
          <w:tcPr>
            <w:tcW w:w="6911" w:type="dxa"/>
            <w:tcBorders>
              <w:bottom w:val="single" w:sz="12" w:space="0" w:color="auto"/>
            </w:tcBorders>
          </w:tcPr>
          <w:p w14:paraId="5AB17852" w14:textId="7BAE3581" w:rsidR="00700D1F" w:rsidRPr="004C7019" w:rsidRDefault="00700D1F" w:rsidP="00D966A7">
            <w:pPr>
              <w:spacing w:before="0" w:after="48"/>
              <w:rPr>
                <w:b/>
                <w:smallCaps/>
                <w:szCs w:val="24"/>
                <w:lang w:eastAsia="zh-CN"/>
              </w:rPr>
            </w:pPr>
          </w:p>
        </w:tc>
        <w:tc>
          <w:tcPr>
            <w:tcW w:w="3120" w:type="dxa"/>
            <w:tcBorders>
              <w:bottom w:val="single" w:sz="12" w:space="0" w:color="auto"/>
            </w:tcBorders>
          </w:tcPr>
          <w:p w14:paraId="6561CC1C" w14:textId="77777777" w:rsidR="00700D1F" w:rsidRPr="004C7019" w:rsidRDefault="00700D1F" w:rsidP="00D966A7">
            <w:pPr>
              <w:spacing w:before="0"/>
              <w:rPr>
                <w:szCs w:val="24"/>
                <w:lang w:eastAsia="zh-CN"/>
              </w:rPr>
            </w:pPr>
          </w:p>
        </w:tc>
      </w:tr>
      <w:tr w:rsidR="00700D1F" w:rsidRPr="004C7019" w14:paraId="46783944" w14:textId="77777777">
        <w:trPr>
          <w:cantSplit/>
        </w:trPr>
        <w:tc>
          <w:tcPr>
            <w:tcW w:w="6911" w:type="dxa"/>
            <w:tcBorders>
              <w:top w:val="single" w:sz="12" w:space="0" w:color="auto"/>
            </w:tcBorders>
          </w:tcPr>
          <w:p w14:paraId="7DB8BB3A" w14:textId="77777777" w:rsidR="00700D1F" w:rsidRPr="004C7019" w:rsidRDefault="00700D1F" w:rsidP="00D966A7">
            <w:pPr>
              <w:spacing w:before="0" w:after="48"/>
              <w:rPr>
                <w:b/>
                <w:smallCaps/>
                <w:szCs w:val="24"/>
                <w:lang w:eastAsia="zh-CN"/>
              </w:rPr>
            </w:pPr>
          </w:p>
        </w:tc>
        <w:tc>
          <w:tcPr>
            <w:tcW w:w="3120" w:type="dxa"/>
            <w:tcBorders>
              <w:top w:val="single" w:sz="12" w:space="0" w:color="auto"/>
            </w:tcBorders>
          </w:tcPr>
          <w:p w14:paraId="32F39A6E" w14:textId="77777777" w:rsidR="00700D1F" w:rsidRPr="004C7019" w:rsidRDefault="00700D1F" w:rsidP="00D966A7">
            <w:pPr>
              <w:spacing w:before="0"/>
              <w:rPr>
                <w:szCs w:val="24"/>
                <w:lang w:eastAsia="zh-CN"/>
              </w:rPr>
            </w:pPr>
          </w:p>
        </w:tc>
      </w:tr>
      <w:tr w:rsidR="003C68C5" w:rsidRPr="004C7019" w14:paraId="78C10344" w14:textId="77777777">
        <w:trPr>
          <w:cantSplit/>
          <w:trHeight w:val="23"/>
        </w:trPr>
        <w:tc>
          <w:tcPr>
            <w:tcW w:w="6911" w:type="dxa"/>
            <w:vMerge w:val="restart"/>
          </w:tcPr>
          <w:p w14:paraId="0D39AE3D" w14:textId="77777777" w:rsidR="003C68C5" w:rsidRPr="004C7019" w:rsidRDefault="003C68C5" w:rsidP="00D966A7">
            <w:pPr>
              <w:tabs>
                <w:tab w:val="left" w:pos="851"/>
              </w:tabs>
              <w:rPr>
                <w:b/>
                <w:szCs w:val="24"/>
                <w:lang w:eastAsia="zh-CN"/>
              </w:rPr>
            </w:pPr>
            <w:bookmarkStart w:id="1" w:name="dmeeting" w:colFirst="0" w:colLast="0"/>
          </w:p>
        </w:tc>
        <w:tc>
          <w:tcPr>
            <w:tcW w:w="3120" w:type="dxa"/>
          </w:tcPr>
          <w:p w14:paraId="78DE070A" w14:textId="45F30AE1" w:rsidR="003C68C5" w:rsidRPr="004C7019" w:rsidRDefault="003C68C5" w:rsidP="000916EA">
            <w:pPr>
              <w:tabs>
                <w:tab w:val="left" w:pos="851"/>
              </w:tabs>
              <w:spacing w:before="0"/>
              <w:rPr>
                <w:b/>
                <w:bCs/>
              </w:rPr>
            </w:pPr>
            <w:proofErr w:type="spellStart"/>
            <w:r w:rsidRPr="004C7019">
              <w:rPr>
                <w:rFonts w:hint="eastAsia"/>
                <w:b/>
                <w:bCs/>
                <w:lang w:val="fr-CH"/>
              </w:rPr>
              <w:t>文件</w:t>
            </w:r>
            <w:proofErr w:type="spellEnd"/>
            <w:r w:rsidRPr="004C7019">
              <w:rPr>
                <w:b/>
                <w:bCs/>
                <w:sz w:val="20"/>
              </w:rPr>
              <w:t xml:space="preserve"> </w:t>
            </w:r>
            <w:r w:rsidR="009B0BC1" w:rsidRPr="00A82C73">
              <w:rPr>
                <w:rFonts w:cs="Times New Roman Bold"/>
                <w:b/>
                <w:spacing w:val="-4"/>
              </w:rPr>
              <w:t>CWG-SFP-</w:t>
            </w:r>
            <w:r w:rsidR="00D91323">
              <w:rPr>
                <w:rFonts w:cs="Times New Roman Bold" w:hint="eastAsia"/>
                <w:b/>
                <w:spacing w:val="-4"/>
                <w:lang w:eastAsia="zh-CN"/>
              </w:rPr>
              <w:t>3</w:t>
            </w:r>
            <w:r w:rsidR="009B0BC1" w:rsidRPr="00A82C73">
              <w:rPr>
                <w:rFonts w:cs="Times New Roman Bold"/>
                <w:b/>
                <w:bCs/>
                <w:spacing w:val="-4"/>
              </w:rPr>
              <w:t>/</w:t>
            </w:r>
            <w:r w:rsidR="005368D6">
              <w:rPr>
                <w:rFonts w:cs="Times New Roman Bold"/>
                <w:b/>
                <w:bCs/>
                <w:spacing w:val="-4"/>
                <w:lang w:eastAsia="zh-CN"/>
              </w:rPr>
              <w:t>12</w:t>
            </w:r>
            <w:r w:rsidR="009B0BC1" w:rsidRPr="00A82C73">
              <w:rPr>
                <w:rFonts w:cs="Times New Roman Bold"/>
                <w:b/>
                <w:bCs/>
                <w:spacing w:val="-4"/>
              </w:rPr>
              <w:t>-C</w:t>
            </w:r>
          </w:p>
        </w:tc>
      </w:tr>
      <w:bookmarkEnd w:id="1"/>
      <w:tr w:rsidR="003C68C5" w:rsidRPr="004C7019" w14:paraId="083FB0F5" w14:textId="77777777">
        <w:trPr>
          <w:cantSplit/>
          <w:trHeight w:val="23"/>
        </w:trPr>
        <w:tc>
          <w:tcPr>
            <w:tcW w:w="6911" w:type="dxa"/>
            <w:vMerge/>
          </w:tcPr>
          <w:p w14:paraId="1FA732A1" w14:textId="77777777" w:rsidR="003C68C5" w:rsidRPr="004C7019" w:rsidRDefault="003C68C5" w:rsidP="00D966A7">
            <w:pPr>
              <w:tabs>
                <w:tab w:val="left" w:pos="851"/>
              </w:tabs>
              <w:rPr>
                <w:b/>
                <w:lang w:eastAsia="zh-CN"/>
              </w:rPr>
            </w:pPr>
          </w:p>
        </w:tc>
        <w:tc>
          <w:tcPr>
            <w:tcW w:w="3120" w:type="dxa"/>
          </w:tcPr>
          <w:p w14:paraId="6C4E05C1" w14:textId="7F6B4053" w:rsidR="003C68C5" w:rsidRPr="004C7019" w:rsidRDefault="009B0BC1" w:rsidP="000916EA">
            <w:pPr>
              <w:tabs>
                <w:tab w:val="left" w:pos="993"/>
              </w:tabs>
              <w:spacing w:before="0"/>
              <w:rPr>
                <w:b/>
                <w:bCs/>
              </w:rPr>
            </w:pPr>
            <w:r w:rsidRPr="004C7019">
              <w:rPr>
                <w:b/>
              </w:rPr>
              <w:t>20</w:t>
            </w:r>
            <w:r w:rsidRPr="004C7019">
              <w:rPr>
                <w:rFonts w:hint="eastAsia"/>
                <w:b/>
                <w:lang w:eastAsia="zh-CN"/>
              </w:rPr>
              <w:t>2</w:t>
            </w:r>
            <w:r w:rsidR="00D91323">
              <w:rPr>
                <w:rFonts w:hint="eastAsia"/>
                <w:b/>
                <w:lang w:eastAsia="zh-CN"/>
              </w:rPr>
              <w:t>2</w:t>
            </w:r>
            <w:r w:rsidR="003C68C5" w:rsidRPr="004C7019">
              <w:rPr>
                <w:rFonts w:hint="eastAsia"/>
                <w:b/>
              </w:rPr>
              <w:t>年</w:t>
            </w:r>
            <w:r w:rsidR="005368D6">
              <w:rPr>
                <w:b/>
                <w:lang w:eastAsia="zh-CN"/>
              </w:rPr>
              <w:t>2</w:t>
            </w:r>
            <w:r w:rsidR="003C68C5" w:rsidRPr="004C7019">
              <w:rPr>
                <w:rFonts w:hint="eastAsia"/>
                <w:b/>
              </w:rPr>
              <w:t>月</w:t>
            </w:r>
            <w:r w:rsidR="005368D6">
              <w:rPr>
                <w:b/>
                <w:lang w:eastAsia="zh-CN"/>
              </w:rPr>
              <w:t>7</w:t>
            </w:r>
            <w:r w:rsidR="003C68C5" w:rsidRPr="004C7019">
              <w:rPr>
                <w:rFonts w:hint="eastAsia"/>
                <w:b/>
              </w:rPr>
              <w:t>日</w:t>
            </w:r>
          </w:p>
        </w:tc>
      </w:tr>
      <w:tr w:rsidR="003C68C5" w:rsidRPr="004C7019" w14:paraId="5D735881" w14:textId="77777777" w:rsidTr="00DB3997">
        <w:trPr>
          <w:cantSplit/>
          <w:trHeight w:val="23"/>
        </w:trPr>
        <w:tc>
          <w:tcPr>
            <w:tcW w:w="6911" w:type="dxa"/>
            <w:vMerge/>
          </w:tcPr>
          <w:p w14:paraId="0E745397" w14:textId="77777777" w:rsidR="003C68C5" w:rsidRPr="004C7019" w:rsidRDefault="003C68C5" w:rsidP="00D966A7">
            <w:pPr>
              <w:tabs>
                <w:tab w:val="left" w:pos="851"/>
              </w:tabs>
              <w:rPr>
                <w:b/>
                <w:lang w:eastAsia="zh-CN"/>
              </w:rPr>
            </w:pPr>
          </w:p>
        </w:tc>
        <w:tc>
          <w:tcPr>
            <w:tcW w:w="3120" w:type="dxa"/>
          </w:tcPr>
          <w:p w14:paraId="1FB77E41" w14:textId="77777777" w:rsidR="003C68C5" w:rsidRPr="004C7019" w:rsidRDefault="003C68C5" w:rsidP="000916EA">
            <w:pPr>
              <w:tabs>
                <w:tab w:val="left" w:pos="993"/>
              </w:tabs>
              <w:spacing w:before="0"/>
              <w:rPr>
                <w:b/>
                <w:bCs/>
              </w:rPr>
            </w:pPr>
            <w:proofErr w:type="spellStart"/>
            <w:r w:rsidRPr="004C7019">
              <w:rPr>
                <w:rFonts w:hint="eastAsia"/>
                <w:b/>
                <w:bCs/>
              </w:rPr>
              <w:t>原文：英文</w:t>
            </w:r>
            <w:proofErr w:type="spellEnd"/>
          </w:p>
        </w:tc>
      </w:tr>
      <w:tr w:rsidR="005368D6" w:rsidRPr="004C7019" w14:paraId="5C5022EF" w14:textId="77777777" w:rsidTr="00B76531">
        <w:trPr>
          <w:cantSplit/>
        </w:trPr>
        <w:tc>
          <w:tcPr>
            <w:tcW w:w="10031" w:type="dxa"/>
            <w:gridSpan w:val="2"/>
          </w:tcPr>
          <w:p w14:paraId="6E555FFB" w14:textId="407B0156" w:rsidR="005368D6" w:rsidRPr="004C7019" w:rsidRDefault="005368D6" w:rsidP="005368D6">
            <w:pPr>
              <w:pStyle w:val="Source"/>
              <w:rPr>
                <w:lang w:eastAsia="zh-CN"/>
              </w:rPr>
            </w:pPr>
            <w:r w:rsidRPr="00553D61">
              <w:rPr>
                <w:rFonts w:hint="eastAsia"/>
                <w:lang w:eastAsia="zh-CN"/>
              </w:rPr>
              <w:t>阿尔及利亚、喀麦隆、埃及、加纳、肯尼亚、尼日利亚、南非和</w:t>
            </w:r>
            <w:r>
              <w:rPr>
                <w:lang w:eastAsia="zh-CN"/>
              </w:rPr>
              <w:br/>
            </w:r>
            <w:r w:rsidRPr="00553D61">
              <w:rPr>
                <w:rFonts w:hint="eastAsia"/>
                <w:lang w:eastAsia="zh-CN"/>
              </w:rPr>
              <w:t>津巴布韦提交的文稿</w:t>
            </w:r>
          </w:p>
        </w:tc>
      </w:tr>
      <w:tr w:rsidR="005368D6" w:rsidRPr="004C7019" w14:paraId="41C4F7CC" w14:textId="77777777" w:rsidTr="00B76531">
        <w:trPr>
          <w:cantSplit/>
        </w:trPr>
        <w:tc>
          <w:tcPr>
            <w:tcW w:w="10031" w:type="dxa"/>
            <w:gridSpan w:val="2"/>
          </w:tcPr>
          <w:p w14:paraId="38196859" w14:textId="73A6165C" w:rsidR="005368D6" w:rsidRPr="004C7019" w:rsidRDefault="005368D6" w:rsidP="005368D6">
            <w:pPr>
              <w:pStyle w:val="Title1"/>
              <w:rPr>
                <w:lang w:eastAsia="zh-CN"/>
              </w:rPr>
            </w:pPr>
            <w:r>
              <w:rPr>
                <w:rFonts w:hint="eastAsia"/>
                <w:szCs w:val="28"/>
                <w:lang w:eastAsia="zh-CN"/>
              </w:rPr>
              <w:t>向理事会战略规划和财务规划工作组（</w:t>
            </w:r>
            <w:r>
              <w:rPr>
                <w:rFonts w:hint="eastAsia"/>
                <w:szCs w:val="28"/>
                <w:lang w:eastAsia="zh-CN"/>
              </w:rPr>
              <w:t>CWG</w:t>
            </w:r>
            <w:r>
              <w:rPr>
                <w:szCs w:val="28"/>
                <w:lang w:eastAsia="zh-CN"/>
              </w:rPr>
              <w:t>-</w:t>
            </w:r>
            <w:r>
              <w:rPr>
                <w:rFonts w:hint="eastAsia"/>
                <w:szCs w:val="28"/>
                <w:lang w:eastAsia="zh-CN"/>
              </w:rPr>
              <w:t>SFP</w:t>
            </w:r>
            <w:r>
              <w:rPr>
                <w:rFonts w:hint="eastAsia"/>
                <w:szCs w:val="28"/>
                <w:lang w:eastAsia="zh-CN"/>
              </w:rPr>
              <w:t>）第</w:t>
            </w:r>
            <w:r>
              <w:rPr>
                <w:rFonts w:hint="eastAsia"/>
                <w:szCs w:val="28"/>
                <w:lang w:eastAsia="zh-CN"/>
              </w:rPr>
              <w:t>3</w:t>
            </w:r>
            <w:r>
              <w:rPr>
                <w:rFonts w:hint="eastAsia"/>
                <w:szCs w:val="28"/>
                <w:lang w:eastAsia="zh-CN"/>
              </w:rPr>
              <w:t>次会议提交的</w:t>
            </w:r>
            <w:r>
              <w:rPr>
                <w:szCs w:val="28"/>
                <w:lang w:eastAsia="zh-CN"/>
              </w:rPr>
              <w:br/>
            </w:r>
            <w:r>
              <w:rPr>
                <w:rFonts w:hint="eastAsia"/>
                <w:szCs w:val="28"/>
                <w:lang w:eastAsia="zh-CN"/>
              </w:rPr>
              <w:t>非洲共同提案</w:t>
            </w:r>
          </w:p>
        </w:tc>
      </w:tr>
      <w:tr w:rsidR="005368D6" w:rsidRPr="004C7019" w14:paraId="2B123A0D" w14:textId="77777777" w:rsidTr="00B76531">
        <w:trPr>
          <w:cantSplit/>
        </w:trPr>
        <w:tc>
          <w:tcPr>
            <w:tcW w:w="10031" w:type="dxa"/>
            <w:gridSpan w:val="2"/>
          </w:tcPr>
          <w:p w14:paraId="7DEA92E4" w14:textId="77777777" w:rsidR="005368D6" w:rsidRDefault="005368D6" w:rsidP="005368D6">
            <w:pPr>
              <w:pStyle w:val="Title2"/>
              <w:rPr>
                <w:lang w:eastAsia="zh-CN"/>
              </w:rPr>
            </w:pPr>
          </w:p>
        </w:tc>
      </w:tr>
    </w:tbl>
    <w:p w14:paraId="5E02BD09" w14:textId="77777777" w:rsidR="005368D6" w:rsidRPr="00EB2806" w:rsidRDefault="005368D6" w:rsidP="005368D6">
      <w:pPr>
        <w:pStyle w:val="Heading1"/>
        <w:rPr>
          <w:rFonts w:cs="Arial"/>
          <w:lang w:val="en-US" w:eastAsia="zh-CN"/>
        </w:rPr>
      </w:pPr>
      <w:r>
        <w:rPr>
          <w:rFonts w:hint="eastAsia"/>
          <w:lang w:val="en-US" w:eastAsia="zh-CN"/>
        </w:rPr>
        <w:t>1</w:t>
      </w:r>
      <w:r>
        <w:rPr>
          <w:lang w:val="en-US" w:eastAsia="zh-CN"/>
        </w:rPr>
        <w:tab/>
      </w:r>
      <w:r w:rsidRPr="00EB2806">
        <w:rPr>
          <w:rFonts w:hint="eastAsia"/>
          <w:lang w:val="en-US" w:eastAsia="zh-CN"/>
        </w:rPr>
        <w:t>引言</w:t>
      </w:r>
    </w:p>
    <w:p w14:paraId="2A1AE254" w14:textId="77777777" w:rsidR="005368D6" w:rsidRPr="008F15E0" w:rsidRDefault="005368D6" w:rsidP="005368D6">
      <w:pPr>
        <w:overflowPunct/>
        <w:autoSpaceDE/>
        <w:autoSpaceDN/>
        <w:adjustRightInd/>
        <w:spacing w:after="120"/>
        <w:ind w:firstLineChars="200" w:firstLine="480"/>
        <w:jc w:val="both"/>
        <w:textAlignment w:val="auto"/>
        <w:rPr>
          <w:rFonts w:asciiTheme="minorHAnsi" w:hAnsiTheme="minorHAnsi" w:cs="Arial"/>
          <w:szCs w:val="24"/>
          <w:lang w:val="en-US" w:eastAsia="zh-CN"/>
        </w:rPr>
      </w:pPr>
      <w:r w:rsidRPr="008F15E0">
        <w:rPr>
          <w:rFonts w:asciiTheme="minorHAnsi" w:hAnsiTheme="minorHAnsi" w:cs="Microsoft YaHei" w:hint="eastAsia"/>
          <w:szCs w:val="24"/>
          <w:lang w:val="en-US" w:eastAsia="zh-CN"/>
        </w:rPr>
        <w:t>非洲电信联盟（</w:t>
      </w:r>
      <w:r w:rsidRPr="008F15E0">
        <w:rPr>
          <w:rFonts w:asciiTheme="minorHAnsi" w:hAnsiTheme="minorHAnsi" w:cs="Arial"/>
          <w:szCs w:val="24"/>
          <w:lang w:val="en-US" w:eastAsia="zh-CN"/>
        </w:rPr>
        <w:t>ATU</w:t>
      </w:r>
      <w:r w:rsidRPr="008F15E0">
        <w:rPr>
          <w:rFonts w:asciiTheme="minorHAnsi" w:hAnsiTheme="minorHAnsi" w:cs="Microsoft YaHei" w:hint="eastAsia"/>
          <w:szCs w:val="24"/>
          <w:lang w:val="en-US" w:eastAsia="zh-CN"/>
        </w:rPr>
        <w:t>）成员</w:t>
      </w:r>
      <w:r>
        <w:rPr>
          <w:rFonts w:asciiTheme="minorHAnsi" w:hAnsiTheme="minorHAnsi" w:cs="Microsoft YaHei" w:hint="eastAsia"/>
          <w:szCs w:val="24"/>
          <w:lang w:val="en-US" w:eastAsia="zh-CN"/>
        </w:rPr>
        <w:t>一直致力于针对战略规划的</w:t>
      </w:r>
      <w:r>
        <w:rPr>
          <w:rFonts w:asciiTheme="minorHAnsi" w:hAnsiTheme="minorHAnsi" w:cs="Microsoft YaHei" w:hint="eastAsia"/>
          <w:szCs w:val="24"/>
          <w:lang w:val="en-US" w:eastAsia="zh-CN"/>
        </w:rPr>
        <w:t>ITU</w:t>
      </w:r>
      <w:r>
        <w:rPr>
          <w:rFonts w:asciiTheme="minorHAnsi" w:hAnsiTheme="minorHAnsi" w:cs="Microsoft YaHei"/>
          <w:szCs w:val="24"/>
          <w:lang w:val="en-US" w:eastAsia="zh-CN"/>
        </w:rPr>
        <w:t>-</w:t>
      </w:r>
      <w:r>
        <w:rPr>
          <w:rFonts w:asciiTheme="minorHAnsi" w:hAnsiTheme="minorHAnsi" w:cs="Microsoft YaHei" w:hint="eastAsia"/>
          <w:szCs w:val="24"/>
          <w:lang w:val="en-US" w:eastAsia="zh-CN"/>
        </w:rPr>
        <w:t>D</w:t>
      </w:r>
      <w:r>
        <w:rPr>
          <w:rFonts w:asciiTheme="minorHAnsi" w:hAnsiTheme="minorHAnsi" w:cs="Microsoft YaHei" w:hint="eastAsia"/>
          <w:szCs w:val="24"/>
          <w:lang w:val="en-US" w:eastAsia="zh-CN"/>
        </w:rPr>
        <w:t>部分草案起草一份区域共同提案。在投入大量时间和努力后，制定出一份完整且全面的</w:t>
      </w:r>
      <w:hyperlink r:id="rId9" w:history="1">
        <w:r>
          <w:rPr>
            <w:rFonts w:asciiTheme="minorHAnsi" w:hAnsiTheme="minorHAnsi" w:cs="Arial"/>
            <w:color w:val="0563C1"/>
            <w:szCs w:val="24"/>
            <w:u w:val="single"/>
            <w:lang w:val="en-US" w:eastAsia="zh-CN"/>
          </w:rPr>
          <w:t>文件</w:t>
        </w:r>
      </w:hyperlink>
      <w:r>
        <w:rPr>
          <w:rFonts w:asciiTheme="minorHAnsi" w:hAnsiTheme="minorHAnsi" w:cs="Arial" w:hint="eastAsia"/>
          <w:szCs w:val="24"/>
          <w:lang w:val="en-US" w:eastAsia="zh-CN"/>
        </w:rPr>
        <w:t>，提交</w:t>
      </w:r>
      <w:r w:rsidRPr="00362CAB">
        <w:rPr>
          <w:rFonts w:asciiTheme="minorHAnsi" w:hAnsiTheme="minorHAnsi" w:cs="Arial" w:hint="eastAsia"/>
          <w:szCs w:val="24"/>
          <w:lang w:val="en-US" w:eastAsia="zh-CN"/>
        </w:rPr>
        <w:t>电信发展顾问组战略规划和运作规划工作组</w:t>
      </w:r>
      <w:r>
        <w:rPr>
          <w:rFonts w:asciiTheme="minorHAnsi" w:hAnsiTheme="minorHAnsi" w:cs="Arial" w:hint="eastAsia"/>
          <w:szCs w:val="24"/>
          <w:lang w:val="en-US" w:eastAsia="zh-CN"/>
        </w:rPr>
        <w:t>（</w:t>
      </w:r>
      <w:r w:rsidRPr="008F15E0">
        <w:rPr>
          <w:rFonts w:asciiTheme="minorHAnsi" w:hAnsiTheme="minorHAnsi" w:cs="Arial"/>
          <w:szCs w:val="24"/>
          <w:lang w:val="en-US" w:eastAsia="zh-CN"/>
        </w:rPr>
        <w:t>TDAG-WG-SOP</w:t>
      </w:r>
      <w:r>
        <w:rPr>
          <w:rFonts w:asciiTheme="minorHAnsi" w:hAnsiTheme="minorHAnsi" w:cs="Arial" w:hint="eastAsia"/>
          <w:szCs w:val="24"/>
          <w:lang w:val="en-US" w:eastAsia="zh-CN"/>
        </w:rPr>
        <w:t>）</w:t>
      </w:r>
      <w:r>
        <w:rPr>
          <w:rFonts w:asciiTheme="minorHAnsi" w:hAnsiTheme="minorHAnsi" w:cs="Arial" w:hint="eastAsia"/>
          <w:szCs w:val="24"/>
          <w:lang w:val="en-US" w:eastAsia="zh-CN"/>
        </w:rPr>
        <w:t>2</w:t>
      </w:r>
      <w:r>
        <w:rPr>
          <w:rFonts w:asciiTheme="minorHAnsi" w:hAnsiTheme="minorHAnsi" w:cs="Arial"/>
          <w:szCs w:val="24"/>
          <w:lang w:val="en-US" w:eastAsia="zh-CN"/>
        </w:rPr>
        <w:t>021</w:t>
      </w:r>
      <w:r>
        <w:rPr>
          <w:rFonts w:asciiTheme="minorHAnsi" w:hAnsiTheme="minorHAnsi" w:cs="Arial" w:hint="eastAsia"/>
          <w:szCs w:val="24"/>
          <w:lang w:val="en-US" w:eastAsia="zh-CN"/>
        </w:rPr>
        <w:t>年</w:t>
      </w:r>
      <w:r>
        <w:rPr>
          <w:rFonts w:asciiTheme="minorHAnsi" w:hAnsiTheme="minorHAnsi" w:cs="Arial" w:hint="eastAsia"/>
          <w:szCs w:val="24"/>
          <w:lang w:val="en-US" w:eastAsia="zh-CN"/>
        </w:rPr>
        <w:t>1</w:t>
      </w:r>
      <w:r>
        <w:rPr>
          <w:rFonts w:asciiTheme="minorHAnsi" w:hAnsiTheme="minorHAnsi" w:cs="Arial"/>
          <w:szCs w:val="24"/>
          <w:lang w:val="en-US" w:eastAsia="zh-CN"/>
        </w:rPr>
        <w:t>0</w:t>
      </w:r>
      <w:r>
        <w:rPr>
          <w:rFonts w:asciiTheme="minorHAnsi" w:hAnsiTheme="minorHAnsi" w:cs="Arial" w:hint="eastAsia"/>
          <w:szCs w:val="24"/>
          <w:lang w:val="en-US" w:eastAsia="zh-CN"/>
        </w:rPr>
        <w:t>月</w:t>
      </w:r>
      <w:r>
        <w:rPr>
          <w:rFonts w:asciiTheme="minorHAnsi" w:hAnsiTheme="minorHAnsi" w:cs="Arial" w:hint="eastAsia"/>
          <w:szCs w:val="24"/>
          <w:lang w:val="en-US" w:eastAsia="zh-CN"/>
        </w:rPr>
        <w:t>4</w:t>
      </w:r>
      <w:r>
        <w:rPr>
          <w:rFonts w:asciiTheme="minorHAnsi" w:hAnsiTheme="minorHAnsi" w:cs="Arial" w:hint="eastAsia"/>
          <w:szCs w:val="24"/>
          <w:lang w:val="en-US" w:eastAsia="zh-CN"/>
        </w:rPr>
        <w:t>日的会议</w:t>
      </w:r>
      <w:r w:rsidRPr="00362CAB">
        <w:rPr>
          <w:rFonts w:asciiTheme="minorHAnsi" w:hAnsiTheme="minorHAnsi" w:cs="Arial" w:hint="eastAsia"/>
          <w:b/>
          <w:bCs/>
          <w:szCs w:val="24"/>
          <w:lang w:val="en-US" w:eastAsia="zh-CN"/>
        </w:rPr>
        <w:t>（</w:t>
      </w:r>
      <w:r>
        <w:rPr>
          <w:rFonts w:asciiTheme="minorHAnsi" w:hAnsiTheme="minorHAnsi" w:cs="Arial" w:hint="eastAsia"/>
          <w:szCs w:val="24"/>
          <w:lang w:val="en-US" w:eastAsia="zh-CN"/>
        </w:rPr>
        <w:t>文件</w:t>
      </w:r>
      <w:r w:rsidRPr="008F15E0">
        <w:rPr>
          <w:rFonts w:asciiTheme="minorHAnsi" w:hAnsiTheme="minorHAnsi" w:cs="Arial"/>
          <w:b/>
          <w:bCs/>
          <w:szCs w:val="24"/>
          <w:lang w:val="en-US" w:eastAsia="zh-CN"/>
        </w:rPr>
        <w:t>TDAG-WG-SOP/14</w:t>
      </w:r>
      <w:r>
        <w:rPr>
          <w:rFonts w:asciiTheme="minorEastAsia" w:hAnsiTheme="minorEastAsia" w:cs="Arial" w:hint="eastAsia"/>
          <w:b/>
          <w:bCs/>
          <w:szCs w:val="24"/>
          <w:lang w:val="en-US" w:eastAsia="zh-CN"/>
        </w:rPr>
        <w:t>）</w:t>
      </w:r>
      <w:r w:rsidRPr="00362CAB">
        <w:rPr>
          <w:rFonts w:asciiTheme="minorEastAsia" w:hAnsiTheme="minorEastAsia" w:cs="Arial" w:hint="eastAsia"/>
          <w:szCs w:val="24"/>
          <w:lang w:val="en-US" w:eastAsia="zh-CN"/>
        </w:rPr>
        <w:t>，</w:t>
      </w:r>
      <w:r>
        <w:rPr>
          <w:rFonts w:asciiTheme="minorEastAsia" w:hAnsiTheme="minorEastAsia" w:cs="Arial" w:hint="eastAsia"/>
          <w:szCs w:val="24"/>
          <w:lang w:val="en-US" w:eastAsia="zh-CN"/>
        </w:rPr>
        <w:t>并在</w:t>
      </w:r>
      <w:r w:rsidRPr="008F15E0">
        <w:rPr>
          <w:rFonts w:asciiTheme="minorHAnsi" w:hAnsiTheme="minorHAnsi" w:cs="Arial"/>
          <w:szCs w:val="24"/>
          <w:lang w:val="en-US" w:eastAsia="zh-CN"/>
        </w:rPr>
        <w:t>CWG-SFP</w:t>
      </w:r>
      <w:r>
        <w:rPr>
          <w:rFonts w:asciiTheme="minorHAnsi" w:hAnsiTheme="minorHAnsi" w:cs="Arial" w:hint="eastAsia"/>
          <w:szCs w:val="24"/>
          <w:lang w:val="en-US" w:eastAsia="zh-CN"/>
        </w:rPr>
        <w:t>第一次会议流程后一直在参与这方面的工作。</w:t>
      </w:r>
    </w:p>
    <w:p w14:paraId="6469851C" w14:textId="77777777" w:rsidR="005368D6" w:rsidRPr="00697879" w:rsidRDefault="005368D6" w:rsidP="005368D6">
      <w:pPr>
        <w:overflowPunct/>
        <w:autoSpaceDE/>
        <w:autoSpaceDN/>
        <w:adjustRightInd/>
        <w:spacing w:after="120"/>
        <w:ind w:firstLineChars="200" w:firstLine="480"/>
        <w:jc w:val="both"/>
        <w:textAlignment w:val="auto"/>
        <w:rPr>
          <w:rFonts w:asciiTheme="minorHAnsi" w:hAnsiTheme="minorHAnsi" w:cs="Arial"/>
          <w:szCs w:val="24"/>
          <w:lang w:val="en-US" w:eastAsia="zh-CN"/>
        </w:rPr>
      </w:pPr>
      <w:r w:rsidRPr="00697879">
        <w:rPr>
          <w:rFonts w:asciiTheme="minorHAnsi" w:hAnsiTheme="minorHAnsi" w:cs="Microsoft YaHei" w:hint="eastAsia"/>
          <w:szCs w:val="24"/>
          <w:lang w:val="en-US" w:eastAsia="zh-CN"/>
        </w:rPr>
        <w:t>我们</w:t>
      </w:r>
      <w:r>
        <w:rPr>
          <w:rFonts w:asciiTheme="minorHAnsi" w:hAnsiTheme="minorHAnsi" w:cs="Microsoft YaHei" w:hint="eastAsia"/>
          <w:szCs w:val="24"/>
          <w:lang w:val="en-US" w:eastAsia="zh-CN"/>
        </w:rPr>
        <w:t>感谢国际电联秘书处根据国际电联成员和</w:t>
      </w:r>
      <w:r w:rsidRPr="00176CBB">
        <w:rPr>
          <w:rFonts w:asciiTheme="minorHAnsi" w:hAnsiTheme="minorHAnsi" w:cs="Microsoft YaHei"/>
          <w:szCs w:val="24"/>
          <w:lang w:val="en-US" w:eastAsia="zh-CN"/>
        </w:rPr>
        <w:t>Dalberg</w:t>
      </w:r>
      <w:r>
        <w:rPr>
          <w:rFonts w:asciiTheme="minorHAnsi" w:hAnsiTheme="minorHAnsi" w:cs="Microsoft YaHei" w:hint="eastAsia"/>
          <w:szCs w:val="24"/>
          <w:lang w:val="en-US" w:eastAsia="zh-CN"/>
        </w:rPr>
        <w:t>提供的输入意见，基于</w:t>
      </w:r>
      <w:r>
        <w:rPr>
          <w:rFonts w:asciiTheme="minorHAnsi" w:hAnsiTheme="minorHAnsi" w:cs="Microsoft YaHei" w:hint="eastAsia"/>
          <w:szCs w:val="24"/>
          <w:lang w:val="en-US" w:eastAsia="zh-CN"/>
        </w:rPr>
        <w:t>CWG</w:t>
      </w:r>
      <w:r>
        <w:rPr>
          <w:rFonts w:asciiTheme="minorHAnsi" w:hAnsiTheme="minorHAnsi" w:cs="Microsoft YaHei"/>
          <w:szCs w:val="24"/>
          <w:lang w:val="en-US" w:eastAsia="zh-CN"/>
        </w:rPr>
        <w:t>-</w:t>
      </w:r>
      <w:r>
        <w:rPr>
          <w:rFonts w:asciiTheme="minorHAnsi" w:hAnsiTheme="minorHAnsi" w:cs="Microsoft YaHei" w:hint="eastAsia"/>
          <w:szCs w:val="24"/>
          <w:lang w:val="en-US" w:eastAsia="zh-CN"/>
        </w:rPr>
        <w:t>SFP</w:t>
      </w:r>
      <w:r>
        <w:rPr>
          <w:rFonts w:asciiTheme="minorHAnsi" w:hAnsiTheme="minorHAnsi" w:cs="Microsoft YaHei" w:hint="eastAsia"/>
          <w:szCs w:val="24"/>
          <w:lang w:val="en-US" w:eastAsia="zh-CN"/>
        </w:rPr>
        <w:t>第一次会议确定的原则，为完善国际电联的战略框架而制定的提案。我们认为，</w:t>
      </w:r>
      <w:r w:rsidRPr="00697879">
        <w:rPr>
          <w:rFonts w:asciiTheme="minorHAnsi" w:hAnsiTheme="minorHAnsi" w:cs="Arial"/>
          <w:szCs w:val="24"/>
          <w:lang w:val="en-US" w:eastAsia="zh-CN"/>
        </w:rPr>
        <w:t>2024-2027</w:t>
      </w:r>
      <w:r>
        <w:rPr>
          <w:rFonts w:asciiTheme="minorHAnsi" w:hAnsiTheme="minorHAnsi" w:cs="Arial" w:hint="eastAsia"/>
          <w:szCs w:val="24"/>
          <w:lang w:val="en-US" w:eastAsia="zh-CN"/>
        </w:rPr>
        <w:t>年是一个完成、审查和跟进联合国各项议程的非常重要的时间框架，因此我们认为对战略规划做相应调整是及时和有意义的。我们乐意向我们国际电联这一非常重要的过程提供这份文稿。</w:t>
      </w:r>
    </w:p>
    <w:p w14:paraId="3F245FC9" w14:textId="77777777" w:rsidR="005368D6" w:rsidRPr="006D5266" w:rsidRDefault="005368D6" w:rsidP="005368D6">
      <w:pPr>
        <w:pStyle w:val="Heading1"/>
        <w:rPr>
          <w:lang w:eastAsia="zh-CN"/>
        </w:rPr>
      </w:pPr>
      <w:r w:rsidRPr="006D5266">
        <w:rPr>
          <w:rFonts w:hint="eastAsia"/>
          <w:lang w:eastAsia="zh-CN"/>
        </w:rPr>
        <w:t>2</w:t>
      </w:r>
      <w:r w:rsidRPr="006D5266">
        <w:rPr>
          <w:lang w:eastAsia="zh-CN"/>
        </w:rPr>
        <w:tab/>
      </w:r>
      <w:r w:rsidRPr="006D5266">
        <w:rPr>
          <w:rFonts w:hint="eastAsia"/>
          <w:lang w:eastAsia="zh-CN"/>
        </w:rPr>
        <w:t>有关秘书处对第</w:t>
      </w:r>
      <w:r w:rsidRPr="006D5266">
        <w:rPr>
          <w:rFonts w:hint="eastAsia"/>
          <w:lang w:eastAsia="zh-CN"/>
        </w:rPr>
        <w:t>71</w:t>
      </w:r>
      <w:r w:rsidRPr="006D5266">
        <w:rPr>
          <w:rFonts w:hint="eastAsia"/>
          <w:lang w:eastAsia="zh-CN"/>
        </w:rPr>
        <w:t>号决议附件</w:t>
      </w:r>
      <w:r w:rsidRPr="006D5266">
        <w:rPr>
          <w:rFonts w:hint="eastAsia"/>
          <w:lang w:eastAsia="zh-CN"/>
        </w:rPr>
        <w:t>1</w:t>
      </w:r>
      <w:r w:rsidRPr="006D5266">
        <w:rPr>
          <w:rFonts w:hint="eastAsia"/>
          <w:lang w:eastAsia="zh-CN"/>
        </w:rPr>
        <w:t>（《国际电联</w:t>
      </w:r>
      <w:r w:rsidRPr="006D5266">
        <w:rPr>
          <w:rFonts w:hint="eastAsia"/>
          <w:lang w:eastAsia="zh-CN"/>
        </w:rPr>
        <w:t>2024-2027</w:t>
      </w:r>
      <w:r w:rsidRPr="006D5266">
        <w:rPr>
          <w:rFonts w:hint="eastAsia"/>
          <w:lang w:eastAsia="zh-CN"/>
        </w:rPr>
        <w:t>年战略规划》草案</w:t>
      </w:r>
      <w:r>
        <w:rPr>
          <w:rFonts w:hint="eastAsia"/>
          <w:lang w:eastAsia="zh-CN"/>
        </w:rPr>
        <w:t>）</w:t>
      </w:r>
      <w:r w:rsidRPr="006D5266">
        <w:rPr>
          <w:rFonts w:hint="eastAsia"/>
          <w:lang w:eastAsia="zh-CN"/>
        </w:rPr>
        <w:t>提出的输入意见第</w:t>
      </w:r>
      <w:r w:rsidRPr="006D5266">
        <w:rPr>
          <w:rFonts w:hint="eastAsia"/>
          <w:lang w:eastAsia="zh-CN"/>
        </w:rPr>
        <w:t>2.5</w:t>
      </w:r>
      <w:r w:rsidRPr="006D5266">
        <w:rPr>
          <w:rFonts w:hint="eastAsia"/>
          <w:lang w:eastAsia="zh-CN"/>
        </w:rPr>
        <w:t>节的看法</w:t>
      </w:r>
    </w:p>
    <w:p w14:paraId="717B68F9" w14:textId="77777777" w:rsidR="005368D6" w:rsidRPr="004654A6" w:rsidRDefault="005368D6" w:rsidP="005368D6">
      <w:pPr>
        <w:overflowPunct/>
        <w:autoSpaceDE/>
        <w:autoSpaceDN/>
        <w:adjustRightInd/>
        <w:spacing w:after="120"/>
        <w:ind w:firstLineChars="200" w:firstLine="480"/>
        <w:jc w:val="both"/>
        <w:textAlignment w:val="auto"/>
        <w:rPr>
          <w:rFonts w:asciiTheme="minorHAnsi" w:hAnsiTheme="minorHAnsi" w:cs="Arial"/>
          <w:szCs w:val="24"/>
          <w:lang w:val="en-US" w:eastAsia="zh-CN"/>
        </w:rPr>
      </w:pPr>
      <w:r w:rsidRPr="004654A6">
        <w:rPr>
          <w:rFonts w:asciiTheme="minorHAnsi" w:hAnsiTheme="minorHAnsi" w:cs="Microsoft YaHei" w:hint="eastAsia"/>
          <w:szCs w:val="24"/>
          <w:lang w:val="en-US" w:eastAsia="zh-CN"/>
        </w:rPr>
        <w:t>我们建议</w:t>
      </w:r>
      <w:r>
        <w:rPr>
          <w:rFonts w:asciiTheme="minorHAnsi" w:hAnsiTheme="minorHAnsi" w:cs="Microsoft YaHei" w:hint="eastAsia"/>
          <w:szCs w:val="24"/>
          <w:lang w:val="en-US" w:eastAsia="zh-CN"/>
        </w:rPr>
        <w:t>进一步</w:t>
      </w:r>
      <w:r>
        <w:rPr>
          <w:rFonts w:asciiTheme="minorHAnsi" w:hAnsiTheme="minorHAnsi" w:cs="Arial" w:hint="eastAsia"/>
          <w:b/>
          <w:bCs/>
          <w:szCs w:val="24"/>
          <w:lang w:val="en-US" w:eastAsia="zh-CN"/>
        </w:rPr>
        <w:t>完善</w:t>
      </w:r>
      <w:r>
        <w:rPr>
          <w:rFonts w:asciiTheme="minorHAnsi" w:hAnsiTheme="minorHAnsi" w:cs="Arial" w:hint="eastAsia"/>
          <w:szCs w:val="24"/>
          <w:lang w:val="en-US" w:eastAsia="zh-CN"/>
        </w:rPr>
        <w:t>总体目标</w:t>
      </w:r>
      <w:r>
        <w:rPr>
          <w:rFonts w:asciiTheme="minorHAnsi" w:hAnsiTheme="minorHAnsi" w:cs="Arial" w:hint="eastAsia"/>
          <w:szCs w:val="24"/>
          <w:lang w:val="en-US" w:eastAsia="zh-CN"/>
        </w:rPr>
        <w:t>1</w:t>
      </w:r>
      <w:r>
        <w:rPr>
          <w:rFonts w:asciiTheme="minorHAnsi" w:hAnsiTheme="minorHAnsi" w:cs="Arial" w:hint="eastAsia"/>
          <w:szCs w:val="24"/>
          <w:lang w:val="en-US" w:eastAsia="zh-CN"/>
        </w:rPr>
        <w:t>：在</w:t>
      </w:r>
      <w:r>
        <w:rPr>
          <w:rFonts w:asciiTheme="minorHAnsi" w:hAnsiTheme="minorHAnsi" w:cs="Arial" w:hint="eastAsia"/>
          <w:szCs w:val="24"/>
          <w:lang w:val="en-US" w:eastAsia="zh-CN"/>
        </w:rPr>
        <w:t>2</w:t>
      </w:r>
      <w:r>
        <w:rPr>
          <w:rFonts w:asciiTheme="minorHAnsi" w:hAnsiTheme="minorHAnsi" w:cs="Arial"/>
          <w:szCs w:val="24"/>
          <w:lang w:val="en-US" w:eastAsia="zh-CN"/>
        </w:rPr>
        <w:t>030</w:t>
      </w:r>
      <w:r>
        <w:rPr>
          <w:rFonts w:asciiTheme="minorHAnsi" w:hAnsiTheme="minorHAnsi" w:cs="Arial" w:hint="eastAsia"/>
          <w:szCs w:val="24"/>
          <w:lang w:val="en-US" w:eastAsia="zh-CN"/>
        </w:rPr>
        <w:t>年前实现普遍连通的拟议具体目标，以及总体目标</w:t>
      </w:r>
      <w:r>
        <w:rPr>
          <w:rFonts w:asciiTheme="minorHAnsi" w:hAnsiTheme="minorHAnsi" w:cs="Arial" w:hint="eastAsia"/>
          <w:szCs w:val="24"/>
          <w:lang w:val="en-US" w:eastAsia="zh-CN"/>
        </w:rPr>
        <w:t>2</w:t>
      </w:r>
      <w:r>
        <w:rPr>
          <w:rFonts w:asciiTheme="minorHAnsi" w:hAnsiTheme="minorHAnsi" w:cs="Arial" w:hint="eastAsia"/>
          <w:szCs w:val="24"/>
          <w:lang w:val="en-US" w:eastAsia="zh-CN"/>
        </w:rPr>
        <w:t>：在</w:t>
      </w:r>
      <w:r>
        <w:rPr>
          <w:rFonts w:asciiTheme="minorHAnsi" w:hAnsiTheme="minorHAnsi" w:cs="Arial" w:hint="eastAsia"/>
          <w:szCs w:val="24"/>
          <w:lang w:val="en-US" w:eastAsia="zh-CN"/>
        </w:rPr>
        <w:t>2</w:t>
      </w:r>
      <w:r>
        <w:rPr>
          <w:rFonts w:asciiTheme="minorHAnsi" w:hAnsiTheme="minorHAnsi" w:cs="Arial"/>
          <w:szCs w:val="24"/>
          <w:lang w:val="en-US" w:eastAsia="zh-CN"/>
        </w:rPr>
        <w:t>030</w:t>
      </w:r>
      <w:r>
        <w:rPr>
          <w:rFonts w:asciiTheme="minorHAnsi" w:hAnsiTheme="minorHAnsi" w:cs="Arial" w:hint="eastAsia"/>
          <w:szCs w:val="24"/>
          <w:lang w:val="en-US" w:eastAsia="zh-CN"/>
        </w:rPr>
        <w:t>年前实现可持续数字化转型的拟议具体目标。亦建议将总体目标</w:t>
      </w:r>
      <w:r>
        <w:rPr>
          <w:rFonts w:asciiTheme="minorHAnsi" w:hAnsiTheme="minorHAnsi" w:cs="Arial" w:hint="eastAsia"/>
          <w:szCs w:val="24"/>
          <w:lang w:val="en-US" w:eastAsia="zh-CN"/>
        </w:rPr>
        <w:t>2</w:t>
      </w:r>
      <w:r>
        <w:rPr>
          <w:rFonts w:asciiTheme="minorHAnsi" w:hAnsiTheme="minorHAnsi" w:cs="Arial" w:hint="eastAsia"/>
          <w:szCs w:val="24"/>
          <w:lang w:val="en-US" w:eastAsia="zh-CN"/>
        </w:rPr>
        <w:t>当前的拟议具体目标纳入总体目标</w:t>
      </w:r>
      <w:r>
        <w:rPr>
          <w:rFonts w:asciiTheme="minorHAnsi" w:hAnsiTheme="minorHAnsi" w:cs="Arial" w:hint="eastAsia"/>
          <w:szCs w:val="24"/>
          <w:lang w:val="en-US" w:eastAsia="zh-CN"/>
        </w:rPr>
        <w:t>1</w:t>
      </w:r>
      <w:r>
        <w:rPr>
          <w:rFonts w:asciiTheme="minorHAnsi" w:hAnsiTheme="minorHAnsi" w:cs="Arial" w:hint="eastAsia"/>
          <w:szCs w:val="24"/>
          <w:lang w:val="en-US" w:eastAsia="zh-CN"/>
        </w:rPr>
        <w:t>，作为总体目标</w:t>
      </w:r>
      <w:r>
        <w:rPr>
          <w:rFonts w:asciiTheme="minorHAnsi" w:hAnsiTheme="minorHAnsi" w:cs="Arial" w:hint="eastAsia"/>
          <w:szCs w:val="24"/>
          <w:lang w:val="en-US" w:eastAsia="zh-CN"/>
        </w:rPr>
        <w:t>1</w:t>
      </w:r>
      <w:r>
        <w:rPr>
          <w:rFonts w:asciiTheme="minorHAnsi" w:hAnsiTheme="minorHAnsi" w:cs="Arial" w:hint="eastAsia"/>
          <w:szCs w:val="24"/>
          <w:lang w:val="en-US" w:eastAsia="zh-CN"/>
        </w:rPr>
        <w:t>的具体目标是适宜的。</w:t>
      </w:r>
    </w:p>
    <w:p w14:paraId="26771930" w14:textId="77777777" w:rsidR="005368D6" w:rsidRPr="00213D99" w:rsidRDefault="005368D6" w:rsidP="00492EDB">
      <w:pPr>
        <w:overflowPunct/>
        <w:autoSpaceDE/>
        <w:autoSpaceDN/>
        <w:adjustRightInd/>
        <w:spacing w:after="120"/>
        <w:ind w:firstLineChars="200" w:firstLine="480"/>
        <w:textAlignment w:val="auto"/>
        <w:rPr>
          <w:rFonts w:asciiTheme="minorEastAsia" w:hAnsiTheme="minorEastAsia" w:cs="Arial"/>
          <w:szCs w:val="24"/>
          <w:lang w:val="en-US" w:eastAsia="zh-CN"/>
        </w:rPr>
      </w:pPr>
      <w:r>
        <w:rPr>
          <w:rFonts w:asciiTheme="minorEastAsia" w:hAnsiTheme="minorEastAsia" w:cs="Microsoft YaHei" w:hint="eastAsia"/>
          <w:szCs w:val="24"/>
          <w:lang w:val="en-US" w:eastAsia="zh-CN"/>
        </w:rPr>
        <w:t>拟议</w:t>
      </w:r>
      <w:r w:rsidRPr="00213D99">
        <w:rPr>
          <w:rFonts w:asciiTheme="minorEastAsia" w:hAnsiTheme="minorEastAsia" w:cs="Microsoft YaHei" w:hint="eastAsia"/>
          <w:szCs w:val="24"/>
          <w:lang w:val="en-US" w:eastAsia="zh-CN"/>
        </w:rPr>
        <w:t>具体目标可如下；</w:t>
      </w:r>
      <w:r w:rsidRPr="00213D99">
        <w:rPr>
          <w:rFonts w:asciiTheme="minorEastAsia" w:hAnsiTheme="minorEastAsia" w:cs="Arial"/>
          <w:szCs w:val="24"/>
          <w:lang w:val="en-US" w:eastAsia="zh-CN"/>
        </w:rPr>
        <w:t xml:space="preserve"> </w:t>
      </w:r>
    </w:p>
    <w:p w14:paraId="420DFC50" w14:textId="77777777" w:rsidR="005368D6" w:rsidRPr="00B605AE" w:rsidRDefault="005368D6" w:rsidP="005368D6">
      <w:pPr>
        <w:overflowPunct/>
        <w:autoSpaceDE/>
        <w:autoSpaceDN/>
        <w:adjustRightInd/>
        <w:spacing w:after="120"/>
        <w:textAlignment w:val="auto"/>
        <w:rPr>
          <w:rFonts w:eastAsia="Calibri" w:cs="Arial"/>
          <w:b/>
          <w:bCs/>
          <w:szCs w:val="24"/>
          <w:lang w:val="en-US" w:eastAsia="zh-CN"/>
        </w:rPr>
      </w:pPr>
      <w:r w:rsidRPr="00EB2806">
        <w:rPr>
          <w:rFonts w:asciiTheme="minorEastAsia" w:hAnsiTheme="minorEastAsia" w:cs="Microsoft YaHei" w:hint="eastAsia"/>
          <w:b/>
          <w:bCs/>
          <w:szCs w:val="24"/>
          <w:lang w:val="en-US" w:eastAsia="zh-CN"/>
        </w:rPr>
        <w:t>总体目标</w:t>
      </w:r>
      <w:r w:rsidRPr="00B605AE">
        <w:rPr>
          <w:rFonts w:eastAsia="Calibri" w:cs="Arial"/>
          <w:b/>
          <w:bCs/>
          <w:szCs w:val="24"/>
          <w:lang w:val="en-US" w:eastAsia="zh-CN"/>
        </w:rPr>
        <w:t>1</w:t>
      </w:r>
      <w:r w:rsidRPr="00C31043">
        <w:rPr>
          <w:rFonts w:cs="Microsoft YaHei" w:hint="eastAsia"/>
          <w:b/>
          <w:bCs/>
          <w:szCs w:val="24"/>
          <w:lang w:val="en-US" w:eastAsia="zh-CN"/>
        </w:rPr>
        <w:t>：在</w:t>
      </w:r>
      <w:r w:rsidRPr="00C31043">
        <w:rPr>
          <w:rFonts w:cs="Microsoft YaHei" w:hint="eastAsia"/>
          <w:b/>
          <w:bCs/>
          <w:szCs w:val="24"/>
          <w:lang w:val="en-US" w:eastAsia="zh-CN"/>
        </w:rPr>
        <w:t>2</w:t>
      </w:r>
      <w:r w:rsidRPr="00C31043">
        <w:rPr>
          <w:rFonts w:cs="Microsoft YaHei"/>
          <w:b/>
          <w:bCs/>
          <w:szCs w:val="24"/>
          <w:lang w:val="en-US" w:eastAsia="zh-CN"/>
        </w:rPr>
        <w:t>030</w:t>
      </w:r>
      <w:r w:rsidRPr="00C31043">
        <w:rPr>
          <w:rFonts w:cs="Microsoft YaHei" w:hint="eastAsia"/>
          <w:b/>
          <w:bCs/>
          <w:szCs w:val="24"/>
          <w:lang w:val="en-US" w:eastAsia="zh-CN"/>
        </w:rPr>
        <w:t>年前实现普遍连通：</w:t>
      </w:r>
    </w:p>
    <w:p w14:paraId="2D95538B" w14:textId="77777777" w:rsidR="005368D6" w:rsidRPr="00B605AE" w:rsidRDefault="005368D6" w:rsidP="005368D6">
      <w:pPr>
        <w:overflowPunct/>
        <w:autoSpaceDE/>
        <w:autoSpaceDN/>
        <w:adjustRightInd/>
        <w:spacing w:after="120"/>
        <w:ind w:left="426"/>
        <w:textAlignment w:val="auto"/>
        <w:rPr>
          <w:rFonts w:eastAsia="Calibri" w:cs="Arial"/>
          <w:szCs w:val="24"/>
          <w:lang w:val="en-US" w:eastAsia="zh-CN"/>
        </w:rPr>
      </w:pPr>
      <w:r w:rsidRPr="00B605AE">
        <w:rPr>
          <w:rFonts w:eastAsia="Calibri" w:cs="Arial"/>
          <w:szCs w:val="24"/>
          <w:lang w:val="en-US" w:eastAsia="zh-CN"/>
        </w:rPr>
        <w:t>1.1</w:t>
      </w:r>
      <w:r w:rsidRPr="00FA5F8D">
        <w:rPr>
          <w:rFonts w:asciiTheme="minorEastAsia" w:hAnsiTheme="minorEastAsia" w:cs="Microsoft YaHei" w:hint="eastAsia"/>
          <w:szCs w:val="24"/>
          <w:lang w:val="en-US" w:eastAsia="zh-CN"/>
        </w:rPr>
        <w:t>：向所有人提供价格可承受的宽带服务</w:t>
      </w:r>
    </w:p>
    <w:p w14:paraId="54B2C41A" w14:textId="77777777" w:rsidR="005368D6" w:rsidRPr="00B605AE" w:rsidRDefault="005368D6" w:rsidP="005368D6">
      <w:pPr>
        <w:overflowPunct/>
        <w:autoSpaceDE/>
        <w:autoSpaceDN/>
        <w:adjustRightInd/>
        <w:spacing w:after="120"/>
        <w:ind w:left="426" w:firstLine="282"/>
        <w:textAlignment w:val="auto"/>
        <w:rPr>
          <w:rFonts w:eastAsia="Calibri" w:cs="Arial"/>
          <w:szCs w:val="24"/>
          <w:lang w:val="en-US" w:eastAsia="zh-CN"/>
        </w:rPr>
      </w:pPr>
      <w:r w:rsidRPr="00B605AE">
        <w:rPr>
          <w:rFonts w:eastAsia="Calibri" w:cs="Arial"/>
          <w:szCs w:val="24"/>
          <w:lang w:val="en-US" w:eastAsia="zh-CN"/>
        </w:rPr>
        <w:t>1.1.1</w:t>
      </w:r>
      <w:r w:rsidRPr="00FA5F8D">
        <w:rPr>
          <w:rFonts w:asciiTheme="minorEastAsia" w:hAnsiTheme="minorEastAsia" w:cs="Microsoft YaHei" w:hint="eastAsia"/>
          <w:szCs w:val="24"/>
          <w:lang w:val="en-US" w:eastAsia="zh-CN"/>
        </w:rPr>
        <w:t>：人均月最低工资的</w:t>
      </w:r>
      <w:r w:rsidRPr="00B605AE">
        <w:rPr>
          <w:rFonts w:eastAsia="Calibri" w:cs="Arial"/>
          <w:szCs w:val="24"/>
          <w:lang w:val="en-US" w:eastAsia="zh-CN" w:bidi="ar-DZ"/>
        </w:rPr>
        <w:t>2%</w:t>
      </w:r>
      <w:proofErr w:type="gramStart"/>
      <w:r w:rsidRPr="00FA5F8D">
        <w:rPr>
          <w:rFonts w:asciiTheme="minorEastAsia" w:hAnsiTheme="minorEastAsia" w:cs="Microsoft YaHei" w:hint="eastAsia"/>
          <w:szCs w:val="24"/>
          <w:lang w:val="en-US" w:eastAsia="zh-CN" w:bidi="ar-DZ"/>
        </w:rPr>
        <w:t>以下；</w:t>
      </w:r>
      <w:proofErr w:type="gramEnd"/>
    </w:p>
    <w:p w14:paraId="6919F3A8" w14:textId="77777777" w:rsidR="005368D6" w:rsidRPr="00B605AE" w:rsidRDefault="005368D6" w:rsidP="005368D6">
      <w:pPr>
        <w:overflowPunct/>
        <w:autoSpaceDE/>
        <w:autoSpaceDN/>
        <w:adjustRightInd/>
        <w:spacing w:after="120"/>
        <w:ind w:left="426"/>
        <w:textAlignment w:val="auto"/>
        <w:rPr>
          <w:rFonts w:eastAsia="Calibri" w:cs="Arial"/>
          <w:szCs w:val="24"/>
          <w:lang w:eastAsia="zh-CN" w:bidi="ar-DZ"/>
        </w:rPr>
      </w:pPr>
      <w:r w:rsidRPr="00B605AE">
        <w:rPr>
          <w:rFonts w:eastAsia="Calibri" w:cs="Arial"/>
          <w:szCs w:val="24"/>
          <w:lang w:eastAsia="zh-CN"/>
        </w:rPr>
        <w:t xml:space="preserve">1.2 </w:t>
      </w:r>
      <w:proofErr w:type="gramStart"/>
      <w:r w:rsidRPr="00FA5F8D">
        <w:rPr>
          <w:rFonts w:asciiTheme="minorEastAsia" w:hAnsiTheme="minorEastAsia" w:cs="Microsoft YaHei" w:hint="eastAsia"/>
          <w:szCs w:val="24"/>
          <w:lang w:eastAsia="zh-CN"/>
        </w:rPr>
        <w:t>安全的数字基础设施；</w:t>
      </w:r>
      <w:proofErr w:type="gramEnd"/>
    </w:p>
    <w:p w14:paraId="23A5688C" w14:textId="77777777" w:rsidR="005368D6" w:rsidRPr="00B605AE" w:rsidRDefault="005368D6" w:rsidP="005368D6">
      <w:pPr>
        <w:overflowPunct/>
        <w:autoSpaceDE/>
        <w:autoSpaceDN/>
        <w:adjustRightInd/>
        <w:spacing w:after="120"/>
        <w:ind w:left="708"/>
        <w:textAlignment w:val="auto"/>
        <w:rPr>
          <w:rFonts w:eastAsia="Calibri" w:cs="Arial"/>
          <w:szCs w:val="24"/>
          <w:lang w:eastAsia="zh-CN" w:bidi="ar-DZ"/>
        </w:rPr>
      </w:pPr>
      <w:r w:rsidRPr="00B605AE">
        <w:rPr>
          <w:rFonts w:eastAsia="Calibri" w:cs="Arial"/>
          <w:szCs w:val="24"/>
          <w:lang w:eastAsia="zh-CN" w:bidi="ar-DZ"/>
        </w:rPr>
        <w:t>1.2.1</w:t>
      </w:r>
      <w:r w:rsidRPr="00156926">
        <w:rPr>
          <w:rFonts w:asciiTheme="minorEastAsia" w:hAnsiTheme="minorEastAsia" w:cs="Microsoft YaHei" w:hint="eastAsia"/>
          <w:szCs w:val="24"/>
          <w:lang w:eastAsia="zh-CN" w:bidi="ar-DZ"/>
        </w:rPr>
        <w:t>：网络安全指数（</w:t>
      </w:r>
      <w:r w:rsidRPr="00B605AE">
        <w:rPr>
          <w:rFonts w:eastAsia="Calibri" w:cs="Arial"/>
          <w:szCs w:val="24"/>
          <w:lang w:eastAsia="zh-CN" w:bidi="ar-DZ"/>
        </w:rPr>
        <w:t>GCI</w:t>
      </w:r>
      <w:r w:rsidRPr="00156926">
        <w:rPr>
          <w:rFonts w:asciiTheme="minorEastAsia" w:hAnsiTheme="minorEastAsia" w:cs="Microsoft YaHei" w:hint="eastAsia"/>
          <w:szCs w:val="24"/>
          <w:lang w:eastAsia="zh-CN" w:bidi="ar-DZ"/>
        </w:rPr>
        <w:t>）（具体目标待制定</w:t>
      </w:r>
      <w:proofErr w:type="gramStart"/>
      <w:r w:rsidRPr="00156926">
        <w:rPr>
          <w:rFonts w:asciiTheme="minorEastAsia" w:hAnsiTheme="minorEastAsia" w:cs="Microsoft YaHei" w:hint="eastAsia"/>
          <w:szCs w:val="24"/>
          <w:lang w:eastAsia="zh-CN" w:bidi="ar-DZ"/>
        </w:rPr>
        <w:t>）；</w:t>
      </w:r>
      <w:proofErr w:type="gramEnd"/>
      <w:r w:rsidRPr="00B605AE">
        <w:rPr>
          <w:rFonts w:eastAsia="Calibri" w:cs="Arial"/>
          <w:szCs w:val="24"/>
          <w:lang w:eastAsia="zh-CN" w:bidi="ar-DZ"/>
        </w:rPr>
        <w:t xml:space="preserve"> </w:t>
      </w:r>
    </w:p>
    <w:p w14:paraId="1BA887A5" w14:textId="77777777" w:rsidR="005368D6" w:rsidRPr="00B605AE" w:rsidRDefault="005368D6" w:rsidP="005368D6">
      <w:pPr>
        <w:overflowPunct/>
        <w:autoSpaceDE/>
        <w:autoSpaceDN/>
        <w:adjustRightInd/>
        <w:spacing w:after="120"/>
        <w:ind w:left="708"/>
        <w:textAlignment w:val="auto"/>
        <w:rPr>
          <w:rFonts w:eastAsia="Calibri" w:cs="Arial"/>
          <w:szCs w:val="24"/>
          <w:lang w:eastAsia="zh-CN" w:bidi="ar-DZ"/>
        </w:rPr>
      </w:pPr>
      <w:r w:rsidRPr="00B605AE">
        <w:rPr>
          <w:rFonts w:eastAsia="Calibri" w:cs="Arial"/>
          <w:szCs w:val="24"/>
          <w:lang w:eastAsia="zh-CN" w:bidi="ar-DZ"/>
        </w:rPr>
        <w:t>1.2.2</w:t>
      </w:r>
      <w:r>
        <w:rPr>
          <w:rFonts w:asciiTheme="minorEastAsia" w:hAnsiTheme="minorEastAsia" w:cs="Arial" w:hint="eastAsia"/>
          <w:szCs w:val="24"/>
          <w:lang w:eastAsia="zh-CN" w:bidi="ar-DZ"/>
        </w:rPr>
        <w:t>：由</w:t>
      </w:r>
      <w:r w:rsidRPr="00B605AE">
        <w:rPr>
          <w:rFonts w:eastAsia="Calibri" w:cs="Arial"/>
          <w:szCs w:val="24"/>
          <w:lang w:eastAsia="zh-CN" w:bidi="ar-DZ"/>
        </w:rPr>
        <w:t>CERTS/CSIRTS/CIRTS</w:t>
      </w:r>
      <w:r w:rsidRPr="00156926">
        <w:rPr>
          <w:rFonts w:asciiTheme="minorEastAsia" w:hAnsiTheme="minorEastAsia" w:cs="Microsoft YaHei" w:hint="eastAsia"/>
          <w:szCs w:val="24"/>
          <w:lang w:eastAsia="zh-CN" w:bidi="ar-DZ"/>
        </w:rPr>
        <w:t>发起行动击退网络攻击的比例（具体目标待制定</w:t>
      </w:r>
      <w:proofErr w:type="gramStart"/>
      <w:r w:rsidRPr="00156926">
        <w:rPr>
          <w:rFonts w:asciiTheme="minorEastAsia" w:hAnsiTheme="minorEastAsia" w:cs="Microsoft YaHei" w:hint="eastAsia"/>
          <w:szCs w:val="24"/>
          <w:lang w:eastAsia="zh-CN" w:bidi="ar-DZ"/>
        </w:rPr>
        <w:t>）；</w:t>
      </w:r>
      <w:proofErr w:type="gramEnd"/>
    </w:p>
    <w:p w14:paraId="2B68950B" w14:textId="77777777" w:rsidR="005368D6" w:rsidRPr="00B605AE" w:rsidRDefault="005368D6" w:rsidP="005368D6">
      <w:pPr>
        <w:overflowPunct/>
        <w:autoSpaceDE/>
        <w:autoSpaceDN/>
        <w:adjustRightInd/>
        <w:spacing w:after="120"/>
        <w:ind w:left="426"/>
        <w:textAlignment w:val="auto"/>
        <w:rPr>
          <w:rFonts w:eastAsia="Calibri" w:cs="Arial"/>
          <w:szCs w:val="24"/>
          <w:lang w:eastAsia="zh-CN" w:bidi="ar-DZ"/>
        </w:rPr>
      </w:pPr>
      <w:r w:rsidRPr="00B605AE">
        <w:rPr>
          <w:rFonts w:eastAsia="Calibri" w:cs="Arial"/>
          <w:szCs w:val="24"/>
          <w:lang w:eastAsia="zh-CN" w:bidi="ar-DZ"/>
        </w:rPr>
        <w:lastRenderedPageBreak/>
        <w:t xml:space="preserve">1.3 </w:t>
      </w:r>
      <w:proofErr w:type="gramStart"/>
      <w:r w:rsidRPr="00156926">
        <w:rPr>
          <w:rFonts w:asciiTheme="minorEastAsia" w:hAnsiTheme="minorEastAsia" w:cs="Microsoft YaHei" w:hint="eastAsia"/>
          <w:szCs w:val="24"/>
          <w:lang w:eastAsia="zh-CN" w:bidi="ar-DZ"/>
        </w:rPr>
        <w:t>具有</w:t>
      </w:r>
      <w:r>
        <w:rPr>
          <w:rFonts w:asciiTheme="minorEastAsia" w:hAnsiTheme="minorEastAsia" w:cs="Microsoft YaHei" w:hint="eastAsia"/>
          <w:szCs w:val="24"/>
          <w:lang w:eastAsia="zh-CN" w:bidi="ar-DZ"/>
        </w:rPr>
        <w:t>复原力</w:t>
      </w:r>
      <w:r w:rsidRPr="00156926">
        <w:rPr>
          <w:rFonts w:asciiTheme="minorEastAsia" w:hAnsiTheme="minorEastAsia" w:cs="Microsoft YaHei" w:hint="eastAsia"/>
          <w:szCs w:val="24"/>
          <w:lang w:eastAsia="zh-CN" w:bidi="ar-DZ"/>
        </w:rPr>
        <w:t>的数字基础设施；</w:t>
      </w:r>
      <w:proofErr w:type="gramEnd"/>
    </w:p>
    <w:p w14:paraId="662A8123" w14:textId="77777777" w:rsidR="005368D6" w:rsidRPr="00B605AE" w:rsidRDefault="005368D6" w:rsidP="005368D6">
      <w:pPr>
        <w:overflowPunct/>
        <w:autoSpaceDE/>
        <w:autoSpaceDN/>
        <w:adjustRightInd/>
        <w:spacing w:after="120"/>
        <w:ind w:left="426"/>
        <w:textAlignment w:val="auto"/>
        <w:rPr>
          <w:rFonts w:eastAsia="Calibri" w:cs="Arial"/>
          <w:szCs w:val="24"/>
          <w:lang w:eastAsia="zh-CN"/>
        </w:rPr>
      </w:pPr>
      <w:r w:rsidRPr="00B605AE">
        <w:rPr>
          <w:rFonts w:eastAsia="Calibri" w:cs="Arial"/>
          <w:szCs w:val="24"/>
          <w:lang w:eastAsia="zh-CN" w:bidi="ar-DZ"/>
        </w:rPr>
        <w:t xml:space="preserve">1.4 </w:t>
      </w:r>
      <w:r w:rsidRPr="00156926">
        <w:rPr>
          <w:rFonts w:asciiTheme="minorEastAsia" w:hAnsiTheme="minorEastAsia" w:cs="Microsoft YaHei" w:hint="eastAsia"/>
          <w:szCs w:val="24"/>
          <w:lang w:eastAsia="zh-CN" w:bidi="ar-DZ"/>
        </w:rPr>
        <w:t>向所有人提供宽带服务</w:t>
      </w:r>
    </w:p>
    <w:p w14:paraId="07A91A1F" w14:textId="77777777" w:rsidR="005368D6" w:rsidRPr="00B605AE" w:rsidRDefault="005368D6" w:rsidP="005368D6">
      <w:pPr>
        <w:overflowPunct/>
        <w:autoSpaceDE/>
        <w:autoSpaceDN/>
        <w:adjustRightInd/>
        <w:spacing w:after="120"/>
        <w:ind w:left="708"/>
        <w:textAlignment w:val="auto"/>
        <w:rPr>
          <w:rFonts w:eastAsia="Calibri" w:cs="Arial"/>
          <w:szCs w:val="24"/>
          <w:lang w:val="en-US" w:eastAsia="zh-CN"/>
        </w:rPr>
      </w:pPr>
      <w:r w:rsidRPr="00B605AE">
        <w:rPr>
          <w:rFonts w:eastAsia="Calibri" w:cs="Arial"/>
          <w:szCs w:val="24"/>
          <w:lang w:val="en-US" w:eastAsia="zh-CN"/>
        </w:rPr>
        <w:t>1.</w:t>
      </w:r>
      <w:r>
        <w:rPr>
          <w:rFonts w:eastAsia="Calibri" w:cs="Arial"/>
          <w:szCs w:val="24"/>
          <w:lang w:val="en-US" w:eastAsia="zh-CN"/>
        </w:rPr>
        <w:t>4</w:t>
      </w:r>
      <w:r w:rsidRPr="00B605AE">
        <w:rPr>
          <w:rFonts w:eastAsia="Calibri" w:cs="Arial"/>
          <w:szCs w:val="24"/>
          <w:lang w:val="en-US" w:eastAsia="zh-CN"/>
        </w:rPr>
        <w:t>.1</w:t>
      </w:r>
      <w:r w:rsidRPr="008D7CD1">
        <w:rPr>
          <w:rFonts w:asciiTheme="minorEastAsia" w:hAnsiTheme="minorEastAsia" w:cs="Microsoft YaHei" w:hint="eastAsia"/>
          <w:szCs w:val="24"/>
          <w:lang w:val="en-US" w:eastAsia="zh-CN"/>
        </w:rPr>
        <w:t>：至少</w:t>
      </w:r>
      <w:r w:rsidRPr="00B605AE">
        <w:rPr>
          <w:rFonts w:eastAsia="Calibri" w:cs="Arial"/>
          <w:szCs w:val="24"/>
          <w:lang w:val="en-US" w:eastAsia="zh-CN"/>
        </w:rPr>
        <w:t>2Mbps/</w:t>
      </w:r>
      <w:proofErr w:type="gramStart"/>
      <w:r w:rsidRPr="008D7CD1">
        <w:rPr>
          <w:rFonts w:asciiTheme="minorEastAsia" w:hAnsiTheme="minorEastAsia" w:cs="Microsoft YaHei" w:hint="eastAsia"/>
          <w:szCs w:val="24"/>
          <w:lang w:val="en-US" w:eastAsia="zh-CN"/>
        </w:rPr>
        <w:t>用户的普遍固定宽带覆盖；</w:t>
      </w:r>
      <w:proofErr w:type="gramEnd"/>
    </w:p>
    <w:p w14:paraId="7D5BDB25" w14:textId="77777777" w:rsidR="005368D6" w:rsidRPr="00B605AE" w:rsidRDefault="005368D6" w:rsidP="005368D6">
      <w:pPr>
        <w:overflowPunct/>
        <w:autoSpaceDE/>
        <w:autoSpaceDN/>
        <w:adjustRightInd/>
        <w:spacing w:after="120"/>
        <w:ind w:left="426"/>
        <w:textAlignment w:val="auto"/>
        <w:rPr>
          <w:rFonts w:eastAsia="Calibri" w:cs="Arial"/>
          <w:szCs w:val="24"/>
          <w:lang w:val="en-US" w:eastAsia="zh-CN"/>
        </w:rPr>
      </w:pPr>
      <w:r w:rsidRPr="00B605AE">
        <w:rPr>
          <w:rFonts w:eastAsia="Calibri" w:cs="Arial"/>
          <w:szCs w:val="24"/>
          <w:lang w:val="en-US" w:eastAsia="zh-CN"/>
        </w:rPr>
        <w:t xml:space="preserve">1.5 </w:t>
      </w:r>
      <w:r w:rsidRPr="008D7CD1">
        <w:rPr>
          <w:rFonts w:asciiTheme="minorEastAsia" w:hAnsiTheme="minorEastAsia" w:cs="Microsoft YaHei" w:hint="eastAsia"/>
          <w:szCs w:val="24"/>
          <w:lang w:val="en-US" w:eastAsia="zh-CN"/>
        </w:rPr>
        <w:t>面向教育及其他社会经济领域的宽带连接</w:t>
      </w:r>
      <w:r w:rsidRPr="008D7CD1">
        <w:rPr>
          <w:rFonts w:asciiTheme="minorEastAsia" w:hAnsiTheme="minorEastAsia" w:cs="Arial"/>
          <w:szCs w:val="24"/>
          <w:lang w:val="en-US" w:eastAsia="zh-CN"/>
        </w:rPr>
        <w:t xml:space="preserve"> </w:t>
      </w:r>
    </w:p>
    <w:p w14:paraId="47F30A02" w14:textId="77777777" w:rsidR="005368D6" w:rsidRPr="00B605AE" w:rsidRDefault="005368D6" w:rsidP="005368D6">
      <w:pPr>
        <w:overflowPunct/>
        <w:autoSpaceDE/>
        <w:autoSpaceDN/>
        <w:adjustRightInd/>
        <w:spacing w:after="120"/>
        <w:ind w:left="708"/>
        <w:textAlignment w:val="auto"/>
        <w:rPr>
          <w:rFonts w:eastAsia="Calibri" w:cs="Arial"/>
          <w:szCs w:val="24"/>
          <w:lang w:val="en-US" w:eastAsia="zh-CN"/>
        </w:rPr>
      </w:pPr>
      <w:r w:rsidRPr="00B605AE">
        <w:rPr>
          <w:rFonts w:eastAsia="Calibri" w:cs="Arial"/>
          <w:szCs w:val="24"/>
          <w:lang w:val="en-US" w:eastAsia="zh-CN"/>
        </w:rPr>
        <w:t>1.5.1</w:t>
      </w:r>
      <w:r w:rsidRPr="008D7CD1">
        <w:rPr>
          <w:rFonts w:asciiTheme="minorEastAsia" w:hAnsiTheme="minorEastAsia" w:cs="Microsoft YaHei" w:hint="eastAsia"/>
          <w:szCs w:val="24"/>
          <w:lang w:val="en-US" w:eastAsia="zh-CN"/>
        </w:rPr>
        <w:t>：每位成年人/青年人的宽带接入</w:t>
      </w:r>
      <w:r w:rsidRPr="008D7CD1">
        <w:rPr>
          <w:rFonts w:asciiTheme="minorEastAsia" w:hAnsiTheme="minorEastAsia" w:cs="Microsoft YaHei" w:hint="eastAsia"/>
          <w:szCs w:val="24"/>
          <w:highlight w:val="green"/>
          <w:lang w:val="en-US" w:eastAsia="zh-CN"/>
        </w:rPr>
        <w:t>（占连接</w:t>
      </w:r>
      <w:r>
        <w:rPr>
          <w:rFonts w:asciiTheme="minorEastAsia" w:hAnsiTheme="minorEastAsia" w:cs="Microsoft YaHei" w:hint="eastAsia"/>
          <w:szCs w:val="24"/>
          <w:highlight w:val="green"/>
          <w:lang w:val="en-US" w:eastAsia="zh-CN"/>
        </w:rPr>
        <w:t>数</w:t>
      </w:r>
      <w:r w:rsidRPr="008D7CD1">
        <w:rPr>
          <w:rFonts w:asciiTheme="minorEastAsia" w:hAnsiTheme="minorEastAsia" w:cs="Microsoft YaHei" w:hint="eastAsia"/>
          <w:szCs w:val="24"/>
          <w:highlight w:val="green"/>
          <w:lang w:val="en-US" w:eastAsia="zh-CN"/>
        </w:rPr>
        <w:t>/国家的</w:t>
      </w:r>
      <w:r w:rsidRPr="00B605AE">
        <w:rPr>
          <w:rFonts w:eastAsia="Calibri" w:cs="Arial"/>
          <w:szCs w:val="24"/>
          <w:highlight w:val="green"/>
          <w:lang w:val="en-US" w:eastAsia="zh-CN"/>
        </w:rPr>
        <w:t>%</w:t>
      </w:r>
      <w:r w:rsidRPr="008D7CD1">
        <w:rPr>
          <w:rFonts w:asciiTheme="minorEastAsia" w:hAnsiTheme="minorEastAsia" w:cs="Microsoft YaHei" w:hint="eastAsia"/>
          <w:szCs w:val="24"/>
          <w:highlight w:val="green"/>
          <w:lang w:val="en-US" w:eastAsia="zh-CN"/>
        </w:rPr>
        <w:t>）</w:t>
      </w:r>
    </w:p>
    <w:p w14:paraId="51D3DA66" w14:textId="77777777" w:rsidR="005368D6" w:rsidRPr="00B605AE" w:rsidRDefault="005368D6" w:rsidP="005368D6">
      <w:pPr>
        <w:overflowPunct/>
        <w:autoSpaceDE/>
        <w:autoSpaceDN/>
        <w:adjustRightInd/>
        <w:spacing w:after="120"/>
        <w:ind w:left="709"/>
        <w:textAlignment w:val="auto"/>
        <w:rPr>
          <w:rFonts w:eastAsia="Calibri" w:cs="Arial"/>
          <w:szCs w:val="24"/>
          <w:lang w:val="en-US" w:eastAsia="zh-CN"/>
        </w:rPr>
      </w:pPr>
      <w:r w:rsidRPr="00B605AE">
        <w:rPr>
          <w:rFonts w:eastAsia="Calibri" w:cs="Arial"/>
          <w:szCs w:val="24"/>
          <w:lang w:val="en-US" w:eastAsia="zh-CN"/>
        </w:rPr>
        <w:t>1.5.2</w:t>
      </w:r>
      <w:r w:rsidRPr="003413BD">
        <w:rPr>
          <w:rFonts w:asciiTheme="minorEastAsia" w:hAnsiTheme="minorEastAsia" w:cs="Microsoft YaHei" w:hint="eastAsia"/>
          <w:szCs w:val="24"/>
          <w:lang w:val="en-US" w:eastAsia="zh-CN"/>
        </w:rPr>
        <w:t>：所有学校/大学的宽带接入</w:t>
      </w:r>
    </w:p>
    <w:p w14:paraId="476E5591" w14:textId="77777777" w:rsidR="005368D6" w:rsidRPr="00B605AE" w:rsidRDefault="005368D6" w:rsidP="005368D6">
      <w:pPr>
        <w:overflowPunct/>
        <w:autoSpaceDE/>
        <w:autoSpaceDN/>
        <w:adjustRightInd/>
        <w:spacing w:after="120"/>
        <w:ind w:left="708"/>
        <w:textAlignment w:val="auto"/>
        <w:rPr>
          <w:rFonts w:eastAsia="Calibri" w:cs="Arial"/>
          <w:szCs w:val="24"/>
          <w:lang w:val="en-US" w:eastAsia="zh-CN"/>
        </w:rPr>
      </w:pPr>
      <w:r w:rsidRPr="00B605AE">
        <w:rPr>
          <w:rFonts w:eastAsia="Calibri" w:cs="Arial"/>
          <w:szCs w:val="24"/>
          <w:lang w:val="en-US" w:eastAsia="zh-CN"/>
        </w:rPr>
        <w:t>1.5.3</w:t>
      </w:r>
      <w:r w:rsidRPr="003413BD">
        <w:rPr>
          <w:rFonts w:asciiTheme="minorEastAsia" w:hAnsiTheme="minorEastAsia" w:cs="Microsoft YaHei" w:hint="eastAsia"/>
          <w:szCs w:val="24"/>
          <w:lang w:val="en-US" w:eastAsia="zh-CN"/>
        </w:rPr>
        <w:t>：所有健康中心的宽带接入</w:t>
      </w:r>
      <w:r w:rsidRPr="003413BD">
        <w:rPr>
          <w:rFonts w:asciiTheme="minorEastAsia" w:hAnsiTheme="minorEastAsia" w:cs="Microsoft YaHei" w:hint="eastAsia"/>
          <w:szCs w:val="24"/>
          <w:highlight w:val="green"/>
          <w:lang w:val="en-US" w:eastAsia="zh-CN"/>
        </w:rPr>
        <w:t>（占连接</w:t>
      </w:r>
      <w:r>
        <w:rPr>
          <w:rFonts w:asciiTheme="minorEastAsia" w:hAnsiTheme="minorEastAsia" w:cs="Microsoft YaHei" w:hint="eastAsia"/>
          <w:szCs w:val="24"/>
          <w:highlight w:val="green"/>
          <w:lang w:val="en-US" w:eastAsia="zh-CN"/>
        </w:rPr>
        <w:t>数</w:t>
      </w:r>
      <w:r w:rsidRPr="003413BD">
        <w:rPr>
          <w:rFonts w:asciiTheme="minorEastAsia" w:hAnsiTheme="minorEastAsia" w:cs="Microsoft YaHei" w:hint="eastAsia"/>
          <w:szCs w:val="24"/>
          <w:highlight w:val="green"/>
          <w:lang w:val="en-US" w:eastAsia="zh-CN"/>
        </w:rPr>
        <w:t>/国家的</w:t>
      </w:r>
      <w:r w:rsidRPr="00B605AE">
        <w:rPr>
          <w:rFonts w:eastAsia="Calibri" w:cs="Arial"/>
          <w:szCs w:val="24"/>
          <w:highlight w:val="green"/>
          <w:lang w:val="en-US" w:eastAsia="zh-CN"/>
        </w:rPr>
        <w:t>%</w:t>
      </w:r>
      <w:r w:rsidRPr="003413BD">
        <w:rPr>
          <w:rFonts w:asciiTheme="minorEastAsia" w:hAnsiTheme="minorEastAsia" w:cs="Microsoft YaHei" w:hint="eastAsia"/>
          <w:szCs w:val="24"/>
          <w:highlight w:val="green"/>
          <w:lang w:val="en-US" w:eastAsia="zh-CN"/>
        </w:rPr>
        <w:t>）</w:t>
      </w:r>
    </w:p>
    <w:p w14:paraId="6ED585B2" w14:textId="77777777" w:rsidR="005368D6" w:rsidRPr="00B605AE" w:rsidRDefault="005368D6" w:rsidP="005368D6">
      <w:pPr>
        <w:overflowPunct/>
        <w:autoSpaceDE/>
        <w:autoSpaceDN/>
        <w:adjustRightInd/>
        <w:spacing w:after="120"/>
        <w:ind w:left="708"/>
        <w:textAlignment w:val="auto"/>
        <w:rPr>
          <w:rFonts w:eastAsia="Calibri" w:cs="Arial"/>
          <w:szCs w:val="24"/>
          <w:lang w:val="en-US" w:eastAsia="zh-CN"/>
        </w:rPr>
      </w:pPr>
      <w:r w:rsidRPr="00B605AE">
        <w:rPr>
          <w:rFonts w:eastAsia="Calibri" w:cs="Arial"/>
          <w:szCs w:val="24"/>
          <w:lang w:val="en-US" w:eastAsia="zh-CN"/>
        </w:rPr>
        <w:t>1.5.4</w:t>
      </w:r>
      <w:r w:rsidRPr="003413BD">
        <w:rPr>
          <w:rFonts w:asciiTheme="minorEastAsia" w:hAnsiTheme="minorEastAsia" w:cs="Microsoft YaHei" w:hint="eastAsia"/>
          <w:szCs w:val="24"/>
          <w:lang w:val="en-US" w:eastAsia="zh-CN"/>
        </w:rPr>
        <w:t>：中小微企业（</w:t>
      </w:r>
      <w:r w:rsidRPr="003413BD">
        <w:rPr>
          <w:rFonts w:asciiTheme="minorHAnsi" w:eastAsia="Microsoft YaHei" w:hAnsiTheme="minorHAnsi" w:cstheme="minorHAnsi"/>
          <w:szCs w:val="24"/>
          <w:lang w:val="en-US" w:eastAsia="zh-CN"/>
        </w:rPr>
        <w:t>MSME</w:t>
      </w:r>
      <w:r w:rsidRPr="003413BD">
        <w:rPr>
          <w:rFonts w:asciiTheme="minorEastAsia" w:hAnsiTheme="minorEastAsia" w:cs="Microsoft YaHei" w:hint="eastAsia"/>
          <w:szCs w:val="24"/>
          <w:lang w:val="en-US" w:eastAsia="zh-CN"/>
        </w:rPr>
        <w:t>）的宽带接入</w:t>
      </w:r>
      <w:r w:rsidRPr="003413BD">
        <w:rPr>
          <w:rFonts w:asciiTheme="minorEastAsia" w:hAnsiTheme="minorEastAsia" w:cs="Microsoft YaHei" w:hint="eastAsia"/>
          <w:szCs w:val="24"/>
          <w:highlight w:val="green"/>
          <w:lang w:val="en-US" w:eastAsia="zh-CN"/>
        </w:rPr>
        <w:t>（占连接</w:t>
      </w:r>
      <w:r>
        <w:rPr>
          <w:rFonts w:asciiTheme="minorEastAsia" w:hAnsiTheme="minorEastAsia" w:cs="Microsoft YaHei" w:hint="eastAsia"/>
          <w:szCs w:val="24"/>
          <w:highlight w:val="green"/>
          <w:lang w:val="en-US" w:eastAsia="zh-CN"/>
        </w:rPr>
        <w:t>数</w:t>
      </w:r>
      <w:r w:rsidRPr="003413BD">
        <w:rPr>
          <w:rFonts w:asciiTheme="minorEastAsia" w:hAnsiTheme="minorEastAsia" w:cs="Microsoft YaHei" w:hint="eastAsia"/>
          <w:szCs w:val="24"/>
          <w:highlight w:val="green"/>
          <w:lang w:val="en-US" w:eastAsia="zh-CN"/>
        </w:rPr>
        <w:t>/国家的</w:t>
      </w:r>
      <w:r w:rsidRPr="00B605AE">
        <w:rPr>
          <w:rFonts w:eastAsia="Calibri" w:cs="Arial"/>
          <w:szCs w:val="24"/>
          <w:highlight w:val="green"/>
          <w:lang w:val="en-US" w:eastAsia="zh-CN"/>
        </w:rPr>
        <w:t>%</w:t>
      </w:r>
      <w:r w:rsidRPr="003413BD">
        <w:rPr>
          <w:rFonts w:asciiTheme="minorEastAsia" w:hAnsiTheme="minorEastAsia" w:cs="Microsoft YaHei" w:hint="eastAsia"/>
          <w:szCs w:val="24"/>
          <w:highlight w:val="green"/>
          <w:lang w:val="en-US" w:eastAsia="zh-CN"/>
        </w:rPr>
        <w:t>）</w:t>
      </w:r>
    </w:p>
    <w:p w14:paraId="1076FEB2" w14:textId="77777777" w:rsidR="005368D6" w:rsidRPr="00B605AE" w:rsidRDefault="005368D6" w:rsidP="005368D6">
      <w:pPr>
        <w:overflowPunct/>
        <w:autoSpaceDE/>
        <w:autoSpaceDN/>
        <w:adjustRightInd/>
        <w:spacing w:after="120"/>
        <w:ind w:left="426"/>
        <w:textAlignment w:val="auto"/>
        <w:rPr>
          <w:rFonts w:eastAsia="Calibri" w:cs="Arial"/>
          <w:szCs w:val="24"/>
          <w:lang w:val="en-US" w:eastAsia="zh-CN"/>
        </w:rPr>
      </w:pPr>
      <w:r w:rsidRPr="00B605AE">
        <w:rPr>
          <w:rFonts w:eastAsia="Calibri" w:cs="Arial"/>
          <w:szCs w:val="24"/>
          <w:lang w:val="en-US" w:eastAsia="zh-CN"/>
        </w:rPr>
        <w:t xml:space="preserve">1.6 </w:t>
      </w:r>
      <w:r w:rsidRPr="00B5035F">
        <w:rPr>
          <w:rFonts w:asciiTheme="minorEastAsia" w:hAnsiTheme="minorEastAsia" w:cs="Microsoft YaHei" w:hint="eastAsia"/>
          <w:szCs w:val="24"/>
          <w:lang w:val="en-US" w:eastAsia="zh-CN"/>
        </w:rPr>
        <w:t>缩小所有数字差距（特别是在国家、性别、年龄、城市/农村方面）</w:t>
      </w:r>
    </w:p>
    <w:p w14:paraId="40159E0C" w14:textId="77777777" w:rsidR="005368D6" w:rsidRPr="00B605AE" w:rsidRDefault="005368D6" w:rsidP="005368D6">
      <w:pPr>
        <w:overflowPunct/>
        <w:autoSpaceDE/>
        <w:autoSpaceDN/>
        <w:adjustRightInd/>
        <w:spacing w:after="120"/>
        <w:textAlignment w:val="auto"/>
        <w:rPr>
          <w:rFonts w:eastAsia="Calibri" w:cs="Arial"/>
          <w:b/>
          <w:bCs/>
          <w:szCs w:val="24"/>
          <w:lang w:val="en-US" w:eastAsia="zh-CN"/>
        </w:rPr>
      </w:pPr>
      <w:r w:rsidRPr="00610A37">
        <w:rPr>
          <w:rFonts w:asciiTheme="minorEastAsia" w:hAnsiTheme="minorEastAsia" w:cs="Microsoft YaHei" w:hint="eastAsia"/>
          <w:b/>
          <w:bCs/>
          <w:szCs w:val="24"/>
          <w:lang w:val="en-US" w:eastAsia="zh-CN"/>
        </w:rPr>
        <w:t>总体目标</w:t>
      </w:r>
      <w:r w:rsidRPr="00B605AE">
        <w:rPr>
          <w:rFonts w:eastAsia="Calibri" w:cs="Arial"/>
          <w:b/>
          <w:bCs/>
          <w:szCs w:val="24"/>
          <w:lang w:val="en-US" w:eastAsia="zh-CN"/>
        </w:rPr>
        <w:t>2</w:t>
      </w:r>
      <w:r w:rsidRPr="00610A37">
        <w:rPr>
          <w:rFonts w:asciiTheme="minorEastAsia" w:hAnsiTheme="minorEastAsia" w:cs="Microsoft YaHei" w:hint="eastAsia"/>
          <w:b/>
          <w:bCs/>
          <w:szCs w:val="24"/>
          <w:lang w:val="en-US" w:eastAsia="zh-CN"/>
        </w:rPr>
        <w:t>：</w:t>
      </w:r>
      <w:r>
        <w:rPr>
          <w:rFonts w:asciiTheme="minorEastAsia" w:hAnsiTheme="minorEastAsia" w:cs="Microsoft YaHei" w:hint="eastAsia"/>
          <w:b/>
          <w:bCs/>
          <w:szCs w:val="24"/>
          <w:lang w:val="en-US" w:eastAsia="zh-CN"/>
        </w:rPr>
        <w:t>在</w:t>
      </w:r>
      <w:r w:rsidRPr="00C31043">
        <w:rPr>
          <w:rFonts w:asciiTheme="minorHAnsi" w:hAnsiTheme="minorHAnsi" w:cstheme="minorHAnsi"/>
          <w:b/>
          <w:bCs/>
          <w:szCs w:val="24"/>
          <w:lang w:val="en-US" w:eastAsia="zh-CN"/>
        </w:rPr>
        <w:t>2030</w:t>
      </w:r>
      <w:r>
        <w:rPr>
          <w:rFonts w:asciiTheme="minorEastAsia" w:hAnsiTheme="minorEastAsia" w:cs="Microsoft YaHei" w:hint="eastAsia"/>
          <w:b/>
          <w:bCs/>
          <w:szCs w:val="24"/>
          <w:lang w:val="en-US" w:eastAsia="zh-CN"/>
        </w:rPr>
        <w:t>年前实现</w:t>
      </w:r>
      <w:r w:rsidRPr="00610A37">
        <w:rPr>
          <w:rFonts w:asciiTheme="minorEastAsia" w:hAnsiTheme="minorEastAsia" w:cs="Microsoft YaHei" w:hint="eastAsia"/>
          <w:b/>
          <w:bCs/>
          <w:szCs w:val="24"/>
          <w:lang w:val="en-US" w:eastAsia="zh-CN"/>
        </w:rPr>
        <w:t>可持续数字化转型</w:t>
      </w:r>
    </w:p>
    <w:p w14:paraId="185D12B8" w14:textId="77777777" w:rsidR="005368D6" w:rsidRPr="00B605AE" w:rsidRDefault="005368D6" w:rsidP="005368D6">
      <w:pPr>
        <w:overflowPunct/>
        <w:autoSpaceDE/>
        <w:autoSpaceDN/>
        <w:adjustRightInd/>
        <w:spacing w:after="120"/>
        <w:ind w:left="426"/>
        <w:textAlignment w:val="auto"/>
        <w:rPr>
          <w:rFonts w:eastAsia="Calibri" w:cs="Arial"/>
          <w:szCs w:val="24"/>
          <w:lang w:val="en-US" w:eastAsia="zh-CN"/>
        </w:rPr>
      </w:pPr>
      <w:r w:rsidRPr="00B605AE">
        <w:rPr>
          <w:rFonts w:eastAsia="Calibri" w:cs="Arial"/>
          <w:szCs w:val="24"/>
          <w:lang w:val="en-US" w:eastAsia="zh-CN"/>
        </w:rPr>
        <w:t>2.1</w:t>
      </w:r>
      <w:r w:rsidRPr="00170EA1">
        <w:rPr>
          <w:rFonts w:asciiTheme="minorEastAsia" w:hAnsiTheme="minorEastAsia" w:cs="Microsoft YaHei" w:hint="eastAsia"/>
          <w:szCs w:val="24"/>
          <w:lang w:val="en-US" w:eastAsia="zh-CN"/>
        </w:rPr>
        <w:t>：</w:t>
      </w:r>
      <w:proofErr w:type="gramStart"/>
      <w:r w:rsidRPr="00170EA1">
        <w:rPr>
          <w:rFonts w:asciiTheme="minorEastAsia" w:hAnsiTheme="minorEastAsia" w:cs="Microsoft YaHei" w:hint="eastAsia"/>
          <w:szCs w:val="24"/>
          <w:lang w:val="en-US" w:eastAsia="zh-CN"/>
        </w:rPr>
        <w:t>数字化转型战略及其相关政策和监管框架；</w:t>
      </w:r>
      <w:proofErr w:type="gramEnd"/>
    </w:p>
    <w:p w14:paraId="45A3E6F3" w14:textId="77777777" w:rsidR="005368D6" w:rsidRPr="00B605AE" w:rsidRDefault="005368D6" w:rsidP="005368D6">
      <w:pPr>
        <w:overflowPunct/>
        <w:autoSpaceDE/>
        <w:autoSpaceDN/>
        <w:adjustRightInd/>
        <w:spacing w:after="120"/>
        <w:ind w:left="426"/>
        <w:textAlignment w:val="auto"/>
        <w:rPr>
          <w:rFonts w:eastAsia="Calibri" w:cs="Arial"/>
          <w:szCs w:val="24"/>
          <w:lang w:val="en-US" w:eastAsia="zh-CN"/>
        </w:rPr>
      </w:pPr>
      <w:r w:rsidRPr="00B605AE">
        <w:rPr>
          <w:rFonts w:eastAsia="Calibri" w:cs="Arial"/>
          <w:szCs w:val="24"/>
          <w:lang w:val="en-US" w:eastAsia="zh-CN"/>
        </w:rPr>
        <w:t>2.2</w:t>
      </w:r>
      <w:r w:rsidRPr="00170EA1">
        <w:rPr>
          <w:rFonts w:asciiTheme="minorEastAsia" w:hAnsiTheme="minorEastAsia" w:cs="Microsoft YaHei" w:hint="eastAsia"/>
          <w:szCs w:val="24"/>
          <w:lang w:val="en-US" w:eastAsia="zh-CN"/>
        </w:rPr>
        <w:t>：</w:t>
      </w:r>
      <w:proofErr w:type="gramStart"/>
      <w:r w:rsidRPr="00170EA1">
        <w:rPr>
          <w:rFonts w:asciiTheme="minorEastAsia" w:hAnsiTheme="minorEastAsia" w:cs="Microsoft YaHei" w:hint="eastAsia"/>
          <w:szCs w:val="24"/>
          <w:lang w:val="en-US" w:eastAsia="zh-CN"/>
        </w:rPr>
        <w:t>在数字化领域打造创新和创业生态；</w:t>
      </w:r>
      <w:proofErr w:type="gramEnd"/>
    </w:p>
    <w:p w14:paraId="3BDFC468" w14:textId="77777777" w:rsidR="005368D6" w:rsidRPr="00B605AE" w:rsidRDefault="005368D6" w:rsidP="005368D6">
      <w:pPr>
        <w:overflowPunct/>
        <w:autoSpaceDE/>
        <w:autoSpaceDN/>
        <w:adjustRightInd/>
        <w:spacing w:after="120"/>
        <w:ind w:left="426"/>
        <w:textAlignment w:val="auto"/>
        <w:rPr>
          <w:rFonts w:eastAsia="Calibri" w:cs="Arial"/>
          <w:szCs w:val="24"/>
          <w:lang w:val="en-US" w:eastAsia="zh-CN"/>
        </w:rPr>
      </w:pPr>
      <w:r w:rsidRPr="00B605AE">
        <w:rPr>
          <w:rFonts w:eastAsia="Calibri" w:cs="Arial"/>
          <w:szCs w:val="24"/>
          <w:lang w:val="en-US" w:eastAsia="zh-CN"/>
        </w:rPr>
        <w:t>2.3</w:t>
      </w:r>
      <w:r w:rsidRPr="00170EA1">
        <w:rPr>
          <w:rFonts w:asciiTheme="minorEastAsia" w:hAnsiTheme="minorEastAsia" w:cs="Microsoft YaHei" w:hint="eastAsia"/>
          <w:szCs w:val="24"/>
          <w:lang w:val="en-US" w:eastAsia="zh-CN"/>
        </w:rPr>
        <w:t>：</w:t>
      </w:r>
      <w:proofErr w:type="gramStart"/>
      <w:r w:rsidRPr="00170EA1">
        <w:rPr>
          <w:rFonts w:asciiTheme="minorEastAsia" w:hAnsiTheme="minorEastAsia" w:cs="Microsoft YaHei" w:hint="eastAsia"/>
          <w:szCs w:val="24"/>
          <w:lang w:val="en-US" w:eastAsia="zh-CN"/>
        </w:rPr>
        <w:t>推动数字金融和服务；</w:t>
      </w:r>
      <w:proofErr w:type="gramEnd"/>
    </w:p>
    <w:p w14:paraId="127E923D" w14:textId="77777777" w:rsidR="005368D6" w:rsidRPr="00B605AE" w:rsidRDefault="005368D6" w:rsidP="005368D6">
      <w:pPr>
        <w:overflowPunct/>
        <w:autoSpaceDE/>
        <w:autoSpaceDN/>
        <w:adjustRightInd/>
        <w:spacing w:after="120"/>
        <w:ind w:left="426"/>
        <w:textAlignment w:val="auto"/>
        <w:rPr>
          <w:rFonts w:eastAsia="Calibri" w:cs="Arial"/>
          <w:szCs w:val="24"/>
          <w:lang w:val="en-US" w:eastAsia="zh-CN"/>
        </w:rPr>
      </w:pPr>
      <w:r w:rsidRPr="00B605AE">
        <w:rPr>
          <w:rFonts w:eastAsia="Calibri" w:cs="Arial"/>
          <w:szCs w:val="24"/>
          <w:lang w:val="en-US" w:eastAsia="zh-CN"/>
        </w:rPr>
        <w:t>2.4</w:t>
      </w:r>
      <w:r w:rsidRPr="00170EA1">
        <w:rPr>
          <w:rFonts w:asciiTheme="minorEastAsia" w:hAnsiTheme="minorEastAsia" w:cs="Microsoft YaHei" w:hint="eastAsia"/>
          <w:szCs w:val="24"/>
          <w:lang w:val="en-US" w:eastAsia="zh-CN"/>
        </w:rPr>
        <w:t>：包括新兴技术在内的数字技术的采用；</w:t>
      </w:r>
      <w:r w:rsidRPr="00B605AE">
        <w:rPr>
          <w:rFonts w:eastAsia="Calibri" w:cs="Arial"/>
          <w:szCs w:val="24"/>
          <w:lang w:val="en-US" w:eastAsia="zh-CN"/>
        </w:rPr>
        <w:t xml:space="preserve">2.6 </w:t>
      </w:r>
      <w:r w:rsidRPr="00170EA1">
        <w:rPr>
          <w:rFonts w:asciiTheme="minorEastAsia" w:hAnsiTheme="minorEastAsia" w:cs="Microsoft YaHei" w:hint="eastAsia"/>
          <w:szCs w:val="24"/>
          <w:lang w:val="en-US" w:eastAsia="zh-CN"/>
        </w:rPr>
        <w:t>促进数字应用和服务（电子健康、电子政务等）</w:t>
      </w:r>
      <w:proofErr w:type="gramStart"/>
      <w:r w:rsidRPr="00170EA1">
        <w:rPr>
          <w:rFonts w:asciiTheme="minorEastAsia" w:hAnsiTheme="minorEastAsia" w:cs="Microsoft YaHei" w:hint="eastAsia"/>
          <w:szCs w:val="24"/>
          <w:lang w:val="en-US" w:eastAsia="zh-CN"/>
        </w:rPr>
        <w:t>的使用；</w:t>
      </w:r>
      <w:proofErr w:type="gramEnd"/>
    </w:p>
    <w:p w14:paraId="1CBCFA71" w14:textId="77777777" w:rsidR="005368D6" w:rsidRPr="00B605AE" w:rsidRDefault="005368D6" w:rsidP="005368D6">
      <w:pPr>
        <w:overflowPunct/>
        <w:autoSpaceDE/>
        <w:autoSpaceDN/>
        <w:adjustRightInd/>
        <w:spacing w:after="120"/>
        <w:ind w:left="426"/>
        <w:textAlignment w:val="auto"/>
        <w:rPr>
          <w:rFonts w:eastAsia="Calibri" w:cs="Arial"/>
          <w:szCs w:val="24"/>
          <w:lang w:val="en-US" w:eastAsia="zh-CN"/>
        </w:rPr>
      </w:pPr>
      <w:r w:rsidRPr="00B605AE">
        <w:rPr>
          <w:rFonts w:eastAsia="Calibri" w:cs="Arial"/>
          <w:szCs w:val="24"/>
          <w:lang w:val="en-US" w:eastAsia="zh-CN"/>
        </w:rPr>
        <w:t>2.5</w:t>
      </w:r>
      <w:r w:rsidRPr="00D26A8C">
        <w:rPr>
          <w:rFonts w:asciiTheme="minorEastAsia" w:hAnsiTheme="minorEastAsia" w:cs="Microsoft YaHei" w:hint="eastAsia"/>
          <w:szCs w:val="24"/>
          <w:lang w:val="en-US" w:eastAsia="zh-CN"/>
        </w:rPr>
        <w:t>：</w:t>
      </w:r>
      <w:proofErr w:type="gramStart"/>
      <w:r w:rsidRPr="00D26A8C">
        <w:rPr>
          <w:rFonts w:asciiTheme="minorEastAsia" w:hAnsiTheme="minorEastAsia" w:cs="Microsoft YaHei" w:hint="eastAsia"/>
          <w:szCs w:val="24"/>
          <w:lang w:val="en-US" w:eastAsia="zh-CN"/>
        </w:rPr>
        <w:t>开发面向所有人的数字技能；</w:t>
      </w:r>
      <w:proofErr w:type="gramEnd"/>
    </w:p>
    <w:p w14:paraId="18E07115" w14:textId="77777777" w:rsidR="005368D6" w:rsidRPr="00B605AE" w:rsidRDefault="005368D6" w:rsidP="005368D6">
      <w:pPr>
        <w:overflowPunct/>
        <w:autoSpaceDE/>
        <w:autoSpaceDN/>
        <w:adjustRightInd/>
        <w:spacing w:after="120"/>
        <w:ind w:left="426"/>
        <w:textAlignment w:val="auto"/>
        <w:rPr>
          <w:rFonts w:eastAsia="Calibri" w:cs="Arial"/>
          <w:szCs w:val="24"/>
          <w:lang w:val="en-US" w:eastAsia="zh-CN"/>
        </w:rPr>
      </w:pPr>
      <w:r w:rsidRPr="00B605AE">
        <w:rPr>
          <w:rFonts w:eastAsia="Calibri" w:cs="Arial"/>
          <w:szCs w:val="24"/>
          <w:lang w:val="en-US" w:eastAsia="zh-CN"/>
        </w:rPr>
        <w:t>2.6</w:t>
      </w:r>
      <w:r w:rsidRPr="00D26A8C">
        <w:rPr>
          <w:rFonts w:asciiTheme="minorEastAsia" w:hAnsiTheme="minorEastAsia" w:cs="Microsoft YaHei" w:hint="eastAsia"/>
          <w:szCs w:val="24"/>
          <w:lang w:val="en-US" w:eastAsia="zh-CN"/>
        </w:rPr>
        <w:t>：</w:t>
      </w:r>
      <w:proofErr w:type="gramStart"/>
      <w:r w:rsidRPr="00D26A8C">
        <w:rPr>
          <w:rFonts w:asciiTheme="minorEastAsia" w:hAnsiTheme="minorEastAsia" w:cs="Microsoft YaHei" w:hint="eastAsia"/>
          <w:szCs w:val="24"/>
          <w:lang w:val="en-US" w:eastAsia="zh-CN"/>
        </w:rPr>
        <w:t>鼓励投资和制定融资机制；</w:t>
      </w:r>
      <w:proofErr w:type="gramEnd"/>
    </w:p>
    <w:p w14:paraId="755EF6A9" w14:textId="78BC4C86" w:rsidR="005368D6" w:rsidRPr="00B605AE" w:rsidRDefault="005368D6" w:rsidP="005368D6">
      <w:pPr>
        <w:overflowPunct/>
        <w:autoSpaceDE/>
        <w:autoSpaceDN/>
        <w:adjustRightInd/>
        <w:spacing w:after="120"/>
        <w:ind w:left="426"/>
        <w:textAlignment w:val="auto"/>
        <w:rPr>
          <w:rFonts w:eastAsia="Calibri" w:cs="Arial"/>
          <w:szCs w:val="24"/>
          <w:lang w:val="en-US" w:eastAsia="zh-CN"/>
        </w:rPr>
      </w:pPr>
      <w:r w:rsidRPr="00B605AE">
        <w:rPr>
          <w:rFonts w:eastAsia="Calibri" w:cs="Arial"/>
          <w:szCs w:val="24"/>
          <w:lang w:val="en-US" w:eastAsia="zh-CN"/>
        </w:rPr>
        <w:t>2.7</w:t>
      </w:r>
      <w:r w:rsidRPr="00D26A8C">
        <w:rPr>
          <w:rFonts w:asciiTheme="minorEastAsia" w:hAnsiTheme="minorEastAsia" w:cs="Microsoft YaHei" w:hint="eastAsia"/>
          <w:szCs w:val="24"/>
          <w:lang w:val="en-US" w:eastAsia="zh-CN"/>
        </w:rPr>
        <w:t>：</w:t>
      </w:r>
      <w:r w:rsidRPr="00610A37">
        <w:rPr>
          <w:rFonts w:asciiTheme="minorEastAsia" w:hAnsiTheme="minorEastAsia" w:cs="Microsoft YaHei" w:hint="eastAsia"/>
          <w:szCs w:val="24"/>
          <w:lang w:val="en-US" w:eastAsia="zh-CN"/>
        </w:rPr>
        <w:t>提高各国的网络安全就绪水平（主要能力：拥有战略、国家计算机事件</w:t>
      </w:r>
      <w:r w:rsidR="00492EDB">
        <w:rPr>
          <w:rFonts w:asciiTheme="minorEastAsia" w:hAnsiTheme="minorEastAsia" w:cs="Microsoft YaHei" w:hint="eastAsia"/>
          <w:szCs w:val="24"/>
          <w:lang w:val="en-US" w:eastAsia="zh-CN"/>
        </w:rPr>
        <w:t>/</w:t>
      </w:r>
      <w:r w:rsidRPr="00610A37">
        <w:rPr>
          <w:rFonts w:asciiTheme="minorEastAsia" w:hAnsiTheme="minorEastAsia" w:cs="Microsoft YaHei" w:hint="eastAsia"/>
          <w:szCs w:val="24"/>
          <w:lang w:val="en-US" w:eastAsia="zh-CN"/>
        </w:rPr>
        <w:t>应急响应小组和立法）</w:t>
      </w:r>
    </w:p>
    <w:p w14:paraId="5729AEE6" w14:textId="77777777" w:rsidR="005368D6" w:rsidRPr="00B605AE" w:rsidRDefault="005368D6" w:rsidP="005368D6">
      <w:pPr>
        <w:pStyle w:val="Heading1"/>
        <w:rPr>
          <w:rFonts w:eastAsia="Calibri" w:cs="Arial"/>
          <w:lang w:val="en-US" w:eastAsia="zh-CN"/>
        </w:rPr>
      </w:pPr>
      <w:r>
        <w:rPr>
          <w:rFonts w:hint="eastAsia"/>
          <w:lang w:val="en-US" w:eastAsia="zh-CN"/>
        </w:rPr>
        <w:t>3</w:t>
      </w:r>
      <w:r>
        <w:rPr>
          <w:lang w:val="en-US" w:eastAsia="zh-CN"/>
        </w:rPr>
        <w:tab/>
      </w:r>
      <w:r w:rsidRPr="007A6794">
        <w:rPr>
          <w:rFonts w:hint="eastAsia"/>
          <w:lang w:val="en-US" w:eastAsia="zh-CN"/>
        </w:rPr>
        <w:t>有关秘书处对第</w:t>
      </w:r>
      <w:r w:rsidRPr="007A6794">
        <w:rPr>
          <w:rFonts w:hint="eastAsia"/>
          <w:lang w:val="en-US" w:eastAsia="zh-CN"/>
        </w:rPr>
        <w:t>71</w:t>
      </w:r>
      <w:r w:rsidRPr="007A6794">
        <w:rPr>
          <w:rFonts w:hint="eastAsia"/>
          <w:lang w:val="en-US" w:eastAsia="zh-CN"/>
        </w:rPr>
        <w:t>号决议附件</w:t>
      </w:r>
      <w:r w:rsidRPr="007A6794">
        <w:rPr>
          <w:rFonts w:hint="eastAsia"/>
          <w:lang w:val="en-US" w:eastAsia="zh-CN"/>
        </w:rPr>
        <w:t>1</w:t>
      </w:r>
      <w:r w:rsidRPr="007A6794">
        <w:rPr>
          <w:rFonts w:hint="eastAsia"/>
          <w:lang w:val="en-US" w:eastAsia="zh-CN"/>
        </w:rPr>
        <w:t>（《国际电联</w:t>
      </w:r>
      <w:r w:rsidRPr="007A6794">
        <w:rPr>
          <w:rFonts w:hint="eastAsia"/>
          <w:lang w:val="en-US" w:eastAsia="zh-CN"/>
        </w:rPr>
        <w:t>2024-2027</w:t>
      </w:r>
      <w:r w:rsidRPr="007A6794">
        <w:rPr>
          <w:rFonts w:hint="eastAsia"/>
          <w:lang w:val="en-US" w:eastAsia="zh-CN"/>
        </w:rPr>
        <w:t>年战略规划》草案）提出的输入意见第</w:t>
      </w:r>
      <w:r w:rsidRPr="007A6794">
        <w:rPr>
          <w:rFonts w:hint="eastAsia"/>
          <w:lang w:val="en-US" w:eastAsia="zh-CN"/>
        </w:rPr>
        <w:t>2.6</w:t>
      </w:r>
      <w:r w:rsidRPr="007A6794">
        <w:rPr>
          <w:rFonts w:hint="eastAsia"/>
          <w:lang w:val="en-US" w:eastAsia="zh-CN"/>
        </w:rPr>
        <w:t>节（主题重点）的看法</w:t>
      </w:r>
    </w:p>
    <w:p w14:paraId="752790FB" w14:textId="6AD09A1A" w:rsidR="005368D6" w:rsidRPr="00FA5F8D" w:rsidRDefault="005368D6" w:rsidP="005368D6">
      <w:pPr>
        <w:pStyle w:val="Headingb"/>
        <w:rPr>
          <w:rFonts w:cs="Arial"/>
          <w:lang w:val="en-US" w:eastAsia="zh-CN"/>
        </w:rPr>
      </w:pPr>
      <w:r>
        <w:rPr>
          <w:rFonts w:hint="eastAsia"/>
          <w:lang w:val="en-US" w:eastAsia="zh-CN"/>
        </w:rPr>
        <w:t>a</w:t>
      </w:r>
      <w:r>
        <w:rPr>
          <w:lang w:val="en-US" w:eastAsia="zh-CN"/>
        </w:rPr>
        <w:t>)</w:t>
      </w:r>
      <w:r>
        <w:rPr>
          <w:lang w:val="en-US" w:eastAsia="zh-CN"/>
        </w:rPr>
        <w:tab/>
      </w:r>
      <w:r w:rsidRPr="00FA5F8D">
        <w:rPr>
          <w:rFonts w:hint="eastAsia"/>
          <w:lang w:val="en-US" w:eastAsia="zh-CN"/>
        </w:rPr>
        <w:t>有利环境</w:t>
      </w:r>
    </w:p>
    <w:p w14:paraId="09F1EED0" w14:textId="77777777" w:rsidR="005368D6" w:rsidRPr="00B605AE" w:rsidRDefault="005368D6" w:rsidP="005368D6">
      <w:pPr>
        <w:overflowPunct/>
        <w:autoSpaceDE/>
        <w:autoSpaceDN/>
        <w:adjustRightInd/>
        <w:spacing w:after="120"/>
        <w:ind w:firstLineChars="200" w:firstLine="480"/>
        <w:jc w:val="both"/>
        <w:textAlignment w:val="auto"/>
        <w:rPr>
          <w:rFonts w:eastAsia="Calibri" w:cs="Arial"/>
          <w:szCs w:val="24"/>
          <w:lang w:val="en-US" w:eastAsia="zh-CN"/>
        </w:rPr>
      </w:pPr>
      <w:r w:rsidRPr="006A6F0D">
        <w:rPr>
          <w:rFonts w:cs="Microsoft YaHei" w:hint="eastAsia"/>
          <w:szCs w:val="24"/>
          <w:lang w:val="en-US" w:eastAsia="zh-CN"/>
        </w:rPr>
        <w:t>我们建议将促成电信</w:t>
      </w:r>
      <w:r w:rsidRPr="006A6F0D">
        <w:rPr>
          <w:rFonts w:cs="Microsoft YaHei" w:hint="eastAsia"/>
          <w:szCs w:val="24"/>
          <w:lang w:val="en-US" w:eastAsia="zh-CN"/>
        </w:rPr>
        <w:t>/</w:t>
      </w:r>
      <w:r w:rsidRPr="006A6F0D">
        <w:rPr>
          <w:rFonts w:cs="Microsoft YaHei"/>
          <w:szCs w:val="24"/>
          <w:lang w:val="en-US" w:eastAsia="zh-CN"/>
        </w:rPr>
        <w:t>ICT</w:t>
      </w:r>
      <w:r w:rsidRPr="006A6F0D">
        <w:rPr>
          <w:rFonts w:cs="Microsoft YaHei" w:hint="eastAsia"/>
          <w:szCs w:val="24"/>
          <w:lang w:val="en-US" w:eastAsia="zh-CN"/>
        </w:rPr>
        <w:t>领域的创新纳入</w:t>
      </w:r>
      <w:r>
        <w:rPr>
          <w:rFonts w:cs="Microsoft YaHei" w:hint="eastAsia"/>
          <w:szCs w:val="24"/>
          <w:lang w:val="en-US" w:eastAsia="zh-CN"/>
        </w:rPr>
        <w:t>该</w:t>
      </w:r>
      <w:r w:rsidRPr="006A6F0D">
        <w:rPr>
          <w:rFonts w:cs="Microsoft YaHei" w:hint="eastAsia"/>
          <w:szCs w:val="24"/>
          <w:lang w:val="en-US" w:eastAsia="zh-CN"/>
        </w:rPr>
        <w:t>主题重点。</w:t>
      </w:r>
      <w:r>
        <w:rPr>
          <w:rFonts w:cs="Microsoft YaHei" w:hint="eastAsia"/>
          <w:szCs w:val="24"/>
          <w:lang w:val="en-US" w:eastAsia="zh-CN"/>
        </w:rPr>
        <w:t>国际</w:t>
      </w:r>
      <w:proofErr w:type="gramStart"/>
      <w:r>
        <w:rPr>
          <w:rFonts w:cs="Microsoft YaHei" w:hint="eastAsia"/>
          <w:szCs w:val="24"/>
          <w:lang w:val="en-US" w:eastAsia="zh-CN"/>
        </w:rPr>
        <w:t>电联须在</w:t>
      </w:r>
      <w:proofErr w:type="gramEnd"/>
      <w:r>
        <w:rPr>
          <w:rFonts w:cs="Microsoft YaHei" w:hint="eastAsia"/>
          <w:szCs w:val="24"/>
          <w:lang w:val="en-US" w:eastAsia="zh-CN"/>
        </w:rPr>
        <w:t>打造创新有利环境方面发挥关键作用，利用新型和新兴技术推动</w:t>
      </w:r>
      <w:r>
        <w:rPr>
          <w:rFonts w:cs="Microsoft YaHei" w:hint="eastAsia"/>
          <w:szCs w:val="24"/>
          <w:lang w:val="en-US" w:eastAsia="zh-CN"/>
        </w:rPr>
        <w:t>WSIS</w:t>
      </w:r>
      <w:r>
        <w:rPr>
          <w:rFonts w:cs="Microsoft YaHei" w:hint="eastAsia"/>
          <w:szCs w:val="24"/>
          <w:lang w:val="en-US" w:eastAsia="zh-CN"/>
        </w:rPr>
        <w:t>成果和</w:t>
      </w:r>
      <w:r>
        <w:rPr>
          <w:rFonts w:cs="Microsoft YaHei" w:hint="eastAsia"/>
          <w:szCs w:val="24"/>
          <w:lang w:val="en-US" w:eastAsia="zh-CN"/>
        </w:rPr>
        <w:t>2</w:t>
      </w:r>
      <w:r>
        <w:rPr>
          <w:rFonts w:cs="Microsoft YaHei"/>
          <w:szCs w:val="24"/>
          <w:lang w:val="en-US" w:eastAsia="zh-CN"/>
        </w:rPr>
        <w:t>030</w:t>
      </w:r>
      <w:r>
        <w:rPr>
          <w:rFonts w:cs="Microsoft YaHei" w:hint="eastAsia"/>
          <w:szCs w:val="24"/>
          <w:lang w:val="en-US" w:eastAsia="zh-CN"/>
        </w:rPr>
        <w:t>年可持续发展议程的落实，尤其在国家层面。</w:t>
      </w:r>
    </w:p>
    <w:p w14:paraId="21635E55" w14:textId="77777777" w:rsidR="005368D6" w:rsidRPr="00C31043" w:rsidRDefault="005368D6" w:rsidP="005368D6">
      <w:pPr>
        <w:pStyle w:val="Headingb"/>
        <w:rPr>
          <w:rFonts w:cs="Arial"/>
          <w:lang w:val="en-US" w:eastAsia="zh-CN"/>
        </w:rPr>
      </w:pPr>
      <w:r>
        <w:rPr>
          <w:rFonts w:hint="eastAsia"/>
          <w:lang w:val="en-US" w:eastAsia="zh-CN"/>
        </w:rPr>
        <w:t>b</w:t>
      </w:r>
      <w:r>
        <w:rPr>
          <w:lang w:val="en-US" w:eastAsia="zh-CN"/>
        </w:rPr>
        <w:t>)</w:t>
      </w:r>
      <w:r>
        <w:rPr>
          <w:lang w:val="en-US" w:eastAsia="zh-CN"/>
        </w:rPr>
        <w:tab/>
      </w:r>
      <w:r w:rsidRPr="00C31043">
        <w:rPr>
          <w:rFonts w:hint="eastAsia"/>
          <w:lang w:val="en-US" w:eastAsia="zh-CN"/>
        </w:rPr>
        <w:t>网络安全</w:t>
      </w:r>
    </w:p>
    <w:p w14:paraId="7C26A244" w14:textId="77777777" w:rsidR="005368D6" w:rsidRPr="00B605AE" w:rsidRDefault="005368D6" w:rsidP="005368D6">
      <w:pPr>
        <w:overflowPunct/>
        <w:autoSpaceDE/>
        <w:autoSpaceDN/>
        <w:adjustRightInd/>
        <w:spacing w:after="120"/>
        <w:ind w:firstLineChars="200" w:firstLine="480"/>
        <w:jc w:val="both"/>
        <w:textAlignment w:val="auto"/>
        <w:rPr>
          <w:rFonts w:eastAsia="Calibri" w:cs="Arial"/>
          <w:b/>
          <w:bCs/>
          <w:szCs w:val="24"/>
          <w:lang w:val="en-US" w:eastAsia="zh-CN"/>
        </w:rPr>
      </w:pPr>
      <w:r w:rsidRPr="00132F09">
        <w:rPr>
          <w:rFonts w:cs="Microsoft YaHei" w:hint="eastAsia"/>
          <w:szCs w:val="24"/>
          <w:lang w:val="en-US" w:eastAsia="zh-CN"/>
        </w:rPr>
        <w:t>网络安全计划处于向数字社会转变的核心。</w:t>
      </w:r>
      <w:r>
        <w:rPr>
          <w:rFonts w:cs="Microsoft YaHei" w:hint="eastAsia"/>
          <w:szCs w:val="24"/>
          <w:lang w:val="en-US" w:eastAsia="zh-CN"/>
        </w:rPr>
        <w:t>它是确保建立可信和安全的数字经济的重要支柱，增强所有参与者的信心，促进企业的繁荣发展。不同于其它“推动因素”，它已经制定了需要持续衡量的完善的目标、指标和成果。</w:t>
      </w:r>
    </w:p>
    <w:p w14:paraId="712BFE2A" w14:textId="5FB4C729" w:rsidR="005368D6" w:rsidRPr="00B605AE" w:rsidRDefault="005368D6" w:rsidP="005368D6">
      <w:pPr>
        <w:overflowPunct/>
        <w:autoSpaceDE/>
        <w:autoSpaceDN/>
        <w:adjustRightInd/>
        <w:spacing w:after="120"/>
        <w:ind w:firstLineChars="200" w:firstLine="480"/>
        <w:jc w:val="both"/>
        <w:textAlignment w:val="auto"/>
        <w:rPr>
          <w:rFonts w:eastAsia="Calibri"/>
          <w:szCs w:val="24"/>
          <w:lang w:val="en-US" w:eastAsia="zh-CN"/>
        </w:rPr>
      </w:pPr>
      <w:r w:rsidRPr="00C171B6">
        <w:rPr>
          <w:rFonts w:cs="Microsoft YaHei" w:hint="eastAsia"/>
          <w:szCs w:val="24"/>
          <w:lang w:val="en-US" w:eastAsia="zh-CN"/>
        </w:rPr>
        <w:t>它建立在</w:t>
      </w:r>
      <w:r w:rsidRPr="00C171B6">
        <w:rPr>
          <w:rFonts w:cs="Microsoft YaHei" w:hint="eastAsia"/>
          <w:szCs w:val="24"/>
          <w:lang w:val="en-US" w:eastAsia="zh-CN"/>
        </w:rPr>
        <w:t>2</w:t>
      </w:r>
      <w:r w:rsidRPr="00C171B6">
        <w:rPr>
          <w:rFonts w:cs="Microsoft YaHei"/>
          <w:szCs w:val="24"/>
          <w:lang w:val="en-US" w:eastAsia="zh-CN"/>
        </w:rPr>
        <w:t>017</w:t>
      </w:r>
      <w:r w:rsidRPr="00C171B6">
        <w:rPr>
          <w:rFonts w:cs="Microsoft YaHei" w:hint="eastAsia"/>
          <w:szCs w:val="24"/>
          <w:lang w:val="en-US" w:eastAsia="zh-CN"/>
        </w:rPr>
        <w:t>年世界电信发展大会通过的《布宜诺斯艾利斯行动计划》的部门目标</w:t>
      </w:r>
      <w:r w:rsidRPr="00C171B6">
        <w:rPr>
          <w:rFonts w:cs="Microsoft YaHei" w:hint="eastAsia"/>
          <w:szCs w:val="24"/>
          <w:lang w:val="en-US" w:eastAsia="zh-CN"/>
        </w:rPr>
        <w:t>2</w:t>
      </w:r>
      <w:r w:rsidRPr="00C171B6">
        <w:rPr>
          <w:rFonts w:cs="Microsoft YaHei" w:hint="eastAsia"/>
          <w:szCs w:val="24"/>
          <w:lang w:val="en-US" w:eastAsia="zh-CN"/>
        </w:rPr>
        <w:t>以及相关国际电联会议和全会决议基础之上。</w:t>
      </w:r>
    </w:p>
    <w:p w14:paraId="3FC28E04" w14:textId="77777777" w:rsidR="005368D6" w:rsidRPr="00B605AE" w:rsidRDefault="005368D6" w:rsidP="005368D6">
      <w:pPr>
        <w:overflowPunct/>
        <w:autoSpaceDE/>
        <w:autoSpaceDN/>
        <w:adjustRightInd/>
        <w:spacing w:after="120"/>
        <w:ind w:firstLineChars="200" w:firstLine="480"/>
        <w:jc w:val="both"/>
        <w:textAlignment w:val="auto"/>
        <w:rPr>
          <w:rFonts w:eastAsia="Calibri" w:cs="Arial"/>
          <w:szCs w:val="24"/>
          <w:lang w:val="en-US" w:eastAsia="zh-CN"/>
        </w:rPr>
      </w:pPr>
      <w:r w:rsidRPr="00813DA7">
        <w:rPr>
          <w:rFonts w:asciiTheme="minorHAnsi" w:hAnsiTheme="minorHAnsi" w:cs="Microsoft YaHei" w:hint="eastAsia"/>
          <w:szCs w:val="24"/>
          <w:lang w:val="en-US" w:eastAsia="zh-CN"/>
        </w:rPr>
        <w:t>正如我们在</w:t>
      </w:r>
      <w:r w:rsidRPr="00813DA7">
        <w:rPr>
          <w:rFonts w:asciiTheme="minorHAnsi" w:hAnsiTheme="minorHAnsi" w:cs="Arial"/>
          <w:szCs w:val="24"/>
          <w:lang w:val="en-US" w:eastAsia="zh-CN"/>
        </w:rPr>
        <w:t>CWG-SFP</w:t>
      </w:r>
      <w:r w:rsidRPr="00813DA7">
        <w:rPr>
          <w:rFonts w:asciiTheme="minorHAnsi" w:hAnsiTheme="minorHAnsi" w:cs="Microsoft YaHei" w:hint="eastAsia"/>
          <w:szCs w:val="24"/>
          <w:lang w:val="en-US" w:eastAsia="zh-CN"/>
        </w:rPr>
        <w:t>第</w:t>
      </w:r>
      <w:r w:rsidRPr="00813DA7">
        <w:rPr>
          <w:rFonts w:asciiTheme="minorHAnsi" w:hAnsiTheme="minorHAnsi" w:cs="Microsoft YaHei" w:hint="eastAsia"/>
          <w:szCs w:val="24"/>
          <w:lang w:val="en-US" w:eastAsia="zh-CN"/>
        </w:rPr>
        <w:t>2</w:t>
      </w:r>
      <w:r w:rsidRPr="00813DA7">
        <w:rPr>
          <w:rFonts w:asciiTheme="minorHAnsi" w:hAnsiTheme="minorHAnsi" w:cs="Microsoft YaHei" w:hint="eastAsia"/>
          <w:szCs w:val="24"/>
          <w:lang w:val="en-US" w:eastAsia="zh-CN"/>
        </w:rPr>
        <w:t>次会议上表达的意见，这一主题重点</w:t>
      </w:r>
      <w:r>
        <w:rPr>
          <w:rFonts w:asciiTheme="minorHAnsi" w:hAnsiTheme="minorHAnsi" w:cs="Microsoft YaHei" w:hint="eastAsia"/>
          <w:szCs w:val="24"/>
          <w:lang w:val="en-US" w:eastAsia="zh-CN"/>
        </w:rPr>
        <w:t>需</w:t>
      </w:r>
      <w:r w:rsidRPr="00813DA7">
        <w:rPr>
          <w:rFonts w:asciiTheme="minorHAnsi" w:hAnsiTheme="minorHAnsi" w:cs="Microsoft YaHei" w:hint="eastAsia"/>
          <w:szCs w:val="24"/>
          <w:lang w:val="en-US" w:eastAsia="zh-CN"/>
        </w:rPr>
        <w:t>作为独立一项。</w:t>
      </w:r>
      <w:r>
        <w:rPr>
          <w:rFonts w:asciiTheme="minorHAnsi" w:hAnsiTheme="minorHAnsi" w:cs="Microsoft YaHei" w:hint="eastAsia"/>
          <w:szCs w:val="24"/>
          <w:lang w:val="en-US" w:eastAsia="zh-CN"/>
        </w:rPr>
        <w:t>我们认为，将数字化转型作为一个战略目标，然后再单独制定一个网络安全主题重点是非常合理的。</w:t>
      </w:r>
      <w:r w:rsidRPr="00B605AE">
        <w:rPr>
          <w:rFonts w:eastAsia="Calibri" w:cs="Arial"/>
          <w:szCs w:val="24"/>
          <w:lang w:val="en-US" w:eastAsia="zh-CN"/>
        </w:rPr>
        <w:t xml:space="preserve"> </w:t>
      </w:r>
    </w:p>
    <w:p w14:paraId="25CEF391" w14:textId="77777777" w:rsidR="005368D6" w:rsidRPr="00B605AE" w:rsidRDefault="005368D6" w:rsidP="005368D6">
      <w:pPr>
        <w:keepNext/>
        <w:keepLines/>
        <w:overflowPunct/>
        <w:autoSpaceDE/>
        <w:autoSpaceDN/>
        <w:adjustRightInd/>
        <w:spacing w:after="120"/>
        <w:ind w:firstLineChars="200" w:firstLine="480"/>
        <w:jc w:val="both"/>
        <w:textAlignment w:val="auto"/>
        <w:rPr>
          <w:rFonts w:eastAsia="Calibri" w:cs="Arial"/>
          <w:szCs w:val="24"/>
          <w:lang w:val="en-US" w:eastAsia="zh-CN"/>
        </w:rPr>
      </w:pPr>
      <w:r w:rsidRPr="009A552A">
        <w:rPr>
          <w:rFonts w:cs="Microsoft YaHei" w:hint="eastAsia"/>
          <w:szCs w:val="24"/>
          <w:lang w:val="en-US" w:eastAsia="zh-CN"/>
        </w:rPr>
        <w:lastRenderedPageBreak/>
        <w:t>此外，考虑到国际电联</w:t>
      </w:r>
      <w:r>
        <w:rPr>
          <w:rFonts w:cs="Microsoft YaHei" w:hint="eastAsia"/>
          <w:szCs w:val="24"/>
          <w:lang w:val="en-US" w:eastAsia="zh-CN"/>
        </w:rPr>
        <w:t>是</w:t>
      </w:r>
      <w:r w:rsidRPr="009A552A">
        <w:rPr>
          <w:rFonts w:cs="Microsoft YaHei" w:hint="eastAsia"/>
          <w:szCs w:val="24"/>
          <w:lang w:val="en-US" w:eastAsia="zh-CN"/>
        </w:rPr>
        <w:t>联合国在</w:t>
      </w:r>
      <w:r w:rsidRPr="009A552A">
        <w:rPr>
          <w:rFonts w:cs="Microsoft YaHei" w:hint="eastAsia"/>
          <w:szCs w:val="24"/>
          <w:lang w:val="en-US" w:eastAsia="zh-CN"/>
        </w:rPr>
        <w:t>ICT</w:t>
      </w:r>
      <w:r w:rsidRPr="009A552A">
        <w:rPr>
          <w:rFonts w:cs="Microsoft YaHei" w:hint="eastAsia"/>
          <w:szCs w:val="24"/>
          <w:lang w:val="en-US" w:eastAsia="zh-CN"/>
        </w:rPr>
        <w:t>领域的主要组织，</w:t>
      </w:r>
      <w:r w:rsidRPr="00564F88">
        <w:rPr>
          <w:rFonts w:cs="Microsoft YaHei" w:hint="eastAsia"/>
          <w:szCs w:val="24"/>
          <w:lang w:val="en-US" w:eastAsia="zh-CN"/>
        </w:rPr>
        <w:t>是</w:t>
      </w:r>
      <w:r w:rsidRPr="00564F88">
        <w:rPr>
          <w:rFonts w:cs="Microsoft YaHei" w:hint="eastAsia"/>
          <w:szCs w:val="24"/>
          <w:lang w:val="en-US" w:eastAsia="zh-CN"/>
        </w:rPr>
        <w:t>WSIS</w:t>
      </w:r>
      <w:r w:rsidRPr="00564F88">
        <w:rPr>
          <w:rFonts w:cs="Microsoft YaHei" w:hint="eastAsia"/>
          <w:szCs w:val="24"/>
          <w:lang w:val="en-US" w:eastAsia="zh-CN"/>
        </w:rPr>
        <w:t>关于树立使用</w:t>
      </w:r>
      <w:r>
        <w:rPr>
          <w:rFonts w:cs="Microsoft YaHei" w:hint="eastAsia"/>
          <w:szCs w:val="24"/>
          <w:lang w:val="en-US" w:eastAsia="zh-CN"/>
        </w:rPr>
        <w:t>ICT</w:t>
      </w:r>
      <w:r w:rsidRPr="00564F88">
        <w:rPr>
          <w:rFonts w:cs="Microsoft YaHei" w:hint="eastAsia"/>
          <w:szCs w:val="24"/>
          <w:lang w:val="en-US" w:eastAsia="zh-CN"/>
        </w:rPr>
        <w:t>的信心并提高安全性的行动方面</w:t>
      </w:r>
      <w:r w:rsidRPr="00564F88">
        <w:rPr>
          <w:rFonts w:cs="Microsoft YaHei" w:hint="eastAsia"/>
          <w:szCs w:val="24"/>
          <w:lang w:val="en-US" w:eastAsia="zh-CN"/>
        </w:rPr>
        <w:t>C5</w:t>
      </w:r>
      <w:r>
        <w:rPr>
          <w:rFonts w:cs="Microsoft YaHei" w:hint="eastAsia"/>
          <w:szCs w:val="24"/>
          <w:lang w:val="en-US" w:eastAsia="zh-CN"/>
        </w:rPr>
        <w:t>、</w:t>
      </w:r>
      <w:r w:rsidRPr="00564F88">
        <w:rPr>
          <w:rFonts w:cs="Microsoft YaHei" w:hint="eastAsia"/>
          <w:szCs w:val="24"/>
          <w:lang w:val="en-US" w:eastAsia="zh-CN"/>
        </w:rPr>
        <w:t>经修订的全球网络安全议程（</w:t>
      </w:r>
      <w:r w:rsidRPr="00564F88">
        <w:rPr>
          <w:rFonts w:cs="Microsoft YaHei" w:hint="eastAsia"/>
          <w:szCs w:val="24"/>
          <w:lang w:val="en-US" w:eastAsia="zh-CN"/>
        </w:rPr>
        <w:t>GCA</w:t>
      </w:r>
      <w:r w:rsidRPr="00564F88">
        <w:rPr>
          <w:rFonts w:cs="Microsoft YaHei" w:hint="eastAsia"/>
          <w:szCs w:val="24"/>
          <w:lang w:val="en-US" w:eastAsia="zh-CN"/>
        </w:rPr>
        <w:t>）导则以及</w:t>
      </w:r>
      <w:r>
        <w:rPr>
          <w:rFonts w:cs="Microsoft YaHei" w:hint="eastAsia"/>
          <w:szCs w:val="24"/>
          <w:lang w:val="en-US" w:eastAsia="zh-CN"/>
        </w:rPr>
        <w:t>促进</w:t>
      </w:r>
      <w:r w:rsidRPr="00564F88">
        <w:rPr>
          <w:rFonts w:cs="Microsoft YaHei" w:hint="eastAsia"/>
          <w:szCs w:val="24"/>
          <w:lang w:val="en-US" w:eastAsia="zh-CN"/>
        </w:rPr>
        <w:t>联合国网络安全重大发展的唯一推进方，国际电联需要以某种方式对联合国进程做出贡献，这些都是将网络安全作为一个独立的主题重点的有效论据。</w:t>
      </w:r>
    </w:p>
    <w:p w14:paraId="0F62B96D" w14:textId="35496981" w:rsidR="005368D6" w:rsidRPr="00B605AE" w:rsidRDefault="005368D6" w:rsidP="005368D6">
      <w:pPr>
        <w:overflowPunct/>
        <w:autoSpaceDE/>
        <w:autoSpaceDN/>
        <w:adjustRightInd/>
        <w:spacing w:after="120"/>
        <w:ind w:firstLineChars="200" w:firstLine="480"/>
        <w:jc w:val="both"/>
        <w:textAlignment w:val="auto"/>
        <w:rPr>
          <w:rFonts w:eastAsia="Calibri" w:cs="Arial"/>
          <w:szCs w:val="24"/>
          <w:lang w:val="en-US" w:eastAsia="zh-CN"/>
        </w:rPr>
      </w:pPr>
      <w:r w:rsidRPr="007514F6">
        <w:rPr>
          <w:rFonts w:asciiTheme="minorHAnsi" w:hAnsiTheme="minorHAnsi" w:cs="Microsoft YaHei" w:hint="eastAsia"/>
          <w:szCs w:val="24"/>
          <w:lang w:val="en-US" w:eastAsia="zh-CN"/>
        </w:rPr>
        <w:t>关于第</w:t>
      </w:r>
      <w:r w:rsidRPr="007514F6">
        <w:rPr>
          <w:rFonts w:asciiTheme="minorHAnsi" w:hAnsiTheme="minorHAnsi" w:cs="Arial" w:hint="eastAsia"/>
          <w:szCs w:val="24"/>
          <w:lang w:val="en-US" w:eastAsia="zh-CN"/>
        </w:rPr>
        <w:t>35</w:t>
      </w:r>
      <w:r>
        <w:rPr>
          <w:rFonts w:asciiTheme="minorHAnsi" w:hAnsiTheme="minorHAnsi" w:cs="Microsoft YaHei" w:hint="eastAsia"/>
          <w:szCs w:val="24"/>
          <w:lang w:val="en-US" w:eastAsia="zh-CN"/>
        </w:rPr>
        <w:t>段</w:t>
      </w:r>
      <w:r w:rsidRPr="007514F6">
        <w:rPr>
          <w:rFonts w:asciiTheme="minorHAnsi" w:hAnsiTheme="minorHAnsi" w:cs="Microsoft YaHei" w:hint="eastAsia"/>
          <w:szCs w:val="24"/>
          <w:lang w:val="en-US" w:eastAsia="zh-CN"/>
        </w:rPr>
        <w:t>，我们建议，网络安全主题重点</w:t>
      </w:r>
      <w:r>
        <w:rPr>
          <w:rFonts w:asciiTheme="minorHAnsi" w:hAnsiTheme="minorHAnsi" w:cs="Microsoft YaHei" w:hint="eastAsia"/>
          <w:szCs w:val="24"/>
          <w:lang w:val="en-US" w:eastAsia="zh-CN"/>
        </w:rPr>
        <w:t>的</w:t>
      </w:r>
      <w:r w:rsidRPr="007514F6">
        <w:rPr>
          <w:rFonts w:asciiTheme="minorHAnsi" w:hAnsiTheme="minorHAnsi" w:cs="Microsoft YaHei" w:hint="eastAsia"/>
          <w:szCs w:val="24"/>
          <w:lang w:val="en-US" w:eastAsia="zh-CN"/>
        </w:rPr>
        <w:t>工作重心需置于国际电</w:t>
      </w:r>
      <w:proofErr w:type="gramStart"/>
      <w:r w:rsidRPr="007514F6">
        <w:rPr>
          <w:rFonts w:asciiTheme="minorHAnsi" w:hAnsiTheme="minorHAnsi" w:cs="Microsoft YaHei" w:hint="eastAsia"/>
          <w:szCs w:val="24"/>
          <w:lang w:val="en-US" w:eastAsia="zh-CN"/>
        </w:rPr>
        <w:t>联全球</w:t>
      </w:r>
      <w:proofErr w:type="gramEnd"/>
      <w:r w:rsidRPr="007514F6">
        <w:rPr>
          <w:rFonts w:asciiTheme="minorHAnsi" w:hAnsiTheme="minorHAnsi" w:cs="Microsoft YaHei" w:hint="eastAsia"/>
          <w:szCs w:val="24"/>
          <w:lang w:val="en-US" w:eastAsia="zh-CN"/>
        </w:rPr>
        <w:t>网络安全议程（</w:t>
      </w:r>
      <w:r w:rsidRPr="007514F6">
        <w:rPr>
          <w:rFonts w:asciiTheme="minorHAnsi" w:hAnsiTheme="minorHAnsi" w:cs="Arial" w:hint="eastAsia"/>
          <w:szCs w:val="24"/>
          <w:lang w:val="en-US" w:eastAsia="zh-CN"/>
        </w:rPr>
        <w:t>GCA</w:t>
      </w:r>
      <w:r w:rsidRPr="007514F6">
        <w:rPr>
          <w:rFonts w:asciiTheme="minorHAnsi" w:hAnsiTheme="minorHAnsi" w:cs="Microsoft YaHei" w:hint="eastAsia"/>
          <w:szCs w:val="24"/>
          <w:lang w:val="en-US" w:eastAsia="zh-CN"/>
        </w:rPr>
        <w:t>）及其相关的</w:t>
      </w:r>
      <w:r w:rsidRPr="007514F6">
        <w:rPr>
          <w:rFonts w:asciiTheme="minorHAnsi" w:hAnsiTheme="minorHAnsi" w:cs="Arial" w:hint="eastAsia"/>
          <w:szCs w:val="24"/>
          <w:lang w:val="en-US" w:eastAsia="zh-CN"/>
        </w:rPr>
        <w:t>5</w:t>
      </w:r>
      <w:r w:rsidRPr="007514F6">
        <w:rPr>
          <w:rFonts w:asciiTheme="minorHAnsi" w:hAnsiTheme="minorHAnsi" w:cs="Microsoft YaHei" w:hint="eastAsia"/>
          <w:szCs w:val="24"/>
          <w:lang w:val="en-US" w:eastAsia="zh-CN"/>
        </w:rPr>
        <w:t>个支柱内，即：法律、技术、组织、能力建设、合作。</w:t>
      </w:r>
    </w:p>
    <w:p w14:paraId="59704378" w14:textId="77777777" w:rsidR="005368D6" w:rsidRPr="00B605AE" w:rsidRDefault="005368D6" w:rsidP="005368D6">
      <w:pPr>
        <w:overflowPunct/>
        <w:autoSpaceDE/>
        <w:autoSpaceDN/>
        <w:adjustRightInd/>
        <w:spacing w:after="120"/>
        <w:ind w:firstLineChars="200" w:firstLine="480"/>
        <w:jc w:val="both"/>
        <w:textAlignment w:val="auto"/>
        <w:rPr>
          <w:rFonts w:eastAsia="Calibri" w:cs="Arial"/>
          <w:b/>
          <w:bCs/>
          <w:szCs w:val="24"/>
          <w:lang w:val="en-US" w:eastAsia="zh-CN"/>
        </w:rPr>
      </w:pPr>
      <w:r w:rsidRPr="007514F6">
        <w:rPr>
          <w:rFonts w:cs="Microsoft YaHei" w:hint="eastAsia"/>
          <w:szCs w:val="24"/>
          <w:lang w:val="en-US" w:eastAsia="zh-CN"/>
        </w:rPr>
        <w:t>认识到网络安全是三个</w:t>
      </w:r>
      <w:r>
        <w:rPr>
          <w:rFonts w:cs="Microsoft YaHei" w:hint="eastAsia"/>
          <w:szCs w:val="24"/>
          <w:lang w:val="en-US" w:eastAsia="zh-CN"/>
        </w:rPr>
        <w:t>重点</w:t>
      </w:r>
      <w:r w:rsidRPr="007514F6">
        <w:rPr>
          <w:rFonts w:cs="Microsoft YaHei" w:hint="eastAsia"/>
          <w:szCs w:val="24"/>
          <w:lang w:val="en-US" w:eastAsia="zh-CN"/>
        </w:rPr>
        <w:t>议题或目标之一，也是联合国秘书长数字路线图的一个关键要素，</w:t>
      </w:r>
      <w:proofErr w:type="gramStart"/>
      <w:r>
        <w:rPr>
          <w:rFonts w:cs="Microsoft YaHei" w:hint="eastAsia"/>
          <w:szCs w:val="24"/>
          <w:lang w:val="en-US" w:eastAsia="zh-CN"/>
        </w:rPr>
        <w:t>且</w:t>
      </w:r>
      <w:r w:rsidRPr="007514F6">
        <w:rPr>
          <w:rFonts w:cs="Microsoft YaHei" w:hint="eastAsia"/>
          <w:szCs w:val="24"/>
          <w:lang w:val="en-US" w:eastAsia="zh-CN"/>
        </w:rPr>
        <w:t>国际</w:t>
      </w:r>
      <w:proofErr w:type="gramEnd"/>
      <w:r w:rsidRPr="007514F6">
        <w:rPr>
          <w:rFonts w:cs="Microsoft YaHei" w:hint="eastAsia"/>
          <w:szCs w:val="24"/>
          <w:lang w:val="en-US" w:eastAsia="zh-CN"/>
        </w:rPr>
        <w:t>电联对此做出了充分的承诺，这再次证明将网络安全作为一个独立的主题重点</w:t>
      </w:r>
      <w:r>
        <w:rPr>
          <w:rFonts w:cs="Microsoft YaHei" w:hint="eastAsia"/>
          <w:szCs w:val="24"/>
          <w:lang w:val="en-US" w:eastAsia="zh-CN"/>
        </w:rPr>
        <w:t>是有意义的</w:t>
      </w:r>
      <w:r w:rsidRPr="007514F6">
        <w:rPr>
          <w:rFonts w:cs="Microsoft YaHei" w:hint="eastAsia"/>
          <w:szCs w:val="24"/>
          <w:lang w:val="en-US" w:eastAsia="zh-CN"/>
        </w:rPr>
        <w:t>。</w:t>
      </w:r>
    </w:p>
    <w:p w14:paraId="42D92743" w14:textId="5C614C22" w:rsidR="005368D6" w:rsidRPr="00471BF8" w:rsidRDefault="005368D6" w:rsidP="005368D6">
      <w:pPr>
        <w:pStyle w:val="Heading1"/>
        <w:rPr>
          <w:rFonts w:cs="Arial"/>
          <w:lang w:val="en-US" w:eastAsia="zh-CN"/>
        </w:rPr>
      </w:pPr>
      <w:r>
        <w:rPr>
          <w:rFonts w:hint="eastAsia"/>
          <w:lang w:val="en-US" w:eastAsia="zh-CN"/>
        </w:rPr>
        <w:t>4</w:t>
      </w:r>
      <w:r>
        <w:rPr>
          <w:lang w:val="en-US" w:eastAsia="zh-CN"/>
        </w:rPr>
        <w:tab/>
      </w:r>
      <w:r>
        <w:rPr>
          <w:rFonts w:hint="eastAsia"/>
          <w:lang w:val="en-US" w:eastAsia="zh-CN"/>
        </w:rPr>
        <w:t>有关</w:t>
      </w:r>
      <w:r w:rsidRPr="00471BF8">
        <w:rPr>
          <w:rFonts w:hint="eastAsia"/>
          <w:lang w:val="en-US" w:eastAsia="zh-CN"/>
        </w:rPr>
        <w:t>秘书处</w:t>
      </w:r>
      <w:r>
        <w:rPr>
          <w:rFonts w:hint="eastAsia"/>
          <w:lang w:val="en-US" w:eastAsia="zh-CN"/>
        </w:rPr>
        <w:t>对</w:t>
      </w:r>
      <w:r w:rsidRPr="00471BF8">
        <w:rPr>
          <w:rFonts w:hint="eastAsia"/>
          <w:lang w:val="en-US" w:eastAsia="zh-CN"/>
        </w:rPr>
        <w:t>第</w:t>
      </w:r>
      <w:r w:rsidRPr="00471BF8">
        <w:rPr>
          <w:rFonts w:cs="Arial" w:hint="eastAsia"/>
          <w:lang w:val="en-US" w:eastAsia="zh-CN"/>
        </w:rPr>
        <w:t>71</w:t>
      </w:r>
      <w:r w:rsidRPr="00471BF8">
        <w:rPr>
          <w:rFonts w:hint="eastAsia"/>
          <w:lang w:val="en-US" w:eastAsia="zh-CN"/>
        </w:rPr>
        <w:t>号决议</w:t>
      </w:r>
      <w:r w:rsidRPr="007A6794">
        <w:rPr>
          <w:rFonts w:hint="eastAsia"/>
          <w:lang w:val="en-US" w:eastAsia="zh-CN"/>
        </w:rPr>
        <w:t>附件</w:t>
      </w:r>
      <w:r w:rsidRPr="007A6794">
        <w:rPr>
          <w:rFonts w:hint="eastAsia"/>
          <w:lang w:val="en-US" w:eastAsia="zh-CN"/>
        </w:rPr>
        <w:t>1</w:t>
      </w:r>
      <w:r w:rsidRPr="007A6794">
        <w:rPr>
          <w:rFonts w:hint="eastAsia"/>
          <w:lang w:val="en-US" w:eastAsia="zh-CN"/>
        </w:rPr>
        <w:t>（《国际电联</w:t>
      </w:r>
      <w:r w:rsidRPr="007A6794">
        <w:rPr>
          <w:rFonts w:hint="eastAsia"/>
          <w:lang w:val="en-US" w:eastAsia="zh-CN"/>
        </w:rPr>
        <w:t>2024-2027</w:t>
      </w:r>
      <w:r w:rsidRPr="007A6794">
        <w:rPr>
          <w:rFonts w:hint="eastAsia"/>
          <w:lang w:val="en-US" w:eastAsia="zh-CN"/>
        </w:rPr>
        <w:t>年战略规划》草案）提出的输入意见</w:t>
      </w:r>
      <w:r w:rsidRPr="00471BF8">
        <w:rPr>
          <w:rFonts w:hint="eastAsia"/>
          <w:lang w:val="en-US" w:eastAsia="zh-CN"/>
        </w:rPr>
        <w:t>第</w:t>
      </w:r>
      <w:r w:rsidRPr="00471BF8">
        <w:rPr>
          <w:rFonts w:cs="Arial" w:hint="eastAsia"/>
          <w:lang w:val="en-US" w:eastAsia="zh-CN"/>
        </w:rPr>
        <w:t>2.</w:t>
      </w:r>
      <w:r w:rsidRPr="00471BF8">
        <w:rPr>
          <w:rFonts w:cs="Arial"/>
          <w:lang w:val="en-US" w:eastAsia="zh-CN"/>
        </w:rPr>
        <w:t>8</w:t>
      </w:r>
      <w:r w:rsidRPr="00471BF8">
        <w:rPr>
          <w:rFonts w:hint="eastAsia"/>
          <w:lang w:val="en-US" w:eastAsia="zh-CN"/>
        </w:rPr>
        <w:t>节</w:t>
      </w:r>
      <w:r>
        <w:rPr>
          <w:rFonts w:hint="eastAsia"/>
          <w:lang w:val="en-US" w:eastAsia="zh-CN"/>
        </w:rPr>
        <w:t>（</w:t>
      </w:r>
      <w:r w:rsidRPr="00471BF8">
        <w:rPr>
          <w:rFonts w:hint="eastAsia"/>
          <w:lang w:val="en-US" w:eastAsia="zh-CN"/>
        </w:rPr>
        <w:t>推动</w:t>
      </w:r>
      <w:r>
        <w:rPr>
          <w:rFonts w:hint="eastAsia"/>
          <w:lang w:val="en-US" w:eastAsia="zh-CN"/>
        </w:rPr>
        <w:t>因素）</w:t>
      </w:r>
      <w:r w:rsidRPr="00471BF8">
        <w:rPr>
          <w:rFonts w:hint="eastAsia"/>
          <w:lang w:val="en-US" w:eastAsia="zh-CN"/>
        </w:rPr>
        <w:t>的</w:t>
      </w:r>
      <w:r>
        <w:rPr>
          <w:rFonts w:hint="eastAsia"/>
          <w:lang w:val="en-US" w:eastAsia="zh-CN"/>
        </w:rPr>
        <w:t>看法</w:t>
      </w:r>
    </w:p>
    <w:p w14:paraId="1FC418EC" w14:textId="77777777" w:rsidR="005368D6" w:rsidRPr="00B605AE" w:rsidRDefault="005368D6" w:rsidP="005368D6">
      <w:pPr>
        <w:overflowPunct/>
        <w:autoSpaceDE/>
        <w:autoSpaceDN/>
        <w:adjustRightInd/>
        <w:spacing w:after="120"/>
        <w:ind w:firstLineChars="200" w:firstLine="480"/>
        <w:jc w:val="both"/>
        <w:textAlignment w:val="auto"/>
        <w:rPr>
          <w:rFonts w:eastAsia="Calibri" w:cs="Arial"/>
          <w:szCs w:val="24"/>
          <w:lang w:val="en-US" w:eastAsia="zh-CN"/>
        </w:rPr>
      </w:pPr>
      <w:r w:rsidRPr="00A273CB">
        <w:rPr>
          <w:rFonts w:cs="Microsoft YaHei" w:hint="eastAsia"/>
          <w:szCs w:val="24"/>
          <w:lang w:val="en-US" w:eastAsia="zh-CN"/>
        </w:rPr>
        <w:t>我们已通过对国际电联秘书处制作的国际电联战略规划问卷发表意见表明，在战略规划中体现区域代表处</w:t>
      </w:r>
      <w:r>
        <w:rPr>
          <w:rFonts w:cs="Microsoft YaHei" w:hint="eastAsia"/>
          <w:szCs w:val="24"/>
          <w:lang w:val="en-US" w:eastAsia="zh-CN"/>
        </w:rPr>
        <w:t>的作用</w:t>
      </w:r>
      <w:r w:rsidRPr="00A273CB">
        <w:rPr>
          <w:rFonts w:cs="Microsoft YaHei" w:hint="eastAsia"/>
          <w:szCs w:val="24"/>
          <w:lang w:val="en-US" w:eastAsia="zh-CN"/>
        </w:rPr>
        <w:t>是制定清晰、目的明确和以结果为导向的战略规划的关键。</w:t>
      </w:r>
    </w:p>
    <w:p w14:paraId="40FCD892" w14:textId="77777777" w:rsidR="005368D6" w:rsidRPr="00B605AE" w:rsidRDefault="005368D6" w:rsidP="005368D6">
      <w:pPr>
        <w:overflowPunct/>
        <w:autoSpaceDE/>
        <w:autoSpaceDN/>
        <w:adjustRightInd/>
        <w:spacing w:after="120"/>
        <w:ind w:firstLineChars="200" w:firstLine="480"/>
        <w:jc w:val="both"/>
        <w:textAlignment w:val="auto"/>
        <w:rPr>
          <w:rFonts w:eastAsia="Calibri" w:cs="Arial"/>
          <w:szCs w:val="24"/>
          <w:lang w:val="en-US" w:eastAsia="zh-CN"/>
        </w:rPr>
      </w:pPr>
      <w:r w:rsidRPr="00B7149A">
        <w:rPr>
          <w:rFonts w:cs="Microsoft YaHei" w:hint="eastAsia"/>
          <w:szCs w:val="24"/>
          <w:lang w:val="en-US" w:eastAsia="zh-CN"/>
        </w:rPr>
        <w:t>我们认为，与区域代表处有关的第</w:t>
      </w:r>
      <w:r w:rsidRPr="00B7149A">
        <w:rPr>
          <w:rFonts w:cs="Microsoft YaHei" w:hint="eastAsia"/>
          <w:szCs w:val="24"/>
          <w:lang w:val="en-US" w:eastAsia="zh-CN"/>
        </w:rPr>
        <w:t>2</w:t>
      </w:r>
      <w:r w:rsidRPr="00B7149A">
        <w:rPr>
          <w:rFonts w:cs="Microsoft YaHei"/>
          <w:szCs w:val="24"/>
          <w:lang w:val="en-US" w:eastAsia="zh-CN"/>
        </w:rPr>
        <w:t>.8</w:t>
      </w:r>
      <w:r w:rsidRPr="00B7149A">
        <w:rPr>
          <w:rFonts w:cs="Microsoft YaHei" w:hint="eastAsia"/>
          <w:szCs w:val="24"/>
          <w:lang w:val="en-US" w:eastAsia="zh-CN"/>
        </w:rPr>
        <w:t>节第</w:t>
      </w:r>
      <w:r w:rsidRPr="00B7149A">
        <w:rPr>
          <w:rFonts w:cs="Microsoft YaHei" w:hint="eastAsia"/>
          <w:szCs w:val="24"/>
          <w:lang w:val="en-US" w:eastAsia="zh-CN"/>
        </w:rPr>
        <w:t>6</w:t>
      </w:r>
      <w:r w:rsidRPr="00B7149A">
        <w:rPr>
          <w:rFonts w:cs="Microsoft YaHei"/>
          <w:szCs w:val="24"/>
          <w:lang w:val="en-US" w:eastAsia="zh-CN"/>
        </w:rPr>
        <w:t>4</w:t>
      </w:r>
      <w:r w:rsidRPr="00B7149A">
        <w:rPr>
          <w:rFonts w:cs="Microsoft YaHei" w:hint="eastAsia"/>
          <w:szCs w:val="24"/>
          <w:lang w:val="en-US" w:eastAsia="zh-CN"/>
        </w:rPr>
        <w:t>段应更加强调更</w:t>
      </w:r>
      <w:r>
        <w:rPr>
          <w:rFonts w:cs="Microsoft YaHei" w:hint="eastAsia"/>
          <w:szCs w:val="24"/>
          <w:lang w:val="en-US" w:eastAsia="zh-CN"/>
        </w:rPr>
        <w:t>多</w:t>
      </w:r>
      <w:r w:rsidRPr="00B7149A">
        <w:rPr>
          <w:rFonts w:cs="Microsoft YaHei" w:hint="eastAsia"/>
          <w:szCs w:val="24"/>
          <w:lang w:val="en-US" w:eastAsia="zh-CN"/>
        </w:rPr>
        <w:t>实质性的细节和战略内容。</w:t>
      </w:r>
      <w:r>
        <w:rPr>
          <w:rFonts w:cs="Microsoft YaHei" w:hint="eastAsia"/>
          <w:szCs w:val="24"/>
          <w:lang w:val="en-US" w:eastAsia="zh-CN"/>
        </w:rPr>
        <w:t>我们将进一步建议制定每个区域办事处的战略规划，可在</w:t>
      </w:r>
      <w:r w:rsidRPr="001C7B79">
        <w:rPr>
          <w:rFonts w:cs="Microsoft YaHei" w:hint="eastAsia"/>
          <w:szCs w:val="24"/>
          <w:lang w:val="en-US" w:eastAsia="zh-CN"/>
        </w:rPr>
        <w:t>清晰简明的运作规划中作进一步</w:t>
      </w:r>
      <w:r>
        <w:rPr>
          <w:rFonts w:cs="Microsoft YaHei" w:hint="eastAsia"/>
          <w:szCs w:val="24"/>
          <w:lang w:val="en-US" w:eastAsia="zh-CN"/>
        </w:rPr>
        <w:t>说明</w:t>
      </w:r>
      <w:r w:rsidRPr="001C7B79">
        <w:rPr>
          <w:rFonts w:cs="Microsoft YaHei" w:hint="eastAsia"/>
          <w:szCs w:val="24"/>
          <w:lang w:val="en-US" w:eastAsia="zh-CN"/>
        </w:rPr>
        <w:t>，</w:t>
      </w:r>
      <w:r w:rsidRPr="00AC0DD0">
        <w:rPr>
          <w:rFonts w:asciiTheme="minorHAnsi" w:hAnsiTheme="minorHAnsi" w:cs="Microsoft YaHei" w:hint="eastAsia"/>
          <w:szCs w:val="24"/>
          <w:lang w:val="en-US" w:eastAsia="zh-CN"/>
        </w:rPr>
        <w:t>应更加重视有具体需求的最不发达国家（</w:t>
      </w:r>
      <w:r w:rsidRPr="00AC0DD0">
        <w:rPr>
          <w:rFonts w:asciiTheme="minorHAnsi" w:hAnsiTheme="minorHAnsi" w:cs="Microsoft YaHei" w:hint="eastAsia"/>
          <w:szCs w:val="24"/>
          <w:lang w:val="en-US" w:eastAsia="zh-CN"/>
        </w:rPr>
        <w:t>LDC</w:t>
      </w:r>
      <w:r w:rsidRPr="00AC0DD0">
        <w:rPr>
          <w:rFonts w:asciiTheme="minorHAnsi" w:hAnsiTheme="minorHAnsi" w:cs="Microsoft YaHei" w:hint="eastAsia"/>
          <w:szCs w:val="24"/>
          <w:lang w:val="en-US" w:eastAsia="zh-CN"/>
        </w:rPr>
        <w:t>）、内陆发展中国家（</w:t>
      </w:r>
      <w:r w:rsidRPr="00AC0DD0">
        <w:rPr>
          <w:rFonts w:asciiTheme="minorHAnsi" w:hAnsiTheme="minorHAnsi" w:cs="Microsoft YaHei" w:hint="eastAsia"/>
          <w:szCs w:val="24"/>
          <w:lang w:val="en-US" w:eastAsia="zh-CN"/>
        </w:rPr>
        <w:t>LLDC</w:t>
      </w:r>
      <w:r w:rsidRPr="00AC0DD0">
        <w:rPr>
          <w:rFonts w:asciiTheme="minorHAnsi" w:hAnsiTheme="minorHAnsi" w:cs="Microsoft YaHei" w:hint="eastAsia"/>
          <w:szCs w:val="24"/>
          <w:lang w:val="en-US" w:eastAsia="zh-CN"/>
        </w:rPr>
        <w:t>）和小岛屿发展中国家（</w:t>
      </w:r>
      <w:r w:rsidRPr="00AC0DD0">
        <w:rPr>
          <w:rFonts w:asciiTheme="minorHAnsi" w:hAnsiTheme="minorHAnsi" w:cs="Microsoft YaHei" w:hint="eastAsia"/>
          <w:szCs w:val="24"/>
          <w:lang w:val="en-US" w:eastAsia="zh-CN"/>
        </w:rPr>
        <w:t>SIDS</w:t>
      </w:r>
      <w:r w:rsidRPr="00AC0DD0">
        <w:rPr>
          <w:rFonts w:asciiTheme="minorHAnsi" w:hAnsiTheme="minorHAnsi" w:cs="Microsoft YaHei" w:hint="eastAsia"/>
          <w:szCs w:val="24"/>
          <w:lang w:val="en-US" w:eastAsia="zh-CN"/>
        </w:rPr>
        <w:t>），并顾及非洲区域当前的发展模式和特点。亦可考虑区域代表处战略规划中待审议的</w:t>
      </w:r>
      <w:r w:rsidRPr="00AC0DD0">
        <w:rPr>
          <w:rFonts w:asciiTheme="minorHAnsi" w:hAnsiTheme="minorHAnsi" w:cs="Arial"/>
          <w:szCs w:val="24"/>
          <w:lang w:val="en-US" w:eastAsia="zh-CN"/>
        </w:rPr>
        <w:t>WTDC</w:t>
      </w:r>
      <w:r w:rsidRPr="00AC0DD0">
        <w:rPr>
          <w:rFonts w:asciiTheme="minorHAnsi" w:hAnsiTheme="minorHAnsi" w:cs="Microsoft YaHei" w:hint="eastAsia"/>
          <w:szCs w:val="24"/>
          <w:lang w:val="en-US" w:eastAsia="zh-CN"/>
        </w:rPr>
        <w:t>实际拟议区域举措。</w:t>
      </w:r>
    </w:p>
    <w:p w14:paraId="3F0D33C7" w14:textId="77777777" w:rsidR="005368D6" w:rsidRPr="00B605AE" w:rsidRDefault="005368D6" w:rsidP="005368D6">
      <w:pPr>
        <w:pStyle w:val="Heading1"/>
        <w:rPr>
          <w:rFonts w:eastAsia="Calibri" w:cs="Arial"/>
          <w:lang w:val="en-US" w:eastAsia="zh-CN"/>
        </w:rPr>
      </w:pPr>
      <w:r>
        <w:rPr>
          <w:rFonts w:hint="eastAsia"/>
          <w:lang w:val="en-US" w:eastAsia="zh-CN"/>
        </w:rPr>
        <w:t>5</w:t>
      </w:r>
      <w:r>
        <w:rPr>
          <w:lang w:val="en-US" w:eastAsia="zh-CN"/>
        </w:rPr>
        <w:tab/>
      </w:r>
      <w:r>
        <w:rPr>
          <w:rFonts w:hint="eastAsia"/>
          <w:lang w:val="en-US" w:eastAsia="zh-CN"/>
        </w:rPr>
        <w:t>有关对</w:t>
      </w:r>
      <w:r w:rsidRPr="00A55A8F">
        <w:rPr>
          <w:rFonts w:hint="eastAsia"/>
          <w:lang w:val="en-US" w:eastAsia="zh-CN"/>
        </w:rPr>
        <w:t>第</w:t>
      </w:r>
      <w:r w:rsidRPr="00A55A8F">
        <w:rPr>
          <w:rFonts w:hint="eastAsia"/>
          <w:lang w:val="en-US" w:eastAsia="zh-CN"/>
        </w:rPr>
        <w:t>7</w:t>
      </w:r>
      <w:r w:rsidRPr="00A55A8F">
        <w:rPr>
          <w:lang w:val="en-US" w:eastAsia="zh-CN"/>
        </w:rPr>
        <w:t>1</w:t>
      </w:r>
      <w:r w:rsidRPr="00A55A8F">
        <w:rPr>
          <w:rFonts w:hint="eastAsia"/>
          <w:lang w:val="en-US" w:eastAsia="zh-CN"/>
        </w:rPr>
        <w:t>号决议附件</w:t>
      </w:r>
      <w:r w:rsidRPr="00A55A8F">
        <w:rPr>
          <w:rFonts w:hint="eastAsia"/>
          <w:lang w:val="en-US" w:eastAsia="zh-CN"/>
        </w:rPr>
        <w:t>2</w:t>
      </w:r>
      <w:r>
        <w:rPr>
          <w:rFonts w:hint="eastAsia"/>
          <w:lang w:val="en-US" w:eastAsia="zh-CN"/>
        </w:rPr>
        <w:t>（</w:t>
      </w:r>
      <w:r w:rsidRPr="00A55A8F">
        <w:rPr>
          <w:rFonts w:hint="eastAsia"/>
          <w:lang w:val="en-US" w:eastAsia="zh-CN"/>
        </w:rPr>
        <w:t>情况分析</w:t>
      </w:r>
      <w:r>
        <w:rPr>
          <w:rFonts w:hint="eastAsia"/>
          <w:lang w:val="en-US" w:eastAsia="zh-CN"/>
        </w:rPr>
        <w:t>）提出</w:t>
      </w:r>
      <w:r w:rsidRPr="00A55A8F">
        <w:rPr>
          <w:rFonts w:hint="eastAsia"/>
          <w:lang w:val="en-US" w:eastAsia="zh-CN"/>
        </w:rPr>
        <w:t>的输入意见的</w:t>
      </w:r>
      <w:r>
        <w:rPr>
          <w:rFonts w:hint="eastAsia"/>
          <w:lang w:val="en-US" w:eastAsia="zh-CN"/>
        </w:rPr>
        <w:t>看法</w:t>
      </w:r>
    </w:p>
    <w:p w14:paraId="788831DB" w14:textId="77777777" w:rsidR="005368D6" w:rsidRPr="00B605AE" w:rsidRDefault="005368D6" w:rsidP="005368D6">
      <w:pPr>
        <w:overflowPunct/>
        <w:autoSpaceDE/>
        <w:autoSpaceDN/>
        <w:adjustRightInd/>
        <w:spacing w:after="120"/>
        <w:ind w:firstLineChars="200" w:firstLine="480"/>
        <w:jc w:val="both"/>
        <w:textAlignment w:val="auto"/>
        <w:rPr>
          <w:rFonts w:eastAsia="Calibri" w:cs="Arial"/>
          <w:szCs w:val="24"/>
          <w:lang w:val="en-US" w:eastAsia="zh-CN"/>
        </w:rPr>
      </w:pPr>
      <w:r w:rsidRPr="00B45386">
        <w:rPr>
          <w:rFonts w:cs="Microsoft YaHei" w:hint="eastAsia"/>
          <w:szCs w:val="24"/>
          <w:lang w:val="en-US" w:eastAsia="zh-CN"/>
        </w:rPr>
        <w:t>关于国际电联</w:t>
      </w:r>
      <w:r w:rsidRPr="00B45386">
        <w:rPr>
          <w:rFonts w:cs="Microsoft YaHei" w:hint="eastAsia"/>
          <w:szCs w:val="24"/>
          <w:lang w:val="en-US" w:eastAsia="zh-CN"/>
        </w:rPr>
        <w:t>2</w:t>
      </w:r>
      <w:r w:rsidRPr="00B45386">
        <w:rPr>
          <w:rFonts w:cs="Microsoft YaHei"/>
          <w:szCs w:val="24"/>
          <w:lang w:val="en-US" w:eastAsia="zh-CN"/>
        </w:rPr>
        <w:t>018</w:t>
      </w:r>
      <w:r w:rsidRPr="00B45386">
        <w:rPr>
          <w:rFonts w:cs="Microsoft YaHei" w:hint="eastAsia"/>
          <w:szCs w:val="24"/>
          <w:lang w:val="en-US" w:eastAsia="zh-CN"/>
        </w:rPr>
        <w:t>年全权代表大会以来的发展，我们希望</w:t>
      </w:r>
      <w:r>
        <w:rPr>
          <w:rFonts w:cs="Microsoft YaHei" w:hint="eastAsia"/>
          <w:szCs w:val="24"/>
          <w:lang w:val="en-US" w:eastAsia="zh-CN"/>
        </w:rPr>
        <w:t>纳入与联合国数字合作议程及其相关路线图</w:t>
      </w:r>
      <w:r w:rsidRPr="009B77E7">
        <w:rPr>
          <w:rFonts w:cs="Microsoft YaHei"/>
          <w:szCs w:val="24"/>
          <w:lang w:val="en-US" w:eastAsia="zh-CN"/>
        </w:rPr>
        <w:t>–</w:t>
      </w:r>
      <w:r>
        <w:rPr>
          <w:rFonts w:cs="Microsoft YaHei" w:hint="eastAsia"/>
          <w:szCs w:val="24"/>
          <w:lang w:val="en-US" w:eastAsia="zh-CN"/>
        </w:rPr>
        <w:t>联合国“我们的共同议程”有关的发展，我们认为它们不仅包含了国际</w:t>
      </w:r>
      <w:proofErr w:type="gramStart"/>
      <w:r>
        <w:rPr>
          <w:rFonts w:cs="Microsoft YaHei" w:hint="eastAsia"/>
          <w:szCs w:val="24"/>
          <w:lang w:val="en-US" w:eastAsia="zh-CN"/>
        </w:rPr>
        <w:t>电联可参与</w:t>
      </w:r>
      <w:proofErr w:type="gramEnd"/>
      <w:r>
        <w:rPr>
          <w:rFonts w:cs="Microsoft YaHei" w:hint="eastAsia"/>
          <w:szCs w:val="24"/>
          <w:lang w:val="en-US" w:eastAsia="zh-CN"/>
        </w:rPr>
        <w:t>的多个领域，也为</w:t>
      </w:r>
      <w:r w:rsidRPr="00CF0675">
        <w:rPr>
          <w:rFonts w:cs="Microsoft YaHei" w:hint="eastAsia"/>
          <w:szCs w:val="24"/>
          <w:lang w:val="en-US" w:eastAsia="zh-CN"/>
        </w:rPr>
        <w:t>与不同组织</w:t>
      </w:r>
      <w:r>
        <w:rPr>
          <w:rFonts w:cs="Microsoft YaHei" w:hint="eastAsia"/>
          <w:szCs w:val="24"/>
          <w:lang w:val="en-US" w:eastAsia="zh-CN"/>
        </w:rPr>
        <w:t>建立</w:t>
      </w:r>
      <w:r w:rsidRPr="00CF0675">
        <w:rPr>
          <w:rFonts w:cs="Microsoft YaHei" w:hint="eastAsia"/>
          <w:szCs w:val="24"/>
          <w:lang w:val="en-US" w:eastAsia="zh-CN"/>
        </w:rPr>
        <w:t>联合伙伴关系开辟了一系列机会。这也可以在优势、劣势、机会与威胁（</w:t>
      </w:r>
      <w:r w:rsidRPr="00CF0675">
        <w:rPr>
          <w:rFonts w:cs="Microsoft YaHei" w:hint="eastAsia"/>
          <w:szCs w:val="24"/>
          <w:lang w:val="en-US" w:eastAsia="zh-CN"/>
        </w:rPr>
        <w:t>SWOT</w:t>
      </w:r>
      <w:r w:rsidRPr="00CF0675">
        <w:rPr>
          <w:rFonts w:cs="Microsoft YaHei" w:hint="eastAsia"/>
          <w:szCs w:val="24"/>
          <w:lang w:val="en-US" w:eastAsia="zh-CN"/>
        </w:rPr>
        <w:t>）分析中</w:t>
      </w:r>
      <w:r>
        <w:rPr>
          <w:rFonts w:cs="Microsoft YaHei" w:hint="eastAsia"/>
          <w:szCs w:val="24"/>
          <w:lang w:val="en-US" w:eastAsia="zh-CN"/>
        </w:rPr>
        <w:t>体现为一种机会</w:t>
      </w:r>
      <w:r w:rsidRPr="00CF0675">
        <w:rPr>
          <w:rFonts w:cs="Microsoft YaHei" w:hint="eastAsia"/>
          <w:szCs w:val="24"/>
          <w:lang w:val="en-US" w:eastAsia="zh-CN"/>
        </w:rPr>
        <w:t>。</w:t>
      </w:r>
      <w:r w:rsidRPr="00B605AE">
        <w:rPr>
          <w:rFonts w:eastAsia="Calibri" w:cs="Arial"/>
          <w:szCs w:val="24"/>
          <w:lang w:val="en-US" w:eastAsia="zh-CN"/>
        </w:rPr>
        <w:t xml:space="preserve"> </w:t>
      </w:r>
    </w:p>
    <w:p w14:paraId="1BED9339" w14:textId="77777777" w:rsidR="005368D6" w:rsidRPr="007F414C" w:rsidRDefault="005368D6" w:rsidP="005368D6">
      <w:pPr>
        <w:overflowPunct/>
        <w:autoSpaceDE/>
        <w:autoSpaceDN/>
        <w:adjustRightInd/>
        <w:spacing w:after="120"/>
        <w:ind w:firstLineChars="200" w:firstLine="480"/>
        <w:jc w:val="both"/>
        <w:textAlignment w:val="auto"/>
        <w:rPr>
          <w:rFonts w:cs="Arial"/>
          <w:szCs w:val="24"/>
          <w:lang w:val="en-US" w:eastAsia="zh-CN"/>
        </w:rPr>
      </w:pPr>
      <w:r w:rsidRPr="007F414C">
        <w:rPr>
          <w:rFonts w:cs="Microsoft YaHei" w:hint="eastAsia"/>
          <w:szCs w:val="24"/>
          <w:lang w:val="en-US" w:eastAsia="zh-CN"/>
        </w:rPr>
        <w:t>我们亦建议</w:t>
      </w:r>
      <w:r>
        <w:rPr>
          <w:rFonts w:cs="Microsoft YaHei" w:hint="eastAsia"/>
          <w:szCs w:val="24"/>
          <w:lang w:val="en-US" w:eastAsia="zh-CN"/>
        </w:rPr>
        <w:t>在</w:t>
      </w:r>
      <w:r w:rsidRPr="007F414C">
        <w:rPr>
          <w:rFonts w:cs="Microsoft YaHei" w:hint="eastAsia"/>
          <w:szCs w:val="24"/>
          <w:lang w:val="en-US" w:eastAsia="zh-CN"/>
        </w:rPr>
        <w:t>SWOT</w:t>
      </w:r>
      <w:r w:rsidRPr="007F414C">
        <w:rPr>
          <w:rFonts w:cs="Microsoft YaHei" w:hint="eastAsia"/>
          <w:szCs w:val="24"/>
          <w:lang w:val="en-US" w:eastAsia="zh-CN"/>
        </w:rPr>
        <w:t>分析的“</w:t>
      </w:r>
      <w:r w:rsidRPr="007F414C">
        <w:rPr>
          <w:rFonts w:cs="Microsoft YaHei" w:hint="eastAsia"/>
          <w:b/>
          <w:bCs/>
          <w:szCs w:val="24"/>
          <w:lang w:val="en-US" w:eastAsia="zh-CN"/>
        </w:rPr>
        <w:t>劣势</w:t>
      </w:r>
      <w:r w:rsidRPr="007F414C">
        <w:rPr>
          <w:rFonts w:cs="Microsoft YaHei" w:hint="eastAsia"/>
          <w:szCs w:val="24"/>
          <w:lang w:val="en-US" w:eastAsia="zh-CN"/>
        </w:rPr>
        <w:t>”部分体现下列方面：</w:t>
      </w:r>
    </w:p>
    <w:p w14:paraId="0435C482" w14:textId="77777777" w:rsidR="005368D6" w:rsidRPr="001743D6" w:rsidRDefault="005368D6" w:rsidP="005368D6">
      <w:pPr>
        <w:pStyle w:val="enumlev1"/>
        <w:rPr>
          <w:rFonts w:cs="Arial"/>
          <w:lang w:val="en-US" w:eastAsia="zh-CN"/>
        </w:rPr>
      </w:pPr>
      <w:r>
        <w:rPr>
          <w:rFonts w:hint="eastAsia"/>
          <w:lang w:val="en-US" w:eastAsia="zh-CN"/>
        </w:rPr>
        <w:t>1</w:t>
      </w:r>
      <w:r>
        <w:rPr>
          <w:lang w:val="en-US" w:eastAsia="zh-CN"/>
        </w:rPr>
        <w:t>)</w:t>
      </w:r>
      <w:r>
        <w:rPr>
          <w:lang w:val="en-US" w:eastAsia="zh-CN"/>
        </w:rPr>
        <w:tab/>
      </w:r>
      <w:r w:rsidRPr="001743D6">
        <w:rPr>
          <w:rFonts w:hint="eastAsia"/>
          <w:lang w:val="en-US" w:eastAsia="zh-CN"/>
        </w:rPr>
        <w:t>区域代表处和地区办事处的职权不明确，导致向成员提供的服务效率不高，对利益攸关方的价值主张不明确。</w:t>
      </w:r>
    </w:p>
    <w:p w14:paraId="1DC057B1" w14:textId="77777777" w:rsidR="005368D6" w:rsidRPr="001743D6" w:rsidRDefault="005368D6" w:rsidP="005368D6">
      <w:pPr>
        <w:ind w:firstLineChars="200" w:firstLine="480"/>
        <w:rPr>
          <w:rFonts w:cs="Arial"/>
          <w:lang w:val="en-US" w:eastAsia="zh-CN"/>
        </w:rPr>
      </w:pPr>
      <w:r w:rsidRPr="001743D6">
        <w:rPr>
          <w:rFonts w:hint="eastAsia"/>
          <w:lang w:val="en-US" w:eastAsia="zh-CN"/>
        </w:rPr>
        <w:t>我们亦建议在</w:t>
      </w:r>
      <w:r w:rsidRPr="001743D6">
        <w:rPr>
          <w:rFonts w:hint="eastAsia"/>
          <w:lang w:val="en-US" w:eastAsia="zh-CN"/>
        </w:rPr>
        <w:t>SWOT</w:t>
      </w:r>
      <w:r w:rsidRPr="001743D6">
        <w:rPr>
          <w:rFonts w:hint="eastAsia"/>
          <w:lang w:val="en-US" w:eastAsia="zh-CN"/>
        </w:rPr>
        <w:t>分析的“</w:t>
      </w:r>
      <w:r w:rsidRPr="001743D6">
        <w:rPr>
          <w:rFonts w:hint="eastAsia"/>
          <w:b/>
          <w:bCs/>
          <w:lang w:val="en-US" w:eastAsia="zh-CN"/>
        </w:rPr>
        <w:t>威胁</w:t>
      </w:r>
      <w:r w:rsidRPr="001743D6">
        <w:rPr>
          <w:rFonts w:hint="eastAsia"/>
          <w:lang w:val="en-US" w:eastAsia="zh-CN"/>
        </w:rPr>
        <w:t>”部分体现下列方面：</w:t>
      </w:r>
    </w:p>
    <w:p w14:paraId="76F0D812" w14:textId="77777777" w:rsidR="005368D6" w:rsidRPr="001743D6" w:rsidRDefault="005368D6" w:rsidP="005368D6">
      <w:pPr>
        <w:pStyle w:val="enumlev1"/>
        <w:rPr>
          <w:rFonts w:asciiTheme="minorHAnsi" w:hAnsiTheme="minorHAnsi" w:cs="Arial"/>
          <w:lang w:val="en-US" w:eastAsia="zh-CN"/>
        </w:rPr>
      </w:pPr>
      <w:r>
        <w:rPr>
          <w:rFonts w:asciiTheme="minorHAnsi" w:hAnsiTheme="minorHAnsi"/>
          <w:lang w:val="en-US" w:eastAsia="zh-CN"/>
        </w:rPr>
        <w:t>1)</w:t>
      </w:r>
      <w:r>
        <w:rPr>
          <w:rFonts w:asciiTheme="minorHAnsi" w:hAnsiTheme="minorHAnsi"/>
          <w:lang w:val="en-US" w:eastAsia="zh-CN"/>
        </w:rPr>
        <w:tab/>
      </w:r>
      <w:proofErr w:type="gramStart"/>
      <w:r w:rsidRPr="001743D6">
        <w:rPr>
          <w:rFonts w:asciiTheme="minorHAnsi" w:hAnsiTheme="minorHAnsi" w:hint="eastAsia"/>
          <w:lang w:val="en-US" w:eastAsia="zh-CN"/>
        </w:rPr>
        <w:t>在国际和区域层面竞争和保持相关性的能力特别令人关注；</w:t>
      </w:r>
      <w:proofErr w:type="gramEnd"/>
    </w:p>
    <w:p w14:paraId="109E2247" w14:textId="77777777" w:rsidR="005368D6" w:rsidRPr="001743D6" w:rsidRDefault="005368D6" w:rsidP="005368D6">
      <w:pPr>
        <w:pStyle w:val="enumlev1"/>
        <w:rPr>
          <w:rFonts w:asciiTheme="minorHAnsi" w:hAnsiTheme="minorHAnsi" w:cs="Arial"/>
          <w:lang w:val="en-US" w:eastAsia="zh-CN"/>
        </w:rPr>
      </w:pPr>
      <w:r>
        <w:rPr>
          <w:rFonts w:asciiTheme="minorHAnsi" w:hAnsiTheme="minorHAnsi" w:cs="Arial"/>
          <w:lang w:val="en-US" w:eastAsia="zh-CN"/>
        </w:rPr>
        <w:t>2)</w:t>
      </w:r>
      <w:r>
        <w:rPr>
          <w:rFonts w:asciiTheme="minorHAnsi" w:hAnsiTheme="minorHAnsi" w:cs="Arial"/>
          <w:lang w:val="en-US" w:eastAsia="zh-CN"/>
        </w:rPr>
        <w:tab/>
      </w:r>
      <w:proofErr w:type="gramStart"/>
      <w:r w:rsidRPr="001525E0">
        <w:rPr>
          <w:rFonts w:asciiTheme="minorHAnsi" w:hAnsiTheme="minorHAnsi" w:cs="Arial" w:hint="eastAsia"/>
          <w:lang w:val="en-US" w:eastAsia="zh-CN"/>
        </w:rPr>
        <w:t>其他联合国组织正在加强对数字合作和</w:t>
      </w:r>
      <w:r w:rsidRPr="001525E0">
        <w:rPr>
          <w:rFonts w:asciiTheme="minorHAnsi" w:hAnsiTheme="minorHAnsi" w:cs="Arial" w:hint="eastAsia"/>
          <w:lang w:val="en-US" w:eastAsia="zh-CN"/>
        </w:rPr>
        <w:t>ICT</w:t>
      </w:r>
      <w:r w:rsidRPr="001525E0">
        <w:rPr>
          <w:rFonts w:asciiTheme="minorHAnsi" w:hAnsiTheme="minorHAnsi" w:cs="Arial" w:hint="eastAsia"/>
          <w:lang w:val="en-US" w:eastAsia="zh-CN"/>
        </w:rPr>
        <w:t>的参与</w:t>
      </w:r>
      <w:r>
        <w:rPr>
          <w:rFonts w:asciiTheme="minorHAnsi" w:hAnsiTheme="minorHAnsi" w:cs="Arial" w:hint="eastAsia"/>
          <w:lang w:val="en-US" w:eastAsia="zh-CN"/>
        </w:rPr>
        <w:t>；</w:t>
      </w:r>
      <w:proofErr w:type="gramEnd"/>
    </w:p>
    <w:p w14:paraId="1D95BB76" w14:textId="77777777" w:rsidR="005368D6" w:rsidRPr="001743D6" w:rsidRDefault="005368D6" w:rsidP="005368D6">
      <w:pPr>
        <w:pStyle w:val="enumlev1"/>
        <w:rPr>
          <w:rFonts w:asciiTheme="minorHAnsi" w:hAnsiTheme="minorHAnsi" w:cs="Arial"/>
          <w:lang w:val="en-US" w:eastAsia="zh-CN"/>
        </w:rPr>
      </w:pPr>
      <w:r>
        <w:rPr>
          <w:lang w:eastAsia="zh-CN"/>
        </w:rPr>
        <w:t>3)</w:t>
      </w:r>
      <w:r>
        <w:rPr>
          <w:lang w:eastAsia="zh-CN"/>
        </w:rPr>
        <w:tab/>
      </w:r>
      <w:proofErr w:type="gramStart"/>
      <w:r>
        <w:rPr>
          <w:rFonts w:hint="eastAsia"/>
          <w:lang w:eastAsia="zh-CN"/>
        </w:rPr>
        <w:t>问题是</w:t>
      </w:r>
      <w:r>
        <w:rPr>
          <w:rFonts w:asciiTheme="minorHAnsi" w:hAnsiTheme="minorHAnsi" w:cs="Arial" w:hint="eastAsia"/>
          <w:lang w:val="en-US" w:eastAsia="zh-CN"/>
        </w:rPr>
        <w:t>它</w:t>
      </w:r>
      <w:r w:rsidRPr="001525E0">
        <w:rPr>
          <w:rFonts w:asciiTheme="minorHAnsi" w:hAnsiTheme="minorHAnsi" w:cs="Arial" w:hint="eastAsia"/>
          <w:lang w:val="en-US" w:eastAsia="zh-CN"/>
        </w:rPr>
        <w:t>们在区域层面</w:t>
      </w:r>
      <w:r>
        <w:rPr>
          <w:rFonts w:asciiTheme="minorHAnsi" w:hAnsiTheme="minorHAnsi" w:cs="Arial" w:hint="eastAsia"/>
          <w:lang w:val="en-US" w:eastAsia="zh-CN"/>
        </w:rPr>
        <w:t>的</w:t>
      </w:r>
      <w:r w:rsidRPr="001525E0">
        <w:rPr>
          <w:rFonts w:asciiTheme="minorHAnsi" w:hAnsiTheme="minorHAnsi" w:cs="Arial" w:hint="eastAsia"/>
          <w:lang w:val="en-US" w:eastAsia="zh-CN"/>
        </w:rPr>
        <w:t>部署能力可能</w:t>
      </w:r>
      <w:r>
        <w:rPr>
          <w:rFonts w:asciiTheme="minorHAnsi" w:hAnsiTheme="minorHAnsi" w:cs="Arial" w:hint="eastAsia"/>
          <w:lang w:val="en-US" w:eastAsia="zh-CN"/>
        </w:rPr>
        <w:t>会</w:t>
      </w:r>
      <w:r w:rsidRPr="001525E0">
        <w:rPr>
          <w:rFonts w:asciiTheme="minorHAnsi" w:hAnsiTheme="minorHAnsi" w:cs="Arial" w:hint="eastAsia"/>
          <w:lang w:val="en-US" w:eastAsia="zh-CN"/>
        </w:rPr>
        <w:t>超过国际电联的能力</w:t>
      </w:r>
      <w:r>
        <w:rPr>
          <w:rFonts w:asciiTheme="minorHAnsi" w:hAnsiTheme="minorHAnsi" w:cs="Arial" w:hint="eastAsia"/>
          <w:lang w:val="en-US" w:eastAsia="zh-CN"/>
        </w:rPr>
        <w:t>；</w:t>
      </w:r>
      <w:proofErr w:type="gramEnd"/>
    </w:p>
    <w:p w14:paraId="14456427" w14:textId="77777777" w:rsidR="005368D6" w:rsidRPr="001743D6" w:rsidRDefault="005368D6" w:rsidP="005368D6">
      <w:pPr>
        <w:pStyle w:val="enumlev1"/>
        <w:rPr>
          <w:rFonts w:asciiTheme="minorHAnsi" w:hAnsiTheme="minorHAnsi" w:cs="Arial"/>
          <w:lang w:val="en-US" w:eastAsia="zh-CN"/>
        </w:rPr>
      </w:pPr>
      <w:r>
        <w:rPr>
          <w:rFonts w:asciiTheme="minorHAnsi" w:hAnsiTheme="minorHAnsi" w:cs="Arial"/>
          <w:lang w:val="en-US" w:eastAsia="zh-CN"/>
        </w:rPr>
        <w:t>4)</w:t>
      </w:r>
      <w:r>
        <w:rPr>
          <w:rFonts w:asciiTheme="minorHAnsi" w:hAnsiTheme="minorHAnsi" w:cs="Arial"/>
          <w:lang w:val="en-US" w:eastAsia="zh-CN"/>
        </w:rPr>
        <w:tab/>
      </w:r>
      <w:r w:rsidRPr="001525E0">
        <w:rPr>
          <w:rFonts w:asciiTheme="minorHAnsi" w:hAnsiTheme="minorHAnsi" w:cs="Arial" w:hint="eastAsia"/>
          <w:lang w:val="en-US" w:eastAsia="zh-CN"/>
        </w:rPr>
        <w:t>目前电信展活动的商业模式在财务上是不可行的，</w:t>
      </w:r>
      <w:proofErr w:type="gramStart"/>
      <w:r w:rsidRPr="001525E0">
        <w:rPr>
          <w:rFonts w:asciiTheme="minorHAnsi" w:hAnsiTheme="minorHAnsi" w:cs="Arial" w:hint="eastAsia"/>
          <w:lang w:val="en-US" w:eastAsia="zh-CN"/>
        </w:rPr>
        <w:t>活动的价值主张</w:t>
      </w:r>
      <w:r>
        <w:rPr>
          <w:rFonts w:asciiTheme="minorHAnsi" w:hAnsiTheme="minorHAnsi" w:cs="Arial" w:hint="eastAsia"/>
          <w:lang w:val="en-US" w:eastAsia="zh-CN"/>
        </w:rPr>
        <w:t>表现</w:t>
      </w:r>
      <w:r w:rsidRPr="001525E0">
        <w:rPr>
          <w:rFonts w:asciiTheme="minorHAnsi" w:hAnsiTheme="minorHAnsi" w:cs="Arial" w:hint="eastAsia"/>
          <w:lang w:val="en-US" w:eastAsia="zh-CN"/>
        </w:rPr>
        <w:t>出明显的疲软迹象</w:t>
      </w:r>
      <w:r>
        <w:rPr>
          <w:rFonts w:asciiTheme="minorHAnsi" w:hAnsiTheme="minorHAnsi" w:cs="Arial" w:hint="eastAsia"/>
          <w:lang w:val="en-US" w:eastAsia="zh-CN"/>
        </w:rPr>
        <w:t>；</w:t>
      </w:r>
      <w:proofErr w:type="gramEnd"/>
    </w:p>
    <w:p w14:paraId="451FEE2E" w14:textId="77777777" w:rsidR="005368D6" w:rsidRPr="001743D6" w:rsidRDefault="005368D6" w:rsidP="005368D6">
      <w:pPr>
        <w:pStyle w:val="enumlev1"/>
        <w:rPr>
          <w:rFonts w:asciiTheme="minorHAnsi" w:hAnsiTheme="minorHAnsi" w:cs="Arial"/>
          <w:lang w:val="en-US" w:eastAsia="zh-CN"/>
        </w:rPr>
      </w:pPr>
      <w:r>
        <w:rPr>
          <w:rFonts w:asciiTheme="minorHAnsi" w:hAnsiTheme="minorHAnsi" w:cs="Arial" w:hint="eastAsia"/>
          <w:lang w:val="en-US" w:eastAsia="zh-CN"/>
        </w:rPr>
        <w:t>5</w:t>
      </w:r>
      <w:r>
        <w:rPr>
          <w:rFonts w:asciiTheme="minorHAnsi" w:hAnsiTheme="minorHAnsi" w:cs="Arial"/>
          <w:lang w:val="en-US" w:eastAsia="zh-CN"/>
        </w:rPr>
        <w:t>)</w:t>
      </w:r>
      <w:r>
        <w:rPr>
          <w:rFonts w:asciiTheme="minorHAnsi" w:hAnsiTheme="minorHAnsi" w:cs="Arial"/>
          <w:lang w:val="en-US" w:eastAsia="zh-CN"/>
        </w:rPr>
        <w:tab/>
      </w:r>
      <w:r w:rsidRPr="00540D56">
        <w:rPr>
          <w:rFonts w:asciiTheme="minorHAnsi" w:hAnsiTheme="minorHAnsi" w:cs="Arial" w:hint="eastAsia"/>
          <w:lang w:val="en-US" w:eastAsia="zh-CN"/>
        </w:rPr>
        <w:t>联合国范围内对联合战略规划的参与、协调和合作较少</w:t>
      </w:r>
      <w:r>
        <w:rPr>
          <w:rFonts w:asciiTheme="minorHAnsi" w:hAnsiTheme="minorHAnsi" w:cs="Arial" w:hint="eastAsia"/>
          <w:lang w:val="en-US" w:eastAsia="zh-CN"/>
        </w:rPr>
        <w:t>。</w:t>
      </w:r>
    </w:p>
    <w:p w14:paraId="75013585" w14:textId="77777777" w:rsidR="005368D6" w:rsidRPr="001743D6" w:rsidRDefault="005368D6" w:rsidP="005368D6">
      <w:pPr>
        <w:keepNext/>
        <w:keepLines/>
        <w:overflowPunct/>
        <w:autoSpaceDE/>
        <w:autoSpaceDN/>
        <w:adjustRightInd/>
        <w:spacing w:after="120"/>
        <w:ind w:firstLineChars="200" w:firstLine="480"/>
        <w:textAlignment w:val="auto"/>
        <w:rPr>
          <w:rFonts w:asciiTheme="minorHAnsi" w:hAnsiTheme="minorHAnsi"/>
          <w:color w:val="000000"/>
          <w:szCs w:val="24"/>
          <w:lang w:val="fr-FR" w:eastAsia="zh-CN"/>
        </w:rPr>
      </w:pPr>
      <w:r>
        <w:rPr>
          <w:rFonts w:asciiTheme="minorHAnsi" w:hAnsiTheme="minorHAnsi" w:hint="eastAsia"/>
          <w:color w:val="000000"/>
          <w:szCs w:val="24"/>
          <w:lang w:val="fr-FR" w:eastAsia="zh-CN"/>
        </w:rPr>
        <w:lastRenderedPageBreak/>
        <w:t>强调的其它重要问题：</w:t>
      </w:r>
    </w:p>
    <w:p w14:paraId="4A6F3537" w14:textId="77777777" w:rsidR="005368D6" w:rsidRPr="001743D6" w:rsidRDefault="005368D6" w:rsidP="005368D6">
      <w:pPr>
        <w:pStyle w:val="enumlev1"/>
        <w:keepNext/>
        <w:keepLines/>
        <w:rPr>
          <w:lang w:val="en-US" w:eastAsia="zh-CN"/>
        </w:rPr>
      </w:pPr>
      <w:r w:rsidRPr="006D5266">
        <w:rPr>
          <w:lang w:val="en-US" w:eastAsia="zh-CN"/>
        </w:rPr>
        <w:t>•</w:t>
      </w:r>
      <w:r>
        <w:rPr>
          <w:lang w:val="en-US" w:eastAsia="zh-CN"/>
        </w:rPr>
        <w:tab/>
      </w:r>
      <w:r>
        <w:rPr>
          <w:rFonts w:hint="eastAsia"/>
          <w:lang w:val="en-US" w:eastAsia="zh-CN"/>
        </w:rPr>
        <w:t>确保对具体目标</w:t>
      </w:r>
      <w:r>
        <w:rPr>
          <w:rFonts w:hint="eastAsia"/>
          <w:lang w:val="en-US" w:eastAsia="zh-CN"/>
        </w:rPr>
        <w:t>/</w:t>
      </w:r>
      <w:r>
        <w:rPr>
          <w:rFonts w:hint="eastAsia"/>
          <w:lang w:val="en-US" w:eastAsia="zh-CN"/>
        </w:rPr>
        <w:t>指标有可靠和明确的衡量办法。</w:t>
      </w:r>
    </w:p>
    <w:p w14:paraId="2759493C" w14:textId="77777777" w:rsidR="005368D6" w:rsidRPr="001743D6" w:rsidRDefault="005368D6" w:rsidP="005368D6">
      <w:pPr>
        <w:pStyle w:val="enumlev1"/>
        <w:keepNext/>
        <w:keepLines/>
        <w:rPr>
          <w:lang w:val="en-US" w:eastAsia="zh-CN"/>
        </w:rPr>
      </w:pPr>
      <w:r w:rsidRPr="006D5266">
        <w:rPr>
          <w:lang w:val="en-US" w:eastAsia="zh-CN"/>
        </w:rPr>
        <w:t>•</w:t>
      </w:r>
      <w:r>
        <w:rPr>
          <w:lang w:val="en-US" w:eastAsia="zh-CN"/>
        </w:rPr>
        <w:tab/>
      </w:r>
      <w:r>
        <w:rPr>
          <w:rFonts w:hint="eastAsia"/>
          <w:lang w:val="en-US" w:eastAsia="zh-CN"/>
        </w:rPr>
        <w:t>制定各区域代表处的运作规划，由各国达成一致意见、参与实施，并有强有力的</w:t>
      </w:r>
      <w:r>
        <w:rPr>
          <w:rFonts w:hint="eastAsia"/>
          <w:lang w:val="en-US" w:eastAsia="zh-CN"/>
        </w:rPr>
        <w:t>KPI</w:t>
      </w:r>
      <w:r>
        <w:rPr>
          <w:rFonts w:hint="eastAsia"/>
          <w:lang w:val="en-US" w:eastAsia="zh-CN"/>
        </w:rPr>
        <w:t>来衡量结果，可作为一项预算控制措施。</w:t>
      </w:r>
    </w:p>
    <w:p w14:paraId="760E284C" w14:textId="61F2134D" w:rsidR="0063372F" w:rsidRPr="005E308F" w:rsidRDefault="0063372F" w:rsidP="0063372F">
      <w:pPr>
        <w:spacing w:before="360"/>
        <w:jc w:val="center"/>
        <w:rPr>
          <w:rFonts w:cs="Calibri"/>
        </w:rPr>
      </w:pPr>
      <w:r w:rsidRPr="005E308F">
        <w:rPr>
          <w:rFonts w:cs="Calibri"/>
        </w:rPr>
        <w:t>______________</w:t>
      </w:r>
    </w:p>
    <w:sectPr w:rsidR="0063372F" w:rsidRPr="005E308F" w:rsidSect="00DC60C4">
      <w:headerReference w:type="default" r:id="rId10"/>
      <w:footerReference w:type="default" r:id="rId11"/>
      <w:footerReference w:type="first" r:id="rId12"/>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6166" w14:textId="77777777" w:rsidR="00400631" w:rsidRDefault="00400631">
      <w:r>
        <w:separator/>
      </w:r>
    </w:p>
  </w:endnote>
  <w:endnote w:type="continuationSeparator" w:id="0">
    <w:p w14:paraId="5D4A15B6" w14:textId="77777777" w:rsidR="00400631" w:rsidRDefault="0040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3C47" w14:textId="3C475E5E" w:rsidR="00B40A53" w:rsidRPr="00502A2C" w:rsidRDefault="0001297B" w:rsidP="0001297B">
    <w:pPr>
      <w:pStyle w:val="Footer"/>
      <w:rPr>
        <w:szCs w:val="16"/>
        <w:lang w:val="fr-CH"/>
      </w:rPr>
    </w:pPr>
    <w:r w:rsidRPr="00BA5085">
      <w:rPr>
        <w:color w:val="F2F2F2" w:themeColor="background1" w:themeShade="F2"/>
        <w:szCs w:val="16"/>
      </w:rPr>
      <w:fldChar w:fldCharType="begin"/>
    </w:r>
    <w:r w:rsidRPr="00BA5085">
      <w:rPr>
        <w:color w:val="F2F2F2" w:themeColor="background1" w:themeShade="F2"/>
        <w:szCs w:val="16"/>
        <w:lang w:val="fr-CH"/>
      </w:rPr>
      <w:instrText xml:space="preserve"> FILENAME \p \* MERGEFORMAT </w:instrText>
    </w:r>
    <w:r w:rsidRPr="00BA5085">
      <w:rPr>
        <w:color w:val="F2F2F2" w:themeColor="background1" w:themeShade="F2"/>
        <w:szCs w:val="16"/>
      </w:rPr>
      <w:fldChar w:fldCharType="separate"/>
    </w:r>
    <w:r w:rsidR="0013453E" w:rsidRPr="00BA5085">
      <w:rPr>
        <w:color w:val="F2F2F2" w:themeColor="background1" w:themeShade="F2"/>
        <w:szCs w:val="16"/>
        <w:lang w:val="fr-CH"/>
      </w:rPr>
      <w:t>P:\CHI\SG\CONSEIL\CWG-SFP\CWG-SFP3\000\012C.docx</w:t>
    </w:r>
    <w:r w:rsidRPr="00BA5085">
      <w:rPr>
        <w:color w:val="F2F2F2" w:themeColor="background1" w:themeShade="F2"/>
        <w:szCs w:val="16"/>
      </w:rPr>
      <w:fldChar w:fldCharType="end"/>
    </w:r>
    <w:r w:rsidRPr="00BA5085">
      <w:rPr>
        <w:color w:val="F2F2F2" w:themeColor="background1" w:themeShade="F2"/>
        <w:szCs w:val="16"/>
        <w:lang w:val="fr-CH"/>
      </w:rPr>
      <w:t xml:space="preserve"> (</w:t>
    </w:r>
    <w:r w:rsidR="00F672C9" w:rsidRPr="00BA5085">
      <w:rPr>
        <w:color w:val="F2F2F2" w:themeColor="background1" w:themeShade="F2"/>
        <w:szCs w:val="16"/>
        <w:lang w:val="fr-CH"/>
      </w:rPr>
      <w:t>501</w:t>
    </w:r>
    <w:r w:rsidR="0013453E" w:rsidRPr="00BA5085">
      <w:rPr>
        <w:color w:val="F2F2F2" w:themeColor="background1" w:themeShade="F2"/>
        <w:szCs w:val="16"/>
        <w:lang w:val="fr-CH"/>
      </w:rPr>
      <w:t>505</w:t>
    </w:r>
    <w:r w:rsidRPr="00BA5085">
      <w:rPr>
        <w:color w:val="F2F2F2" w:themeColor="background1" w:themeShade="F2"/>
        <w:szCs w:val="16"/>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732E"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846D" w14:textId="77777777" w:rsidR="00400631" w:rsidRDefault="00400631">
      <w:r>
        <w:t>____________________</w:t>
      </w:r>
    </w:p>
  </w:footnote>
  <w:footnote w:type="continuationSeparator" w:id="0">
    <w:p w14:paraId="0CA82D0A" w14:textId="77777777" w:rsidR="00400631" w:rsidRDefault="00400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787274"/>
      <w:docPartObj>
        <w:docPartGallery w:val="Page Numbers (Top of Page)"/>
        <w:docPartUnique/>
      </w:docPartObj>
    </w:sdtPr>
    <w:sdtEndPr>
      <w:rPr>
        <w:noProof/>
        <w:szCs w:val="18"/>
      </w:rPr>
    </w:sdtEndPr>
    <w:sdtContent>
      <w:p w14:paraId="278D15E3" w14:textId="36C1945E" w:rsidR="00977EB9" w:rsidRPr="008B1926" w:rsidRDefault="00977EB9" w:rsidP="00977EB9">
        <w:pPr>
          <w:pStyle w:val="Header"/>
          <w:rPr>
            <w:szCs w:val="18"/>
          </w:rPr>
        </w:pPr>
        <w:r w:rsidRPr="008B1926">
          <w:rPr>
            <w:szCs w:val="18"/>
          </w:rPr>
          <w:fldChar w:fldCharType="begin"/>
        </w:r>
        <w:r w:rsidRPr="008B1926">
          <w:rPr>
            <w:szCs w:val="18"/>
          </w:rPr>
          <w:instrText xml:space="preserve"> PAGE   \* MERGEFORMAT </w:instrText>
        </w:r>
        <w:r w:rsidRPr="008B1926">
          <w:rPr>
            <w:szCs w:val="18"/>
          </w:rPr>
          <w:fldChar w:fldCharType="separate"/>
        </w:r>
        <w:r w:rsidR="0044349D">
          <w:rPr>
            <w:noProof/>
            <w:szCs w:val="18"/>
          </w:rPr>
          <w:t>3</w:t>
        </w:r>
        <w:r w:rsidRPr="008B1926">
          <w:rPr>
            <w:noProof/>
            <w:szCs w:val="18"/>
          </w:rPr>
          <w:fldChar w:fldCharType="end"/>
        </w:r>
      </w:p>
    </w:sdtContent>
  </w:sdt>
  <w:p w14:paraId="669BA6D6" w14:textId="481BC4DC" w:rsidR="00DA48FE" w:rsidRPr="00977EB9" w:rsidRDefault="00977EB9" w:rsidP="00977EB9">
    <w:pPr>
      <w:pStyle w:val="Header"/>
      <w:rPr>
        <w:szCs w:val="18"/>
      </w:rPr>
    </w:pPr>
    <w:r w:rsidRPr="008B1926">
      <w:rPr>
        <w:rFonts w:eastAsia="MS Mincho" w:cs="Arial"/>
        <w:noProof/>
        <w:szCs w:val="18"/>
        <w:lang w:eastAsia="zh-CN"/>
      </w:rPr>
      <w:t>CWG-SFP-</w:t>
    </w:r>
    <w:r>
      <w:rPr>
        <w:rFonts w:eastAsia="MS Mincho" w:cs="Arial"/>
        <w:noProof/>
        <w:szCs w:val="18"/>
        <w:lang w:eastAsia="zh-CN"/>
      </w:rPr>
      <w:t>3</w:t>
    </w:r>
    <w:r w:rsidRPr="008B1926">
      <w:rPr>
        <w:rFonts w:eastAsia="MS Mincho" w:cs="Arial"/>
        <w:noProof/>
        <w:szCs w:val="18"/>
        <w:lang w:eastAsia="zh-CN"/>
      </w:rPr>
      <w:t>/</w:t>
    </w:r>
    <w:r w:rsidR="0013453E">
      <w:rPr>
        <w:rFonts w:eastAsia="MS Mincho" w:cs="Arial"/>
        <w:noProof/>
        <w:szCs w:val="18"/>
        <w:lang w:eastAsia="zh-CN"/>
      </w:rPr>
      <w:t>12</w:t>
    </w:r>
    <w:r w:rsidRPr="008B1926">
      <w:rPr>
        <w:rFonts w:eastAsia="MS Mincho" w:cs="Arial"/>
        <w:noProof/>
        <w:szCs w:val="18"/>
        <w:lang w:eastAsia="zh-CN"/>
      </w:rPr>
      <w:t>-</w:t>
    </w:r>
    <w:r>
      <w:rPr>
        <w:rFonts w:eastAsia="MS Mincho" w:cs="Arial"/>
        <w:noProof/>
        <w:szCs w:val="18"/>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373FC"/>
    <w:multiLevelType w:val="hybridMultilevel"/>
    <w:tmpl w:val="B41E5E18"/>
    <w:lvl w:ilvl="0" w:tplc="02561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3"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3C4510"/>
    <w:multiLevelType w:val="hybridMultilevel"/>
    <w:tmpl w:val="064AB058"/>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5A6755"/>
    <w:multiLevelType w:val="hybridMultilevel"/>
    <w:tmpl w:val="0046B8D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C0921B5"/>
    <w:multiLevelType w:val="hybridMultilevel"/>
    <w:tmpl w:val="4044005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2561A40">
      <w:numFmt w:val="bullet"/>
      <w:lvlText w:val="-"/>
      <w:lvlJc w:val="left"/>
      <w:pPr>
        <w:ind w:left="288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80139"/>
    <w:multiLevelType w:val="hybridMultilevel"/>
    <w:tmpl w:val="13120D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5DA0DAA"/>
    <w:multiLevelType w:val="hybridMultilevel"/>
    <w:tmpl w:val="A8065DDA"/>
    <w:lvl w:ilvl="0" w:tplc="C706D8FA">
      <w:numFmt w:val="bullet"/>
      <w:lvlText w:val="-"/>
      <w:lvlJc w:val="left"/>
      <w:pPr>
        <w:ind w:left="720" w:hanging="360"/>
      </w:pPr>
      <w:rPr>
        <w:rFonts w:ascii="Calibri" w:eastAsiaTheme="minorHAnsi" w:hAnsi="Calibri" w:cs="Calibri"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abstractNum w:abstractNumId="19" w15:restartNumberingAfterBreak="0">
    <w:nsid w:val="7E70732D"/>
    <w:multiLevelType w:val="hybridMultilevel"/>
    <w:tmpl w:val="D81C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15"/>
  </w:num>
  <w:num w:numId="5">
    <w:abstractNumId w:val="17"/>
  </w:num>
  <w:num w:numId="6">
    <w:abstractNumId w:val="16"/>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12"/>
  </w:num>
  <w:num w:numId="13">
    <w:abstractNumId w:val="18"/>
  </w:num>
  <w:num w:numId="14">
    <w:abstractNumId w:val="19"/>
    <w:lvlOverride w:ilvl="0">
      <w:lvl w:ilvl="0" w:tplc="0409000F">
        <w:start w:val="1"/>
        <w:numFmt w:val="decimal"/>
        <w:lvlText w:val="%1."/>
        <w:lvlJc w:val="left"/>
        <w:pPr>
          <w:ind w:left="720" w:hanging="360"/>
        </w:pPr>
        <w:rPr>
          <w:rFonts w:hint="default"/>
        </w:rPr>
      </w:lvl>
    </w:lvlOverride>
  </w:num>
  <w:num w:numId="15">
    <w:abstractNumId w:val="9"/>
    <w:lvlOverride w:ilvl="0">
      <w:lvl w:ilvl="0" w:tplc="04090001">
        <w:start w:val="1"/>
        <w:numFmt w:val="bullet"/>
        <w:lvlText w:val=""/>
        <w:lvlJc w:val="left"/>
        <w:pPr>
          <w:ind w:left="720" w:hanging="360"/>
        </w:pPr>
        <w:rPr>
          <w:rFonts w:ascii="Symbol" w:hAnsi="Symbol" w:hint="default"/>
        </w:rPr>
      </w:lvl>
    </w:lvlOverride>
  </w:num>
  <w:num w:numId="16">
    <w:abstractNumId w:val="7"/>
    <w:lvlOverride w:ilvl="0">
      <w:lvl w:ilvl="0" w:tplc="04090001">
        <w:start w:val="1"/>
        <w:numFmt w:val="bullet"/>
        <w:lvlText w:val=""/>
        <w:lvlJc w:val="left"/>
        <w:pPr>
          <w:ind w:left="720" w:hanging="360"/>
        </w:pPr>
        <w:rPr>
          <w:rFonts w:ascii="Symbol" w:hAnsi="Symbol" w:hint="default"/>
        </w:rPr>
      </w:lvl>
    </w:lvlOverride>
  </w:num>
  <w:num w:numId="17">
    <w:abstractNumId w:val="6"/>
    <w:lvlOverride w:ilvl="0">
      <w:lvl w:ilvl="0" w:tplc="08090003">
        <w:start w:val="1"/>
        <w:numFmt w:val="bullet"/>
        <w:lvlText w:val="o"/>
        <w:lvlJc w:val="left"/>
        <w:pPr>
          <w:ind w:left="1080" w:hanging="360"/>
        </w:pPr>
        <w:rPr>
          <w:rFonts w:ascii="Courier New" w:hAnsi="Courier New" w:cs="Courier New" w:hint="default"/>
        </w:rPr>
      </w:lvl>
    </w:lvlOverride>
  </w:num>
  <w:num w:numId="18">
    <w:abstractNumId w:val="11"/>
    <w:lvlOverride w:ilvl="0">
      <w:lvl w:ilvl="0" w:tplc="C706D8FA">
        <w:numFmt w:val="bullet"/>
        <w:lvlText w:val="-"/>
        <w:lvlJc w:val="left"/>
        <w:pPr>
          <w:ind w:left="720" w:hanging="360"/>
        </w:pPr>
        <w:rPr>
          <w:rFonts w:ascii="Calibri" w:eastAsiaTheme="minorHAnsi" w:hAnsi="Calibri" w:cs="Calibri" w:hint="default"/>
          <w:lang w:val="en-US"/>
        </w:rPr>
      </w:lvl>
    </w:lvlOverride>
  </w:num>
  <w:num w:numId="19">
    <w:abstractNumId w:val="1"/>
    <w:lvlOverride w:ilvl="0">
      <w:lvl w:ilvl="0" w:tplc="02561A40">
        <w:numFmt w:val="bullet"/>
        <w:lvlText w:val="-"/>
        <w:lvlJc w:val="left"/>
        <w:pPr>
          <w:ind w:left="720" w:hanging="360"/>
        </w:pPr>
        <w:rPr>
          <w:rFonts w:ascii="Calibri" w:eastAsiaTheme="minorHAnsi" w:hAnsi="Calibri" w:cs="Calibri" w:hint="default"/>
        </w:rPr>
      </w:lvl>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5" w:nlCheck="1" w:checkStyle="1"/>
  <w:activeWritingStyle w:appName="MSWord" w:lang="fr-CH"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517A"/>
    <w:rsid w:val="0001297B"/>
    <w:rsid w:val="0003025F"/>
    <w:rsid w:val="00031E72"/>
    <w:rsid w:val="000404D2"/>
    <w:rsid w:val="00042CF2"/>
    <w:rsid w:val="00043A09"/>
    <w:rsid w:val="00054C37"/>
    <w:rsid w:val="00057C46"/>
    <w:rsid w:val="000853C0"/>
    <w:rsid w:val="000916EA"/>
    <w:rsid w:val="000A1C21"/>
    <w:rsid w:val="000C4248"/>
    <w:rsid w:val="000D0B67"/>
    <w:rsid w:val="000D15EA"/>
    <w:rsid w:val="000D16BD"/>
    <w:rsid w:val="000D3EE3"/>
    <w:rsid w:val="000D6A0B"/>
    <w:rsid w:val="000D6F2B"/>
    <w:rsid w:val="000E25D6"/>
    <w:rsid w:val="000F0794"/>
    <w:rsid w:val="00100D84"/>
    <w:rsid w:val="001048CF"/>
    <w:rsid w:val="00110D35"/>
    <w:rsid w:val="00120379"/>
    <w:rsid w:val="00124C9D"/>
    <w:rsid w:val="0013453E"/>
    <w:rsid w:val="00157773"/>
    <w:rsid w:val="0017144E"/>
    <w:rsid w:val="00181BC7"/>
    <w:rsid w:val="0018251A"/>
    <w:rsid w:val="00190272"/>
    <w:rsid w:val="00193244"/>
    <w:rsid w:val="00195C6C"/>
    <w:rsid w:val="00195FED"/>
    <w:rsid w:val="001A4BD6"/>
    <w:rsid w:val="001B4A65"/>
    <w:rsid w:val="001C1190"/>
    <w:rsid w:val="001D5A18"/>
    <w:rsid w:val="00225BA8"/>
    <w:rsid w:val="00230DC7"/>
    <w:rsid w:val="00244284"/>
    <w:rsid w:val="00245187"/>
    <w:rsid w:val="00263356"/>
    <w:rsid w:val="00264044"/>
    <w:rsid w:val="002768E8"/>
    <w:rsid w:val="00280EB8"/>
    <w:rsid w:val="002A6670"/>
    <w:rsid w:val="002B0397"/>
    <w:rsid w:val="002D75EB"/>
    <w:rsid w:val="002E2C4D"/>
    <w:rsid w:val="002F1CEA"/>
    <w:rsid w:val="002F20D0"/>
    <w:rsid w:val="002F5F44"/>
    <w:rsid w:val="00303502"/>
    <w:rsid w:val="003205F3"/>
    <w:rsid w:val="00325C25"/>
    <w:rsid w:val="00365816"/>
    <w:rsid w:val="00372C8F"/>
    <w:rsid w:val="00373884"/>
    <w:rsid w:val="003765FC"/>
    <w:rsid w:val="00380ECE"/>
    <w:rsid w:val="00390B89"/>
    <w:rsid w:val="00393DDF"/>
    <w:rsid w:val="00395802"/>
    <w:rsid w:val="00396929"/>
    <w:rsid w:val="00397F55"/>
    <w:rsid w:val="003A369A"/>
    <w:rsid w:val="003A480D"/>
    <w:rsid w:val="003B4454"/>
    <w:rsid w:val="003C2E37"/>
    <w:rsid w:val="003C68C5"/>
    <w:rsid w:val="003F1415"/>
    <w:rsid w:val="00400631"/>
    <w:rsid w:val="0040144C"/>
    <w:rsid w:val="00403EB7"/>
    <w:rsid w:val="00430BF0"/>
    <w:rsid w:val="0044349D"/>
    <w:rsid w:val="004516AA"/>
    <w:rsid w:val="00453FA2"/>
    <w:rsid w:val="004672E6"/>
    <w:rsid w:val="004715C0"/>
    <w:rsid w:val="00474ED1"/>
    <w:rsid w:val="004772A3"/>
    <w:rsid w:val="00492EDB"/>
    <w:rsid w:val="00493085"/>
    <w:rsid w:val="004A36EC"/>
    <w:rsid w:val="004C7019"/>
    <w:rsid w:val="004D163F"/>
    <w:rsid w:val="004E4BFF"/>
    <w:rsid w:val="004E6FDF"/>
    <w:rsid w:val="004F079A"/>
    <w:rsid w:val="004F2598"/>
    <w:rsid w:val="00502A2C"/>
    <w:rsid w:val="005133D3"/>
    <w:rsid w:val="0052309D"/>
    <w:rsid w:val="005368D6"/>
    <w:rsid w:val="005403F7"/>
    <w:rsid w:val="00540632"/>
    <w:rsid w:val="00541CF4"/>
    <w:rsid w:val="00544C81"/>
    <w:rsid w:val="005451E8"/>
    <w:rsid w:val="005457A7"/>
    <w:rsid w:val="005507F2"/>
    <w:rsid w:val="00557085"/>
    <w:rsid w:val="005759CC"/>
    <w:rsid w:val="005A72E1"/>
    <w:rsid w:val="005C5A89"/>
    <w:rsid w:val="005C6632"/>
    <w:rsid w:val="005D1C9E"/>
    <w:rsid w:val="005E308F"/>
    <w:rsid w:val="005E56E6"/>
    <w:rsid w:val="00601F06"/>
    <w:rsid w:val="00626565"/>
    <w:rsid w:val="0063372F"/>
    <w:rsid w:val="00654257"/>
    <w:rsid w:val="0065435A"/>
    <w:rsid w:val="006A2DD3"/>
    <w:rsid w:val="006A5AF8"/>
    <w:rsid w:val="006C36CD"/>
    <w:rsid w:val="00700D1F"/>
    <w:rsid w:val="007158DE"/>
    <w:rsid w:val="00717444"/>
    <w:rsid w:val="00720594"/>
    <w:rsid w:val="007205CB"/>
    <w:rsid w:val="00720B07"/>
    <w:rsid w:val="00722F05"/>
    <w:rsid w:val="00726073"/>
    <w:rsid w:val="00734FE8"/>
    <w:rsid w:val="007360CE"/>
    <w:rsid w:val="00743354"/>
    <w:rsid w:val="00745F65"/>
    <w:rsid w:val="0075041B"/>
    <w:rsid w:val="007508E8"/>
    <w:rsid w:val="00764D7A"/>
    <w:rsid w:val="00772315"/>
    <w:rsid w:val="00775157"/>
    <w:rsid w:val="007813AE"/>
    <w:rsid w:val="00796695"/>
    <w:rsid w:val="007969F5"/>
    <w:rsid w:val="007A37DB"/>
    <w:rsid w:val="007B7E8D"/>
    <w:rsid w:val="007E189D"/>
    <w:rsid w:val="007F053A"/>
    <w:rsid w:val="007F0CDE"/>
    <w:rsid w:val="007F46B6"/>
    <w:rsid w:val="00811259"/>
    <w:rsid w:val="00813AA2"/>
    <w:rsid w:val="008173A3"/>
    <w:rsid w:val="0086059C"/>
    <w:rsid w:val="00864589"/>
    <w:rsid w:val="00864AA5"/>
    <w:rsid w:val="00870ECF"/>
    <w:rsid w:val="0087698A"/>
    <w:rsid w:val="00890AFB"/>
    <w:rsid w:val="00890FC4"/>
    <w:rsid w:val="00895905"/>
    <w:rsid w:val="008C6E1C"/>
    <w:rsid w:val="008D2A36"/>
    <w:rsid w:val="008E6E99"/>
    <w:rsid w:val="008F6603"/>
    <w:rsid w:val="009164A9"/>
    <w:rsid w:val="009258CB"/>
    <w:rsid w:val="0093362E"/>
    <w:rsid w:val="00944563"/>
    <w:rsid w:val="009453DB"/>
    <w:rsid w:val="00953160"/>
    <w:rsid w:val="0095533D"/>
    <w:rsid w:val="009625D8"/>
    <w:rsid w:val="00977179"/>
    <w:rsid w:val="00977EB9"/>
    <w:rsid w:val="0098459B"/>
    <w:rsid w:val="00997185"/>
    <w:rsid w:val="009A3F1A"/>
    <w:rsid w:val="009A55EF"/>
    <w:rsid w:val="009B0BC1"/>
    <w:rsid w:val="009C2458"/>
    <w:rsid w:val="009C4A7B"/>
    <w:rsid w:val="009C6123"/>
    <w:rsid w:val="009D2585"/>
    <w:rsid w:val="009F1E3E"/>
    <w:rsid w:val="009F2A13"/>
    <w:rsid w:val="00A04EB3"/>
    <w:rsid w:val="00A1213C"/>
    <w:rsid w:val="00A13C17"/>
    <w:rsid w:val="00A272FF"/>
    <w:rsid w:val="00A411A4"/>
    <w:rsid w:val="00A50AD3"/>
    <w:rsid w:val="00A5354B"/>
    <w:rsid w:val="00A71B57"/>
    <w:rsid w:val="00A82C73"/>
    <w:rsid w:val="00A85CE7"/>
    <w:rsid w:val="00A87B83"/>
    <w:rsid w:val="00AB42C1"/>
    <w:rsid w:val="00AC516F"/>
    <w:rsid w:val="00AE2926"/>
    <w:rsid w:val="00AE536E"/>
    <w:rsid w:val="00AF0DE6"/>
    <w:rsid w:val="00B0184B"/>
    <w:rsid w:val="00B035CD"/>
    <w:rsid w:val="00B0769D"/>
    <w:rsid w:val="00B14489"/>
    <w:rsid w:val="00B217F8"/>
    <w:rsid w:val="00B332EA"/>
    <w:rsid w:val="00B34643"/>
    <w:rsid w:val="00B40A53"/>
    <w:rsid w:val="00B45365"/>
    <w:rsid w:val="00B46A65"/>
    <w:rsid w:val="00B5321F"/>
    <w:rsid w:val="00B60184"/>
    <w:rsid w:val="00B60F88"/>
    <w:rsid w:val="00B62D20"/>
    <w:rsid w:val="00B81E75"/>
    <w:rsid w:val="00B86D56"/>
    <w:rsid w:val="00B90C18"/>
    <w:rsid w:val="00B97155"/>
    <w:rsid w:val="00BA1A78"/>
    <w:rsid w:val="00BA5085"/>
    <w:rsid w:val="00BC021A"/>
    <w:rsid w:val="00BC51D5"/>
    <w:rsid w:val="00BD1194"/>
    <w:rsid w:val="00BD1A5A"/>
    <w:rsid w:val="00BD7A9B"/>
    <w:rsid w:val="00BD7BE1"/>
    <w:rsid w:val="00BE49A9"/>
    <w:rsid w:val="00BE4CF0"/>
    <w:rsid w:val="00BF416B"/>
    <w:rsid w:val="00BF774C"/>
    <w:rsid w:val="00C50B28"/>
    <w:rsid w:val="00C64E4E"/>
    <w:rsid w:val="00C66E64"/>
    <w:rsid w:val="00C71444"/>
    <w:rsid w:val="00C761A0"/>
    <w:rsid w:val="00C85F7E"/>
    <w:rsid w:val="00C90D53"/>
    <w:rsid w:val="00CB3E36"/>
    <w:rsid w:val="00CB5108"/>
    <w:rsid w:val="00CC47FE"/>
    <w:rsid w:val="00CD47F0"/>
    <w:rsid w:val="00CD5566"/>
    <w:rsid w:val="00CD64D7"/>
    <w:rsid w:val="00CE6F22"/>
    <w:rsid w:val="00CF41F6"/>
    <w:rsid w:val="00CF7D3E"/>
    <w:rsid w:val="00D02B4E"/>
    <w:rsid w:val="00D21F11"/>
    <w:rsid w:val="00D34610"/>
    <w:rsid w:val="00D366CA"/>
    <w:rsid w:val="00D36817"/>
    <w:rsid w:val="00D42120"/>
    <w:rsid w:val="00D45122"/>
    <w:rsid w:val="00D5666C"/>
    <w:rsid w:val="00D63268"/>
    <w:rsid w:val="00D666BC"/>
    <w:rsid w:val="00D7062A"/>
    <w:rsid w:val="00D83542"/>
    <w:rsid w:val="00D86DA5"/>
    <w:rsid w:val="00D90E1E"/>
    <w:rsid w:val="00D91323"/>
    <w:rsid w:val="00D92F45"/>
    <w:rsid w:val="00D94637"/>
    <w:rsid w:val="00D94A44"/>
    <w:rsid w:val="00D95E18"/>
    <w:rsid w:val="00D96457"/>
    <w:rsid w:val="00D966A7"/>
    <w:rsid w:val="00D9725C"/>
    <w:rsid w:val="00DA3796"/>
    <w:rsid w:val="00DA48FE"/>
    <w:rsid w:val="00DA7006"/>
    <w:rsid w:val="00DB3997"/>
    <w:rsid w:val="00DC60C4"/>
    <w:rsid w:val="00DC6427"/>
    <w:rsid w:val="00DD66A1"/>
    <w:rsid w:val="00DE196D"/>
    <w:rsid w:val="00DF135E"/>
    <w:rsid w:val="00DF1C8F"/>
    <w:rsid w:val="00DF6B49"/>
    <w:rsid w:val="00E067C5"/>
    <w:rsid w:val="00E06A40"/>
    <w:rsid w:val="00E265BF"/>
    <w:rsid w:val="00E378D8"/>
    <w:rsid w:val="00E43A12"/>
    <w:rsid w:val="00E46DD4"/>
    <w:rsid w:val="00E67C67"/>
    <w:rsid w:val="00E77476"/>
    <w:rsid w:val="00E8228B"/>
    <w:rsid w:val="00E834CD"/>
    <w:rsid w:val="00E85450"/>
    <w:rsid w:val="00E86B0F"/>
    <w:rsid w:val="00EC4BED"/>
    <w:rsid w:val="00EE4D0B"/>
    <w:rsid w:val="00EE5706"/>
    <w:rsid w:val="00EF373D"/>
    <w:rsid w:val="00F11595"/>
    <w:rsid w:val="00F13BC9"/>
    <w:rsid w:val="00F20CD5"/>
    <w:rsid w:val="00F350F0"/>
    <w:rsid w:val="00F357B2"/>
    <w:rsid w:val="00F36556"/>
    <w:rsid w:val="00F36B4A"/>
    <w:rsid w:val="00F432F3"/>
    <w:rsid w:val="00F672C9"/>
    <w:rsid w:val="00F705DF"/>
    <w:rsid w:val="00F70622"/>
    <w:rsid w:val="00F81EED"/>
    <w:rsid w:val="00F85624"/>
    <w:rsid w:val="00F87C05"/>
    <w:rsid w:val="00F9010E"/>
    <w:rsid w:val="00F91748"/>
    <w:rsid w:val="00F93191"/>
    <w:rsid w:val="00F93A17"/>
    <w:rsid w:val="00FA2AF6"/>
    <w:rsid w:val="00FB073D"/>
    <w:rsid w:val="00FB394C"/>
    <w:rsid w:val="00FB771F"/>
    <w:rsid w:val="00FC4562"/>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6A8A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977EB9"/>
    <w:rPr>
      <w:rFonts w:ascii="Calibri" w:hAnsi="Calibri"/>
      <w:sz w:val="18"/>
      <w:lang w:val="fr-FR" w:eastAsia="en-US"/>
    </w:rPr>
  </w:style>
  <w:style w:type="paragraph" w:customStyle="1" w:styleId="Headingb0">
    <w:name w:val="Heading b"/>
    <w:basedOn w:val="Normal"/>
    <w:rsid w:val="005457A7"/>
    <w:rPr>
      <w:b/>
      <w:bCs/>
      <w:lang w:val="zh-CN" w:eastAsia="zh-CN"/>
    </w:rPr>
  </w:style>
  <w:style w:type="character" w:customStyle="1" w:styleId="TabletextChar">
    <w:name w:val="Table_text Char"/>
    <w:basedOn w:val="DefaultParagraphFont"/>
    <w:link w:val="Tabletext"/>
    <w:locked/>
    <w:rsid w:val="00EC4BED"/>
    <w:rPr>
      <w:rFonts w:ascii="Calibri" w:hAnsi="Calibri"/>
      <w:sz w:val="22"/>
      <w:lang w:val="en-GB" w:eastAsia="en-US"/>
    </w:rPr>
  </w:style>
  <w:style w:type="character" w:customStyle="1" w:styleId="enumlev1Char">
    <w:name w:val="enumlev1 Char"/>
    <w:basedOn w:val="DefaultParagraphFont"/>
    <w:link w:val="enumlev1"/>
    <w:locked/>
    <w:rsid w:val="0063372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D18-TDAG27.SOP-C-0014/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DB7D8-F348-445E-878F-3F4B139A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3</TotalTime>
  <Pages>4</Pages>
  <Words>2488</Words>
  <Characters>493</Characters>
  <Application>Microsoft Office Word</Application>
  <DocSecurity>4</DocSecurity>
  <Lines>4</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Algeria, Cameroon, Egypt, Ghana, Kenya, Nigeria, South Africa, and Zimbabwe to the third Council Working Group on Strategic and Financial Plans (CWG-SFP) meeting</dc:title>
  <dc:subject>Council Working Group for Strategic and Financial Plans 2024-2027</dc:subject>
  <dc:creator>Wang, Yujia</dc:creator>
  <cp:keywords>CWG-SFP</cp:keywords>
  <dc:description/>
  <cp:lastModifiedBy>Xue, Kun</cp:lastModifiedBy>
  <cp:revision>2</cp:revision>
  <cp:lastPrinted>2018-04-05T09:51:00Z</cp:lastPrinted>
  <dcterms:created xsi:type="dcterms:W3CDTF">2022-02-11T17:08:00Z</dcterms:created>
  <dcterms:modified xsi:type="dcterms:W3CDTF">2022-02-11T17:08:00Z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