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E532D1" w14:paraId="728409CC" w14:textId="77777777">
        <w:trPr>
          <w:cantSplit/>
        </w:trPr>
        <w:tc>
          <w:tcPr>
            <w:tcW w:w="6912" w:type="dxa"/>
          </w:tcPr>
          <w:p w14:paraId="14B85E8A" w14:textId="2D86A2C4" w:rsidR="00520F36" w:rsidRPr="00E532D1" w:rsidRDefault="00D76368" w:rsidP="00050E0A">
            <w:pPr>
              <w:spacing w:before="360"/>
            </w:pPr>
            <w:r w:rsidRPr="00E532D1">
              <w:rPr>
                <w:b/>
                <w:bCs/>
                <w:sz w:val="30"/>
                <w:szCs w:val="30"/>
              </w:rPr>
              <w:t>Groupe de travail du Conseil</w:t>
            </w:r>
            <w:r w:rsidRPr="00E532D1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BE419D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E532D1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E532D1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</w:t>
            </w:r>
            <w:r w:rsidR="001E7878" w:rsidRPr="00E532D1">
              <w:rPr>
                <w:b/>
                <w:bCs/>
                <w:color w:val="000000"/>
                <w:sz w:val="30"/>
                <w:szCs w:val="30"/>
              </w:rPr>
              <w:t>4</w:t>
            </w:r>
            <w:r w:rsidRPr="00E532D1">
              <w:rPr>
                <w:b/>
                <w:bCs/>
                <w:color w:val="000000"/>
                <w:sz w:val="30"/>
                <w:szCs w:val="30"/>
              </w:rPr>
              <w:t>-202</w:t>
            </w:r>
            <w:r w:rsidR="001E7878" w:rsidRPr="00E532D1">
              <w:rPr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3261" w:type="dxa"/>
          </w:tcPr>
          <w:p w14:paraId="000FA044" w14:textId="5B2C66BC" w:rsidR="00520F36" w:rsidRPr="00E532D1" w:rsidRDefault="00E53BDC" w:rsidP="00E53BDC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16E133D" wp14:editId="06E4ECF2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381109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E532D1" w14:paraId="4958C80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E78C0AF" w14:textId="52EC754C" w:rsidR="00520F36" w:rsidRPr="00E532D1" w:rsidRDefault="005D4D7F" w:rsidP="00C46866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Troisième</w:t>
            </w:r>
            <w:r w:rsidR="00E11212" w:rsidRPr="00E532D1">
              <w:rPr>
                <w:b/>
                <w:bCs/>
                <w:szCs w:val="24"/>
              </w:rPr>
              <w:t xml:space="preserve"> </w:t>
            </w:r>
            <w:r w:rsidR="00D76368" w:rsidRPr="00E532D1">
              <w:rPr>
                <w:b/>
                <w:bCs/>
                <w:szCs w:val="24"/>
              </w:rPr>
              <w:t>réunion –</w:t>
            </w:r>
            <w:r w:rsidR="00C46866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21 et 22 février</w:t>
            </w:r>
            <w:r w:rsidR="001E7878" w:rsidRPr="00E532D1">
              <w:rPr>
                <w:b/>
                <w:bCs/>
                <w:szCs w:val="24"/>
              </w:rPr>
              <w:t xml:space="preserve"> 202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984DE82" w14:textId="77777777" w:rsidR="00520F36" w:rsidRPr="00E532D1" w:rsidRDefault="00520F36" w:rsidP="00050E0A">
            <w:pPr>
              <w:spacing w:before="0"/>
              <w:rPr>
                <w:b/>
                <w:bCs/>
              </w:rPr>
            </w:pPr>
          </w:p>
        </w:tc>
      </w:tr>
      <w:tr w:rsidR="00520F36" w:rsidRPr="00E532D1" w14:paraId="3E1110D9" w14:textId="77777777" w:rsidTr="00DF683D">
        <w:trPr>
          <w:cantSplit/>
          <w:trHeight w:val="358"/>
        </w:trPr>
        <w:tc>
          <w:tcPr>
            <w:tcW w:w="6912" w:type="dxa"/>
            <w:tcBorders>
              <w:top w:val="single" w:sz="12" w:space="0" w:color="auto"/>
            </w:tcBorders>
          </w:tcPr>
          <w:p w14:paraId="6DFF04EB" w14:textId="77777777" w:rsidR="00520F36" w:rsidRPr="00E532D1" w:rsidRDefault="00520F36" w:rsidP="00050E0A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B6C8AAD" w14:textId="77777777" w:rsidR="00520F36" w:rsidRPr="00E532D1" w:rsidRDefault="00520F36" w:rsidP="00050E0A">
            <w:pPr>
              <w:spacing w:before="0"/>
              <w:rPr>
                <w:b/>
                <w:bCs/>
              </w:rPr>
            </w:pPr>
          </w:p>
        </w:tc>
      </w:tr>
      <w:tr w:rsidR="00520F36" w:rsidRPr="00E532D1" w14:paraId="21699D9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FC0345E" w14:textId="77777777" w:rsidR="00520F36" w:rsidRPr="00E532D1" w:rsidRDefault="00520F36" w:rsidP="00BE419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7BA5C453" w14:textId="589FA298" w:rsidR="00520F36" w:rsidRPr="00E532D1" w:rsidRDefault="00520F36" w:rsidP="00BE419D">
            <w:pPr>
              <w:spacing w:before="0"/>
              <w:rPr>
                <w:b/>
                <w:bCs/>
              </w:rPr>
            </w:pPr>
            <w:r w:rsidRPr="00E532D1">
              <w:rPr>
                <w:b/>
                <w:bCs/>
              </w:rPr>
              <w:t xml:space="preserve">Document </w:t>
            </w:r>
            <w:r w:rsidR="006224B9" w:rsidRPr="00E532D1">
              <w:rPr>
                <w:b/>
                <w:bCs/>
              </w:rPr>
              <w:t>CWG-SFP-</w:t>
            </w:r>
            <w:r w:rsidR="005D4D7F">
              <w:rPr>
                <w:b/>
                <w:bCs/>
              </w:rPr>
              <w:t>3</w:t>
            </w:r>
            <w:r w:rsidR="00D76368" w:rsidRPr="00E532D1">
              <w:rPr>
                <w:b/>
                <w:bCs/>
              </w:rPr>
              <w:t>/</w:t>
            </w:r>
            <w:r w:rsidR="005D4D7F">
              <w:rPr>
                <w:b/>
                <w:bCs/>
              </w:rPr>
              <w:t>12</w:t>
            </w:r>
            <w:r w:rsidRPr="00E532D1">
              <w:rPr>
                <w:b/>
                <w:bCs/>
              </w:rPr>
              <w:t>-F</w:t>
            </w:r>
          </w:p>
        </w:tc>
      </w:tr>
      <w:tr w:rsidR="00520F36" w:rsidRPr="00E532D1" w14:paraId="0617C106" w14:textId="77777777">
        <w:trPr>
          <w:cantSplit/>
          <w:trHeight w:val="20"/>
        </w:trPr>
        <w:tc>
          <w:tcPr>
            <w:tcW w:w="6912" w:type="dxa"/>
            <w:vMerge/>
          </w:tcPr>
          <w:p w14:paraId="6BD05471" w14:textId="77777777" w:rsidR="00520F36" w:rsidRPr="00E532D1" w:rsidRDefault="00520F36" w:rsidP="00BE419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32446D09" w14:textId="088E75C7" w:rsidR="00520F36" w:rsidRPr="00E532D1" w:rsidRDefault="005D4D7F" w:rsidP="00BE419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7 février</w:t>
            </w:r>
            <w:r w:rsidR="001E7878" w:rsidRPr="00E532D1">
              <w:rPr>
                <w:b/>
                <w:bCs/>
              </w:rPr>
              <w:t xml:space="preserve"> 202</w:t>
            </w:r>
            <w:r w:rsidR="00736E8B">
              <w:rPr>
                <w:b/>
                <w:bCs/>
              </w:rPr>
              <w:t>2</w:t>
            </w:r>
          </w:p>
        </w:tc>
      </w:tr>
      <w:tr w:rsidR="00520F36" w:rsidRPr="00E532D1" w14:paraId="2F0FBA24" w14:textId="77777777">
        <w:trPr>
          <w:cantSplit/>
          <w:trHeight w:val="20"/>
        </w:trPr>
        <w:tc>
          <w:tcPr>
            <w:tcW w:w="6912" w:type="dxa"/>
            <w:vMerge/>
          </w:tcPr>
          <w:p w14:paraId="5854B2FC" w14:textId="77777777" w:rsidR="00520F36" w:rsidRPr="00E532D1" w:rsidRDefault="00520F36" w:rsidP="00BE419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4463430A" w14:textId="77777777" w:rsidR="00520F36" w:rsidRPr="00E532D1" w:rsidRDefault="00520F36" w:rsidP="00BE419D">
            <w:pPr>
              <w:spacing w:before="0"/>
              <w:rPr>
                <w:b/>
                <w:bCs/>
              </w:rPr>
            </w:pPr>
            <w:proofErr w:type="gramStart"/>
            <w:r w:rsidRPr="00E532D1">
              <w:rPr>
                <w:b/>
                <w:bCs/>
              </w:rPr>
              <w:t>Original:</w:t>
            </w:r>
            <w:proofErr w:type="gramEnd"/>
            <w:r w:rsidRPr="00E532D1">
              <w:rPr>
                <w:b/>
                <w:bCs/>
              </w:rPr>
              <w:t xml:space="preserve"> anglais</w:t>
            </w:r>
          </w:p>
        </w:tc>
      </w:tr>
      <w:tr w:rsidR="005D4D7F" w:rsidRPr="0080627B" w14:paraId="4C89A01F" w14:textId="77777777">
        <w:trPr>
          <w:cantSplit/>
        </w:trPr>
        <w:tc>
          <w:tcPr>
            <w:tcW w:w="10173" w:type="dxa"/>
            <w:gridSpan w:val="2"/>
          </w:tcPr>
          <w:p w14:paraId="7731CCC5" w14:textId="6ACF46AD" w:rsidR="005D4D7F" w:rsidRPr="0080627B" w:rsidRDefault="005D4D7F" w:rsidP="00BE419D">
            <w:pPr>
              <w:pStyle w:val="Source"/>
              <w:spacing w:before="480" w:after="240"/>
              <w:rPr>
                <w:lang w:val="fr-CH"/>
              </w:rPr>
            </w:pPr>
            <w:bookmarkStart w:id="5" w:name="dsource" w:colFirst="0" w:colLast="0"/>
            <w:bookmarkStart w:id="6" w:name="_Hlk96329631"/>
            <w:bookmarkEnd w:id="4"/>
            <w:r w:rsidRPr="004F408A">
              <w:rPr>
                <w:lang w:val="fr-CH"/>
              </w:rPr>
              <w:t>Contribution</w:t>
            </w:r>
            <w:r w:rsidR="00BE419D">
              <w:rPr>
                <w:lang w:val="fr-CH"/>
              </w:rPr>
              <w:t xml:space="preserve"> </w:t>
            </w:r>
            <w:r w:rsidR="0080627B" w:rsidRPr="004F408A">
              <w:rPr>
                <w:lang w:val="fr-CH"/>
              </w:rPr>
              <w:t>de l</w:t>
            </w:r>
            <w:r w:rsidR="00BE419D">
              <w:rPr>
                <w:lang w:val="fr-CH"/>
              </w:rPr>
              <w:t>'</w:t>
            </w:r>
            <w:r w:rsidR="0080627B" w:rsidRPr="004F408A">
              <w:rPr>
                <w:lang w:val="fr-CH"/>
              </w:rPr>
              <w:t>Algérie</w:t>
            </w:r>
            <w:r w:rsidRPr="004F408A">
              <w:rPr>
                <w:lang w:val="fr-CH"/>
              </w:rPr>
              <w:t xml:space="preserve">, </w:t>
            </w:r>
            <w:r w:rsidR="004F408A" w:rsidRPr="004F408A">
              <w:rPr>
                <w:lang w:val="fr-CH"/>
              </w:rPr>
              <w:t xml:space="preserve">du Cameroun, </w:t>
            </w:r>
            <w:r w:rsidR="0080627B" w:rsidRPr="004F408A">
              <w:rPr>
                <w:lang w:val="fr-CH"/>
              </w:rPr>
              <w:t>de l</w:t>
            </w:r>
            <w:r w:rsidR="00BE419D">
              <w:rPr>
                <w:lang w:val="fr-CH"/>
              </w:rPr>
              <w:t>'</w:t>
            </w:r>
            <w:r w:rsidR="0080627B" w:rsidRPr="004F408A">
              <w:rPr>
                <w:caps/>
                <w:lang w:val="fr-CH"/>
              </w:rPr>
              <w:t>é</w:t>
            </w:r>
            <w:r w:rsidRPr="004F408A">
              <w:rPr>
                <w:lang w:val="fr-CH"/>
              </w:rPr>
              <w:t>gypt</w:t>
            </w:r>
            <w:r w:rsidR="004F408A" w:rsidRPr="004F408A">
              <w:rPr>
                <w:lang w:val="fr-CH"/>
              </w:rPr>
              <w:t>e, du Ghana,</w:t>
            </w:r>
            <w:r w:rsidR="0080627B" w:rsidRPr="004F408A">
              <w:rPr>
                <w:lang w:val="fr-CH"/>
              </w:rPr>
              <w:t xml:space="preserve"> du</w:t>
            </w:r>
            <w:r w:rsidRPr="004F408A">
              <w:rPr>
                <w:lang w:val="fr-CH"/>
              </w:rPr>
              <w:t xml:space="preserve"> Kenya</w:t>
            </w:r>
            <w:r w:rsidR="004F408A" w:rsidRPr="004F408A">
              <w:rPr>
                <w:lang w:val="fr-CH"/>
              </w:rPr>
              <w:t>,</w:t>
            </w:r>
            <w:r w:rsidR="004F408A">
              <w:rPr>
                <w:lang w:val="fr-CH"/>
              </w:rPr>
              <w:t xml:space="preserve"> du Nigéria</w:t>
            </w:r>
            <w:r w:rsidR="00BE419D">
              <w:rPr>
                <w:lang w:val="fr-CH"/>
              </w:rPr>
              <w:t>, de la République sudafricaine</w:t>
            </w:r>
            <w:r w:rsidR="004F408A">
              <w:rPr>
                <w:lang w:val="fr-CH"/>
              </w:rPr>
              <w:t xml:space="preserve"> et du Zimbabwe</w:t>
            </w:r>
          </w:p>
        </w:tc>
      </w:tr>
      <w:tr w:rsidR="005D4D7F" w:rsidRPr="0080627B" w14:paraId="022B1189" w14:textId="77777777">
        <w:trPr>
          <w:cantSplit/>
        </w:trPr>
        <w:tc>
          <w:tcPr>
            <w:tcW w:w="10173" w:type="dxa"/>
            <w:gridSpan w:val="2"/>
          </w:tcPr>
          <w:p w14:paraId="3A7A5567" w14:textId="1361DAF7" w:rsidR="005D4D7F" w:rsidRPr="0080627B" w:rsidRDefault="0080627B" w:rsidP="00BE419D">
            <w:pPr>
              <w:pStyle w:val="Title2"/>
              <w:rPr>
                <w:lang w:val="fr-CH"/>
              </w:rPr>
            </w:pPr>
            <w:r>
              <w:rPr>
                <w:szCs w:val="28"/>
                <w:lang w:val="fr-CH"/>
              </w:rPr>
              <w:t>proposition africaine commune pour les travaux de la troisième réunion du</w:t>
            </w:r>
            <w:r w:rsidRPr="002F1DD5">
              <w:rPr>
                <w:lang w:val="fr-CH"/>
              </w:rPr>
              <w:t xml:space="preserve"> </w:t>
            </w:r>
            <w:r w:rsidRPr="002F1DD5">
              <w:rPr>
                <w:szCs w:val="28"/>
                <w:lang w:val="fr-CH"/>
              </w:rPr>
              <w:t>Groupe de travail du Conseil chargé d</w:t>
            </w:r>
            <w:r w:rsidR="00BE419D">
              <w:rPr>
                <w:szCs w:val="28"/>
                <w:lang w:val="fr-CH"/>
              </w:rPr>
              <w:t>'élaborer le Plan stratégique et </w:t>
            </w:r>
            <w:r w:rsidRPr="002F1DD5">
              <w:rPr>
                <w:szCs w:val="28"/>
                <w:lang w:val="fr-CH"/>
              </w:rPr>
              <w:t>le Plan financier</w:t>
            </w:r>
            <w:r w:rsidR="00BE419D">
              <w:rPr>
                <w:szCs w:val="28"/>
                <w:lang w:val="fr-CH"/>
              </w:rPr>
              <w:t xml:space="preserve"> </w:t>
            </w:r>
            <w:r w:rsidRPr="002F1DD5">
              <w:rPr>
                <w:szCs w:val="28"/>
                <w:lang w:val="fr-CH"/>
              </w:rPr>
              <w:t>(</w:t>
            </w:r>
            <w:r w:rsidR="003C52E4">
              <w:rPr>
                <w:szCs w:val="28"/>
                <w:lang w:val="fr-CH"/>
              </w:rPr>
              <w:t>gtc</w:t>
            </w:r>
            <w:r w:rsidRPr="002F1DD5">
              <w:rPr>
                <w:szCs w:val="28"/>
                <w:lang w:val="fr-CH"/>
              </w:rPr>
              <w:t>-SFP)</w:t>
            </w:r>
          </w:p>
        </w:tc>
      </w:tr>
      <w:bookmarkEnd w:id="6"/>
      <w:tr w:rsidR="005D4D7F" w:rsidRPr="0080627B" w14:paraId="68CB8F69" w14:textId="77777777">
        <w:trPr>
          <w:cantSplit/>
        </w:trPr>
        <w:tc>
          <w:tcPr>
            <w:tcW w:w="10173" w:type="dxa"/>
            <w:gridSpan w:val="2"/>
          </w:tcPr>
          <w:p w14:paraId="4C8A181B" w14:textId="77777777" w:rsidR="005D4D7F" w:rsidRPr="0080627B" w:rsidRDefault="005D4D7F" w:rsidP="00BE419D">
            <w:pPr>
              <w:pStyle w:val="Title2"/>
              <w:rPr>
                <w:szCs w:val="28"/>
                <w:lang w:val="fr-CH"/>
              </w:rPr>
            </w:pPr>
          </w:p>
        </w:tc>
      </w:tr>
    </w:tbl>
    <w:bookmarkEnd w:id="5"/>
    <w:p w14:paraId="6BB2E9EC" w14:textId="59C92F35" w:rsidR="005D4D7F" w:rsidRPr="00080530" w:rsidRDefault="001C2230" w:rsidP="00BE419D">
      <w:pPr>
        <w:pStyle w:val="Heading1"/>
        <w:rPr>
          <w:rFonts w:eastAsia="Calibri"/>
          <w:lang w:val="fr-CH"/>
        </w:rPr>
      </w:pPr>
      <w:r w:rsidRPr="00080530">
        <w:rPr>
          <w:rFonts w:eastAsia="Calibri"/>
          <w:lang w:val="fr-CH"/>
        </w:rPr>
        <w:t>1</w:t>
      </w:r>
      <w:r w:rsidRPr="00080530">
        <w:rPr>
          <w:rFonts w:eastAsia="Calibri"/>
          <w:lang w:val="fr-CH"/>
        </w:rPr>
        <w:tab/>
      </w:r>
      <w:r w:rsidR="005D4D7F" w:rsidRPr="00080530">
        <w:rPr>
          <w:rFonts w:eastAsia="Calibri"/>
          <w:lang w:val="fr-CH"/>
        </w:rPr>
        <w:t>Introduction</w:t>
      </w:r>
    </w:p>
    <w:p w14:paraId="47FE1F38" w14:textId="581E2979" w:rsidR="00FE723B" w:rsidRPr="00FE723B" w:rsidRDefault="00FE723B" w:rsidP="00BE419D">
      <w:pPr>
        <w:rPr>
          <w:rFonts w:eastAsia="Calibri"/>
          <w:lang w:val="fr-CH"/>
        </w:rPr>
      </w:pPr>
      <w:r>
        <w:rPr>
          <w:rFonts w:eastAsia="Calibri"/>
          <w:lang w:val="fr-CH"/>
        </w:rPr>
        <w:t>Les M</w:t>
      </w:r>
      <w:r w:rsidRPr="00FE723B">
        <w:rPr>
          <w:rFonts w:eastAsia="Calibri"/>
          <w:lang w:val="fr-CH"/>
        </w:rPr>
        <w:t>embres de l</w:t>
      </w:r>
      <w:r w:rsidR="00BE419D">
        <w:rPr>
          <w:rFonts w:eastAsia="Calibri"/>
          <w:lang w:val="fr-CH"/>
        </w:rPr>
        <w:t>'</w:t>
      </w:r>
      <w:r w:rsidRPr="00FE723B">
        <w:rPr>
          <w:rFonts w:eastAsia="Calibri"/>
          <w:lang w:val="fr-CH"/>
        </w:rPr>
        <w:t xml:space="preserve">Union africaine des télécommunications (UAT) </w:t>
      </w:r>
      <w:r>
        <w:rPr>
          <w:rFonts w:eastAsia="Calibri"/>
          <w:lang w:val="fr-CH"/>
        </w:rPr>
        <w:t>ont conjugué leurs efforts afin d</w:t>
      </w:r>
      <w:r w:rsidR="00BE419D">
        <w:rPr>
          <w:rFonts w:eastAsia="Calibri"/>
          <w:lang w:val="fr-CH"/>
        </w:rPr>
        <w:t>'</w:t>
      </w:r>
      <w:r>
        <w:rPr>
          <w:rFonts w:eastAsia="Calibri"/>
          <w:lang w:val="fr-CH"/>
        </w:rPr>
        <w:t xml:space="preserve">élaborer une </w:t>
      </w:r>
      <w:r w:rsidRPr="00FE723B">
        <w:rPr>
          <w:rFonts w:eastAsia="Calibri"/>
          <w:lang w:val="fr-CH"/>
        </w:rPr>
        <w:t xml:space="preserve">proposition régionale commune </w:t>
      </w:r>
      <w:r>
        <w:rPr>
          <w:rFonts w:eastAsia="Calibri"/>
          <w:lang w:val="fr-CH"/>
        </w:rPr>
        <w:t xml:space="preserve">pour le </w:t>
      </w:r>
      <w:r w:rsidRPr="00FE723B">
        <w:rPr>
          <w:rFonts w:eastAsia="Calibri"/>
          <w:lang w:val="fr-CH"/>
        </w:rPr>
        <w:t xml:space="preserve">projet de </w:t>
      </w:r>
      <w:r>
        <w:rPr>
          <w:rFonts w:eastAsia="Calibri"/>
          <w:lang w:val="fr-CH"/>
        </w:rPr>
        <w:t xml:space="preserve">la </w:t>
      </w:r>
      <w:r w:rsidRPr="00FE723B">
        <w:rPr>
          <w:rFonts w:eastAsia="Calibri"/>
          <w:lang w:val="fr-CH"/>
        </w:rPr>
        <w:t xml:space="preserve">partie du Plan stratégique de </w:t>
      </w:r>
      <w:proofErr w:type="gramStart"/>
      <w:r w:rsidRPr="00FE723B">
        <w:rPr>
          <w:rFonts w:eastAsia="Calibri"/>
          <w:lang w:val="fr-CH"/>
        </w:rPr>
        <w:t>l</w:t>
      </w:r>
      <w:r w:rsidR="00BE419D">
        <w:rPr>
          <w:rFonts w:eastAsia="Calibri"/>
          <w:lang w:val="fr-CH"/>
        </w:rPr>
        <w:t>'</w:t>
      </w:r>
      <w:r w:rsidRPr="00FE723B">
        <w:rPr>
          <w:rFonts w:eastAsia="Calibri"/>
          <w:lang w:val="fr-CH"/>
        </w:rPr>
        <w:t>UIT</w:t>
      </w:r>
      <w:proofErr w:type="gramEnd"/>
      <w:r w:rsidRPr="00FE723B">
        <w:rPr>
          <w:rFonts w:eastAsia="Calibri"/>
          <w:lang w:val="fr-CH"/>
        </w:rPr>
        <w:t xml:space="preserve"> consacrée à l</w:t>
      </w:r>
      <w:r w:rsidR="00BE419D">
        <w:rPr>
          <w:rFonts w:eastAsia="Calibri"/>
          <w:lang w:val="fr-CH"/>
        </w:rPr>
        <w:t>'</w:t>
      </w:r>
      <w:r w:rsidRPr="00FE723B">
        <w:rPr>
          <w:rFonts w:eastAsia="Calibri"/>
          <w:lang w:val="fr-CH"/>
        </w:rPr>
        <w:t xml:space="preserve">UIT-D. Du temps et des efforts ont été consacrés à </w:t>
      </w:r>
      <w:r>
        <w:rPr>
          <w:rFonts w:eastAsia="Calibri"/>
          <w:lang w:val="fr-CH"/>
        </w:rPr>
        <w:t>la rédaction</w:t>
      </w:r>
      <w:r w:rsidRPr="00FE723B">
        <w:rPr>
          <w:rFonts w:eastAsia="Calibri"/>
          <w:lang w:val="fr-CH"/>
        </w:rPr>
        <w:t xml:space="preserve"> d</w:t>
      </w:r>
      <w:r w:rsidR="00BE419D">
        <w:rPr>
          <w:rFonts w:eastAsia="Calibri"/>
          <w:lang w:val="fr-CH"/>
        </w:rPr>
        <w:t>'</w:t>
      </w:r>
      <w:r w:rsidRPr="00FE723B">
        <w:rPr>
          <w:rFonts w:eastAsia="Calibri"/>
          <w:lang w:val="fr-CH"/>
        </w:rPr>
        <w:t xml:space="preserve">un </w:t>
      </w:r>
      <w:hyperlink r:id="rId9" w:history="1">
        <w:r w:rsidRPr="00FE723B">
          <w:rPr>
            <w:rFonts w:eastAsia="Calibri"/>
            <w:color w:val="0563C1"/>
            <w:u w:val="single"/>
            <w:lang w:val="fr-CH"/>
          </w:rPr>
          <w:t>document</w:t>
        </w:r>
      </w:hyperlink>
      <w:r w:rsidRPr="00FE723B">
        <w:rPr>
          <w:rFonts w:eastAsia="Calibri"/>
          <w:color w:val="0563C1"/>
          <w:lang w:val="fr-CH"/>
        </w:rPr>
        <w:t xml:space="preserve"> </w:t>
      </w:r>
      <w:r w:rsidRPr="00FE723B">
        <w:rPr>
          <w:rFonts w:eastAsia="Calibri"/>
          <w:lang w:val="fr-CH"/>
        </w:rPr>
        <w:t xml:space="preserve">complet et exhaustif, qui a été </w:t>
      </w:r>
      <w:r w:rsidR="003C52E4">
        <w:rPr>
          <w:rFonts w:eastAsia="Calibri"/>
          <w:lang w:val="fr-CH"/>
        </w:rPr>
        <w:t>porté</w:t>
      </w:r>
      <w:r w:rsidRPr="00FE723B">
        <w:rPr>
          <w:rFonts w:eastAsia="Calibri"/>
          <w:lang w:val="fr-CH"/>
        </w:rPr>
        <w:t xml:space="preserve"> à l</w:t>
      </w:r>
      <w:r w:rsidR="00BE419D">
        <w:rPr>
          <w:rFonts w:eastAsia="Calibri"/>
          <w:lang w:val="fr-CH"/>
        </w:rPr>
        <w:t>'</w:t>
      </w:r>
      <w:r w:rsidRPr="00FE723B">
        <w:rPr>
          <w:rFonts w:eastAsia="Calibri"/>
          <w:lang w:val="fr-CH"/>
        </w:rPr>
        <w:t xml:space="preserve">attention du </w:t>
      </w:r>
      <w:r w:rsidR="003C52E4" w:rsidRPr="003C52E4">
        <w:rPr>
          <w:rFonts w:eastAsia="Calibri"/>
          <w:lang w:val="fr-CH"/>
        </w:rPr>
        <w:t xml:space="preserve">GT-GCDT-SOP </w:t>
      </w:r>
      <w:r w:rsidRPr="00FE723B">
        <w:rPr>
          <w:rFonts w:eastAsia="Calibri"/>
          <w:lang w:val="fr-CH"/>
        </w:rPr>
        <w:t>(</w:t>
      </w:r>
      <w:r w:rsidR="00BE419D">
        <w:rPr>
          <w:rFonts w:eastAsia="Calibri"/>
          <w:b/>
          <w:lang w:val="fr-CH"/>
        </w:rPr>
        <w:t>D</w:t>
      </w:r>
      <w:r w:rsidRPr="00FE723B">
        <w:rPr>
          <w:rFonts w:eastAsia="Calibri"/>
          <w:b/>
          <w:lang w:val="fr-CH"/>
        </w:rPr>
        <w:t xml:space="preserve">ocument </w:t>
      </w:r>
      <w:r w:rsidRPr="00FE723B">
        <w:rPr>
          <w:rFonts w:eastAsia="Calibri"/>
          <w:b/>
          <w:bCs/>
          <w:lang w:val="fr-CH"/>
        </w:rPr>
        <w:t>TDAG-WG-SOP/14</w:t>
      </w:r>
      <w:r w:rsidRPr="00FE723B">
        <w:rPr>
          <w:rFonts w:eastAsia="Calibri"/>
          <w:lang w:val="fr-CH"/>
        </w:rPr>
        <w:t xml:space="preserve">) </w:t>
      </w:r>
      <w:r w:rsidR="003C52E4">
        <w:rPr>
          <w:rFonts w:eastAsia="Calibri"/>
          <w:lang w:val="fr-CH"/>
        </w:rPr>
        <w:t>à</w:t>
      </w:r>
      <w:r w:rsidR="0011770C">
        <w:rPr>
          <w:rFonts w:eastAsia="Calibri"/>
          <w:lang w:val="fr-CH"/>
        </w:rPr>
        <w:t xml:space="preserve"> </w:t>
      </w:r>
      <w:r w:rsidRPr="00FE723B">
        <w:rPr>
          <w:rFonts w:eastAsia="Calibri"/>
          <w:lang w:val="fr-CH"/>
        </w:rPr>
        <w:t>sa réunion du 4 octobre 2021</w:t>
      </w:r>
      <w:r w:rsidR="003C52E4">
        <w:rPr>
          <w:rFonts w:eastAsia="Calibri"/>
          <w:lang w:val="fr-CH"/>
        </w:rPr>
        <w:t xml:space="preserve"> ; nous avons également </w:t>
      </w:r>
      <w:r w:rsidR="003C52E4">
        <w:rPr>
          <w:rFonts w:cstheme="minorHAnsi"/>
          <w:lang w:val="fr-CH"/>
        </w:rPr>
        <w:t xml:space="preserve">pris part au dialogue </w:t>
      </w:r>
      <w:r w:rsidR="003C52E4" w:rsidRPr="00DA4E31">
        <w:rPr>
          <w:rFonts w:cstheme="minorHAnsi"/>
          <w:lang w:val="fr-CH"/>
        </w:rPr>
        <w:t xml:space="preserve">depuis la première réunion du </w:t>
      </w:r>
      <w:r w:rsidR="003C52E4">
        <w:rPr>
          <w:rFonts w:cstheme="minorHAnsi"/>
          <w:lang w:val="fr-CH"/>
        </w:rPr>
        <w:t xml:space="preserve">processus du </w:t>
      </w:r>
      <w:r w:rsidR="003C52E4" w:rsidRPr="00FE723B">
        <w:rPr>
          <w:rFonts w:eastAsia="Calibri"/>
          <w:lang w:val="fr-CH"/>
        </w:rPr>
        <w:t>GTC-SFP</w:t>
      </w:r>
      <w:r w:rsidRPr="00FE723B">
        <w:rPr>
          <w:rFonts w:eastAsia="Calibri"/>
          <w:lang w:val="fr-CH"/>
        </w:rPr>
        <w:t>.</w:t>
      </w:r>
    </w:p>
    <w:p w14:paraId="698A7764" w14:textId="1AE7C963" w:rsidR="001C2230" w:rsidRPr="003C52E4" w:rsidRDefault="003C52E4" w:rsidP="00BE419D">
      <w:pPr>
        <w:rPr>
          <w:rFonts w:eastAsia="Calibri"/>
          <w:lang w:val="fr-CH"/>
        </w:rPr>
      </w:pPr>
      <w:bookmarkStart w:id="7" w:name="_Hlk90019171"/>
      <w:r w:rsidRPr="00DA4E31">
        <w:rPr>
          <w:rFonts w:cstheme="minorHAnsi"/>
          <w:lang w:val="fr-CH"/>
        </w:rPr>
        <w:t xml:space="preserve">Nous prenons bonne note de la proposition </w:t>
      </w:r>
      <w:r w:rsidR="008507C0">
        <w:rPr>
          <w:rFonts w:cstheme="minorHAnsi"/>
          <w:lang w:val="fr-CH"/>
        </w:rPr>
        <w:t>formulée par le Secrétariat de l</w:t>
      </w:r>
      <w:r w:rsidR="00BE419D">
        <w:rPr>
          <w:rFonts w:cstheme="minorHAnsi"/>
          <w:lang w:val="fr-CH"/>
        </w:rPr>
        <w:t>'</w:t>
      </w:r>
      <w:r w:rsidR="008507C0">
        <w:rPr>
          <w:rFonts w:cstheme="minorHAnsi"/>
          <w:lang w:val="fr-CH"/>
        </w:rPr>
        <w:t xml:space="preserve">UIT, à partir des contributions des </w:t>
      </w:r>
      <w:r w:rsidR="0033483F">
        <w:rPr>
          <w:rFonts w:cstheme="minorHAnsi"/>
          <w:lang w:val="fr-CH"/>
        </w:rPr>
        <w:t>m</w:t>
      </w:r>
      <w:r w:rsidR="008507C0">
        <w:rPr>
          <w:rFonts w:cstheme="minorHAnsi"/>
          <w:lang w:val="fr-CH"/>
        </w:rPr>
        <w:t>embres de l</w:t>
      </w:r>
      <w:r w:rsidR="00BE419D">
        <w:rPr>
          <w:rFonts w:cstheme="minorHAnsi"/>
          <w:lang w:val="fr-CH"/>
        </w:rPr>
        <w:t>'</w:t>
      </w:r>
      <w:r w:rsidR="008507C0">
        <w:rPr>
          <w:rFonts w:cstheme="minorHAnsi"/>
          <w:lang w:val="fr-CH"/>
        </w:rPr>
        <w:t xml:space="preserve">UIT et </w:t>
      </w:r>
      <w:r w:rsidR="00CE585D">
        <w:rPr>
          <w:rFonts w:cstheme="minorHAnsi"/>
          <w:lang w:val="fr-CH"/>
        </w:rPr>
        <w:t>du cabinet</w:t>
      </w:r>
      <w:r w:rsidR="008507C0">
        <w:rPr>
          <w:rFonts w:cstheme="minorHAnsi"/>
          <w:lang w:val="fr-CH"/>
        </w:rPr>
        <w:t xml:space="preserve"> Dalberg,</w:t>
      </w:r>
      <w:r w:rsidRPr="00DA4E31">
        <w:rPr>
          <w:rFonts w:cstheme="minorHAnsi"/>
          <w:lang w:val="fr-CH"/>
        </w:rPr>
        <w:t xml:space="preserve"> </w:t>
      </w:r>
      <w:r w:rsidR="008507C0">
        <w:rPr>
          <w:rFonts w:cstheme="minorHAnsi"/>
          <w:lang w:val="fr-CH"/>
        </w:rPr>
        <w:t xml:space="preserve">pour apporter des améliorations </w:t>
      </w:r>
      <w:r>
        <w:rPr>
          <w:rFonts w:cstheme="minorHAnsi"/>
          <w:lang w:val="fr-CH"/>
        </w:rPr>
        <w:t xml:space="preserve">au </w:t>
      </w:r>
      <w:r w:rsidRPr="00DA4E31">
        <w:rPr>
          <w:rFonts w:cstheme="minorHAnsi"/>
          <w:lang w:val="fr-CH"/>
        </w:rPr>
        <w:t>cadre stratégique de l</w:t>
      </w:r>
      <w:r w:rsidR="00BE419D">
        <w:rPr>
          <w:rFonts w:cstheme="minorHAnsi"/>
          <w:lang w:val="fr-CH"/>
        </w:rPr>
        <w:t>'</w:t>
      </w:r>
      <w:r w:rsidRPr="00DA4E31">
        <w:rPr>
          <w:rFonts w:cstheme="minorHAnsi"/>
          <w:lang w:val="fr-CH"/>
        </w:rPr>
        <w:t>UIT</w:t>
      </w:r>
      <w:r w:rsidR="008507C0">
        <w:rPr>
          <w:rFonts w:cstheme="minorHAnsi"/>
          <w:lang w:val="fr-CH"/>
        </w:rPr>
        <w:t>,</w:t>
      </w:r>
      <w:r>
        <w:rPr>
          <w:rFonts w:cstheme="minorHAnsi"/>
          <w:lang w:val="fr-CH"/>
        </w:rPr>
        <w:t xml:space="preserve"> en s</w:t>
      </w:r>
      <w:r w:rsidR="00BE419D">
        <w:rPr>
          <w:rFonts w:cstheme="minorHAnsi"/>
          <w:lang w:val="fr-CH"/>
        </w:rPr>
        <w:t>'</w:t>
      </w:r>
      <w:r>
        <w:rPr>
          <w:rFonts w:cstheme="minorHAnsi"/>
          <w:lang w:val="fr-CH"/>
        </w:rPr>
        <w:t xml:space="preserve">inspirant des </w:t>
      </w:r>
      <w:r w:rsidRPr="00DA4E31">
        <w:rPr>
          <w:rFonts w:cstheme="minorHAnsi"/>
          <w:lang w:val="fr-CH"/>
        </w:rPr>
        <w:t xml:space="preserve">principes </w:t>
      </w:r>
      <w:r>
        <w:rPr>
          <w:rFonts w:cstheme="minorHAnsi"/>
          <w:lang w:val="fr-CH"/>
        </w:rPr>
        <w:t xml:space="preserve">établis à </w:t>
      </w:r>
      <w:r w:rsidRPr="00DA4E31">
        <w:rPr>
          <w:rFonts w:cstheme="minorHAnsi"/>
          <w:lang w:val="fr-CH"/>
        </w:rPr>
        <w:t xml:space="preserve">la première réunion du </w:t>
      </w:r>
      <w:r w:rsidR="00CE585D">
        <w:rPr>
          <w:rFonts w:cstheme="minorHAnsi"/>
          <w:lang w:val="fr-CH"/>
        </w:rPr>
        <w:t>GTC</w:t>
      </w:r>
      <w:r w:rsidRPr="00DA4E31">
        <w:rPr>
          <w:rFonts w:cstheme="minorHAnsi"/>
          <w:lang w:val="fr-CH"/>
        </w:rPr>
        <w:t xml:space="preserve">-SFP. Nous </w:t>
      </w:r>
      <w:r>
        <w:rPr>
          <w:rFonts w:cstheme="minorHAnsi"/>
          <w:lang w:val="fr-CH"/>
        </w:rPr>
        <w:t>sommes d</w:t>
      </w:r>
      <w:r w:rsidR="00BE419D">
        <w:rPr>
          <w:rFonts w:cstheme="minorHAnsi"/>
          <w:lang w:val="fr-CH"/>
        </w:rPr>
        <w:t>'</w:t>
      </w:r>
      <w:r>
        <w:rPr>
          <w:rFonts w:cstheme="minorHAnsi"/>
          <w:lang w:val="fr-CH"/>
        </w:rPr>
        <w:t xml:space="preserve">avis </w:t>
      </w:r>
      <w:r w:rsidRPr="00DA4E31">
        <w:rPr>
          <w:rFonts w:cstheme="minorHAnsi"/>
          <w:lang w:val="fr-CH"/>
        </w:rPr>
        <w:t xml:space="preserve">que la période 2024-2027 </w:t>
      </w:r>
      <w:r>
        <w:rPr>
          <w:rFonts w:cstheme="minorHAnsi"/>
          <w:lang w:val="fr-CH"/>
        </w:rPr>
        <w:t xml:space="preserve">sera </w:t>
      </w:r>
      <w:r w:rsidRPr="00DA4E31">
        <w:rPr>
          <w:rFonts w:cstheme="minorHAnsi"/>
          <w:lang w:val="fr-CH"/>
        </w:rPr>
        <w:t xml:space="preserve">très importante pour </w:t>
      </w:r>
      <w:r>
        <w:rPr>
          <w:rFonts w:cstheme="minorHAnsi"/>
          <w:lang w:val="fr-CH"/>
        </w:rPr>
        <w:t>la réalisation, l</w:t>
      </w:r>
      <w:r w:rsidR="00BE419D">
        <w:rPr>
          <w:rFonts w:cstheme="minorHAnsi"/>
          <w:lang w:val="fr-CH"/>
        </w:rPr>
        <w:t>'</w:t>
      </w:r>
      <w:r>
        <w:rPr>
          <w:rFonts w:cstheme="minorHAnsi"/>
          <w:lang w:val="fr-CH"/>
        </w:rPr>
        <w:t>évaluation et le suivi de divers programmes d</w:t>
      </w:r>
      <w:r w:rsidR="00BE419D">
        <w:rPr>
          <w:rFonts w:cstheme="minorHAnsi"/>
          <w:lang w:val="fr-CH"/>
        </w:rPr>
        <w:t>'</w:t>
      </w:r>
      <w:r>
        <w:rPr>
          <w:rFonts w:cstheme="minorHAnsi"/>
          <w:lang w:val="fr-CH"/>
        </w:rPr>
        <w:t>activités de l</w:t>
      </w:r>
      <w:r w:rsidR="00BE419D">
        <w:rPr>
          <w:rFonts w:cstheme="minorHAnsi"/>
          <w:lang w:val="fr-CH"/>
        </w:rPr>
        <w:t>'</w:t>
      </w:r>
      <w:r>
        <w:rPr>
          <w:rFonts w:cstheme="minorHAnsi"/>
          <w:lang w:val="fr-CH"/>
        </w:rPr>
        <w:t xml:space="preserve">ONU, et jugeons donc </w:t>
      </w:r>
      <w:r w:rsidRPr="00DA4E31">
        <w:rPr>
          <w:rFonts w:cstheme="minorHAnsi"/>
          <w:lang w:val="fr-CH"/>
        </w:rPr>
        <w:t>opportun d</w:t>
      </w:r>
      <w:r w:rsidR="00BE419D">
        <w:rPr>
          <w:rFonts w:cstheme="minorHAnsi"/>
          <w:lang w:val="fr-CH"/>
        </w:rPr>
        <w:t>'</w:t>
      </w:r>
      <w:r w:rsidRPr="00DA4E31">
        <w:rPr>
          <w:rFonts w:cstheme="minorHAnsi"/>
          <w:lang w:val="fr-CH"/>
        </w:rPr>
        <w:t>adapter le plan stratégique en conséquence</w:t>
      </w:r>
      <w:r w:rsidR="008507C0">
        <w:rPr>
          <w:rFonts w:cstheme="minorHAnsi"/>
          <w:lang w:val="fr-CH"/>
        </w:rPr>
        <w:t>.</w:t>
      </w:r>
    </w:p>
    <w:p w14:paraId="692C81D5" w14:textId="35D271E9" w:rsidR="005D4D7F" w:rsidRPr="008507C0" w:rsidRDefault="001C2230" w:rsidP="00BE419D">
      <w:pPr>
        <w:pStyle w:val="Heading1"/>
        <w:rPr>
          <w:rFonts w:eastAsia="Calibri" w:cs="Arial"/>
          <w:szCs w:val="24"/>
          <w:lang w:val="fr-CH"/>
        </w:rPr>
      </w:pPr>
      <w:r w:rsidRPr="008507C0">
        <w:rPr>
          <w:rFonts w:eastAsia="Calibri"/>
          <w:lang w:val="fr-CH"/>
        </w:rPr>
        <w:t>2</w:t>
      </w:r>
      <w:r w:rsidRPr="008507C0">
        <w:rPr>
          <w:rFonts w:eastAsia="Calibri"/>
          <w:lang w:val="fr-CH"/>
        </w:rPr>
        <w:tab/>
      </w:r>
      <w:bookmarkEnd w:id="7"/>
      <w:r w:rsidR="008507C0" w:rsidRPr="008507C0">
        <w:rPr>
          <w:rFonts w:eastAsia="Calibri"/>
          <w:lang w:val="fr-CH"/>
        </w:rPr>
        <w:t>Commentaire de la section 2.5 de la contribution du Secrétariat concernant le projet d</w:t>
      </w:r>
      <w:r w:rsidR="00BE419D">
        <w:rPr>
          <w:rFonts w:eastAsia="Calibri"/>
          <w:lang w:val="fr-CH"/>
        </w:rPr>
        <w:t>'</w:t>
      </w:r>
      <w:r w:rsidR="008507C0" w:rsidRPr="008507C0">
        <w:rPr>
          <w:rFonts w:eastAsia="Calibri"/>
          <w:lang w:val="fr-CH"/>
        </w:rPr>
        <w:t>Annexe 1 de la Résolution 71 – projet de Plan stratégique de l</w:t>
      </w:r>
      <w:r w:rsidR="00BE419D">
        <w:rPr>
          <w:rFonts w:eastAsia="Calibri"/>
          <w:lang w:val="fr-CH"/>
        </w:rPr>
        <w:t>'</w:t>
      </w:r>
      <w:r w:rsidR="008507C0" w:rsidRPr="008507C0">
        <w:rPr>
          <w:rFonts w:eastAsia="Calibri"/>
          <w:lang w:val="fr-CH"/>
        </w:rPr>
        <w:t>UIT pour 2024-2027</w:t>
      </w:r>
    </w:p>
    <w:p w14:paraId="5B1B4F5C" w14:textId="0D434790" w:rsidR="00CF68CC" w:rsidRPr="00A72D4F" w:rsidRDefault="00CF68CC" w:rsidP="00BE419D">
      <w:pPr>
        <w:spacing w:after="120"/>
        <w:rPr>
          <w:lang w:val="fr-CH"/>
        </w:rPr>
      </w:pPr>
      <w:r w:rsidRPr="000D6680">
        <w:rPr>
          <w:lang w:val="fr-CH"/>
        </w:rPr>
        <w:t xml:space="preserve">Nous suggérons </w:t>
      </w:r>
      <w:r>
        <w:rPr>
          <w:lang w:val="fr-CH"/>
        </w:rPr>
        <w:t xml:space="preserve">ci-après des </w:t>
      </w:r>
      <w:r w:rsidRPr="000D6680">
        <w:rPr>
          <w:b/>
          <w:lang w:val="fr-CH"/>
        </w:rPr>
        <w:t>améliorations</w:t>
      </w:r>
      <w:r>
        <w:rPr>
          <w:lang w:val="fr-CH"/>
        </w:rPr>
        <w:t xml:space="preserve"> possibles des </w:t>
      </w:r>
      <w:r w:rsidRPr="000D6680">
        <w:rPr>
          <w:lang w:val="fr-CH"/>
        </w:rPr>
        <w:t xml:space="preserve">cibles proposées pour </w:t>
      </w:r>
      <w:r>
        <w:rPr>
          <w:lang w:val="fr-CH"/>
        </w:rPr>
        <w:t xml:space="preserve">le But </w:t>
      </w:r>
      <w:proofErr w:type="gramStart"/>
      <w:r>
        <w:rPr>
          <w:lang w:val="fr-CH"/>
        </w:rPr>
        <w:t>1</w:t>
      </w:r>
      <w:r w:rsidR="00BE419D">
        <w:rPr>
          <w:lang w:val="fr-CH"/>
        </w:rPr>
        <w:t>:</w:t>
      </w:r>
      <w:proofErr w:type="gramEnd"/>
      <w:r>
        <w:rPr>
          <w:lang w:val="fr-CH"/>
        </w:rPr>
        <w:t xml:space="preserve"> C</w:t>
      </w:r>
      <w:r w:rsidRPr="000D6680">
        <w:rPr>
          <w:lang w:val="fr-CH"/>
        </w:rPr>
        <w:t xml:space="preserve">onnectivité universelle </w:t>
      </w:r>
      <w:r>
        <w:rPr>
          <w:lang w:val="fr-CH"/>
        </w:rPr>
        <w:t>–</w:t>
      </w:r>
      <w:r w:rsidRPr="000D6680">
        <w:rPr>
          <w:lang w:val="fr-CH"/>
        </w:rPr>
        <w:t xml:space="preserve"> d</w:t>
      </w:r>
      <w:r w:rsidR="00BE419D">
        <w:rPr>
          <w:lang w:val="fr-CH"/>
        </w:rPr>
        <w:t>'</w:t>
      </w:r>
      <w:r w:rsidRPr="000D6680">
        <w:rPr>
          <w:lang w:val="fr-CH"/>
        </w:rPr>
        <w:t xml:space="preserve">ici </w:t>
      </w:r>
      <w:r>
        <w:rPr>
          <w:lang w:val="fr-CH"/>
        </w:rPr>
        <w:t xml:space="preserve">à </w:t>
      </w:r>
      <w:r w:rsidRPr="000D6680">
        <w:rPr>
          <w:lang w:val="fr-CH"/>
        </w:rPr>
        <w:t xml:space="preserve">2030, et </w:t>
      </w:r>
      <w:r>
        <w:rPr>
          <w:lang w:val="fr-CH"/>
        </w:rPr>
        <w:t xml:space="preserve">le But </w:t>
      </w:r>
      <w:r w:rsidRPr="000D6680">
        <w:rPr>
          <w:lang w:val="fr-CH"/>
        </w:rPr>
        <w:t>2</w:t>
      </w:r>
      <w:r w:rsidR="00BE419D">
        <w:rPr>
          <w:lang w:val="fr-CH"/>
        </w:rPr>
        <w:t>:</w:t>
      </w:r>
      <w:r w:rsidRPr="000D6680">
        <w:rPr>
          <w:lang w:val="fr-CH"/>
        </w:rPr>
        <w:t xml:space="preserve"> </w:t>
      </w:r>
      <w:r>
        <w:rPr>
          <w:lang w:val="fr-CH"/>
        </w:rPr>
        <w:t>T</w:t>
      </w:r>
      <w:r w:rsidRPr="000D6680">
        <w:rPr>
          <w:lang w:val="fr-CH"/>
        </w:rPr>
        <w:t xml:space="preserve">ransformation numérique durable </w:t>
      </w:r>
      <w:r>
        <w:rPr>
          <w:lang w:val="fr-CH"/>
        </w:rPr>
        <w:t>–</w:t>
      </w:r>
      <w:r w:rsidRPr="000D6680">
        <w:rPr>
          <w:lang w:val="fr-CH"/>
        </w:rPr>
        <w:t xml:space="preserve"> d</w:t>
      </w:r>
      <w:r w:rsidR="00BE419D">
        <w:rPr>
          <w:lang w:val="fr-CH"/>
        </w:rPr>
        <w:t>'</w:t>
      </w:r>
      <w:r w:rsidRPr="000D6680">
        <w:rPr>
          <w:lang w:val="fr-CH"/>
        </w:rPr>
        <w:t xml:space="preserve">ici </w:t>
      </w:r>
      <w:r w:rsidR="00BE419D">
        <w:rPr>
          <w:lang w:val="fr-CH"/>
        </w:rPr>
        <w:t>à </w:t>
      </w:r>
      <w:r w:rsidRPr="000D6680">
        <w:rPr>
          <w:lang w:val="fr-CH"/>
        </w:rPr>
        <w:t xml:space="preserve">2030. </w:t>
      </w:r>
      <w:r>
        <w:rPr>
          <w:lang w:val="fr-CH"/>
        </w:rPr>
        <w:t xml:space="preserve">Nous indiquons aussi certaines cibles proposées actuellement pour le </w:t>
      </w:r>
      <w:r w:rsidRPr="001903A5">
        <w:rPr>
          <w:b/>
          <w:lang w:val="fr-CH"/>
        </w:rPr>
        <w:t>But 2</w:t>
      </w:r>
      <w:r>
        <w:rPr>
          <w:lang w:val="fr-CH"/>
        </w:rPr>
        <w:t xml:space="preserve"> qu</w:t>
      </w:r>
      <w:r w:rsidR="00BE419D">
        <w:rPr>
          <w:lang w:val="fr-CH"/>
        </w:rPr>
        <w:t>'</w:t>
      </w:r>
      <w:r>
        <w:rPr>
          <w:lang w:val="fr-CH"/>
        </w:rPr>
        <w:t xml:space="preserve">il serait utile, à notre avis, de rattacher également au </w:t>
      </w:r>
      <w:r w:rsidRPr="001903A5">
        <w:rPr>
          <w:b/>
          <w:lang w:val="fr-CH"/>
        </w:rPr>
        <w:t>But 1</w:t>
      </w:r>
      <w:r>
        <w:rPr>
          <w:lang w:val="fr-CH"/>
        </w:rPr>
        <w:t>.</w:t>
      </w:r>
      <w:r w:rsidR="00BE419D">
        <w:rPr>
          <w:lang w:val="fr-CH"/>
        </w:rPr>
        <w:t xml:space="preserve"> </w:t>
      </w:r>
    </w:p>
    <w:p w14:paraId="1C83BAC9" w14:textId="77777777" w:rsidR="00BE419D" w:rsidRDefault="00BE419D" w:rsidP="00BE419D">
      <w:pPr>
        <w:rPr>
          <w:lang w:val="fr-CH"/>
        </w:rPr>
      </w:pPr>
      <w:r>
        <w:rPr>
          <w:lang w:val="fr-CH"/>
        </w:rPr>
        <w:br w:type="page"/>
      </w:r>
    </w:p>
    <w:p w14:paraId="6B7DC26F" w14:textId="12D550A6" w:rsidR="005D4D7F" w:rsidRPr="00CF68CC" w:rsidRDefault="00CF68CC" w:rsidP="00BE419D">
      <w:pPr>
        <w:rPr>
          <w:rFonts w:eastAsia="Calibri"/>
          <w:lang w:val="fr-CH"/>
        </w:rPr>
      </w:pPr>
      <w:r w:rsidRPr="00A72D4F">
        <w:rPr>
          <w:lang w:val="fr-CH"/>
        </w:rPr>
        <w:lastRenderedPageBreak/>
        <w:t xml:space="preserve">Les cibles proposées seraient les </w:t>
      </w:r>
      <w:proofErr w:type="gramStart"/>
      <w:r w:rsidRPr="00A72D4F">
        <w:rPr>
          <w:lang w:val="fr-CH"/>
        </w:rPr>
        <w:t>suivantes:</w:t>
      </w:r>
      <w:proofErr w:type="gramEnd"/>
    </w:p>
    <w:p w14:paraId="564A1FD4" w14:textId="49D47BD9" w:rsidR="005D4D7F" w:rsidRPr="00CF68CC" w:rsidRDefault="00CF68CC" w:rsidP="00BE419D">
      <w:pPr>
        <w:pStyle w:val="Headingb"/>
        <w:rPr>
          <w:rFonts w:eastAsia="Calibri"/>
          <w:lang w:val="fr-CH"/>
        </w:rPr>
      </w:pPr>
      <w:r w:rsidRPr="00A72D4F">
        <w:rPr>
          <w:bCs/>
          <w:lang w:val="fr-CH"/>
        </w:rPr>
        <w:t xml:space="preserve">But </w:t>
      </w:r>
      <w:proofErr w:type="gramStart"/>
      <w:r w:rsidRPr="00A72D4F">
        <w:rPr>
          <w:bCs/>
          <w:lang w:val="fr-CH"/>
        </w:rPr>
        <w:t>1</w:t>
      </w:r>
      <w:r w:rsidR="00BE419D">
        <w:rPr>
          <w:bCs/>
          <w:lang w:val="fr-CH"/>
        </w:rPr>
        <w:t>:</w:t>
      </w:r>
      <w:proofErr w:type="gramEnd"/>
      <w:r w:rsidRPr="00A72D4F">
        <w:rPr>
          <w:bCs/>
          <w:lang w:val="fr-CH"/>
        </w:rPr>
        <w:t xml:space="preserve"> Connectivité universelle – d</w:t>
      </w:r>
      <w:r w:rsidR="00BE419D">
        <w:rPr>
          <w:bCs/>
          <w:lang w:val="fr-CH"/>
        </w:rPr>
        <w:t>'</w:t>
      </w:r>
      <w:r w:rsidRPr="00A72D4F">
        <w:rPr>
          <w:bCs/>
          <w:lang w:val="fr-CH"/>
        </w:rPr>
        <w:t>ici à 2030:</w:t>
      </w:r>
      <w:r w:rsidR="005D4D7F" w:rsidRPr="00CF68CC">
        <w:rPr>
          <w:rFonts w:eastAsia="Calibri"/>
          <w:lang w:val="fr-CH"/>
        </w:rPr>
        <w:t xml:space="preserve"> </w:t>
      </w:r>
    </w:p>
    <w:p w14:paraId="74B3DDE1" w14:textId="1C805462" w:rsidR="005D4D7F" w:rsidRPr="00CF68CC" w:rsidRDefault="00CF68CC" w:rsidP="00BE419D">
      <w:pPr>
        <w:pStyle w:val="enumlev1"/>
        <w:rPr>
          <w:rFonts w:eastAsia="Calibri"/>
          <w:lang w:val="fr-CH"/>
        </w:rPr>
      </w:pPr>
      <w:r w:rsidRPr="00BC7997">
        <w:rPr>
          <w:lang w:val="fr-CH"/>
        </w:rPr>
        <w:t xml:space="preserve">1.1: </w:t>
      </w:r>
      <w:r>
        <w:rPr>
          <w:lang w:val="fr-CH"/>
        </w:rPr>
        <w:t>S</w:t>
      </w:r>
      <w:r w:rsidRPr="00BC7997">
        <w:rPr>
          <w:lang w:val="fr-CH"/>
        </w:rPr>
        <w:t xml:space="preserve">ervices </w:t>
      </w:r>
      <w:r>
        <w:rPr>
          <w:lang w:val="fr-CH"/>
        </w:rPr>
        <w:t>large bande pour tous à un coût abordable</w:t>
      </w:r>
    </w:p>
    <w:p w14:paraId="33540716" w14:textId="2B903CE0" w:rsidR="005D4D7F" w:rsidRPr="00AB5B50" w:rsidRDefault="001C2230" w:rsidP="00BE419D">
      <w:pPr>
        <w:pStyle w:val="enumlev2"/>
        <w:rPr>
          <w:rFonts w:eastAsia="Calibri"/>
          <w:lang w:val="fr-CH"/>
        </w:rPr>
      </w:pPr>
      <w:r w:rsidRPr="00CF68CC">
        <w:rPr>
          <w:rFonts w:eastAsia="Calibri"/>
          <w:lang w:val="fr-CH"/>
        </w:rPr>
        <w:tab/>
      </w:r>
      <w:r w:rsidR="005D4D7F" w:rsidRPr="00AB5B50">
        <w:rPr>
          <w:rFonts w:eastAsia="Calibri"/>
          <w:lang w:val="fr-CH"/>
        </w:rPr>
        <w:t xml:space="preserve">1.1.1: </w:t>
      </w:r>
      <w:r w:rsidR="00AB5B50" w:rsidRPr="00AB5B50">
        <w:rPr>
          <w:rFonts w:eastAsia="Calibri"/>
          <w:lang w:val="fr-CH" w:bidi="ar-DZ"/>
        </w:rPr>
        <w:t>inférieur à 2% du salaire minimum par habitant</w:t>
      </w:r>
    </w:p>
    <w:p w14:paraId="39A0A4B2" w14:textId="265E42F5" w:rsidR="005D4D7F" w:rsidRPr="00AB5B50" w:rsidRDefault="005D4D7F" w:rsidP="00BE419D">
      <w:pPr>
        <w:pStyle w:val="enumlev1"/>
        <w:rPr>
          <w:rFonts w:eastAsia="Calibri"/>
          <w:lang w:val="fr-CH" w:bidi="ar-DZ"/>
        </w:rPr>
      </w:pPr>
      <w:r w:rsidRPr="00AB5B50">
        <w:rPr>
          <w:rFonts w:eastAsia="Calibri"/>
          <w:lang w:val="fr-CH"/>
        </w:rPr>
        <w:t>1.2</w:t>
      </w:r>
      <w:r w:rsidR="00E05E18" w:rsidRPr="00AB5B50">
        <w:rPr>
          <w:rFonts w:eastAsia="Calibri"/>
          <w:lang w:val="fr-CH"/>
        </w:rPr>
        <w:t>:</w:t>
      </w:r>
      <w:r w:rsidRPr="00AB5B50">
        <w:rPr>
          <w:rFonts w:eastAsia="Calibri"/>
          <w:lang w:val="fr-CH"/>
        </w:rPr>
        <w:t xml:space="preserve"> </w:t>
      </w:r>
      <w:r w:rsidR="00AB5B50" w:rsidRPr="00AB5B50">
        <w:rPr>
          <w:rFonts w:eastAsia="Calibri"/>
          <w:lang w:val="fr-CH" w:bidi="ar-DZ"/>
        </w:rPr>
        <w:t>I</w:t>
      </w:r>
      <w:r w:rsidRPr="00AB5B50">
        <w:rPr>
          <w:rFonts w:eastAsia="Calibri"/>
          <w:lang w:val="fr-CH" w:bidi="ar-DZ"/>
        </w:rPr>
        <w:t>nfrastructures</w:t>
      </w:r>
      <w:r w:rsidR="00AB5B50" w:rsidRPr="00AB5B50">
        <w:rPr>
          <w:rFonts w:eastAsia="Calibri"/>
          <w:lang w:val="fr-CH" w:bidi="ar-DZ"/>
        </w:rPr>
        <w:t xml:space="preserve"> numériques sécurisées</w:t>
      </w:r>
    </w:p>
    <w:p w14:paraId="62DB0200" w14:textId="7D7F4DB5" w:rsidR="005D4D7F" w:rsidRPr="00AB5B50" w:rsidRDefault="001C2230" w:rsidP="00BE419D">
      <w:pPr>
        <w:pStyle w:val="enumlev2"/>
        <w:rPr>
          <w:rFonts w:eastAsia="Calibri"/>
          <w:lang w:val="fr-CH" w:bidi="ar-DZ"/>
        </w:rPr>
      </w:pPr>
      <w:r w:rsidRPr="00AB5B50">
        <w:rPr>
          <w:rFonts w:eastAsia="Calibri"/>
          <w:lang w:val="fr-CH" w:bidi="ar-DZ"/>
        </w:rPr>
        <w:tab/>
      </w:r>
      <w:r w:rsidR="005D4D7F" w:rsidRPr="00AB5B50">
        <w:rPr>
          <w:rFonts w:eastAsia="Calibri"/>
          <w:lang w:val="fr-CH" w:bidi="ar-DZ"/>
        </w:rPr>
        <w:t xml:space="preserve">1.2.1: </w:t>
      </w:r>
      <w:r w:rsidR="00AB5B50" w:rsidRPr="00AB5B50">
        <w:rPr>
          <w:rFonts w:eastAsia="Calibri"/>
          <w:lang w:val="fr-CH" w:bidi="ar-DZ"/>
        </w:rPr>
        <w:t>Indice de la cybersécurité</w:t>
      </w:r>
      <w:r w:rsidR="005D4D7F" w:rsidRPr="00AB5B50">
        <w:rPr>
          <w:rFonts w:eastAsia="Calibri"/>
          <w:lang w:val="fr-CH" w:bidi="ar-DZ"/>
        </w:rPr>
        <w:t xml:space="preserve"> (</w:t>
      </w:r>
      <w:r w:rsidR="00AB5B50">
        <w:rPr>
          <w:rFonts w:eastAsia="Calibri"/>
          <w:lang w:val="fr-CH" w:bidi="ar-DZ"/>
        </w:rPr>
        <w:t>ICS</w:t>
      </w:r>
      <w:r w:rsidR="005D4D7F" w:rsidRPr="00AB5B50">
        <w:rPr>
          <w:rFonts w:eastAsia="Calibri"/>
          <w:lang w:val="fr-CH" w:bidi="ar-DZ"/>
        </w:rPr>
        <w:t>) (</w:t>
      </w:r>
      <w:r w:rsidR="00AB5B50">
        <w:rPr>
          <w:rFonts w:eastAsia="Calibri"/>
          <w:lang w:val="fr-CH" w:bidi="ar-DZ"/>
        </w:rPr>
        <w:t xml:space="preserve">cible à </w:t>
      </w:r>
      <w:r w:rsidR="00CE585D">
        <w:rPr>
          <w:rFonts w:eastAsia="Calibri"/>
          <w:lang w:val="fr-CH" w:bidi="ar-DZ"/>
        </w:rPr>
        <w:t>préciser</w:t>
      </w:r>
      <w:r w:rsidR="00BE419D">
        <w:rPr>
          <w:rFonts w:eastAsia="Calibri"/>
          <w:lang w:val="fr-CH" w:bidi="ar-DZ"/>
        </w:rPr>
        <w:t>)</w:t>
      </w:r>
    </w:p>
    <w:p w14:paraId="06E8A2D4" w14:textId="3542B15C" w:rsidR="005D4D7F" w:rsidRPr="00AB5B50" w:rsidRDefault="001C2230" w:rsidP="00BE419D">
      <w:pPr>
        <w:pStyle w:val="enumlev2"/>
        <w:rPr>
          <w:rFonts w:eastAsia="Calibri"/>
          <w:lang w:val="fr-CH" w:bidi="ar-DZ"/>
        </w:rPr>
      </w:pPr>
      <w:r w:rsidRPr="00AB5B50">
        <w:rPr>
          <w:rFonts w:eastAsia="Calibri"/>
          <w:lang w:val="fr-CH" w:bidi="ar-DZ"/>
        </w:rPr>
        <w:tab/>
      </w:r>
      <w:r w:rsidR="005D4D7F" w:rsidRPr="00AB5B50">
        <w:rPr>
          <w:rFonts w:eastAsia="Calibri"/>
          <w:lang w:val="fr-CH" w:bidi="ar-DZ"/>
        </w:rPr>
        <w:t xml:space="preserve">1.2.2: Proportion </w:t>
      </w:r>
      <w:r w:rsidR="00AB5B50" w:rsidRPr="00AB5B50">
        <w:rPr>
          <w:rFonts w:eastAsia="Calibri"/>
          <w:lang w:val="fr-CH" w:bidi="ar-DZ"/>
        </w:rPr>
        <w:t xml:space="preserve">des cyberattaques repoussées par des mesures engagées </w:t>
      </w:r>
      <w:r w:rsidR="00BE419D">
        <w:rPr>
          <w:rFonts w:eastAsia="Calibri"/>
          <w:lang w:val="fr-CH" w:bidi="ar-DZ"/>
        </w:rPr>
        <w:t>par les équipes </w:t>
      </w:r>
      <w:r w:rsidR="00AB5B50" w:rsidRPr="00AB5B50">
        <w:rPr>
          <w:rFonts w:eastAsia="Calibri"/>
          <w:lang w:val="fr-CH" w:bidi="ar-DZ"/>
        </w:rPr>
        <w:t>CERT/CSIRT/CIRT</w:t>
      </w:r>
      <w:r w:rsidR="005D4D7F" w:rsidRPr="00AB5B50">
        <w:rPr>
          <w:rFonts w:eastAsia="Calibri"/>
          <w:lang w:val="fr-CH" w:bidi="ar-DZ"/>
        </w:rPr>
        <w:t xml:space="preserve"> (</w:t>
      </w:r>
      <w:r w:rsidR="00AB5B50" w:rsidRPr="00AB5B50">
        <w:rPr>
          <w:rFonts w:eastAsia="Calibri"/>
          <w:lang w:val="fr-CH" w:bidi="ar-DZ"/>
        </w:rPr>
        <w:t xml:space="preserve">cible à </w:t>
      </w:r>
      <w:r w:rsidR="00CE585D">
        <w:rPr>
          <w:rFonts w:eastAsia="Calibri"/>
          <w:lang w:val="fr-CH" w:bidi="ar-DZ"/>
        </w:rPr>
        <w:t>préciser</w:t>
      </w:r>
      <w:r w:rsidR="00BE419D">
        <w:rPr>
          <w:rFonts w:eastAsia="Calibri"/>
          <w:lang w:val="fr-CH" w:bidi="ar-DZ"/>
        </w:rPr>
        <w:t>)</w:t>
      </w:r>
    </w:p>
    <w:p w14:paraId="25BB56EA" w14:textId="1BA9D3C8" w:rsidR="005D4D7F" w:rsidRPr="00B605AE" w:rsidRDefault="005D4D7F" w:rsidP="00BE419D">
      <w:pPr>
        <w:pStyle w:val="enumlev1"/>
        <w:rPr>
          <w:rFonts w:eastAsia="Calibri"/>
          <w:lang w:bidi="ar-DZ"/>
        </w:rPr>
      </w:pPr>
      <w:r w:rsidRPr="00B605AE">
        <w:rPr>
          <w:rFonts w:eastAsia="Calibri"/>
          <w:lang w:bidi="ar-DZ"/>
        </w:rPr>
        <w:t>1.3</w:t>
      </w:r>
      <w:r w:rsidR="00E05E18">
        <w:rPr>
          <w:rFonts w:eastAsia="Calibri"/>
          <w:lang w:bidi="ar-DZ"/>
        </w:rPr>
        <w:t>:</w:t>
      </w:r>
      <w:r w:rsidRPr="00B605AE">
        <w:rPr>
          <w:rFonts w:eastAsia="Calibri"/>
          <w:lang w:bidi="ar-DZ"/>
        </w:rPr>
        <w:t xml:space="preserve"> </w:t>
      </w:r>
      <w:r w:rsidR="00AB5B50">
        <w:rPr>
          <w:rFonts w:eastAsia="Calibri"/>
          <w:lang w:bidi="ar-DZ"/>
        </w:rPr>
        <w:t>I</w:t>
      </w:r>
      <w:r w:rsidRPr="00B605AE">
        <w:rPr>
          <w:rFonts w:eastAsia="Calibri"/>
          <w:lang w:bidi="ar-DZ"/>
        </w:rPr>
        <w:t>nfrastructures</w:t>
      </w:r>
      <w:r w:rsidR="00AB5B50">
        <w:rPr>
          <w:rFonts w:eastAsia="Calibri"/>
          <w:lang w:bidi="ar-DZ"/>
        </w:rPr>
        <w:t xml:space="preserve"> numériques résilientes</w:t>
      </w:r>
    </w:p>
    <w:p w14:paraId="1F0215D1" w14:textId="6F3A5FD7" w:rsidR="005D4D7F" w:rsidRPr="00BE419D" w:rsidRDefault="005D4D7F" w:rsidP="00BE419D">
      <w:pPr>
        <w:pStyle w:val="enumlev1"/>
        <w:rPr>
          <w:rFonts w:eastAsia="Calibri"/>
          <w:lang w:val="fr-CH"/>
        </w:rPr>
      </w:pPr>
      <w:r w:rsidRPr="00B605AE">
        <w:rPr>
          <w:rFonts w:eastAsia="Calibri"/>
          <w:lang w:bidi="ar-DZ"/>
        </w:rPr>
        <w:t>1.4</w:t>
      </w:r>
      <w:r w:rsidR="00E05E18">
        <w:rPr>
          <w:rFonts w:eastAsia="Calibri"/>
          <w:lang w:bidi="ar-DZ"/>
        </w:rPr>
        <w:t>:</w:t>
      </w:r>
      <w:r w:rsidRPr="00B605AE">
        <w:rPr>
          <w:rFonts w:eastAsia="Calibri"/>
          <w:lang w:bidi="ar-DZ"/>
        </w:rPr>
        <w:t xml:space="preserve"> </w:t>
      </w:r>
      <w:r w:rsidR="00AB5B50">
        <w:rPr>
          <w:lang w:val="fr-CH"/>
        </w:rPr>
        <w:t>S</w:t>
      </w:r>
      <w:r w:rsidR="00AB5B50" w:rsidRPr="00BC7997">
        <w:rPr>
          <w:lang w:val="fr-CH"/>
        </w:rPr>
        <w:t xml:space="preserve">ervices </w:t>
      </w:r>
      <w:r w:rsidR="00AB5B50">
        <w:rPr>
          <w:lang w:val="fr-CH"/>
        </w:rPr>
        <w:t>large bande pour tous</w:t>
      </w:r>
    </w:p>
    <w:p w14:paraId="2E0BBF5B" w14:textId="3812B58F" w:rsidR="005D4D7F" w:rsidRPr="00AB5B50" w:rsidRDefault="001C2230" w:rsidP="00BE419D">
      <w:pPr>
        <w:pStyle w:val="enumlev2"/>
        <w:rPr>
          <w:rFonts w:eastAsia="Calibri"/>
          <w:lang w:val="fr-CH"/>
        </w:rPr>
      </w:pPr>
      <w:r w:rsidRPr="00AB5B50">
        <w:rPr>
          <w:rFonts w:eastAsia="Calibri"/>
          <w:lang w:val="fr-CH"/>
        </w:rPr>
        <w:tab/>
      </w:r>
      <w:r w:rsidR="005D4D7F" w:rsidRPr="00AB5B50">
        <w:rPr>
          <w:rFonts w:eastAsia="Calibri"/>
          <w:lang w:val="fr-CH"/>
        </w:rPr>
        <w:t xml:space="preserve">1.4.1: </w:t>
      </w:r>
      <w:r w:rsidR="00AB5B50" w:rsidRPr="00AB5B50">
        <w:rPr>
          <w:rFonts w:eastAsia="Calibri"/>
          <w:lang w:val="fr-CH"/>
        </w:rPr>
        <w:t>Couverture universelle en large bande fixe d</w:t>
      </w:r>
      <w:r w:rsidR="00BE419D">
        <w:rPr>
          <w:rFonts w:eastAsia="Calibri"/>
          <w:lang w:val="fr-CH"/>
        </w:rPr>
        <w:t>'</w:t>
      </w:r>
      <w:r w:rsidR="00AB5B50" w:rsidRPr="00AB5B50">
        <w:rPr>
          <w:rFonts w:eastAsia="Calibri"/>
          <w:lang w:val="fr-CH"/>
        </w:rPr>
        <w:t xml:space="preserve">au moins </w:t>
      </w:r>
      <w:r w:rsidR="006E1F3A">
        <w:rPr>
          <w:rFonts w:eastAsia="Calibri"/>
          <w:lang w:val="fr-CH"/>
        </w:rPr>
        <w:t>2Mbit/s par utilisateur</w:t>
      </w:r>
      <w:r w:rsidR="005D4D7F" w:rsidRPr="00AB5B50">
        <w:rPr>
          <w:rFonts w:eastAsia="Calibri"/>
          <w:lang w:val="fr-CH"/>
        </w:rPr>
        <w:t xml:space="preserve"> </w:t>
      </w:r>
    </w:p>
    <w:p w14:paraId="13B8C407" w14:textId="58A0A7AE" w:rsidR="005D4D7F" w:rsidRPr="006E1F3A" w:rsidRDefault="005D4D7F" w:rsidP="00BE419D">
      <w:pPr>
        <w:pStyle w:val="enumlev1"/>
        <w:rPr>
          <w:rFonts w:eastAsia="Calibri"/>
          <w:lang w:val="fr-CH"/>
        </w:rPr>
      </w:pPr>
      <w:r w:rsidRPr="006E1F3A">
        <w:rPr>
          <w:rFonts w:eastAsia="Calibri"/>
          <w:lang w:val="fr-CH"/>
        </w:rPr>
        <w:t>1.5</w:t>
      </w:r>
      <w:r w:rsidR="00E05E18" w:rsidRPr="006E1F3A">
        <w:rPr>
          <w:rFonts w:eastAsia="Calibri"/>
          <w:lang w:val="fr-CH"/>
        </w:rPr>
        <w:t>:</w:t>
      </w:r>
      <w:r w:rsidRPr="006E1F3A">
        <w:rPr>
          <w:rFonts w:eastAsia="Calibri"/>
          <w:lang w:val="fr-CH"/>
        </w:rPr>
        <w:t xml:space="preserve"> </w:t>
      </w:r>
      <w:r w:rsidR="006E1F3A">
        <w:rPr>
          <w:rFonts w:eastAsia="Calibri"/>
          <w:lang w:val="fr-CH"/>
        </w:rPr>
        <w:t>C</w:t>
      </w:r>
      <w:r w:rsidR="006E1F3A" w:rsidRPr="006E1F3A">
        <w:rPr>
          <w:rFonts w:eastAsia="Calibri"/>
          <w:lang w:val="fr-CH"/>
        </w:rPr>
        <w:t>onnectivité large bande pour l</w:t>
      </w:r>
      <w:r w:rsidR="00BE419D">
        <w:rPr>
          <w:rFonts w:eastAsia="Calibri"/>
          <w:lang w:val="fr-CH"/>
        </w:rPr>
        <w:t>'</w:t>
      </w:r>
      <w:r w:rsidR="006E1F3A" w:rsidRPr="006E1F3A">
        <w:rPr>
          <w:rFonts w:eastAsia="Calibri"/>
          <w:lang w:val="fr-CH"/>
        </w:rPr>
        <w:t>éducation et d</w:t>
      </w:r>
      <w:r w:rsidR="00BE419D">
        <w:rPr>
          <w:rFonts w:eastAsia="Calibri"/>
          <w:lang w:val="fr-CH"/>
        </w:rPr>
        <w:t>'</w:t>
      </w:r>
      <w:r w:rsidR="006E1F3A" w:rsidRPr="006E1F3A">
        <w:rPr>
          <w:rFonts w:eastAsia="Calibri"/>
          <w:lang w:val="fr-CH"/>
        </w:rPr>
        <w:t>autres domaines sociaux et économiques</w:t>
      </w:r>
      <w:r w:rsidRPr="006E1F3A">
        <w:rPr>
          <w:rFonts w:eastAsia="Calibri"/>
          <w:lang w:val="fr-CH"/>
        </w:rPr>
        <w:t xml:space="preserve"> </w:t>
      </w:r>
    </w:p>
    <w:p w14:paraId="296F88D2" w14:textId="51563B5F" w:rsidR="006E1F3A" w:rsidRPr="006E1F3A" w:rsidRDefault="006E1F3A" w:rsidP="00BE419D">
      <w:pPr>
        <w:pStyle w:val="enumlev2"/>
        <w:rPr>
          <w:rFonts w:eastAsia="Calibri"/>
          <w:lang w:val="fr-CH"/>
        </w:rPr>
      </w:pPr>
      <w:r>
        <w:rPr>
          <w:rFonts w:eastAsia="Calibri"/>
          <w:lang w:val="fr-CH"/>
        </w:rPr>
        <w:tab/>
        <w:t>1.5.1</w:t>
      </w:r>
      <w:r w:rsidR="00BE419D">
        <w:rPr>
          <w:rFonts w:eastAsia="Calibri"/>
          <w:lang w:val="fr-CH"/>
        </w:rPr>
        <w:t>:</w:t>
      </w:r>
      <w:r>
        <w:rPr>
          <w:rFonts w:eastAsia="Calibri"/>
          <w:lang w:val="fr-CH"/>
        </w:rPr>
        <w:t xml:space="preserve"> A</w:t>
      </w:r>
      <w:r w:rsidRPr="006E1F3A">
        <w:rPr>
          <w:rFonts w:eastAsia="Calibri"/>
          <w:lang w:val="fr-CH"/>
        </w:rPr>
        <w:t xml:space="preserve">ccès large bande pour chaque adulte/jeune </w:t>
      </w:r>
      <w:r w:rsidRPr="006E1F3A">
        <w:rPr>
          <w:rFonts w:eastAsia="Calibri"/>
          <w:highlight w:val="green"/>
          <w:lang w:val="fr-CH"/>
        </w:rPr>
        <w:t>(% de connectés/pays)</w:t>
      </w:r>
      <w:r>
        <w:rPr>
          <w:rFonts w:eastAsia="Calibri"/>
          <w:lang w:val="fr-CH"/>
        </w:rPr>
        <w:t xml:space="preserve"> </w:t>
      </w:r>
    </w:p>
    <w:p w14:paraId="36E09F74" w14:textId="0735FFD1" w:rsidR="006E1F3A" w:rsidRPr="006E1F3A" w:rsidRDefault="006E1F3A" w:rsidP="00BE419D">
      <w:pPr>
        <w:pStyle w:val="enumlev2"/>
        <w:rPr>
          <w:rFonts w:eastAsia="Calibri"/>
          <w:lang w:val="fr-CH"/>
        </w:rPr>
      </w:pPr>
      <w:r w:rsidRPr="006E1F3A">
        <w:rPr>
          <w:rFonts w:eastAsia="Calibri"/>
          <w:lang w:val="fr-CH"/>
        </w:rPr>
        <w:tab/>
        <w:t>1.5.2</w:t>
      </w:r>
      <w:r w:rsidR="00BE419D">
        <w:rPr>
          <w:rFonts w:eastAsia="Calibri"/>
          <w:lang w:val="fr-CH"/>
        </w:rPr>
        <w:t>:</w:t>
      </w:r>
      <w:r w:rsidRPr="006E1F3A">
        <w:rPr>
          <w:rFonts w:eastAsia="Calibri"/>
          <w:lang w:val="fr-CH"/>
        </w:rPr>
        <w:t xml:space="preserve"> </w:t>
      </w:r>
      <w:r>
        <w:rPr>
          <w:rFonts w:eastAsia="Calibri"/>
          <w:lang w:val="fr-CH"/>
        </w:rPr>
        <w:t>A</w:t>
      </w:r>
      <w:r w:rsidRPr="006E1F3A">
        <w:rPr>
          <w:rFonts w:eastAsia="Calibri"/>
          <w:lang w:val="fr-CH"/>
        </w:rPr>
        <w:t xml:space="preserve">ccès large bande pour </w:t>
      </w:r>
      <w:r>
        <w:rPr>
          <w:rFonts w:eastAsia="Calibri"/>
          <w:lang w:val="fr-CH"/>
        </w:rPr>
        <w:t xml:space="preserve">toutes les écoles/universités </w:t>
      </w:r>
    </w:p>
    <w:p w14:paraId="625203B3" w14:textId="493E5793" w:rsidR="006E1F3A" w:rsidRPr="006E1F3A" w:rsidRDefault="006E1F3A" w:rsidP="00BE419D">
      <w:pPr>
        <w:pStyle w:val="enumlev2"/>
        <w:rPr>
          <w:rFonts w:eastAsia="Calibri"/>
          <w:lang w:val="fr-CH"/>
        </w:rPr>
      </w:pPr>
      <w:r w:rsidRPr="006E1F3A">
        <w:rPr>
          <w:rFonts w:eastAsia="Calibri"/>
          <w:lang w:val="fr-CH"/>
        </w:rPr>
        <w:tab/>
        <w:t>1.5.3</w:t>
      </w:r>
      <w:r w:rsidR="00BE419D">
        <w:rPr>
          <w:rFonts w:eastAsia="Calibri"/>
          <w:lang w:val="fr-CH"/>
        </w:rPr>
        <w:t>:</w:t>
      </w:r>
      <w:r w:rsidRPr="006E1F3A">
        <w:rPr>
          <w:rFonts w:eastAsia="Calibri"/>
          <w:lang w:val="fr-CH"/>
        </w:rPr>
        <w:t xml:space="preserve"> </w:t>
      </w:r>
      <w:r>
        <w:rPr>
          <w:rFonts w:eastAsia="Calibri"/>
          <w:lang w:val="fr-CH"/>
        </w:rPr>
        <w:t>A</w:t>
      </w:r>
      <w:r w:rsidRPr="006E1F3A">
        <w:rPr>
          <w:rFonts w:eastAsia="Calibri"/>
          <w:lang w:val="fr-CH"/>
        </w:rPr>
        <w:t xml:space="preserve">ccès large bande pour tous les centres de santé </w:t>
      </w:r>
      <w:r w:rsidRPr="006E1F3A">
        <w:rPr>
          <w:rFonts w:eastAsia="Calibri"/>
          <w:highlight w:val="green"/>
          <w:lang w:val="fr-CH"/>
        </w:rPr>
        <w:t>(% de connectés/pays)</w:t>
      </w:r>
      <w:r>
        <w:rPr>
          <w:rFonts w:eastAsia="Calibri"/>
          <w:lang w:val="fr-CH"/>
        </w:rPr>
        <w:t xml:space="preserve"> </w:t>
      </w:r>
    </w:p>
    <w:p w14:paraId="4EF5BB0B" w14:textId="1571E6E8" w:rsidR="00FC315C" w:rsidRPr="006E1F3A" w:rsidRDefault="006E1F3A" w:rsidP="00BE419D">
      <w:pPr>
        <w:pStyle w:val="enumlev2"/>
        <w:rPr>
          <w:rFonts w:eastAsia="Calibri"/>
          <w:lang w:val="fr-CH"/>
        </w:rPr>
      </w:pPr>
      <w:r w:rsidRPr="006E1F3A">
        <w:rPr>
          <w:rFonts w:eastAsia="Calibri"/>
          <w:lang w:val="fr-CH"/>
        </w:rPr>
        <w:tab/>
        <w:t>1.5.4</w:t>
      </w:r>
      <w:r w:rsidR="00BE419D">
        <w:rPr>
          <w:rFonts w:eastAsia="Calibri"/>
          <w:lang w:val="fr-CH"/>
        </w:rPr>
        <w:t>:</w:t>
      </w:r>
      <w:r w:rsidRPr="006E1F3A">
        <w:rPr>
          <w:rFonts w:eastAsia="Calibri"/>
          <w:lang w:val="fr-CH"/>
        </w:rPr>
        <w:t xml:space="preserve"> </w:t>
      </w:r>
      <w:r>
        <w:rPr>
          <w:rFonts w:eastAsia="Calibri"/>
          <w:lang w:val="fr-CH"/>
        </w:rPr>
        <w:t>A</w:t>
      </w:r>
      <w:r w:rsidRPr="006E1F3A">
        <w:rPr>
          <w:rFonts w:eastAsia="Calibri"/>
          <w:lang w:val="fr-CH"/>
        </w:rPr>
        <w:t>ccès large bande pour</w:t>
      </w:r>
      <w:r>
        <w:rPr>
          <w:rFonts w:eastAsia="Calibri"/>
          <w:lang w:val="fr-CH"/>
        </w:rPr>
        <w:t xml:space="preserve"> les MPME </w:t>
      </w:r>
      <w:r w:rsidRPr="006E1F3A">
        <w:rPr>
          <w:rFonts w:eastAsia="Calibri"/>
          <w:highlight w:val="green"/>
          <w:lang w:val="fr-CH"/>
        </w:rPr>
        <w:t>(% de connectés/pays)</w:t>
      </w:r>
    </w:p>
    <w:p w14:paraId="441577E7" w14:textId="0CF3D830" w:rsidR="00FC315C" w:rsidRPr="00CF68CC" w:rsidRDefault="00FC315C" w:rsidP="00BE419D">
      <w:pPr>
        <w:pStyle w:val="enumlev1"/>
        <w:ind w:left="0" w:firstLine="0"/>
        <w:rPr>
          <w:rFonts w:eastAsia="Calibri"/>
          <w:lang w:val="fr-CH"/>
        </w:rPr>
      </w:pPr>
      <w:r w:rsidRPr="00CF68CC">
        <w:rPr>
          <w:rFonts w:eastAsia="Calibri"/>
          <w:lang w:val="fr-CH"/>
        </w:rPr>
        <w:t>1.6</w:t>
      </w:r>
      <w:r w:rsidR="00E05E18" w:rsidRPr="00CF68CC">
        <w:rPr>
          <w:rFonts w:eastAsia="Calibri"/>
          <w:lang w:val="fr-CH"/>
        </w:rPr>
        <w:t>:</w:t>
      </w:r>
      <w:r w:rsidRPr="00CF68CC">
        <w:rPr>
          <w:rFonts w:eastAsia="Calibri"/>
          <w:lang w:val="fr-CH"/>
        </w:rPr>
        <w:t xml:space="preserve"> </w:t>
      </w:r>
      <w:r w:rsidR="00CF68CC" w:rsidRPr="00CF68CC">
        <w:rPr>
          <w:rFonts w:eastAsia="Calibri"/>
          <w:lang w:val="fr-CH"/>
        </w:rPr>
        <w:t>Réduction de toutes les fractures numériques (en particulier entre les pays, entre les hommes et les femmes, en fonction de l</w:t>
      </w:r>
      <w:r w:rsidR="00BE419D">
        <w:rPr>
          <w:rFonts w:eastAsia="Calibri"/>
          <w:lang w:val="fr-CH"/>
        </w:rPr>
        <w:t>'</w:t>
      </w:r>
      <w:r w:rsidR="00CF68CC" w:rsidRPr="00CF68CC">
        <w:rPr>
          <w:rFonts w:eastAsia="Calibri"/>
          <w:lang w:val="fr-CH"/>
        </w:rPr>
        <w:t>âge et entre les zones urbaines et les zones rurales)</w:t>
      </w:r>
      <w:r w:rsidR="00E05E18" w:rsidRPr="00CF68CC">
        <w:rPr>
          <w:rFonts w:eastAsia="Calibri"/>
          <w:lang w:val="fr-CH"/>
        </w:rPr>
        <w:t>.</w:t>
      </w:r>
    </w:p>
    <w:p w14:paraId="293EB31C" w14:textId="3EAA14A1" w:rsidR="00FC315C" w:rsidRPr="007221B4" w:rsidRDefault="00FC315C" w:rsidP="00BE419D">
      <w:pPr>
        <w:pStyle w:val="Headingb"/>
      </w:pPr>
      <w:r w:rsidRPr="007221B4">
        <w:t xml:space="preserve">But </w:t>
      </w:r>
      <w:proofErr w:type="gramStart"/>
      <w:r w:rsidRPr="007221B4">
        <w:t>2:</w:t>
      </w:r>
      <w:proofErr w:type="gramEnd"/>
      <w:r w:rsidRPr="007221B4">
        <w:t xml:space="preserve"> Transformation numérique durable – d</w:t>
      </w:r>
      <w:r w:rsidR="00BE419D">
        <w:t>'</w:t>
      </w:r>
      <w:r w:rsidRPr="007221B4">
        <w:t>ici à 2030:</w:t>
      </w:r>
    </w:p>
    <w:p w14:paraId="3D577938" w14:textId="146459EB" w:rsidR="00FC315C" w:rsidRPr="006E1F3A" w:rsidRDefault="00FC315C" w:rsidP="00BE419D">
      <w:pPr>
        <w:pStyle w:val="enumlev1"/>
        <w:rPr>
          <w:rFonts w:eastAsia="Calibri"/>
          <w:lang w:val="fr-CH"/>
        </w:rPr>
      </w:pPr>
      <w:r w:rsidRPr="006E1F3A">
        <w:rPr>
          <w:rFonts w:eastAsia="Calibri"/>
          <w:lang w:val="fr-CH"/>
        </w:rPr>
        <w:t xml:space="preserve">2.1: </w:t>
      </w:r>
      <w:r w:rsidR="006E1F3A">
        <w:rPr>
          <w:rFonts w:eastAsia="Calibri"/>
          <w:lang w:val="fr-CH"/>
        </w:rPr>
        <w:t>S</w:t>
      </w:r>
      <w:r w:rsidR="006E1F3A" w:rsidRPr="006E1F3A">
        <w:rPr>
          <w:rFonts w:eastAsia="Calibri"/>
          <w:lang w:val="fr-CH"/>
        </w:rPr>
        <w:t xml:space="preserve">tratégie de transformation numérique et cadres </w:t>
      </w:r>
      <w:r w:rsidR="006E1F3A">
        <w:rPr>
          <w:rFonts w:eastAsia="Calibri"/>
          <w:lang w:val="fr-CH"/>
        </w:rPr>
        <w:t>directifs et réglementaires y afférents</w:t>
      </w:r>
    </w:p>
    <w:p w14:paraId="5FD23CB2" w14:textId="58C37E38" w:rsidR="00FC315C" w:rsidRPr="006E1F3A" w:rsidRDefault="00FC315C" w:rsidP="00BE419D">
      <w:pPr>
        <w:pStyle w:val="enumlev1"/>
        <w:rPr>
          <w:rFonts w:eastAsia="Calibri"/>
          <w:lang w:val="fr-CH"/>
        </w:rPr>
      </w:pPr>
      <w:r w:rsidRPr="006E1F3A">
        <w:rPr>
          <w:rFonts w:eastAsia="Calibri"/>
          <w:lang w:val="fr-CH"/>
        </w:rPr>
        <w:t xml:space="preserve">2.2: </w:t>
      </w:r>
      <w:r w:rsidR="006E1F3A">
        <w:rPr>
          <w:rFonts w:eastAsia="Calibri"/>
          <w:lang w:val="fr-CH"/>
        </w:rPr>
        <w:t>Bâtir</w:t>
      </w:r>
      <w:r w:rsidR="006E1F3A" w:rsidRPr="006E1F3A">
        <w:rPr>
          <w:rFonts w:eastAsia="Calibri"/>
          <w:lang w:val="fr-CH"/>
        </w:rPr>
        <w:t xml:space="preserve"> un écosystème d</w:t>
      </w:r>
      <w:r w:rsidR="006E1F3A">
        <w:rPr>
          <w:rFonts w:eastAsia="Calibri"/>
          <w:lang w:val="fr-CH"/>
        </w:rPr>
        <w:t>e l</w:t>
      </w:r>
      <w:r w:rsidR="00BE419D">
        <w:rPr>
          <w:rFonts w:eastAsia="Calibri"/>
          <w:lang w:val="fr-CH"/>
        </w:rPr>
        <w:t>'</w:t>
      </w:r>
      <w:r w:rsidR="006E1F3A">
        <w:rPr>
          <w:rFonts w:eastAsia="Calibri"/>
          <w:lang w:val="fr-CH"/>
        </w:rPr>
        <w:t>innovation et de l</w:t>
      </w:r>
      <w:r w:rsidR="00BE419D">
        <w:rPr>
          <w:rFonts w:eastAsia="Calibri"/>
          <w:lang w:val="fr-CH"/>
        </w:rPr>
        <w:t>'</w:t>
      </w:r>
      <w:r w:rsidR="006E1F3A">
        <w:rPr>
          <w:rFonts w:eastAsia="Calibri"/>
          <w:lang w:val="fr-CH"/>
        </w:rPr>
        <w:t>entreprena</w:t>
      </w:r>
      <w:r w:rsidR="006E1F3A" w:rsidRPr="006E1F3A">
        <w:rPr>
          <w:rFonts w:eastAsia="Calibri"/>
          <w:lang w:val="fr-CH"/>
        </w:rPr>
        <w:t>riat dans le domaine numérique</w:t>
      </w:r>
    </w:p>
    <w:p w14:paraId="1F6F7353" w14:textId="33EDFA94" w:rsidR="00FC315C" w:rsidRPr="00394B18" w:rsidRDefault="00FC315C" w:rsidP="00BE419D">
      <w:pPr>
        <w:pStyle w:val="enumlev1"/>
        <w:rPr>
          <w:rFonts w:eastAsia="Calibri"/>
          <w:lang w:val="fr-CH"/>
        </w:rPr>
      </w:pPr>
      <w:r w:rsidRPr="00394B18">
        <w:rPr>
          <w:rFonts w:eastAsia="Calibri"/>
          <w:lang w:val="fr-CH"/>
        </w:rPr>
        <w:t>2.3: Promo</w:t>
      </w:r>
      <w:r w:rsidR="00394B18" w:rsidRPr="00394B18">
        <w:rPr>
          <w:rFonts w:eastAsia="Calibri"/>
          <w:lang w:val="fr-CH"/>
        </w:rPr>
        <w:t>uvoir les services numériques dans le domaine financier et d</w:t>
      </w:r>
      <w:r w:rsidR="00BE419D">
        <w:rPr>
          <w:rFonts w:eastAsia="Calibri"/>
          <w:lang w:val="fr-CH"/>
        </w:rPr>
        <w:t>'</w:t>
      </w:r>
      <w:r w:rsidR="00394B18" w:rsidRPr="00394B18">
        <w:rPr>
          <w:rFonts w:eastAsia="Calibri"/>
          <w:lang w:val="fr-CH"/>
        </w:rPr>
        <w:t>autres domaines</w:t>
      </w:r>
    </w:p>
    <w:p w14:paraId="11A7F7E5" w14:textId="54F76069" w:rsidR="00FC315C" w:rsidRPr="00394B18" w:rsidRDefault="00FC315C" w:rsidP="00BE419D">
      <w:pPr>
        <w:pStyle w:val="enumlev1"/>
        <w:ind w:left="0" w:firstLine="0"/>
        <w:rPr>
          <w:rFonts w:eastAsia="Calibri"/>
          <w:lang w:val="fr-CH"/>
        </w:rPr>
      </w:pPr>
      <w:r w:rsidRPr="00394B18">
        <w:rPr>
          <w:rFonts w:eastAsia="Calibri"/>
          <w:lang w:val="fr-CH"/>
        </w:rPr>
        <w:t xml:space="preserve">2.4: </w:t>
      </w:r>
      <w:r w:rsidR="00394B18" w:rsidRPr="00394B18">
        <w:rPr>
          <w:rFonts w:eastAsia="Calibri"/>
          <w:lang w:val="fr-CH"/>
        </w:rPr>
        <w:t xml:space="preserve">Adoption des technologies numériques, y compris </w:t>
      </w:r>
      <w:r w:rsidR="00394B18">
        <w:rPr>
          <w:rFonts w:eastAsia="Calibri"/>
          <w:lang w:val="fr-CH"/>
        </w:rPr>
        <w:t xml:space="preserve">des </w:t>
      </w:r>
      <w:r w:rsidR="00394B18" w:rsidRPr="00394B18">
        <w:rPr>
          <w:rFonts w:eastAsia="Calibri"/>
          <w:lang w:val="fr-CH"/>
        </w:rPr>
        <w:t xml:space="preserve">technologies </w:t>
      </w:r>
      <w:proofErr w:type="gramStart"/>
      <w:r w:rsidR="00394B18">
        <w:rPr>
          <w:rFonts w:eastAsia="Calibri"/>
          <w:lang w:val="fr-CH"/>
        </w:rPr>
        <w:t>naissantes</w:t>
      </w:r>
      <w:r w:rsidRPr="00394B18">
        <w:rPr>
          <w:rFonts w:eastAsia="Calibri"/>
          <w:lang w:val="fr-CH"/>
        </w:rPr>
        <w:t>;</w:t>
      </w:r>
      <w:proofErr w:type="gramEnd"/>
      <w:r w:rsidRPr="00394B18">
        <w:rPr>
          <w:rFonts w:eastAsia="Calibri"/>
          <w:lang w:val="fr-CH"/>
        </w:rPr>
        <w:t xml:space="preserve">2.6 </w:t>
      </w:r>
      <w:r w:rsidR="00394B18" w:rsidRPr="00394B18">
        <w:rPr>
          <w:rFonts w:eastAsia="Calibri"/>
          <w:lang w:val="fr-CH"/>
        </w:rPr>
        <w:t>Promouvoir l</w:t>
      </w:r>
      <w:r w:rsidR="00BE419D">
        <w:rPr>
          <w:rFonts w:eastAsia="Calibri"/>
          <w:lang w:val="fr-CH"/>
        </w:rPr>
        <w:t>'</w:t>
      </w:r>
      <w:r w:rsidR="00394B18" w:rsidRPr="00394B18">
        <w:rPr>
          <w:rFonts w:eastAsia="Calibri"/>
          <w:lang w:val="fr-CH"/>
        </w:rPr>
        <w:t>utilisation d</w:t>
      </w:r>
      <w:r w:rsidR="00BE419D">
        <w:rPr>
          <w:rFonts w:eastAsia="Calibri"/>
          <w:lang w:val="fr-CH"/>
        </w:rPr>
        <w:t>'</w:t>
      </w:r>
      <w:r w:rsidR="00394B18" w:rsidRPr="00394B18">
        <w:rPr>
          <w:rFonts w:eastAsia="Calibri"/>
          <w:lang w:val="fr-CH"/>
        </w:rPr>
        <w:t>applicatio</w:t>
      </w:r>
      <w:r w:rsidR="00394B18">
        <w:rPr>
          <w:rFonts w:eastAsia="Calibri"/>
          <w:lang w:val="fr-CH"/>
        </w:rPr>
        <w:t>ns et de services numériques (</w:t>
      </w:r>
      <w:r w:rsidR="00394B18" w:rsidRPr="00394B18">
        <w:rPr>
          <w:rFonts w:eastAsia="Calibri"/>
          <w:lang w:val="fr-CH"/>
        </w:rPr>
        <w:t>santé</w:t>
      </w:r>
      <w:r w:rsidR="00394B18">
        <w:rPr>
          <w:rFonts w:eastAsia="Calibri"/>
          <w:lang w:val="fr-CH"/>
        </w:rPr>
        <w:t xml:space="preserve"> en ligne</w:t>
      </w:r>
      <w:r w:rsidR="00394B18" w:rsidRPr="00394B18">
        <w:rPr>
          <w:rFonts w:eastAsia="Calibri"/>
          <w:lang w:val="fr-CH"/>
        </w:rPr>
        <w:t xml:space="preserve">, </w:t>
      </w:r>
      <w:r w:rsidR="00394B18">
        <w:rPr>
          <w:rFonts w:eastAsia="Calibri"/>
          <w:lang w:val="fr-CH"/>
        </w:rPr>
        <w:t>administration en ligne, etc</w:t>
      </w:r>
      <w:r w:rsidR="00394B18" w:rsidRPr="00394B18">
        <w:rPr>
          <w:rFonts w:eastAsia="Calibri"/>
          <w:lang w:val="fr-CH"/>
        </w:rPr>
        <w:t>.)</w:t>
      </w:r>
    </w:p>
    <w:p w14:paraId="73DDBD44" w14:textId="21F4D082" w:rsidR="00FC315C" w:rsidRPr="00394B18" w:rsidRDefault="00FC315C" w:rsidP="00BE419D">
      <w:pPr>
        <w:pStyle w:val="enumlev1"/>
        <w:rPr>
          <w:rFonts w:eastAsia="Calibri"/>
          <w:lang w:val="fr-CH"/>
        </w:rPr>
      </w:pPr>
      <w:r w:rsidRPr="00394B18">
        <w:rPr>
          <w:rFonts w:eastAsia="Calibri"/>
          <w:lang w:val="fr-CH"/>
        </w:rPr>
        <w:t xml:space="preserve">2.5: </w:t>
      </w:r>
      <w:r w:rsidR="00394B18" w:rsidRPr="00394B18">
        <w:rPr>
          <w:rFonts w:eastAsia="Calibri"/>
          <w:lang w:val="fr-CH"/>
        </w:rPr>
        <w:t>Renforcer les compétences numériques pour tous</w:t>
      </w:r>
    </w:p>
    <w:p w14:paraId="35F428E0" w14:textId="56E33098" w:rsidR="00FC315C" w:rsidRPr="00394B18" w:rsidRDefault="00FC315C" w:rsidP="00BE419D">
      <w:pPr>
        <w:pStyle w:val="enumlev1"/>
        <w:rPr>
          <w:rFonts w:eastAsia="Calibri"/>
          <w:lang w:val="fr-CH"/>
        </w:rPr>
      </w:pPr>
      <w:r w:rsidRPr="00394B18">
        <w:rPr>
          <w:rFonts w:eastAsia="Calibri"/>
          <w:lang w:val="fr-CH"/>
        </w:rPr>
        <w:t xml:space="preserve">2.6: </w:t>
      </w:r>
      <w:r w:rsidR="00394B18">
        <w:rPr>
          <w:rFonts w:eastAsia="Calibri"/>
          <w:lang w:val="fr-CH"/>
        </w:rPr>
        <w:t>Promouvoir l</w:t>
      </w:r>
      <w:r w:rsidR="00BE419D">
        <w:rPr>
          <w:rFonts w:eastAsia="Calibri"/>
          <w:lang w:val="fr-CH"/>
        </w:rPr>
        <w:t>'</w:t>
      </w:r>
      <w:r w:rsidR="00394B18" w:rsidRPr="00394B18">
        <w:rPr>
          <w:rFonts w:eastAsia="Calibri"/>
          <w:lang w:val="fr-CH"/>
        </w:rPr>
        <w:t>investiss</w:t>
      </w:r>
      <w:r w:rsidR="00394B18">
        <w:rPr>
          <w:rFonts w:eastAsia="Calibri"/>
          <w:lang w:val="fr-CH"/>
        </w:rPr>
        <w:t>ement</w:t>
      </w:r>
      <w:r w:rsidR="00394B18" w:rsidRPr="00394B18">
        <w:rPr>
          <w:rFonts w:eastAsia="Calibri"/>
          <w:lang w:val="fr-CH"/>
        </w:rPr>
        <w:t xml:space="preserve"> et </w:t>
      </w:r>
      <w:r w:rsidR="00394B18">
        <w:rPr>
          <w:rFonts w:eastAsia="Calibri"/>
          <w:lang w:val="fr-CH"/>
        </w:rPr>
        <w:t xml:space="preserve">élaborer </w:t>
      </w:r>
      <w:r w:rsidR="00394B18" w:rsidRPr="00394B18">
        <w:rPr>
          <w:rFonts w:eastAsia="Calibri"/>
          <w:lang w:val="fr-CH"/>
        </w:rPr>
        <w:t>des mécanismes de financement</w:t>
      </w:r>
    </w:p>
    <w:p w14:paraId="07D03D7C" w14:textId="45E8C7D4" w:rsidR="001C2230" w:rsidRDefault="00FC315C" w:rsidP="00BE419D">
      <w:pPr>
        <w:pStyle w:val="enumlev1"/>
        <w:ind w:left="0" w:firstLine="0"/>
        <w:rPr>
          <w:bCs/>
          <w:sz w:val="26"/>
          <w:szCs w:val="26"/>
          <w:lang w:eastAsia="zh-CN"/>
        </w:rPr>
      </w:pPr>
      <w:r>
        <w:t>2.7:</w:t>
      </w:r>
      <w:r w:rsidRPr="00FC315C">
        <w:rPr>
          <w:bCs/>
          <w:sz w:val="26"/>
          <w:szCs w:val="26"/>
        </w:rPr>
        <w:t xml:space="preserve"> </w:t>
      </w:r>
      <w:r w:rsidR="00394B18">
        <w:rPr>
          <w:rFonts w:eastAsia="Calibri"/>
          <w:lang w:val="fr-CH"/>
        </w:rPr>
        <w:t xml:space="preserve">Renforcer </w:t>
      </w:r>
      <w:r w:rsidRPr="00C46866">
        <w:rPr>
          <w:rFonts w:eastAsia="Calibri"/>
          <w:lang w:val="fr-CH"/>
        </w:rPr>
        <w:t>l</w:t>
      </w:r>
      <w:r w:rsidR="00BE419D">
        <w:rPr>
          <w:rFonts w:eastAsia="Calibri"/>
          <w:lang w:val="fr-CH"/>
        </w:rPr>
        <w:t>'</w:t>
      </w:r>
      <w:r w:rsidRPr="00C46866">
        <w:rPr>
          <w:rFonts w:eastAsia="Calibri"/>
          <w:lang w:val="fr-CH"/>
        </w:rPr>
        <w:t xml:space="preserve">état de préparation des pays en matière de cybersécurité, avec des capacités </w:t>
      </w:r>
      <w:proofErr w:type="gramStart"/>
      <w:r w:rsidRPr="00C46866">
        <w:rPr>
          <w:rFonts w:eastAsia="Calibri"/>
          <w:lang w:val="fr-CH"/>
        </w:rPr>
        <w:t>essentielles:</w:t>
      </w:r>
      <w:proofErr w:type="gramEnd"/>
      <w:r w:rsidRPr="00C46866">
        <w:rPr>
          <w:rFonts w:eastAsia="Calibri"/>
          <w:lang w:val="fr-CH"/>
        </w:rPr>
        <w:t xml:space="preserve"> existence d</w:t>
      </w:r>
      <w:r w:rsidR="00BE419D">
        <w:rPr>
          <w:rFonts w:eastAsia="Calibri"/>
          <w:lang w:val="fr-CH"/>
        </w:rPr>
        <w:t>'</w:t>
      </w:r>
      <w:r w:rsidRPr="00C46866">
        <w:rPr>
          <w:rFonts w:eastAsia="Calibri"/>
          <w:lang w:val="fr-CH"/>
        </w:rPr>
        <w:t>une stratégie, d</w:t>
      </w:r>
      <w:r w:rsidR="00BE419D">
        <w:rPr>
          <w:rFonts w:eastAsia="Calibri"/>
          <w:lang w:val="fr-CH"/>
        </w:rPr>
        <w:t>'</w:t>
      </w:r>
      <w:r w:rsidRPr="00C46866">
        <w:rPr>
          <w:rFonts w:eastAsia="Calibri"/>
          <w:lang w:val="fr-CH"/>
        </w:rPr>
        <w:t>équipes nationales d</w:t>
      </w:r>
      <w:r w:rsidR="00BE419D">
        <w:rPr>
          <w:rFonts w:eastAsia="Calibri"/>
          <w:lang w:val="fr-CH"/>
        </w:rPr>
        <w:t>'</w:t>
      </w:r>
      <w:r w:rsidRPr="00C46866">
        <w:rPr>
          <w:rFonts w:eastAsia="Calibri"/>
          <w:lang w:val="fr-CH"/>
        </w:rPr>
        <w:t>intervention en cas d</w:t>
      </w:r>
      <w:r w:rsidR="00BE419D">
        <w:rPr>
          <w:rFonts w:eastAsia="Calibri"/>
          <w:lang w:val="fr-CH"/>
        </w:rPr>
        <w:t>'</w:t>
      </w:r>
      <w:r w:rsidRPr="00C46866">
        <w:rPr>
          <w:rFonts w:eastAsia="Calibri"/>
          <w:lang w:val="fr-CH"/>
        </w:rPr>
        <w:t>incident/d</w:t>
      </w:r>
      <w:r w:rsidR="00BE419D">
        <w:rPr>
          <w:rFonts w:eastAsia="Calibri"/>
          <w:lang w:val="fr-CH"/>
        </w:rPr>
        <w:t>'</w:t>
      </w:r>
      <w:r w:rsidRPr="00C46866">
        <w:rPr>
          <w:rFonts w:eastAsia="Calibri"/>
          <w:lang w:val="fr-CH"/>
        </w:rPr>
        <w:t>urgence informatique</w:t>
      </w:r>
      <w:r w:rsidR="00394B18">
        <w:rPr>
          <w:rFonts w:eastAsia="Calibri"/>
          <w:lang w:val="fr-CH"/>
        </w:rPr>
        <w:t>,</w:t>
      </w:r>
      <w:r w:rsidRPr="00C46866">
        <w:rPr>
          <w:rFonts w:eastAsia="Calibri"/>
          <w:lang w:val="fr-CH"/>
        </w:rPr>
        <w:t xml:space="preserve"> et d</w:t>
      </w:r>
      <w:r w:rsidR="00BE419D">
        <w:rPr>
          <w:rFonts w:eastAsia="Calibri"/>
          <w:lang w:val="fr-CH"/>
        </w:rPr>
        <w:t>'</w:t>
      </w:r>
      <w:r w:rsidRPr="00C46866">
        <w:rPr>
          <w:rFonts w:eastAsia="Calibri"/>
          <w:lang w:val="fr-CH"/>
        </w:rPr>
        <w:t>une législation</w:t>
      </w:r>
      <w:r w:rsidR="00E05E18" w:rsidRPr="00C46866">
        <w:rPr>
          <w:rFonts w:eastAsia="Calibri"/>
          <w:lang w:val="fr-CH"/>
        </w:rPr>
        <w:t>.</w:t>
      </w:r>
    </w:p>
    <w:p w14:paraId="2FA1CC85" w14:textId="01CB7C62" w:rsidR="00FC315C" w:rsidRPr="00CF68CC" w:rsidRDefault="001C2230" w:rsidP="00BE419D">
      <w:pPr>
        <w:pStyle w:val="Heading1"/>
        <w:rPr>
          <w:rFonts w:eastAsia="Calibri"/>
          <w:lang w:val="fr-CH"/>
        </w:rPr>
      </w:pPr>
      <w:r w:rsidRPr="00CF68CC">
        <w:rPr>
          <w:sz w:val="26"/>
          <w:szCs w:val="26"/>
          <w:lang w:val="fr-CH" w:eastAsia="zh-CN"/>
        </w:rPr>
        <w:t>3</w:t>
      </w:r>
      <w:r w:rsidRPr="00CF68CC">
        <w:rPr>
          <w:sz w:val="26"/>
          <w:szCs w:val="26"/>
          <w:lang w:val="fr-CH" w:eastAsia="zh-CN"/>
        </w:rPr>
        <w:tab/>
      </w:r>
      <w:r w:rsidR="00CF68CC" w:rsidRPr="00CF68CC">
        <w:rPr>
          <w:rFonts w:eastAsia="Calibri"/>
          <w:lang w:val="fr-CH"/>
        </w:rPr>
        <w:t>Commentaire de la section 2.6 (Priorités thématiques) de la contribution du Secrétariat concernant le projet d</w:t>
      </w:r>
      <w:r w:rsidR="00BE419D">
        <w:rPr>
          <w:rFonts w:eastAsia="Calibri"/>
          <w:lang w:val="fr-CH"/>
        </w:rPr>
        <w:t>'</w:t>
      </w:r>
      <w:r w:rsidR="00CF68CC" w:rsidRPr="00CF68CC">
        <w:rPr>
          <w:rFonts w:eastAsia="Calibri"/>
          <w:lang w:val="fr-CH"/>
        </w:rPr>
        <w:t>Annexe 1 de la Résolution 71 – projet de Plan stratégique de l</w:t>
      </w:r>
      <w:r w:rsidR="00BE419D">
        <w:rPr>
          <w:rFonts w:eastAsia="Calibri"/>
          <w:lang w:val="fr-CH"/>
        </w:rPr>
        <w:t>'</w:t>
      </w:r>
      <w:r w:rsidR="00CF68CC" w:rsidRPr="00CF68CC">
        <w:rPr>
          <w:rFonts w:eastAsia="Calibri"/>
          <w:lang w:val="fr-CH"/>
        </w:rPr>
        <w:t>UIT pour 2024-2027</w:t>
      </w:r>
    </w:p>
    <w:p w14:paraId="6D2FCBE0" w14:textId="61E766E4" w:rsidR="00FC315C" w:rsidRPr="00CF68CC" w:rsidRDefault="001C2230" w:rsidP="00BE419D">
      <w:pPr>
        <w:pStyle w:val="Headingb"/>
        <w:rPr>
          <w:rFonts w:eastAsia="Calibri"/>
          <w:lang w:val="fr-CH"/>
        </w:rPr>
      </w:pPr>
      <w:r w:rsidRPr="00CF68CC">
        <w:rPr>
          <w:rFonts w:eastAsia="Calibri"/>
          <w:lang w:val="fr-CH"/>
        </w:rPr>
        <w:t>a</w:t>
      </w:r>
      <w:r w:rsidR="00CF68CC" w:rsidRPr="00CF68CC">
        <w:rPr>
          <w:rFonts w:eastAsia="Calibri"/>
          <w:lang w:val="fr-CH"/>
        </w:rPr>
        <w:t>)</w:t>
      </w:r>
      <w:r w:rsidRPr="00CF68CC">
        <w:rPr>
          <w:rFonts w:eastAsia="Calibri"/>
          <w:lang w:val="fr-CH"/>
        </w:rPr>
        <w:tab/>
      </w:r>
      <w:r w:rsidR="00CF68CC" w:rsidRPr="00CF68CC">
        <w:rPr>
          <w:rFonts w:eastAsia="Calibri"/>
          <w:lang w:val="fr-CH"/>
        </w:rPr>
        <w:t>Environnement propice</w:t>
      </w:r>
    </w:p>
    <w:p w14:paraId="7F103E62" w14:textId="269AC246" w:rsidR="001C2230" w:rsidRPr="00CF68CC" w:rsidRDefault="00CF68CC" w:rsidP="00BE419D">
      <w:pPr>
        <w:rPr>
          <w:rFonts w:eastAsia="Calibri"/>
          <w:lang w:val="fr-CH"/>
        </w:rPr>
      </w:pPr>
      <w:r w:rsidRPr="0006084A">
        <w:rPr>
          <w:lang w:val="fr-CH"/>
        </w:rPr>
        <w:t>Nous suggérons d</w:t>
      </w:r>
      <w:r w:rsidR="00BE419D">
        <w:rPr>
          <w:lang w:val="fr-CH"/>
        </w:rPr>
        <w:t>'</w:t>
      </w:r>
      <w:r w:rsidRPr="0006084A">
        <w:rPr>
          <w:lang w:val="fr-CH"/>
        </w:rPr>
        <w:t>inclure</w:t>
      </w:r>
      <w:r>
        <w:rPr>
          <w:lang w:val="fr-CH"/>
        </w:rPr>
        <w:t xml:space="preserve"> </w:t>
      </w:r>
      <w:r w:rsidRPr="0006084A">
        <w:rPr>
          <w:lang w:val="fr-CH"/>
        </w:rPr>
        <w:t>dans cette priorité thématique</w:t>
      </w:r>
      <w:r>
        <w:rPr>
          <w:lang w:val="fr-CH"/>
        </w:rPr>
        <w:t xml:space="preserve"> la promotion de</w:t>
      </w:r>
      <w:r w:rsidRPr="0006084A">
        <w:rPr>
          <w:lang w:val="fr-CH"/>
        </w:rPr>
        <w:t xml:space="preserve"> l</w:t>
      </w:r>
      <w:r w:rsidR="00BE419D">
        <w:rPr>
          <w:lang w:val="fr-CH"/>
        </w:rPr>
        <w:t>'</w:t>
      </w:r>
      <w:r w:rsidRPr="0006084A">
        <w:rPr>
          <w:lang w:val="fr-CH"/>
        </w:rPr>
        <w:t xml:space="preserve">innovation dans </w:t>
      </w:r>
      <w:r>
        <w:rPr>
          <w:lang w:val="fr-CH"/>
        </w:rPr>
        <w:t xml:space="preserve">le domaine des </w:t>
      </w:r>
      <w:r w:rsidRPr="0006084A">
        <w:rPr>
          <w:lang w:val="fr-CH"/>
        </w:rPr>
        <w:t>télécommunications/TIC. L</w:t>
      </w:r>
      <w:r w:rsidR="00BE419D">
        <w:rPr>
          <w:lang w:val="fr-CH"/>
        </w:rPr>
        <w:t>'</w:t>
      </w:r>
      <w:r w:rsidRPr="0006084A">
        <w:rPr>
          <w:lang w:val="fr-CH"/>
        </w:rPr>
        <w:t xml:space="preserve">UIT doit jouer un rôle </w:t>
      </w:r>
      <w:r>
        <w:rPr>
          <w:lang w:val="fr-CH"/>
        </w:rPr>
        <w:t>clef dans la création d</w:t>
      </w:r>
      <w:r w:rsidR="00BE419D">
        <w:rPr>
          <w:lang w:val="fr-CH"/>
        </w:rPr>
        <w:t>'</w:t>
      </w:r>
      <w:r>
        <w:rPr>
          <w:lang w:val="fr-CH"/>
        </w:rPr>
        <w:t xml:space="preserve">un </w:t>
      </w:r>
      <w:r w:rsidRPr="0006084A">
        <w:rPr>
          <w:lang w:val="fr-CH"/>
        </w:rPr>
        <w:t xml:space="preserve">environnement </w:t>
      </w:r>
      <w:r>
        <w:rPr>
          <w:lang w:val="fr-CH"/>
        </w:rPr>
        <w:t xml:space="preserve">qui soit </w:t>
      </w:r>
      <w:r w:rsidRPr="0006084A">
        <w:rPr>
          <w:lang w:val="fr-CH"/>
        </w:rPr>
        <w:t>propice à l</w:t>
      </w:r>
      <w:r w:rsidR="00BE419D">
        <w:rPr>
          <w:lang w:val="fr-CH"/>
        </w:rPr>
        <w:t>'</w:t>
      </w:r>
      <w:r w:rsidRPr="0006084A">
        <w:rPr>
          <w:lang w:val="fr-CH"/>
        </w:rPr>
        <w:t xml:space="preserve">innovation, </w:t>
      </w:r>
      <w:r>
        <w:rPr>
          <w:lang w:val="fr-CH"/>
        </w:rPr>
        <w:t xml:space="preserve">et dans lequel </w:t>
      </w:r>
      <w:r w:rsidRPr="0006084A">
        <w:rPr>
          <w:lang w:val="fr-CH"/>
        </w:rPr>
        <w:t xml:space="preserve">les technologies nouvelles et </w:t>
      </w:r>
      <w:r>
        <w:rPr>
          <w:lang w:val="fr-CH"/>
        </w:rPr>
        <w:t>naissantes</w:t>
      </w:r>
      <w:r w:rsidRPr="0006084A">
        <w:rPr>
          <w:lang w:val="fr-CH"/>
        </w:rPr>
        <w:t xml:space="preserve"> contribuent à </w:t>
      </w:r>
      <w:r>
        <w:rPr>
          <w:lang w:val="fr-CH"/>
        </w:rPr>
        <w:t>l</w:t>
      </w:r>
      <w:r w:rsidR="00BE419D">
        <w:rPr>
          <w:lang w:val="fr-CH"/>
        </w:rPr>
        <w:t>'</w:t>
      </w:r>
      <w:r>
        <w:rPr>
          <w:lang w:val="fr-CH"/>
        </w:rPr>
        <w:t xml:space="preserve">application </w:t>
      </w:r>
      <w:r w:rsidRPr="0006084A">
        <w:rPr>
          <w:lang w:val="fr-CH"/>
        </w:rPr>
        <w:t xml:space="preserve">des </w:t>
      </w:r>
      <w:r>
        <w:rPr>
          <w:lang w:val="fr-CH"/>
        </w:rPr>
        <w:t>textes issus</w:t>
      </w:r>
      <w:r w:rsidRPr="0006084A">
        <w:rPr>
          <w:lang w:val="fr-CH"/>
        </w:rPr>
        <w:t xml:space="preserve"> du SMSI et </w:t>
      </w:r>
      <w:r>
        <w:rPr>
          <w:lang w:val="fr-CH"/>
        </w:rPr>
        <w:t xml:space="preserve">à la mise en œuvre </w:t>
      </w:r>
      <w:r w:rsidRPr="0006084A">
        <w:rPr>
          <w:lang w:val="fr-CH"/>
        </w:rPr>
        <w:t xml:space="preserve">du </w:t>
      </w:r>
      <w:r>
        <w:rPr>
          <w:lang w:val="fr-CH"/>
        </w:rPr>
        <w:t>P</w:t>
      </w:r>
      <w:r w:rsidRPr="0006084A">
        <w:rPr>
          <w:lang w:val="fr-CH"/>
        </w:rPr>
        <w:t xml:space="preserve">rogramme </w:t>
      </w:r>
      <w:r>
        <w:rPr>
          <w:lang w:val="fr-CH"/>
        </w:rPr>
        <w:t xml:space="preserve">de </w:t>
      </w:r>
      <w:r w:rsidRPr="0006084A">
        <w:rPr>
          <w:lang w:val="fr-CH"/>
        </w:rPr>
        <w:t>développement durable</w:t>
      </w:r>
      <w:r>
        <w:rPr>
          <w:lang w:val="fr-CH"/>
        </w:rPr>
        <w:t xml:space="preserve"> à l</w:t>
      </w:r>
      <w:r w:rsidR="00BE419D">
        <w:rPr>
          <w:lang w:val="fr-CH"/>
        </w:rPr>
        <w:t>'</w:t>
      </w:r>
      <w:r>
        <w:rPr>
          <w:lang w:val="fr-CH"/>
        </w:rPr>
        <w:t>horizon 2030</w:t>
      </w:r>
      <w:r w:rsidRPr="0006084A">
        <w:rPr>
          <w:lang w:val="fr-CH"/>
        </w:rPr>
        <w:t xml:space="preserve">, </w:t>
      </w:r>
      <w:r>
        <w:rPr>
          <w:lang w:val="fr-CH"/>
        </w:rPr>
        <w:t xml:space="preserve">particulièrement </w:t>
      </w:r>
      <w:r w:rsidRPr="0006084A">
        <w:rPr>
          <w:lang w:val="fr-CH"/>
        </w:rPr>
        <w:t>au niveau national</w:t>
      </w:r>
      <w:r w:rsidR="00FC315C" w:rsidRPr="00CF68CC">
        <w:rPr>
          <w:rFonts w:eastAsia="Calibri"/>
          <w:lang w:val="fr-CH"/>
        </w:rPr>
        <w:t>.</w:t>
      </w:r>
    </w:p>
    <w:p w14:paraId="5C9A33DB" w14:textId="7572A4EC" w:rsidR="00FC315C" w:rsidRPr="00CE585D" w:rsidRDefault="001C2230" w:rsidP="00BE419D">
      <w:pPr>
        <w:pStyle w:val="Headingb"/>
        <w:rPr>
          <w:rFonts w:eastAsia="Calibri"/>
          <w:lang w:val="fr-CH"/>
        </w:rPr>
      </w:pPr>
      <w:r w:rsidRPr="00CE585D">
        <w:rPr>
          <w:rFonts w:eastAsia="Calibri"/>
          <w:lang w:val="fr-CH"/>
        </w:rPr>
        <w:lastRenderedPageBreak/>
        <w:t>b</w:t>
      </w:r>
      <w:r w:rsidR="00CE585D" w:rsidRPr="00CE585D">
        <w:rPr>
          <w:rFonts w:eastAsia="Calibri"/>
          <w:lang w:val="fr-CH"/>
        </w:rPr>
        <w:t>)</w:t>
      </w:r>
      <w:r w:rsidRPr="00CE585D">
        <w:rPr>
          <w:rFonts w:eastAsia="Calibri"/>
          <w:lang w:val="fr-CH"/>
        </w:rPr>
        <w:tab/>
      </w:r>
      <w:proofErr w:type="spellStart"/>
      <w:r w:rsidR="00CE585D" w:rsidRPr="00CE585D">
        <w:rPr>
          <w:rFonts w:eastAsia="Calibri"/>
          <w:lang w:val="fr-CH"/>
        </w:rPr>
        <w:t>Cybersecurité</w:t>
      </w:r>
      <w:proofErr w:type="spellEnd"/>
    </w:p>
    <w:p w14:paraId="11C54CD9" w14:textId="4AE35B97" w:rsidR="00080530" w:rsidRPr="00080530" w:rsidRDefault="00080530" w:rsidP="00BE419D">
      <w:pPr>
        <w:rPr>
          <w:lang w:val="fr-CH"/>
        </w:rPr>
      </w:pPr>
      <w:r w:rsidRPr="00080530">
        <w:rPr>
          <w:rFonts w:eastAsia="Calibri"/>
          <w:lang w:val="fr-CH"/>
        </w:rPr>
        <w:t xml:space="preserve">Le </w:t>
      </w:r>
      <w:r w:rsidRPr="004B3160">
        <w:rPr>
          <w:lang w:val="fr-CH"/>
        </w:rPr>
        <w:t>Programme mondial cybersécurité (GCA)</w:t>
      </w:r>
      <w:r>
        <w:rPr>
          <w:lang w:val="fr-CH"/>
        </w:rPr>
        <w:t xml:space="preserve"> de l</w:t>
      </w:r>
      <w:r w:rsidR="00BE419D">
        <w:rPr>
          <w:lang w:val="fr-CH"/>
        </w:rPr>
        <w:t>'</w:t>
      </w:r>
      <w:r>
        <w:rPr>
          <w:lang w:val="fr-CH"/>
        </w:rPr>
        <w:t xml:space="preserve">UIT tient une place essentielle dans </w:t>
      </w:r>
      <w:r w:rsidRPr="00080530">
        <w:rPr>
          <w:lang w:val="fr-CH"/>
        </w:rPr>
        <w:t xml:space="preserve">la transition vers une société numérique. </w:t>
      </w:r>
      <w:r>
        <w:rPr>
          <w:lang w:val="fr-CH"/>
        </w:rPr>
        <w:t>C</w:t>
      </w:r>
      <w:r w:rsidR="00BE419D">
        <w:rPr>
          <w:lang w:val="fr-CH"/>
        </w:rPr>
        <w:t>'</w:t>
      </w:r>
      <w:r>
        <w:rPr>
          <w:lang w:val="fr-CH"/>
        </w:rPr>
        <w:t xml:space="preserve">est un instrument décisif </w:t>
      </w:r>
      <w:r w:rsidRPr="00080530">
        <w:rPr>
          <w:lang w:val="fr-CH"/>
        </w:rPr>
        <w:t xml:space="preserve">pour garantir une économie numérique </w:t>
      </w:r>
      <w:r>
        <w:rPr>
          <w:lang w:val="fr-CH"/>
        </w:rPr>
        <w:t>fiable et sécurisée</w:t>
      </w:r>
      <w:r w:rsidRPr="00080530">
        <w:rPr>
          <w:lang w:val="fr-CH"/>
        </w:rPr>
        <w:t xml:space="preserve">, </w:t>
      </w:r>
      <w:r>
        <w:rPr>
          <w:lang w:val="fr-CH"/>
        </w:rPr>
        <w:t xml:space="preserve">inspirant </w:t>
      </w:r>
      <w:r w:rsidRPr="00080530">
        <w:rPr>
          <w:lang w:val="fr-CH"/>
        </w:rPr>
        <w:t xml:space="preserve">confiance à tous les participants et permettant aux entreprises de </w:t>
      </w:r>
      <w:r>
        <w:rPr>
          <w:lang w:val="fr-CH"/>
        </w:rPr>
        <w:t xml:space="preserve">se développer et de </w:t>
      </w:r>
      <w:r w:rsidRPr="00080530">
        <w:rPr>
          <w:lang w:val="fr-CH"/>
        </w:rPr>
        <w:t>prospérer</w:t>
      </w:r>
      <w:r>
        <w:rPr>
          <w:lang w:val="fr-CH"/>
        </w:rPr>
        <w:t>.</w:t>
      </w:r>
      <w:r w:rsidRPr="00080530">
        <w:rPr>
          <w:lang w:val="fr-CH"/>
        </w:rPr>
        <w:t xml:space="preserve"> </w:t>
      </w:r>
      <w:r>
        <w:rPr>
          <w:lang w:val="fr-CH"/>
        </w:rPr>
        <w:t xml:space="preserve">À la différence </w:t>
      </w:r>
      <w:r w:rsidRPr="00080530">
        <w:rPr>
          <w:lang w:val="fr-CH"/>
        </w:rPr>
        <w:t>d</w:t>
      </w:r>
      <w:r w:rsidR="00BE419D">
        <w:rPr>
          <w:lang w:val="fr-CH"/>
        </w:rPr>
        <w:t>'</w:t>
      </w:r>
      <w:r w:rsidRPr="00080530">
        <w:rPr>
          <w:lang w:val="fr-CH"/>
        </w:rPr>
        <w:t xml:space="preserve">autres "catalyseurs", il </w:t>
      </w:r>
      <w:r w:rsidR="000359AA">
        <w:rPr>
          <w:lang w:val="fr-CH"/>
        </w:rPr>
        <w:t>est déjà assorti d</w:t>
      </w:r>
      <w:r w:rsidR="00BE419D">
        <w:rPr>
          <w:lang w:val="fr-CH"/>
        </w:rPr>
        <w:t>'</w:t>
      </w:r>
      <w:r w:rsidRPr="00080530">
        <w:rPr>
          <w:lang w:val="fr-CH"/>
        </w:rPr>
        <w:t xml:space="preserve">objectifs, </w:t>
      </w:r>
      <w:r w:rsidR="000359AA">
        <w:rPr>
          <w:lang w:val="fr-CH"/>
        </w:rPr>
        <w:t>d</w:t>
      </w:r>
      <w:r w:rsidR="00BE419D">
        <w:rPr>
          <w:lang w:val="fr-CH"/>
        </w:rPr>
        <w:t>'</w:t>
      </w:r>
      <w:r w:rsidRPr="00080530">
        <w:rPr>
          <w:lang w:val="fr-CH"/>
        </w:rPr>
        <w:t xml:space="preserve">indicateurs et </w:t>
      </w:r>
      <w:r w:rsidR="000359AA">
        <w:rPr>
          <w:lang w:val="fr-CH"/>
        </w:rPr>
        <w:t xml:space="preserve">de produits </w:t>
      </w:r>
      <w:r w:rsidRPr="00080530">
        <w:rPr>
          <w:lang w:val="fr-CH"/>
        </w:rPr>
        <w:t xml:space="preserve">bien </w:t>
      </w:r>
      <w:r>
        <w:rPr>
          <w:lang w:val="fr-CH"/>
        </w:rPr>
        <w:t xml:space="preserve">définis </w:t>
      </w:r>
      <w:r w:rsidR="000359AA">
        <w:rPr>
          <w:lang w:val="fr-CH"/>
        </w:rPr>
        <w:t>qui font l</w:t>
      </w:r>
      <w:r w:rsidR="00BE419D">
        <w:rPr>
          <w:lang w:val="fr-CH"/>
        </w:rPr>
        <w:t>'</w:t>
      </w:r>
      <w:r w:rsidR="000359AA">
        <w:rPr>
          <w:lang w:val="fr-CH"/>
        </w:rPr>
        <w:t>objet d</w:t>
      </w:r>
      <w:r w:rsidR="00BE419D">
        <w:rPr>
          <w:lang w:val="fr-CH"/>
        </w:rPr>
        <w:t>'</w:t>
      </w:r>
      <w:r w:rsidR="000359AA">
        <w:rPr>
          <w:lang w:val="fr-CH"/>
        </w:rPr>
        <w:t>un suivi régulier.</w:t>
      </w:r>
    </w:p>
    <w:p w14:paraId="5B35EB94" w14:textId="05DFCFB9" w:rsidR="00FC315C" w:rsidRPr="00CE2077" w:rsidRDefault="00CE2077" w:rsidP="00BE419D">
      <w:pPr>
        <w:rPr>
          <w:rFonts w:eastAsia="Calibri"/>
          <w:lang w:val="fr-CH"/>
        </w:rPr>
      </w:pPr>
      <w:r w:rsidRPr="00CE2077">
        <w:rPr>
          <w:rFonts w:eastAsia="Calibri"/>
          <w:lang w:val="fr-CH"/>
        </w:rPr>
        <w:t xml:space="preserve">Il </w:t>
      </w:r>
      <w:r>
        <w:rPr>
          <w:rFonts w:eastAsia="Calibri"/>
          <w:lang w:val="fr-CH"/>
        </w:rPr>
        <w:t xml:space="preserve">fait fond sur </w:t>
      </w:r>
      <w:r w:rsidRPr="00CE2077">
        <w:rPr>
          <w:rFonts w:eastAsia="Calibri"/>
          <w:lang w:val="fr-CH"/>
        </w:rPr>
        <w:t>l</w:t>
      </w:r>
      <w:r w:rsidR="00BE419D">
        <w:rPr>
          <w:rFonts w:eastAsia="Calibri"/>
          <w:lang w:val="fr-CH"/>
        </w:rPr>
        <w:t>'</w:t>
      </w:r>
      <w:r w:rsidRPr="00CE2077">
        <w:rPr>
          <w:rFonts w:eastAsia="Calibri"/>
          <w:lang w:val="fr-CH"/>
        </w:rPr>
        <w:t xml:space="preserve">objectif 2 du </w:t>
      </w:r>
      <w:r>
        <w:rPr>
          <w:rFonts w:eastAsia="Calibri"/>
          <w:lang w:val="fr-CH"/>
        </w:rPr>
        <w:t>P</w:t>
      </w:r>
      <w:r w:rsidRPr="00CE2077">
        <w:rPr>
          <w:rFonts w:eastAsia="Calibri"/>
          <w:lang w:val="fr-CH"/>
        </w:rPr>
        <w:t>lan d</w:t>
      </w:r>
      <w:r w:rsidR="00BE419D">
        <w:rPr>
          <w:rFonts w:eastAsia="Calibri"/>
          <w:lang w:val="fr-CH"/>
        </w:rPr>
        <w:t>'</w:t>
      </w:r>
      <w:r w:rsidRPr="00CE2077">
        <w:rPr>
          <w:rFonts w:eastAsia="Calibri"/>
          <w:lang w:val="fr-CH"/>
        </w:rPr>
        <w:t xml:space="preserve">action de Buenos Aires adopté </w:t>
      </w:r>
      <w:r>
        <w:rPr>
          <w:rFonts w:eastAsia="Calibri"/>
          <w:lang w:val="fr-CH"/>
        </w:rPr>
        <w:t xml:space="preserve">à </w:t>
      </w:r>
      <w:r w:rsidRPr="00CE2077">
        <w:rPr>
          <w:rFonts w:eastAsia="Calibri"/>
          <w:lang w:val="fr-CH"/>
        </w:rPr>
        <w:t xml:space="preserve">la Conférence mondiale de développement des télécommunications de 2017, </w:t>
      </w:r>
      <w:r>
        <w:rPr>
          <w:rFonts w:eastAsia="Calibri"/>
          <w:lang w:val="fr-CH"/>
        </w:rPr>
        <w:t xml:space="preserve">et </w:t>
      </w:r>
      <w:r w:rsidRPr="00CE2077">
        <w:rPr>
          <w:rFonts w:eastAsia="Calibri"/>
          <w:lang w:val="fr-CH"/>
        </w:rPr>
        <w:t>les résolutions connexes des conférences et assemblées de l</w:t>
      </w:r>
      <w:r w:rsidR="00BE419D">
        <w:rPr>
          <w:rFonts w:eastAsia="Calibri"/>
          <w:lang w:val="fr-CH"/>
        </w:rPr>
        <w:t>'</w:t>
      </w:r>
      <w:r w:rsidRPr="00CE2077">
        <w:rPr>
          <w:rFonts w:eastAsia="Calibri"/>
          <w:lang w:val="fr-CH"/>
        </w:rPr>
        <w:t xml:space="preserve">UIT. </w:t>
      </w:r>
    </w:p>
    <w:p w14:paraId="3968D452" w14:textId="3B922248" w:rsidR="00CF68CC" w:rsidRPr="004B3160" w:rsidRDefault="00CF68CC" w:rsidP="00BE419D">
      <w:pPr>
        <w:spacing w:after="120"/>
        <w:rPr>
          <w:lang w:val="fr-CH"/>
        </w:rPr>
      </w:pPr>
      <w:r w:rsidRPr="004B3160">
        <w:rPr>
          <w:lang w:val="fr-CH"/>
        </w:rPr>
        <w:t xml:space="preserve">Cette question doit constituer une priorité thématique à part, </w:t>
      </w:r>
      <w:r>
        <w:rPr>
          <w:lang w:val="fr-CH"/>
        </w:rPr>
        <w:t>c</w:t>
      </w:r>
      <w:r w:rsidRPr="004B3160">
        <w:rPr>
          <w:lang w:val="fr-CH"/>
        </w:rPr>
        <w:t>omme nous l</w:t>
      </w:r>
      <w:r w:rsidR="00BE419D">
        <w:rPr>
          <w:lang w:val="fr-CH"/>
        </w:rPr>
        <w:t>'</w:t>
      </w:r>
      <w:r w:rsidRPr="004B3160">
        <w:rPr>
          <w:lang w:val="fr-CH"/>
        </w:rPr>
        <w:t xml:space="preserve">avons </w:t>
      </w:r>
      <w:r>
        <w:rPr>
          <w:lang w:val="fr-CH"/>
        </w:rPr>
        <w:t xml:space="preserve">dit à </w:t>
      </w:r>
      <w:r w:rsidRPr="004B3160">
        <w:rPr>
          <w:lang w:val="fr-CH"/>
        </w:rPr>
        <w:t>la</w:t>
      </w:r>
      <w:r w:rsidR="00BE419D">
        <w:rPr>
          <w:lang w:val="fr-CH"/>
        </w:rPr>
        <w:t> 2</w:t>
      </w:r>
      <w:r w:rsidR="00BE419D" w:rsidRPr="00BE419D">
        <w:rPr>
          <w:lang w:val="fr-CH"/>
        </w:rPr>
        <w:t>ème</w:t>
      </w:r>
      <w:r w:rsidR="00BE419D">
        <w:rPr>
          <w:lang w:val="fr-CH"/>
        </w:rPr>
        <w:t> </w:t>
      </w:r>
      <w:r w:rsidRPr="004B3160">
        <w:rPr>
          <w:lang w:val="fr-CH"/>
        </w:rPr>
        <w:t xml:space="preserve">réunion du </w:t>
      </w:r>
      <w:r w:rsidR="00CE585D">
        <w:rPr>
          <w:lang w:val="fr-CH"/>
        </w:rPr>
        <w:t>GTC</w:t>
      </w:r>
      <w:r w:rsidRPr="004B3160">
        <w:rPr>
          <w:lang w:val="fr-CH"/>
        </w:rPr>
        <w:t xml:space="preserve">-SFP. </w:t>
      </w:r>
      <w:r>
        <w:rPr>
          <w:lang w:val="fr-CH"/>
        </w:rPr>
        <w:t xml:space="preserve">Dans la mesure où </w:t>
      </w:r>
      <w:r w:rsidRPr="004B3160">
        <w:rPr>
          <w:lang w:val="fr-CH"/>
        </w:rPr>
        <w:t xml:space="preserve">la transformation numérique </w:t>
      </w:r>
      <w:r>
        <w:rPr>
          <w:lang w:val="fr-CH"/>
        </w:rPr>
        <w:t xml:space="preserve">est considérée comme un but </w:t>
      </w:r>
      <w:r w:rsidRPr="004B3160">
        <w:rPr>
          <w:lang w:val="fr-CH"/>
        </w:rPr>
        <w:t>stratégique</w:t>
      </w:r>
      <w:r>
        <w:rPr>
          <w:lang w:val="fr-CH"/>
        </w:rPr>
        <w:t>, il serait très rationnel à notre avis que celle-ci soit suivie d</w:t>
      </w:r>
      <w:r w:rsidR="00BE419D">
        <w:rPr>
          <w:lang w:val="fr-CH"/>
        </w:rPr>
        <w:t>'</w:t>
      </w:r>
      <w:r>
        <w:rPr>
          <w:lang w:val="fr-CH"/>
        </w:rPr>
        <w:t xml:space="preserve">une </w:t>
      </w:r>
      <w:r w:rsidRPr="004B3160">
        <w:rPr>
          <w:lang w:val="fr-CH"/>
        </w:rPr>
        <w:t>priorité thématique autonome sur la cybersécurité</w:t>
      </w:r>
      <w:r>
        <w:rPr>
          <w:lang w:val="fr-CH"/>
        </w:rPr>
        <w:t>.</w:t>
      </w:r>
    </w:p>
    <w:p w14:paraId="05A61247" w14:textId="0DCF3AD8" w:rsidR="00CF68CC" w:rsidRPr="007E658C" w:rsidRDefault="00CF68CC" w:rsidP="00BE419D">
      <w:pPr>
        <w:spacing w:after="120"/>
        <w:rPr>
          <w:lang w:val="fr-CH"/>
        </w:rPr>
      </w:pPr>
      <w:r>
        <w:rPr>
          <w:lang w:val="fr-CH"/>
        </w:rPr>
        <w:t>Il existe d</w:t>
      </w:r>
      <w:r w:rsidR="00BE419D">
        <w:rPr>
          <w:lang w:val="fr-CH"/>
        </w:rPr>
        <w:t>'</w:t>
      </w:r>
      <w:r>
        <w:rPr>
          <w:lang w:val="fr-CH"/>
        </w:rPr>
        <w:t>autres arguments valables qui justifient de conserver la cybersécurité comme priorité thématique autonome</w:t>
      </w:r>
      <w:r w:rsidR="00BE419D">
        <w:rPr>
          <w:lang w:val="fr-CH"/>
        </w:rPr>
        <w:t>:</w:t>
      </w:r>
      <w:r>
        <w:rPr>
          <w:lang w:val="fr-CH"/>
        </w:rPr>
        <w:t xml:space="preserve"> </w:t>
      </w:r>
      <w:r w:rsidRPr="004B3160">
        <w:rPr>
          <w:lang w:val="fr-CH"/>
        </w:rPr>
        <w:t>le fait que l</w:t>
      </w:r>
      <w:r w:rsidR="00BE419D">
        <w:rPr>
          <w:lang w:val="fr-CH"/>
        </w:rPr>
        <w:t>'</w:t>
      </w:r>
      <w:r w:rsidRPr="004B3160">
        <w:rPr>
          <w:lang w:val="fr-CH"/>
        </w:rPr>
        <w:t>UIT</w:t>
      </w:r>
      <w:r>
        <w:rPr>
          <w:lang w:val="fr-CH"/>
        </w:rPr>
        <w:t xml:space="preserve"> soit l</w:t>
      </w:r>
      <w:r w:rsidR="00BE419D">
        <w:rPr>
          <w:lang w:val="fr-CH"/>
        </w:rPr>
        <w:t>'</w:t>
      </w:r>
      <w:r>
        <w:rPr>
          <w:lang w:val="fr-CH"/>
        </w:rPr>
        <w:t xml:space="preserve">organisme </w:t>
      </w:r>
      <w:r w:rsidRPr="004B3160">
        <w:rPr>
          <w:lang w:val="fr-CH"/>
        </w:rPr>
        <w:t xml:space="preserve">des Nations Unies </w:t>
      </w:r>
      <w:r>
        <w:rPr>
          <w:lang w:val="fr-CH"/>
        </w:rPr>
        <w:t xml:space="preserve">chargé des </w:t>
      </w:r>
      <w:r w:rsidRPr="004B3160">
        <w:rPr>
          <w:lang w:val="fr-CH"/>
        </w:rPr>
        <w:t xml:space="preserve">télécommunications/TIC, </w:t>
      </w:r>
      <w:r>
        <w:rPr>
          <w:lang w:val="fr-CH"/>
        </w:rPr>
        <w:t xml:space="preserve">et le coordonnateur unique de la grande orientation </w:t>
      </w:r>
      <w:r w:rsidRPr="004B3160">
        <w:rPr>
          <w:lang w:val="fr-CH"/>
        </w:rPr>
        <w:t xml:space="preserve">C5 du SMSI sur </w:t>
      </w:r>
      <w:r>
        <w:rPr>
          <w:lang w:val="fr-CH"/>
        </w:rPr>
        <w:t>l</w:t>
      </w:r>
      <w:r w:rsidR="00BE419D">
        <w:rPr>
          <w:lang w:val="fr-CH"/>
        </w:rPr>
        <w:t>'</w:t>
      </w:r>
      <w:r>
        <w:rPr>
          <w:lang w:val="fr-CH"/>
        </w:rPr>
        <w:t>établissement</w:t>
      </w:r>
      <w:r w:rsidRPr="004B3160">
        <w:rPr>
          <w:lang w:val="fr-CH"/>
        </w:rPr>
        <w:t xml:space="preserve"> de la confiance et de la sécu</w:t>
      </w:r>
      <w:r>
        <w:rPr>
          <w:lang w:val="fr-CH"/>
        </w:rPr>
        <w:t>rité dans l</w:t>
      </w:r>
      <w:r w:rsidR="00BE419D">
        <w:rPr>
          <w:lang w:val="fr-CH"/>
        </w:rPr>
        <w:t>'</w:t>
      </w:r>
      <w:r>
        <w:rPr>
          <w:lang w:val="fr-CH"/>
        </w:rPr>
        <w:t>utilisation des TIC ;</w:t>
      </w:r>
      <w:r w:rsidRPr="004B3160">
        <w:rPr>
          <w:lang w:val="fr-CH"/>
        </w:rPr>
        <w:t xml:space="preserve"> </w:t>
      </w:r>
      <w:r>
        <w:rPr>
          <w:lang w:val="fr-CH"/>
        </w:rPr>
        <w:t xml:space="preserve">la question de la révision des </w:t>
      </w:r>
      <w:r w:rsidRPr="004B3160">
        <w:rPr>
          <w:lang w:val="fr-CH"/>
        </w:rPr>
        <w:t xml:space="preserve">lignes directrices </w:t>
      </w:r>
      <w:r>
        <w:rPr>
          <w:lang w:val="fr-CH"/>
        </w:rPr>
        <w:t>relatives à l</w:t>
      </w:r>
      <w:r w:rsidR="00BE419D">
        <w:rPr>
          <w:lang w:val="fr-CH"/>
        </w:rPr>
        <w:t>'</w:t>
      </w:r>
      <w:r>
        <w:rPr>
          <w:lang w:val="fr-CH"/>
        </w:rPr>
        <w:t xml:space="preserve">utilisation du </w:t>
      </w:r>
      <w:r w:rsidR="00080530">
        <w:rPr>
          <w:lang w:val="fr-CH"/>
        </w:rPr>
        <w:t>GCA</w:t>
      </w:r>
      <w:r>
        <w:rPr>
          <w:lang w:val="fr-CH"/>
        </w:rPr>
        <w:t xml:space="preserve"> ; </w:t>
      </w:r>
      <w:r w:rsidRPr="004B3160">
        <w:rPr>
          <w:lang w:val="fr-CH"/>
        </w:rPr>
        <w:t>et l</w:t>
      </w:r>
      <w:r w:rsidR="00BE419D">
        <w:rPr>
          <w:lang w:val="fr-CH"/>
        </w:rPr>
        <w:t>'</w:t>
      </w:r>
      <w:r>
        <w:rPr>
          <w:lang w:val="fr-CH"/>
        </w:rPr>
        <w:t>intérêt croissant porté aux questions de cybersécurité dans les processus de l</w:t>
      </w:r>
      <w:r w:rsidR="00BE419D">
        <w:rPr>
          <w:lang w:val="fr-CH"/>
        </w:rPr>
        <w:t>'</w:t>
      </w:r>
      <w:r>
        <w:rPr>
          <w:lang w:val="fr-CH"/>
        </w:rPr>
        <w:t xml:space="preserve">ONU, auxquels </w:t>
      </w:r>
      <w:r w:rsidRPr="004B3160">
        <w:rPr>
          <w:lang w:val="fr-CH"/>
        </w:rPr>
        <w:t>l</w:t>
      </w:r>
      <w:r w:rsidR="00BE419D">
        <w:rPr>
          <w:lang w:val="fr-CH"/>
        </w:rPr>
        <w:t>'</w:t>
      </w:r>
      <w:r w:rsidRPr="004B3160">
        <w:rPr>
          <w:lang w:val="fr-CH"/>
        </w:rPr>
        <w:t>UIT doit contribuer d</w:t>
      </w:r>
      <w:r w:rsidR="00BE419D">
        <w:rPr>
          <w:lang w:val="fr-CH"/>
        </w:rPr>
        <w:t>'</w:t>
      </w:r>
      <w:r w:rsidRPr="004B3160">
        <w:rPr>
          <w:lang w:val="fr-CH"/>
        </w:rPr>
        <w:t>une manière ou d</w:t>
      </w:r>
      <w:r w:rsidR="00BE419D">
        <w:rPr>
          <w:lang w:val="fr-CH"/>
        </w:rPr>
        <w:t>'</w:t>
      </w:r>
      <w:r w:rsidRPr="004B3160">
        <w:rPr>
          <w:lang w:val="fr-CH"/>
        </w:rPr>
        <w:t>une autre</w:t>
      </w:r>
      <w:r>
        <w:rPr>
          <w:lang w:val="fr-CH"/>
        </w:rPr>
        <w:t>.</w:t>
      </w:r>
      <w:r w:rsidR="00BE419D">
        <w:rPr>
          <w:lang w:val="fr-CH"/>
        </w:rPr>
        <w:t xml:space="preserve"> </w:t>
      </w:r>
    </w:p>
    <w:p w14:paraId="233BE76B" w14:textId="0C148798" w:rsidR="00FC315C" w:rsidRPr="00CF68CC" w:rsidRDefault="00CF68CC" w:rsidP="00BE419D">
      <w:pPr>
        <w:rPr>
          <w:rFonts w:eastAsia="Calibri" w:cs="Arial"/>
          <w:lang w:val="fr-CH"/>
        </w:rPr>
      </w:pPr>
      <w:r>
        <w:rPr>
          <w:lang w:val="fr-CH"/>
        </w:rPr>
        <w:t xml:space="preserve">À propos du </w:t>
      </w:r>
      <w:r w:rsidRPr="004B3160">
        <w:rPr>
          <w:lang w:val="fr-CH"/>
        </w:rPr>
        <w:t xml:space="preserve">paragraphe 35, nous suggérons </w:t>
      </w:r>
      <w:r>
        <w:rPr>
          <w:lang w:val="fr-CH"/>
        </w:rPr>
        <w:t>que l</w:t>
      </w:r>
      <w:r w:rsidR="00BE419D">
        <w:rPr>
          <w:lang w:val="fr-CH"/>
        </w:rPr>
        <w:t>'</w:t>
      </w:r>
      <w:r>
        <w:rPr>
          <w:lang w:val="fr-CH"/>
        </w:rPr>
        <w:t xml:space="preserve">accent soit mis, pour les activités liées </w:t>
      </w:r>
      <w:r w:rsidRPr="004B3160">
        <w:rPr>
          <w:lang w:val="fr-CH"/>
        </w:rPr>
        <w:t xml:space="preserve">à la priorité thématique </w:t>
      </w:r>
      <w:r>
        <w:rPr>
          <w:lang w:val="fr-CH"/>
        </w:rPr>
        <w:t xml:space="preserve">de </w:t>
      </w:r>
      <w:r w:rsidRPr="004B3160">
        <w:rPr>
          <w:lang w:val="fr-CH"/>
        </w:rPr>
        <w:t>la cybersécurité</w:t>
      </w:r>
      <w:r>
        <w:rPr>
          <w:lang w:val="fr-CH"/>
        </w:rPr>
        <w:t xml:space="preserve">, sur le </w:t>
      </w:r>
      <w:r w:rsidRPr="004B3160">
        <w:rPr>
          <w:lang w:val="fr-CH"/>
        </w:rPr>
        <w:t>GCA</w:t>
      </w:r>
      <w:r w:rsidR="00CE585D">
        <w:rPr>
          <w:lang w:val="fr-CH"/>
        </w:rPr>
        <w:t xml:space="preserve"> </w:t>
      </w:r>
      <w:r w:rsidRPr="004B3160">
        <w:rPr>
          <w:lang w:val="fr-CH"/>
        </w:rPr>
        <w:t>et sur les cinq piliers qui lui sont associés</w:t>
      </w:r>
      <w:r>
        <w:rPr>
          <w:lang w:val="fr-CH"/>
        </w:rPr>
        <w:t xml:space="preserve"> (</w:t>
      </w:r>
      <w:r w:rsidRPr="00D44624">
        <w:rPr>
          <w:lang w:val="fr-CH"/>
        </w:rPr>
        <w:t>mesures juridiques, mesures techniques et de procédure, structures organisationnelles, renforcement des capacités et coopération internationale</w:t>
      </w:r>
      <w:r>
        <w:rPr>
          <w:lang w:val="fr-CH"/>
        </w:rPr>
        <w:t>)</w:t>
      </w:r>
      <w:r w:rsidR="00FC315C" w:rsidRPr="00CF68CC">
        <w:rPr>
          <w:rFonts w:eastAsia="Calibri" w:cs="Arial"/>
          <w:lang w:val="fr-CH"/>
        </w:rPr>
        <w:t xml:space="preserve">. </w:t>
      </w:r>
    </w:p>
    <w:p w14:paraId="299ABDC2" w14:textId="74359D9B" w:rsidR="001C2230" w:rsidRPr="0011770C" w:rsidRDefault="00CF68CC" w:rsidP="00BE419D">
      <w:pPr>
        <w:rPr>
          <w:rFonts w:eastAsia="Calibri" w:cs="Arial"/>
          <w:b/>
          <w:bCs/>
          <w:lang w:val="fr-CH"/>
        </w:rPr>
      </w:pPr>
      <w:r>
        <w:rPr>
          <w:lang w:val="fr-CH"/>
        </w:rPr>
        <w:t xml:space="preserve">Une raison supplémentaire </w:t>
      </w:r>
      <w:r w:rsidRPr="004B3160">
        <w:rPr>
          <w:lang w:val="fr-CH"/>
        </w:rPr>
        <w:t>de considérer la cybersécurité comme une priorité thématique autonome</w:t>
      </w:r>
      <w:r>
        <w:rPr>
          <w:lang w:val="fr-CH"/>
        </w:rPr>
        <w:t xml:space="preserve"> est que celle-ci fait partie </w:t>
      </w:r>
      <w:r w:rsidRPr="004B3160">
        <w:rPr>
          <w:lang w:val="fr-CH"/>
        </w:rPr>
        <w:t xml:space="preserve">des trois sujets ou </w:t>
      </w:r>
      <w:r>
        <w:rPr>
          <w:lang w:val="fr-CH"/>
        </w:rPr>
        <w:t xml:space="preserve">buts </w:t>
      </w:r>
      <w:r w:rsidRPr="004B3160">
        <w:rPr>
          <w:lang w:val="fr-CH"/>
        </w:rPr>
        <w:t>prioritaires</w:t>
      </w:r>
      <w:r>
        <w:rPr>
          <w:lang w:val="fr-CH"/>
        </w:rPr>
        <w:t>,</w:t>
      </w:r>
      <w:r w:rsidRPr="004B3160">
        <w:rPr>
          <w:lang w:val="fr-CH"/>
        </w:rPr>
        <w:t xml:space="preserve"> et constitue un </w:t>
      </w:r>
      <w:r>
        <w:rPr>
          <w:lang w:val="fr-CH"/>
        </w:rPr>
        <w:t xml:space="preserve">aspect </w:t>
      </w:r>
      <w:r w:rsidRPr="004B3160">
        <w:rPr>
          <w:lang w:val="fr-CH"/>
        </w:rPr>
        <w:t xml:space="preserve">essentiel de la </w:t>
      </w:r>
      <w:r w:rsidR="0011770C">
        <w:rPr>
          <w:lang w:val="fr-CH"/>
        </w:rPr>
        <w:t>f</w:t>
      </w:r>
      <w:r w:rsidRPr="004B3160">
        <w:rPr>
          <w:lang w:val="fr-CH"/>
        </w:rPr>
        <w:t xml:space="preserve">euille de route du Secrétaire général </w:t>
      </w:r>
      <w:r>
        <w:rPr>
          <w:lang w:val="fr-CH"/>
        </w:rPr>
        <w:t>de l</w:t>
      </w:r>
      <w:r w:rsidR="00BE419D">
        <w:rPr>
          <w:lang w:val="fr-CH"/>
        </w:rPr>
        <w:t>'</w:t>
      </w:r>
      <w:r>
        <w:rPr>
          <w:lang w:val="fr-CH"/>
        </w:rPr>
        <w:t xml:space="preserve">ONU pour la coopération </w:t>
      </w:r>
      <w:r w:rsidRPr="004B3160">
        <w:rPr>
          <w:lang w:val="fr-CH"/>
        </w:rPr>
        <w:t xml:space="preserve">numérique, </w:t>
      </w:r>
      <w:r>
        <w:rPr>
          <w:lang w:val="fr-CH"/>
        </w:rPr>
        <w:t>à</w:t>
      </w:r>
      <w:r w:rsidRPr="004B3160">
        <w:rPr>
          <w:lang w:val="fr-CH"/>
        </w:rPr>
        <w:t xml:space="preserve"> laquelle l</w:t>
      </w:r>
      <w:r w:rsidR="00BE419D">
        <w:rPr>
          <w:lang w:val="fr-CH"/>
        </w:rPr>
        <w:t>'</w:t>
      </w:r>
      <w:r w:rsidRPr="004B3160">
        <w:rPr>
          <w:lang w:val="fr-CH"/>
        </w:rPr>
        <w:t xml:space="preserve">UIT est pleinement </w:t>
      </w:r>
      <w:r>
        <w:rPr>
          <w:lang w:val="fr-CH"/>
        </w:rPr>
        <w:t>associée</w:t>
      </w:r>
      <w:r w:rsidR="00FC315C" w:rsidRPr="0011770C">
        <w:rPr>
          <w:rFonts w:eastAsia="Calibri" w:cs="Arial"/>
          <w:lang w:val="fr-CH"/>
        </w:rPr>
        <w:t>.</w:t>
      </w:r>
      <w:r w:rsidR="00BE419D">
        <w:rPr>
          <w:rFonts w:eastAsia="Calibri" w:cs="Arial"/>
          <w:lang w:val="fr-CH"/>
        </w:rPr>
        <w:t xml:space="preserve"> </w:t>
      </w:r>
    </w:p>
    <w:p w14:paraId="75A6CBC2" w14:textId="11F7D09A" w:rsidR="00FC315C" w:rsidRPr="00CE2077" w:rsidRDefault="001C2230" w:rsidP="00BE419D">
      <w:pPr>
        <w:pStyle w:val="Heading1"/>
        <w:rPr>
          <w:rFonts w:eastAsia="Calibri"/>
          <w:lang w:val="fr-CH"/>
        </w:rPr>
      </w:pPr>
      <w:r w:rsidRPr="00CE2077">
        <w:rPr>
          <w:rFonts w:eastAsia="Calibri"/>
          <w:lang w:val="fr-CH"/>
        </w:rPr>
        <w:t>4</w:t>
      </w:r>
      <w:r w:rsidRPr="00CE2077">
        <w:rPr>
          <w:rFonts w:eastAsia="Calibri"/>
          <w:lang w:val="fr-CH"/>
        </w:rPr>
        <w:tab/>
      </w:r>
      <w:r w:rsidR="00CE2077">
        <w:rPr>
          <w:rFonts w:eastAsia="Calibri"/>
          <w:lang w:val="fr-CH"/>
        </w:rPr>
        <w:t>Commentaire de la section 2.8</w:t>
      </w:r>
      <w:r w:rsidR="00CE2077" w:rsidRPr="00CF68CC">
        <w:rPr>
          <w:rFonts w:eastAsia="Calibri"/>
          <w:lang w:val="fr-CH"/>
        </w:rPr>
        <w:t xml:space="preserve"> (</w:t>
      </w:r>
      <w:r w:rsidR="00CE2077">
        <w:rPr>
          <w:rFonts w:eastAsia="Calibri"/>
          <w:lang w:val="fr-CH"/>
        </w:rPr>
        <w:t>Catalyseurs</w:t>
      </w:r>
      <w:r w:rsidR="00CE2077" w:rsidRPr="00CF68CC">
        <w:rPr>
          <w:rFonts w:eastAsia="Calibri"/>
          <w:lang w:val="fr-CH"/>
        </w:rPr>
        <w:t>) de la contribution du Secrétariat concernant le projet d</w:t>
      </w:r>
      <w:r w:rsidR="00BE419D">
        <w:rPr>
          <w:rFonts w:eastAsia="Calibri"/>
          <w:lang w:val="fr-CH"/>
        </w:rPr>
        <w:t>'</w:t>
      </w:r>
      <w:r w:rsidR="00CE2077" w:rsidRPr="00CF68CC">
        <w:rPr>
          <w:rFonts w:eastAsia="Calibri"/>
          <w:lang w:val="fr-CH"/>
        </w:rPr>
        <w:t>Annexe 1 de la Résolution 71 – projet de Plan stratégique de l</w:t>
      </w:r>
      <w:r w:rsidR="00BE419D">
        <w:rPr>
          <w:rFonts w:eastAsia="Calibri"/>
          <w:lang w:val="fr-CH"/>
        </w:rPr>
        <w:t>'</w:t>
      </w:r>
      <w:r w:rsidR="00CE2077" w:rsidRPr="00CF68CC">
        <w:rPr>
          <w:rFonts w:eastAsia="Calibri"/>
          <w:lang w:val="fr-CH"/>
        </w:rPr>
        <w:t>UIT pour 2024-2027</w:t>
      </w:r>
    </w:p>
    <w:p w14:paraId="08CE13EB" w14:textId="064FE157" w:rsidR="00CE2077" w:rsidRPr="00CE2077" w:rsidRDefault="00CE2077" w:rsidP="00BE419D">
      <w:pPr>
        <w:rPr>
          <w:rFonts w:eastAsia="Calibri"/>
          <w:lang w:val="fr-CH"/>
        </w:rPr>
      </w:pPr>
      <w:r w:rsidRPr="00CE2077">
        <w:rPr>
          <w:rFonts w:eastAsia="Calibri"/>
          <w:lang w:val="fr-CH"/>
        </w:rPr>
        <w:t xml:space="preserve">Nous avons </w:t>
      </w:r>
      <w:r w:rsidR="004F408A">
        <w:rPr>
          <w:rFonts w:eastAsia="Calibri"/>
          <w:lang w:val="fr-CH"/>
        </w:rPr>
        <w:t xml:space="preserve">indiqué </w:t>
      </w:r>
      <w:r>
        <w:rPr>
          <w:rFonts w:eastAsia="Calibri"/>
          <w:lang w:val="fr-CH"/>
        </w:rPr>
        <w:t xml:space="preserve">dans nos réponses au </w:t>
      </w:r>
      <w:r w:rsidRPr="00CE2077">
        <w:rPr>
          <w:rFonts w:eastAsia="Calibri"/>
          <w:lang w:val="fr-CH"/>
        </w:rPr>
        <w:t xml:space="preserve">questionnaire élaboré par le </w:t>
      </w:r>
      <w:r>
        <w:rPr>
          <w:rFonts w:eastAsia="Calibri"/>
          <w:lang w:val="fr-CH"/>
        </w:rPr>
        <w:t>S</w:t>
      </w:r>
      <w:r w:rsidRPr="00CE2077">
        <w:rPr>
          <w:rFonts w:eastAsia="Calibri"/>
          <w:lang w:val="fr-CH"/>
        </w:rPr>
        <w:t>ecrétariat de l</w:t>
      </w:r>
      <w:r w:rsidR="00BE419D">
        <w:rPr>
          <w:rFonts w:eastAsia="Calibri"/>
          <w:lang w:val="fr-CH"/>
        </w:rPr>
        <w:t>'</w:t>
      </w:r>
      <w:r w:rsidRPr="00CE2077">
        <w:rPr>
          <w:rFonts w:eastAsia="Calibri"/>
          <w:lang w:val="fr-CH"/>
        </w:rPr>
        <w:t>UIT concerna</w:t>
      </w:r>
      <w:r>
        <w:rPr>
          <w:rFonts w:eastAsia="Calibri"/>
          <w:lang w:val="fr-CH"/>
        </w:rPr>
        <w:t xml:space="preserve">nt le Plan stratégique </w:t>
      </w:r>
      <w:r w:rsidRPr="00CE2077">
        <w:rPr>
          <w:rFonts w:eastAsia="Calibri"/>
          <w:lang w:val="fr-CH"/>
        </w:rPr>
        <w:t xml:space="preserve">que la prise en compte </w:t>
      </w:r>
      <w:r w:rsidR="006F0E05">
        <w:rPr>
          <w:rFonts w:eastAsia="Calibri"/>
          <w:lang w:val="fr-CH"/>
        </w:rPr>
        <w:t xml:space="preserve">dans celui-ci </w:t>
      </w:r>
      <w:r w:rsidRPr="00CE2077">
        <w:rPr>
          <w:rFonts w:eastAsia="Calibri"/>
          <w:lang w:val="fr-CH"/>
        </w:rPr>
        <w:t xml:space="preserve">de la présence régionale est </w:t>
      </w:r>
      <w:r>
        <w:rPr>
          <w:rFonts w:eastAsia="Calibri"/>
          <w:lang w:val="fr-CH"/>
        </w:rPr>
        <w:t xml:space="preserve">fondamentale pour </w:t>
      </w:r>
      <w:r w:rsidR="004F408A">
        <w:rPr>
          <w:rFonts w:eastAsia="Calibri"/>
          <w:lang w:val="fr-CH"/>
        </w:rPr>
        <w:t xml:space="preserve">apporter clarté, spécificité et souci des résultats </w:t>
      </w:r>
      <w:r w:rsidR="006F0E05">
        <w:rPr>
          <w:rFonts w:eastAsia="Calibri"/>
          <w:lang w:val="fr-CH"/>
        </w:rPr>
        <w:t>à cet instrument</w:t>
      </w:r>
      <w:r w:rsidR="004F408A">
        <w:rPr>
          <w:rFonts w:eastAsia="Calibri"/>
          <w:lang w:val="fr-CH"/>
        </w:rPr>
        <w:t xml:space="preserve">. </w:t>
      </w:r>
    </w:p>
    <w:p w14:paraId="64DEDB23" w14:textId="15EB2ED3" w:rsidR="00CE2077" w:rsidRPr="00CE2077" w:rsidRDefault="00CE2077" w:rsidP="00BE419D">
      <w:pPr>
        <w:rPr>
          <w:rFonts w:eastAsia="Calibri"/>
          <w:lang w:val="fr-CH"/>
        </w:rPr>
      </w:pPr>
      <w:r w:rsidRPr="00CE2077">
        <w:rPr>
          <w:rFonts w:eastAsia="Calibri"/>
          <w:lang w:val="fr-CH"/>
        </w:rPr>
        <w:t xml:space="preserve">Nous </w:t>
      </w:r>
      <w:r w:rsidR="00D05B2B">
        <w:rPr>
          <w:rFonts w:eastAsia="Calibri"/>
          <w:lang w:val="fr-CH"/>
        </w:rPr>
        <w:t>jugeons opportun de mettre davantage l</w:t>
      </w:r>
      <w:r w:rsidR="00BE419D">
        <w:rPr>
          <w:rFonts w:eastAsia="Calibri"/>
          <w:lang w:val="fr-CH"/>
        </w:rPr>
        <w:t>'</w:t>
      </w:r>
      <w:r w:rsidR="00D05B2B">
        <w:rPr>
          <w:rFonts w:eastAsia="Calibri"/>
          <w:lang w:val="fr-CH"/>
        </w:rPr>
        <w:t>accent</w:t>
      </w:r>
      <w:r w:rsidR="00201877">
        <w:rPr>
          <w:rFonts w:eastAsia="Calibri"/>
          <w:lang w:val="fr-CH"/>
        </w:rPr>
        <w:t xml:space="preserve">, </w:t>
      </w:r>
      <w:r w:rsidR="006F0E05">
        <w:rPr>
          <w:rFonts w:eastAsia="Calibri"/>
          <w:lang w:val="fr-CH"/>
        </w:rPr>
        <w:t xml:space="preserve">au </w:t>
      </w:r>
      <w:r w:rsidR="00201877">
        <w:rPr>
          <w:rFonts w:eastAsia="Calibri"/>
          <w:lang w:val="fr-CH"/>
        </w:rPr>
        <w:t xml:space="preserve">paragraphe </w:t>
      </w:r>
      <w:r w:rsidR="00201877" w:rsidRPr="00CE2077">
        <w:rPr>
          <w:rFonts w:eastAsia="Calibri"/>
          <w:lang w:val="fr-CH"/>
        </w:rPr>
        <w:t>64 de la section 2.8, relatif à la présence régionale</w:t>
      </w:r>
      <w:r w:rsidR="00201877">
        <w:rPr>
          <w:rFonts w:eastAsia="Calibri"/>
          <w:lang w:val="fr-CH"/>
        </w:rPr>
        <w:t>,</w:t>
      </w:r>
      <w:r w:rsidR="00D05B2B">
        <w:rPr>
          <w:rFonts w:eastAsia="Calibri"/>
          <w:lang w:val="fr-CH"/>
        </w:rPr>
        <w:t xml:space="preserve"> sur des détails plus concrets</w:t>
      </w:r>
      <w:r w:rsidR="00201877">
        <w:rPr>
          <w:rFonts w:eastAsia="Calibri"/>
          <w:lang w:val="fr-CH"/>
        </w:rPr>
        <w:t>,</w:t>
      </w:r>
      <w:r w:rsidR="00D05B2B">
        <w:rPr>
          <w:rFonts w:eastAsia="Calibri"/>
          <w:lang w:val="fr-CH"/>
        </w:rPr>
        <w:t xml:space="preserve"> </w:t>
      </w:r>
      <w:r w:rsidR="00201877">
        <w:rPr>
          <w:rFonts w:eastAsia="Calibri"/>
          <w:lang w:val="fr-CH"/>
        </w:rPr>
        <w:t xml:space="preserve">ainsi que </w:t>
      </w:r>
      <w:r w:rsidR="00D05B2B">
        <w:rPr>
          <w:rFonts w:eastAsia="Calibri"/>
          <w:lang w:val="fr-CH"/>
        </w:rPr>
        <w:t>sur les aspects stratégiques</w:t>
      </w:r>
      <w:r w:rsidR="00201877">
        <w:rPr>
          <w:rFonts w:eastAsia="Calibri"/>
          <w:lang w:val="fr-CH"/>
        </w:rPr>
        <w:t xml:space="preserve">. </w:t>
      </w:r>
      <w:r w:rsidR="00D05B2B">
        <w:rPr>
          <w:rFonts w:eastAsia="Calibri"/>
          <w:lang w:val="fr-CH"/>
        </w:rPr>
        <w:t xml:space="preserve">Nous préconisons aussi </w:t>
      </w:r>
      <w:r w:rsidRPr="00CE2077">
        <w:rPr>
          <w:rFonts w:eastAsia="Calibri"/>
          <w:lang w:val="fr-CH"/>
        </w:rPr>
        <w:t xml:space="preserve">de mettre en place une planification stratégique par bureau régional, </w:t>
      </w:r>
      <w:r w:rsidR="00D05B2B">
        <w:rPr>
          <w:rFonts w:eastAsia="Calibri"/>
          <w:lang w:val="fr-CH"/>
        </w:rPr>
        <w:t>que l</w:t>
      </w:r>
      <w:r w:rsidR="00BE419D">
        <w:rPr>
          <w:rFonts w:eastAsia="Calibri"/>
          <w:lang w:val="fr-CH"/>
        </w:rPr>
        <w:t>'</w:t>
      </w:r>
      <w:r w:rsidR="00D05B2B">
        <w:rPr>
          <w:rFonts w:eastAsia="Calibri"/>
          <w:lang w:val="fr-CH"/>
        </w:rPr>
        <w:t xml:space="preserve">on pourrait traduire en </w:t>
      </w:r>
      <w:r w:rsidRPr="00CE2077">
        <w:rPr>
          <w:rFonts w:eastAsia="Calibri"/>
          <w:lang w:val="fr-CH"/>
        </w:rPr>
        <w:t xml:space="preserve">plans opérationnels </w:t>
      </w:r>
      <w:r w:rsidR="00D05B2B">
        <w:rPr>
          <w:rFonts w:eastAsia="Calibri"/>
          <w:lang w:val="fr-CH"/>
        </w:rPr>
        <w:t>succincts et précis</w:t>
      </w:r>
      <w:r w:rsidRPr="00CE2077">
        <w:rPr>
          <w:rFonts w:eastAsia="Calibri"/>
          <w:lang w:val="fr-CH"/>
        </w:rPr>
        <w:t>, où l</w:t>
      </w:r>
      <w:r w:rsidR="00BE419D">
        <w:rPr>
          <w:rFonts w:eastAsia="Calibri"/>
          <w:lang w:val="fr-CH"/>
        </w:rPr>
        <w:t>'</w:t>
      </w:r>
      <w:r w:rsidRPr="00CE2077">
        <w:rPr>
          <w:rFonts w:eastAsia="Calibri"/>
          <w:lang w:val="fr-CH"/>
        </w:rPr>
        <w:t xml:space="preserve">accent </w:t>
      </w:r>
      <w:r w:rsidR="00D05B2B">
        <w:rPr>
          <w:rFonts w:eastAsia="Calibri"/>
          <w:lang w:val="fr-CH"/>
        </w:rPr>
        <w:t xml:space="preserve">serait mis </w:t>
      </w:r>
      <w:r w:rsidRPr="00CE2077">
        <w:rPr>
          <w:rFonts w:eastAsia="Calibri"/>
          <w:lang w:val="fr-CH"/>
        </w:rPr>
        <w:t>s</w:t>
      </w:r>
      <w:r w:rsidR="00BE419D">
        <w:rPr>
          <w:rFonts w:eastAsia="Calibri"/>
          <w:lang w:val="fr-CH"/>
        </w:rPr>
        <w:t>ur les PMA, les </w:t>
      </w:r>
      <w:r w:rsidR="00D05B2B">
        <w:rPr>
          <w:rFonts w:eastAsia="Calibri"/>
          <w:lang w:val="fr-CH"/>
        </w:rPr>
        <w:t xml:space="preserve">PDSL, les PEID et </w:t>
      </w:r>
      <w:r w:rsidRPr="00CE2077">
        <w:rPr>
          <w:rFonts w:eastAsia="Calibri"/>
          <w:lang w:val="fr-CH"/>
        </w:rPr>
        <w:t xml:space="preserve">les pays ayant des besoins </w:t>
      </w:r>
      <w:r w:rsidR="00D05B2B">
        <w:rPr>
          <w:rFonts w:eastAsia="Calibri"/>
          <w:lang w:val="fr-CH"/>
        </w:rPr>
        <w:t>particuliers</w:t>
      </w:r>
      <w:r w:rsidRPr="00CE2077">
        <w:rPr>
          <w:rFonts w:eastAsia="Calibri"/>
          <w:lang w:val="fr-CH"/>
        </w:rPr>
        <w:t xml:space="preserve">, en tenant compte des </w:t>
      </w:r>
      <w:r w:rsidR="00D05B2B">
        <w:rPr>
          <w:rFonts w:eastAsia="Calibri"/>
          <w:lang w:val="fr-CH"/>
        </w:rPr>
        <w:t xml:space="preserve">modes et des caractéristiques </w:t>
      </w:r>
      <w:r w:rsidRPr="00CE2077">
        <w:rPr>
          <w:rFonts w:eastAsia="Calibri"/>
          <w:lang w:val="fr-CH"/>
        </w:rPr>
        <w:t xml:space="preserve">de développement </w:t>
      </w:r>
      <w:r w:rsidR="00D05B2B">
        <w:rPr>
          <w:rFonts w:eastAsia="Calibri"/>
          <w:lang w:val="fr-CH"/>
        </w:rPr>
        <w:t xml:space="preserve">actuels </w:t>
      </w:r>
      <w:r w:rsidRPr="00CE2077">
        <w:rPr>
          <w:rFonts w:eastAsia="Calibri"/>
          <w:lang w:val="fr-CH"/>
        </w:rPr>
        <w:t xml:space="preserve">de la région </w:t>
      </w:r>
      <w:r w:rsidR="00D05B2B">
        <w:rPr>
          <w:rFonts w:eastAsia="Calibri"/>
          <w:lang w:val="fr-CH"/>
        </w:rPr>
        <w:t>Afrique</w:t>
      </w:r>
      <w:r w:rsidRPr="00CE2077">
        <w:rPr>
          <w:rFonts w:eastAsia="Calibri"/>
          <w:lang w:val="fr-CH"/>
        </w:rPr>
        <w:t xml:space="preserve">. </w:t>
      </w:r>
      <w:r w:rsidR="00201877">
        <w:rPr>
          <w:rFonts w:eastAsia="Calibri"/>
          <w:lang w:val="fr-CH"/>
        </w:rPr>
        <w:t xml:space="preserve">Il conviendrait de </w:t>
      </w:r>
      <w:r w:rsidR="00201877" w:rsidRPr="00CE2077">
        <w:rPr>
          <w:rFonts w:eastAsia="Calibri"/>
          <w:lang w:val="fr-CH"/>
        </w:rPr>
        <w:t xml:space="preserve">prendre </w:t>
      </w:r>
      <w:r w:rsidR="00201877">
        <w:rPr>
          <w:rFonts w:eastAsia="Calibri"/>
          <w:lang w:val="fr-CH"/>
        </w:rPr>
        <w:t xml:space="preserve">aussi </w:t>
      </w:r>
      <w:r w:rsidR="00201877" w:rsidRPr="00CE2077">
        <w:rPr>
          <w:rFonts w:eastAsia="Calibri"/>
          <w:lang w:val="fr-CH"/>
        </w:rPr>
        <w:t>en considération</w:t>
      </w:r>
      <w:r w:rsidR="00201877">
        <w:rPr>
          <w:rFonts w:eastAsia="Calibri"/>
          <w:lang w:val="fr-CH"/>
        </w:rPr>
        <w:t>,</w:t>
      </w:r>
      <w:r w:rsidR="00201877" w:rsidRPr="00CE2077">
        <w:rPr>
          <w:rFonts w:eastAsia="Calibri"/>
          <w:lang w:val="fr-CH"/>
        </w:rPr>
        <w:t xml:space="preserve"> dans la planification stratégique de la présence régionale</w:t>
      </w:r>
      <w:r w:rsidR="00201877">
        <w:rPr>
          <w:rFonts w:eastAsia="Calibri"/>
          <w:lang w:val="fr-CH"/>
        </w:rPr>
        <w:t xml:space="preserve">, </w:t>
      </w:r>
      <w:r w:rsidRPr="00CE2077">
        <w:rPr>
          <w:rFonts w:eastAsia="Calibri"/>
          <w:lang w:val="fr-CH"/>
        </w:rPr>
        <w:t xml:space="preserve">les initiatives régionales </w:t>
      </w:r>
      <w:r w:rsidR="00D05B2B">
        <w:rPr>
          <w:rFonts w:eastAsia="Calibri"/>
          <w:lang w:val="fr-CH"/>
        </w:rPr>
        <w:t xml:space="preserve">effectivement </w:t>
      </w:r>
      <w:r w:rsidR="00201877" w:rsidRPr="00CE2077">
        <w:rPr>
          <w:rFonts w:eastAsia="Calibri"/>
          <w:lang w:val="fr-CH"/>
        </w:rPr>
        <w:t xml:space="preserve">proposées </w:t>
      </w:r>
      <w:r w:rsidR="00D05B2B">
        <w:rPr>
          <w:rFonts w:eastAsia="Calibri"/>
          <w:lang w:val="fr-CH"/>
        </w:rPr>
        <w:t xml:space="preserve">à la </w:t>
      </w:r>
      <w:r w:rsidRPr="00CE2077">
        <w:rPr>
          <w:rFonts w:eastAsia="Calibri"/>
          <w:lang w:val="fr-CH"/>
        </w:rPr>
        <w:t>CMDT.</w:t>
      </w:r>
    </w:p>
    <w:p w14:paraId="737CB9E4" w14:textId="6FBA9DFB" w:rsidR="00FC315C" w:rsidRPr="0011770C" w:rsidRDefault="001C2230" w:rsidP="00BE419D">
      <w:pPr>
        <w:pStyle w:val="Heading1"/>
        <w:rPr>
          <w:rFonts w:eastAsia="Calibri"/>
          <w:lang w:val="fr-CH"/>
        </w:rPr>
      </w:pPr>
      <w:bookmarkStart w:id="8" w:name="_Hlk90022080"/>
      <w:r w:rsidRPr="0011770C">
        <w:rPr>
          <w:rFonts w:eastAsia="Calibri"/>
          <w:lang w:val="fr-CH"/>
        </w:rPr>
        <w:lastRenderedPageBreak/>
        <w:t>5</w:t>
      </w:r>
      <w:r w:rsidRPr="0011770C">
        <w:rPr>
          <w:rFonts w:eastAsia="Calibri"/>
          <w:lang w:val="fr-CH"/>
        </w:rPr>
        <w:tab/>
      </w:r>
      <w:bookmarkEnd w:id="8"/>
      <w:r w:rsidR="0011770C" w:rsidRPr="004C6021">
        <w:rPr>
          <w:bCs/>
          <w:lang w:val="fr-CH"/>
        </w:rPr>
        <w:t xml:space="preserve">Commentaire de la contribution du Secrétariat </w:t>
      </w:r>
      <w:r w:rsidR="0011770C">
        <w:rPr>
          <w:bCs/>
          <w:lang w:val="fr-CH"/>
        </w:rPr>
        <w:t>à</w:t>
      </w:r>
      <w:r w:rsidR="0011770C" w:rsidRPr="004C6021">
        <w:rPr>
          <w:bCs/>
          <w:lang w:val="fr-CH"/>
        </w:rPr>
        <w:t xml:space="preserve"> l</w:t>
      </w:r>
      <w:r w:rsidR="00BE419D">
        <w:rPr>
          <w:bCs/>
          <w:lang w:val="fr-CH"/>
        </w:rPr>
        <w:t>'Annexe 2 de la Résolution </w:t>
      </w:r>
      <w:proofErr w:type="gramStart"/>
      <w:r w:rsidR="0011770C" w:rsidRPr="004C6021">
        <w:rPr>
          <w:bCs/>
          <w:lang w:val="fr-CH"/>
        </w:rPr>
        <w:t>71:</w:t>
      </w:r>
      <w:proofErr w:type="gramEnd"/>
      <w:r w:rsidR="0011770C" w:rsidRPr="004C6021">
        <w:rPr>
          <w:bCs/>
          <w:lang w:val="fr-CH"/>
        </w:rPr>
        <w:t xml:space="preserve"> Analyse de situation</w:t>
      </w:r>
    </w:p>
    <w:p w14:paraId="12F44B0E" w14:textId="2F6DD5CA" w:rsidR="00FC315C" w:rsidRPr="0011770C" w:rsidRDefault="0011770C" w:rsidP="00BE419D">
      <w:pPr>
        <w:rPr>
          <w:rFonts w:eastAsia="Calibri"/>
          <w:lang w:val="fr-CH"/>
        </w:rPr>
      </w:pPr>
      <w:r w:rsidRPr="004C6021">
        <w:rPr>
          <w:lang w:val="fr-CH"/>
        </w:rPr>
        <w:t>En ce qui concerne les faits nouveaux survenus depuis la Conférence de plénipotentiaires de l</w:t>
      </w:r>
      <w:r w:rsidR="00BE419D">
        <w:rPr>
          <w:lang w:val="fr-CH"/>
        </w:rPr>
        <w:t>'</w:t>
      </w:r>
      <w:r w:rsidRPr="004C6021">
        <w:rPr>
          <w:lang w:val="fr-CH"/>
        </w:rPr>
        <w:t>UIT tenue en 2018</w:t>
      </w:r>
      <w:r>
        <w:rPr>
          <w:lang w:val="fr-CH"/>
        </w:rPr>
        <w:t xml:space="preserve">, </w:t>
      </w:r>
      <w:r w:rsidRPr="004C6021">
        <w:rPr>
          <w:lang w:val="fr-CH"/>
        </w:rPr>
        <w:t xml:space="preserve">nous </w:t>
      </w:r>
      <w:r>
        <w:rPr>
          <w:lang w:val="fr-CH"/>
        </w:rPr>
        <w:t>souhaitons qu</w:t>
      </w:r>
      <w:r w:rsidR="00BE419D">
        <w:rPr>
          <w:lang w:val="fr-CH"/>
        </w:rPr>
        <w:t>'</w:t>
      </w:r>
      <w:r>
        <w:rPr>
          <w:lang w:val="fr-CH"/>
        </w:rPr>
        <w:t xml:space="preserve">il soit fait mention du </w:t>
      </w:r>
      <w:r w:rsidRPr="004C6021">
        <w:rPr>
          <w:lang w:val="fr-CH"/>
        </w:rPr>
        <w:t>Plan d</w:t>
      </w:r>
      <w:r w:rsidR="00BE419D">
        <w:rPr>
          <w:lang w:val="fr-CH"/>
        </w:rPr>
        <w:t>'</w:t>
      </w:r>
      <w:r w:rsidRPr="004C6021">
        <w:rPr>
          <w:lang w:val="fr-CH"/>
        </w:rPr>
        <w:t xml:space="preserve">action </w:t>
      </w:r>
      <w:r>
        <w:rPr>
          <w:lang w:val="fr-CH"/>
        </w:rPr>
        <w:t>de l</w:t>
      </w:r>
      <w:r w:rsidR="00BE419D">
        <w:rPr>
          <w:lang w:val="fr-CH"/>
        </w:rPr>
        <w:t>'</w:t>
      </w:r>
      <w:r>
        <w:rPr>
          <w:lang w:val="fr-CH"/>
        </w:rPr>
        <w:t xml:space="preserve">ONU </w:t>
      </w:r>
      <w:r w:rsidRPr="004C6021">
        <w:rPr>
          <w:lang w:val="fr-CH"/>
        </w:rPr>
        <w:t>pour la coopération numérique et</w:t>
      </w:r>
      <w:r>
        <w:rPr>
          <w:lang w:val="fr-CH"/>
        </w:rPr>
        <w:t xml:space="preserve"> de la feuille de route connexe,</w:t>
      </w:r>
      <w:r w:rsidRPr="004C6021">
        <w:rPr>
          <w:lang w:val="fr-CH"/>
        </w:rPr>
        <w:t xml:space="preserve"> Notre programme commun</w:t>
      </w:r>
      <w:r>
        <w:rPr>
          <w:lang w:val="fr-CH"/>
        </w:rPr>
        <w:t xml:space="preserve">, en ce que ces documents comportent à notre avis plusieurs domaines dans lesquels </w:t>
      </w:r>
      <w:r w:rsidRPr="004C6021">
        <w:rPr>
          <w:lang w:val="fr-CH"/>
        </w:rPr>
        <w:t>l</w:t>
      </w:r>
      <w:r w:rsidR="00BE419D">
        <w:rPr>
          <w:lang w:val="fr-CH"/>
        </w:rPr>
        <w:t>'</w:t>
      </w:r>
      <w:r w:rsidRPr="004C6021">
        <w:rPr>
          <w:lang w:val="fr-CH"/>
        </w:rPr>
        <w:t xml:space="preserve">UIT </w:t>
      </w:r>
      <w:r>
        <w:rPr>
          <w:lang w:val="fr-CH"/>
        </w:rPr>
        <w:t>pourrait intervenir, outre qu</w:t>
      </w:r>
      <w:r w:rsidR="00BE419D">
        <w:rPr>
          <w:lang w:val="fr-CH"/>
        </w:rPr>
        <w:t>'</w:t>
      </w:r>
      <w:r>
        <w:rPr>
          <w:lang w:val="fr-CH"/>
        </w:rPr>
        <w:t xml:space="preserve">ils </w:t>
      </w:r>
      <w:r w:rsidRPr="004C6021">
        <w:rPr>
          <w:lang w:val="fr-CH"/>
        </w:rPr>
        <w:t>ouvrent une série</w:t>
      </w:r>
      <w:r>
        <w:rPr>
          <w:lang w:val="fr-CH"/>
        </w:rPr>
        <w:t xml:space="preserve"> de possibilités de partenariat</w:t>
      </w:r>
      <w:r w:rsidRPr="004C6021">
        <w:rPr>
          <w:lang w:val="fr-CH"/>
        </w:rPr>
        <w:t xml:space="preserve"> avec différentes organisations. </w:t>
      </w:r>
      <w:r w:rsidRPr="001E4822">
        <w:rPr>
          <w:lang w:val="fr-CH"/>
        </w:rPr>
        <w:t>Cet aspect peut être indiqué parmi les possibilités dans l</w:t>
      </w:r>
      <w:r w:rsidR="00BE419D">
        <w:rPr>
          <w:lang w:val="fr-CH"/>
        </w:rPr>
        <w:t>'</w:t>
      </w:r>
      <w:r w:rsidRPr="001E4822">
        <w:rPr>
          <w:lang w:val="fr-CH"/>
        </w:rPr>
        <w:t>analyse SWOT</w:t>
      </w:r>
      <w:r w:rsidR="00FC315C" w:rsidRPr="0011770C">
        <w:rPr>
          <w:rFonts w:eastAsia="Calibri"/>
          <w:lang w:val="fr-CH"/>
        </w:rPr>
        <w:t xml:space="preserve">. </w:t>
      </w:r>
    </w:p>
    <w:p w14:paraId="58540431" w14:textId="7CFD18A3" w:rsidR="00EF3DA3" w:rsidRPr="0011770C" w:rsidRDefault="0011770C" w:rsidP="00BE419D">
      <w:pPr>
        <w:rPr>
          <w:rFonts w:eastAsia="Calibri"/>
          <w:lang w:val="fr-CH"/>
        </w:rPr>
      </w:pPr>
      <w:r w:rsidRPr="001E4822">
        <w:rPr>
          <w:lang w:val="fr-CH"/>
        </w:rPr>
        <w:t>Nous suggérons aussi d</w:t>
      </w:r>
      <w:r w:rsidR="00BE419D">
        <w:rPr>
          <w:lang w:val="fr-CH"/>
        </w:rPr>
        <w:t>'</w:t>
      </w:r>
      <w:r w:rsidRPr="001E4822">
        <w:rPr>
          <w:lang w:val="fr-CH"/>
        </w:rPr>
        <w:t xml:space="preserve">indiquer les aspects ci-après parmi les </w:t>
      </w:r>
      <w:r w:rsidR="00BE419D">
        <w:rPr>
          <w:lang w:val="fr-CH"/>
        </w:rPr>
        <w:t>"</w:t>
      </w:r>
      <w:r w:rsidRPr="001E4822">
        <w:rPr>
          <w:b/>
          <w:lang w:val="fr-CH"/>
        </w:rPr>
        <w:t>Faiblesses</w:t>
      </w:r>
      <w:r w:rsidR="00BE419D">
        <w:rPr>
          <w:lang w:val="fr-CH"/>
        </w:rPr>
        <w:t>"</w:t>
      </w:r>
      <w:r w:rsidRPr="001E4822">
        <w:rPr>
          <w:lang w:val="fr-CH"/>
        </w:rPr>
        <w:t xml:space="preserve"> dans l</w:t>
      </w:r>
      <w:r w:rsidR="00BE419D">
        <w:rPr>
          <w:lang w:val="fr-CH"/>
        </w:rPr>
        <w:t>'</w:t>
      </w:r>
      <w:r w:rsidRPr="001E4822">
        <w:rPr>
          <w:lang w:val="fr-CH"/>
        </w:rPr>
        <w:t xml:space="preserve">analyse </w:t>
      </w:r>
      <w:proofErr w:type="gramStart"/>
      <w:r w:rsidRPr="001E4822">
        <w:rPr>
          <w:lang w:val="fr-CH"/>
        </w:rPr>
        <w:t>SWOT</w:t>
      </w:r>
      <w:r w:rsidR="00FC315C" w:rsidRPr="0011770C">
        <w:rPr>
          <w:rFonts w:eastAsia="Calibri"/>
          <w:lang w:val="fr-CH"/>
        </w:rPr>
        <w:t>:</w:t>
      </w:r>
      <w:proofErr w:type="gramEnd"/>
    </w:p>
    <w:p w14:paraId="5390E9A4" w14:textId="5E76AA4F" w:rsidR="00FC315C" w:rsidRPr="0011770C" w:rsidRDefault="001C2230" w:rsidP="00BE419D">
      <w:pPr>
        <w:pStyle w:val="enumlev1"/>
        <w:rPr>
          <w:rFonts w:eastAsia="Calibri" w:cs="Arial"/>
          <w:szCs w:val="24"/>
          <w:lang w:val="fr-CH"/>
        </w:rPr>
      </w:pPr>
      <w:r w:rsidRPr="0011770C">
        <w:rPr>
          <w:rFonts w:eastAsia="Calibri"/>
          <w:lang w:val="fr-CH"/>
        </w:rPr>
        <w:t>1</w:t>
      </w:r>
      <w:r w:rsidR="00F44F1B" w:rsidRPr="0011770C">
        <w:rPr>
          <w:rFonts w:eastAsia="Calibri"/>
          <w:lang w:val="fr-CH"/>
        </w:rPr>
        <w:t>)</w:t>
      </w:r>
      <w:r w:rsidRPr="0011770C">
        <w:rPr>
          <w:rFonts w:eastAsia="Calibri"/>
          <w:lang w:val="fr-CH"/>
        </w:rPr>
        <w:tab/>
      </w:r>
      <w:r w:rsidR="0011770C">
        <w:rPr>
          <w:lang w:val="fr-CH"/>
        </w:rPr>
        <w:t>L</w:t>
      </w:r>
      <w:r w:rsidR="00BE419D">
        <w:rPr>
          <w:lang w:val="fr-CH"/>
        </w:rPr>
        <w:t>'</w:t>
      </w:r>
      <w:r w:rsidR="0011770C">
        <w:rPr>
          <w:lang w:val="fr-CH"/>
        </w:rPr>
        <w:t>im</w:t>
      </w:r>
      <w:r w:rsidR="0011770C" w:rsidRPr="00EC3EAC">
        <w:rPr>
          <w:lang w:val="fr-CH"/>
        </w:rPr>
        <w:t xml:space="preserve">précision du mandat des bureaux régionaux et </w:t>
      </w:r>
      <w:r w:rsidR="0011770C">
        <w:rPr>
          <w:lang w:val="fr-CH"/>
        </w:rPr>
        <w:t xml:space="preserve">des bureaux </w:t>
      </w:r>
      <w:r w:rsidR="0011770C" w:rsidRPr="00EC3EAC">
        <w:rPr>
          <w:lang w:val="fr-CH"/>
        </w:rPr>
        <w:t>de zone</w:t>
      </w:r>
      <w:r w:rsidR="0011770C">
        <w:rPr>
          <w:lang w:val="fr-CH"/>
        </w:rPr>
        <w:t>,</w:t>
      </w:r>
      <w:r w:rsidR="0011770C" w:rsidRPr="00EC3EAC">
        <w:rPr>
          <w:lang w:val="fr-CH"/>
        </w:rPr>
        <w:t xml:space="preserve"> </w:t>
      </w:r>
      <w:r w:rsidR="0011770C">
        <w:rPr>
          <w:lang w:val="fr-CH"/>
        </w:rPr>
        <w:t>qui est source d</w:t>
      </w:r>
      <w:r w:rsidR="00BE419D">
        <w:rPr>
          <w:lang w:val="fr-CH"/>
        </w:rPr>
        <w:t>'</w:t>
      </w:r>
      <w:r w:rsidR="0011770C">
        <w:rPr>
          <w:lang w:val="fr-CH"/>
        </w:rPr>
        <w:t>inefficacité dans les services offerts aux membres et dans la proposition de valeur offerte aux parties prenantes</w:t>
      </w:r>
      <w:r w:rsidR="00FC315C" w:rsidRPr="0011770C">
        <w:rPr>
          <w:rFonts w:eastAsia="Calibri"/>
          <w:lang w:val="fr-CH"/>
        </w:rPr>
        <w:t>.</w:t>
      </w:r>
    </w:p>
    <w:p w14:paraId="6C13D7D6" w14:textId="6A509741" w:rsidR="00EF3DA3" w:rsidRPr="0011770C" w:rsidRDefault="0011770C" w:rsidP="00BE41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eastAsia="Calibri" w:cs="Arial"/>
          <w:szCs w:val="24"/>
          <w:lang w:val="fr-CH"/>
        </w:rPr>
      </w:pPr>
      <w:r w:rsidRPr="001E4822">
        <w:rPr>
          <w:lang w:val="fr-CH"/>
        </w:rPr>
        <w:t>Nous suggérons aussi d</w:t>
      </w:r>
      <w:r w:rsidR="00BE419D">
        <w:rPr>
          <w:lang w:val="fr-CH"/>
        </w:rPr>
        <w:t>'</w:t>
      </w:r>
      <w:r w:rsidRPr="001E4822">
        <w:rPr>
          <w:lang w:val="fr-CH"/>
        </w:rPr>
        <w:t xml:space="preserve">indiquer les aspects ci-après parmi les </w:t>
      </w:r>
      <w:r w:rsidR="00BE419D">
        <w:rPr>
          <w:lang w:val="fr-CH"/>
        </w:rPr>
        <w:t>"</w:t>
      </w:r>
      <w:r w:rsidRPr="001E4822">
        <w:rPr>
          <w:b/>
          <w:lang w:val="fr-CH"/>
        </w:rPr>
        <w:t>Menaces</w:t>
      </w:r>
      <w:r w:rsidR="00BE419D">
        <w:rPr>
          <w:lang w:val="fr-CH"/>
        </w:rPr>
        <w:t>"</w:t>
      </w:r>
      <w:r w:rsidRPr="001E4822">
        <w:rPr>
          <w:lang w:val="fr-CH"/>
        </w:rPr>
        <w:t xml:space="preserve"> dans l</w:t>
      </w:r>
      <w:r w:rsidR="00BE419D">
        <w:rPr>
          <w:lang w:val="fr-CH"/>
        </w:rPr>
        <w:t>'</w:t>
      </w:r>
      <w:r w:rsidRPr="001E4822">
        <w:rPr>
          <w:lang w:val="fr-CH"/>
        </w:rPr>
        <w:t xml:space="preserve">analyse </w:t>
      </w:r>
      <w:proofErr w:type="gramStart"/>
      <w:r w:rsidRPr="001E4822">
        <w:rPr>
          <w:lang w:val="fr-CH"/>
        </w:rPr>
        <w:t>SWOT</w:t>
      </w:r>
      <w:r w:rsidR="00FC315C" w:rsidRPr="0011770C">
        <w:rPr>
          <w:rFonts w:eastAsia="Calibri" w:cs="Arial"/>
          <w:szCs w:val="24"/>
          <w:lang w:val="fr-CH"/>
        </w:rPr>
        <w:t>:</w:t>
      </w:r>
      <w:proofErr w:type="gramEnd"/>
    </w:p>
    <w:p w14:paraId="74DAAE1C" w14:textId="07184CA8" w:rsidR="00FC315C" w:rsidRPr="0011770C" w:rsidRDefault="00EF3DA3" w:rsidP="00BE419D">
      <w:pPr>
        <w:pStyle w:val="enumlev1"/>
        <w:rPr>
          <w:rFonts w:eastAsia="Calibri"/>
          <w:lang w:val="fr-CH"/>
        </w:rPr>
      </w:pPr>
      <w:r w:rsidRPr="0011770C">
        <w:rPr>
          <w:rFonts w:eastAsia="Calibri"/>
          <w:lang w:val="fr-CH"/>
        </w:rPr>
        <w:t>1</w:t>
      </w:r>
      <w:r w:rsidR="00F44F1B" w:rsidRPr="0011770C">
        <w:rPr>
          <w:rFonts w:eastAsia="Calibri"/>
          <w:lang w:val="fr-CH"/>
        </w:rPr>
        <w:t>)</w:t>
      </w:r>
      <w:r w:rsidRPr="0011770C">
        <w:rPr>
          <w:rFonts w:eastAsia="Calibri"/>
          <w:lang w:val="fr-CH"/>
        </w:rPr>
        <w:tab/>
      </w:r>
      <w:r w:rsidR="0011770C" w:rsidRPr="0011770C">
        <w:rPr>
          <w:rFonts w:eastAsia="Calibri"/>
          <w:lang w:val="fr-CH"/>
        </w:rPr>
        <w:t>La capacité de se montrer concurrentiel et de conserver sa raison d</w:t>
      </w:r>
      <w:r w:rsidR="00BE419D">
        <w:rPr>
          <w:rFonts w:eastAsia="Calibri"/>
          <w:lang w:val="fr-CH"/>
        </w:rPr>
        <w:t>'</w:t>
      </w:r>
      <w:r w:rsidR="0011770C" w:rsidRPr="0011770C">
        <w:rPr>
          <w:rFonts w:eastAsia="Calibri"/>
          <w:lang w:val="fr-CH"/>
        </w:rPr>
        <w:t>être aux échelons international et régional est une question qui suscite des préoccupations majeures</w:t>
      </w:r>
      <w:r w:rsidR="00BE419D">
        <w:rPr>
          <w:rFonts w:eastAsia="Calibri"/>
          <w:lang w:val="fr-CH"/>
        </w:rPr>
        <w:t>.</w:t>
      </w:r>
    </w:p>
    <w:p w14:paraId="019300C4" w14:textId="78626303" w:rsidR="00FC315C" w:rsidRPr="0011770C" w:rsidRDefault="00EF3DA3" w:rsidP="00BE419D">
      <w:pPr>
        <w:pStyle w:val="enumlev1"/>
        <w:rPr>
          <w:rFonts w:eastAsia="Calibri" w:cs="Arial"/>
          <w:szCs w:val="24"/>
          <w:lang w:val="fr-CH"/>
        </w:rPr>
      </w:pPr>
      <w:r w:rsidRPr="0011770C">
        <w:rPr>
          <w:rFonts w:eastAsia="Calibri" w:cs="Arial"/>
          <w:szCs w:val="24"/>
          <w:lang w:val="fr-CH"/>
        </w:rPr>
        <w:t>2</w:t>
      </w:r>
      <w:r w:rsidR="00F44F1B" w:rsidRPr="0011770C">
        <w:rPr>
          <w:rFonts w:eastAsia="Calibri" w:cs="Arial"/>
          <w:szCs w:val="24"/>
          <w:lang w:val="fr-CH"/>
        </w:rPr>
        <w:t>)</w:t>
      </w:r>
      <w:r w:rsidRPr="0011770C">
        <w:rPr>
          <w:rFonts w:eastAsia="Calibri" w:cs="Arial"/>
          <w:szCs w:val="24"/>
          <w:lang w:val="fr-CH"/>
        </w:rPr>
        <w:tab/>
      </w:r>
      <w:r w:rsidR="0011770C">
        <w:rPr>
          <w:lang w:val="fr-CH"/>
        </w:rPr>
        <w:t>D</w:t>
      </w:r>
      <w:r w:rsidR="00BE419D">
        <w:rPr>
          <w:lang w:val="fr-CH"/>
        </w:rPr>
        <w:t>'</w:t>
      </w:r>
      <w:r w:rsidR="0011770C">
        <w:rPr>
          <w:lang w:val="fr-CH"/>
        </w:rPr>
        <w:t>autres organismes</w:t>
      </w:r>
      <w:r w:rsidR="0011770C" w:rsidRPr="005E604D">
        <w:rPr>
          <w:lang w:val="fr-CH"/>
        </w:rPr>
        <w:t xml:space="preserve"> des Nations Unies renforcent leur </w:t>
      </w:r>
      <w:r w:rsidR="0011770C">
        <w:rPr>
          <w:lang w:val="fr-CH"/>
        </w:rPr>
        <w:t xml:space="preserve">participation </w:t>
      </w:r>
      <w:r w:rsidR="0011770C" w:rsidRPr="005E604D">
        <w:rPr>
          <w:lang w:val="fr-CH"/>
        </w:rPr>
        <w:t xml:space="preserve">dans les domaines de la coopération numérique et des TIC, où elles </w:t>
      </w:r>
      <w:r w:rsidR="0011770C">
        <w:rPr>
          <w:lang w:val="fr-CH"/>
        </w:rPr>
        <w:t xml:space="preserve">sont à même de </w:t>
      </w:r>
      <w:r w:rsidR="0011770C" w:rsidRPr="005E604D">
        <w:rPr>
          <w:lang w:val="fr-CH"/>
        </w:rPr>
        <w:t xml:space="preserve">déployer des </w:t>
      </w:r>
      <w:r w:rsidR="0011770C">
        <w:rPr>
          <w:lang w:val="fr-CH"/>
        </w:rPr>
        <w:t xml:space="preserve">moyens </w:t>
      </w:r>
      <w:r w:rsidR="0011770C" w:rsidRPr="005E604D">
        <w:rPr>
          <w:lang w:val="fr-CH"/>
        </w:rPr>
        <w:t xml:space="preserve">qui pourraient </w:t>
      </w:r>
      <w:r w:rsidR="0011770C">
        <w:rPr>
          <w:lang w:val="fr-CH"/>
        </w:rPr>
        <w:t xml:space="preserve">excéder ceux dont </w:t>
      </w:r>
      <w:r w:rsidR="0011770C" w:rsidRPr="005E604D">
        <w:rPr>
          <w:lang w:val="fr-CH"/>
        </w:rPr>
        <w:t>l</w:t>
      </w:r>
      <w:r w:rsidR="00BE419D">
        <w:rPr>
          <w:lang w:val="fr-CH"/>
        </w:rPr>
        <w:t>'</w:t>
      </w:r>
      <w:r w:rsidR="0011770C" w:rsidRPr="005E604D">
        <w:rPr>
          <w:lang w:val="fr-CH"/>
        </w:rPr>
        <w:t xml:space="preserve">UIT </w:t>
      </w:r>
      <w:r w:rsidR="0011770C">
        <w:rPr>
          <w:lang w:val="fr-CH"/>
        </w:rPr>
        <w:t xml:space="preserve">dispose </w:t>
      </w:r>
      <w:r w:rsidR="0011770C" w:rsidRPr="005E604D">
        <w:rPr>
          <w:lang w:val="fr-CH"/>
        </w:rPr>
        <w:t>au niveau régional</w:t>
      </w:r>
      <w:r w:rsidR="00BE419D">
        <w:rPr>
          <w:rFonts w:eastAsia="Calibri" w:cs="Arial"/>
          <w:szCs w:val="24"/>
          <w:lang w:val="fr-CH"/>
        </w:rPr>
        <w:t>.</w:t>
      </w:r>
    </w:p>
    <w:p w14:paraId="7F91039D" w14:textId="67A5C13A" w:rsidR="00FC315C" w:rsidRPr="0011770C" w:rsidRDefault="00EF3DA3" w:rsidP="00BE419D">
      <w:pPr>
        <w:pStyle w:val="enumlev1"/>
        <w:rPr>
          <w:rFonts w:eastAsia="Calibri" w:cs="Arial"/>
          <w:szCs w:val="24"/>
          <w:lang w:val="fr-CH"/>
        </w:rPr>
      </w:pPr>
      <w:r w:rsidRPr="0011770C">
        <w:rPr>
          <w:rFonts w:eastAsia="Calibri" w:cs="Arial"/>
          <w:szCs w:val="24"/>
          <w:lang w:val="fr-CH"/>
        </w:rPr>
        <w:t>4</w:t>
      </w:r>
      <w:r w:rsidR="00F44F1B" w:rsidRPr="0011770C">
        <w:rPr>
          <w:rFonts w:eastAsia="Calibri" w:cs="Arial"/>
          <w:szCs w:val="24"/>
          <w:lang w:val="fr-CH"/>
        </w:rPr>
        <w:t>)</w:t>
      </w:r>
      <w:r w:rsidRPr="0011770C">
        <w:rPr>
          <w:rFonts w:eastAsia="Calibri" w:cs="Arial"/>
          <w:szCs w:val="24"/>
          <w:lang w:val="fr-CH"/>
        </w:rPr>
        <w:tab/>
      </w:r>
      <w:r w:rsidR="0011770C" w:rsidRPr="0011770C">
        <w:rPr>
          <w:rFonts w:eastAsia="Calibri" w:cs="Arial"/>
          <w:szCs w:val="24"/>
          <w:lang w:val="fr-CH"/>
        </w:rPr>
        <w:t>Le modèle d</w:t>
      </w:r>
      <w:r w:rsidR="00BE419D">
        <w:rPr>
          <w:rFonts w:eastAsia="Calibri" w:cs="Arial"/>
          <w:szCs w:val="24"/>
          <w:lang w:val="fr-CH"/>
        </w:rPr>
        <w:t>'</w:t>
      </w:r>
      <w:r w:rsidR="0011770C" w:rsidRPr="0011770C">
        <w:rPr>
          <w:rFonts w:eastAsia="Calibri" w:cs="Arial"/>
          <w:szCs w:val="24"/>
          <w:lang w:val="fr-CH"/>
        </w:rPr>
        <w:t>activité actuel des manifestations Telecom n</w:t>
      </w:r>
      <w:r w:rsidR="00BE419D">
        <w:rPr>
          <w:rFonts w:eastAsia="Calibri" w:cs="Arial"/>
          <w:szCs w:val="24"/>
          <w:lang w:val="fr-CH"/>
        </w:rPr>
        <w:t>'</w:t>
      </w:r>
      <w:r w:rsidR="0011770C" w:rsidRPr="0011770C">
        <w:rPr>
          <w:rFonts w:eastAsia="Calibri" w:cs="Arial"/>
          <w:szCs w:val="24"/>
          <w:lang w:val="fr-CH"/>
        </w:rPr>
        <w:t>est pas viable financièrement et la proposition de valeur de ces manifestations montre des signes évidents de faiblesse</w:t>
      </w:r>
      <w:r w:rsidR="00BE419D">
        <w:rPr>
          <w:rFonts w:eastAsia="Calibri" w:cs="Arial"/>
          <w:szCs w:val="24"/>
          <w:lang w:val="fr-CH"/>
        </w:rPr>
        <w:t>.</w:t>
      </w:r>
      <w:r w:rsidR="0011770C" w:rsidRPr="0011770C">
        <w:rPr>
          <w:rFonts w:eastAsia="Calibri" w:cs="Arial"/>
          <w:szCs w:val="24"/>
          <w:lang w:val="fr-CH"/>
        </w:rPr>
        <w:t xml:space="preserve"> </w:t>
      </w:r>
    </w:p>
    <w:p w14:paraId="7944A8E0" w14:textId="42AB183E" w:rsidR="00FC315C" w:rsidRPr="0011770C" w:rsidRDefault="00EF3DA3" w:rsidP="00BE419D">
      <w:pPr>
        <w:pStyle w:val="enumlev1"/>
        <w:rPr>
          <w:rFonts w:eastAsia="Calibri" w:cs="Arial"/>
          <w:szCs w:val="24"/>
          <w:lang w:val="fr-CH"/>
        </w:rPr>
      </w:pPr>
      <w:r w:rsidRPr="0011770C">
        <w:rPr>
          <w:rFonts w:eastAsia="Calibri" w:cs="Arial"/>
          <w:szCs w:val="24"/>
          <w:lang w:val="fr-CH"/>
        </w:rPr>
        <w:t>5</w:t>
      </w:r>
      <w:r w:rsidR="00F44F1B" w:rsidRPr="0011770C">
        <w:rPr>
          <w:rFonts w:eastAsia="Calibri" w:cs="Arial"/>
          <w:szCs w:val="24"/>
          <w:lang w:val="fr-CH"/>
        </w:rPr>
        <w:t>)</w:t>
      </w:r>
      <w:r w:rsidRPr="0011770C">
        <w:rPr>
          <w:rFonts w:eastAsia="Calibri" w:cs="Arial"/>
          <w:szCs w:val="24"/>
          <w:lang w:val="fr-CH"/>
        </w:rPr>
        <w:tab/>
      </w:r>
      <w:r w:rsidR="0011770C">
        <w:rPr>
          <w:lang w:val="fr-CH"/>
        </w:rPr>
        <w:t>Participation</w:t>
      </w:r>
      <w:r w:rsidR="0011770C" w:rsidRPr="005E604D">
        <w:rPr>
          <w:lang w:val="fr-CH"/>
        </w:rPr>
        <w:t xml:space="preserve">, coordination et collaboration </w:t>
      </w:r>
      <w:r w:rsidR="0011770C">
        <w:rPr>
          <w:lang w:val="fr-CH"/>
        </w:rPr>
        <w:t xml:space="preserve">faibles </w:t>
      </w:r>
      <w:r w:rsidR="0011770C" w:rsidRPr="005E604D">
        <w:rPr>
          <w:lang w:val="fr-CH"/>
        </w:rPr>
        <w:t>à l</w:t>
      </w:r>
      <w:r w:rsidR="00BE419D">
        <w:rPr>
          <w:lang w:val="fr-CH"/>
        </w:rPr>
        <w:t>'</w:t>
      </w:r>
      <w:r w:rsidR="0011770C" w:rsidRPr="005E604D">
        <w:rPr>
          <w:lang w:val="fr-CH"/>
        </w:rPr>
        <w:t xml:space="preserve">échelle </w:t>
      </w:r>
      <w:r w:rsidR="0011770C">
        <w:rPr>
          <w:lang w:val="fr-CH"/>
        </w:rPr>
        <w:t xml:space="preserve">du système des Nations Unies </w:t>
      </w:r>
      <w:r w:rsidR="0011770C" w:rsidRPr="005E604D">
        <w:rPr>
          <w:lang w:val="fr-CH"/>
        </w:rPr>
        <w:t>l</w:t>
      </w:r>
      <w:r w:rsidR="00BE419D">
        <w:rPr>
          <w:lang w:val="fr-CH"/>
        </w:rPr>
        <w:t>'</w:t>
      </w:r>
      <w:r w:rsidR="0011770C" w:rsidRPr="005E604D">
        <w:rPr>
          <w:lang w:val="fr-CH"/>
        </w:rPr>
        <w:t xml:space="preserve">ONU </w:t>
      </w:r>
      <w:r w:rsidR="0011770C">
        <w:rPr>
          <w:lang w:val="fr-CH"/>
        </w:rPr>
        <w:t xml:space="preserve">en ce qui concerne la </w:t>
      </w:r>
      <w:r w:rsidR="0011770C" w:rsidRPr="005E604D">
        <w:rPr>
          <w:lang w:val="fr-CH"/>
        </w:rPr>
        <w:t xml:space="preserve">planification stratégique </w:t>
      </w:r>
      <w:r w:rsidR="0011770C">
        <w:rPr>
          <w:lang w:val="fr-CH"/>
        </w:rPr>
        <w:t>commune</w:t>
      </w:r>
      <w:r w:rsidR="00FC315C" w:rsidRPr="0011770C">
        <w:rPr>
          <w:rFonts w:eastAsia="Calibri" w:cs="Arial"/>
          <w:szCs w:val="24"/>
          <w:lang w:val="fr-CH"/>
        </w:rPr>
        <w:t>.</w:t>
      </w:r>
    </w:p>
    <w:p w14:paraId="0D5ECBE9" w14:textId="5CE289B6" w:rsidR="00E05E18" w:rsidRPr="00201877" w:rsidRDefault="00201877" w:rsidP="00BE41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color w:val="000000"/>
          <w:szCs w:val="24"/>
          <w:lang w:val="fr-CH"/>
        </w:rPr>
      </w:pPr>
      <w:r w:rsidRPr="00201877">
        <w:rPr>
          <w:color w:val="000000"/>
          <w:szCs w:val="24"/>
          <w:lang w:val="fr-CH"/>
        </w:rPr>
        <w:t xml:space="preserve">Autres points essentiels </w:t>
      </w:r>
      <w:proofErr w:type="gramStart"/>
      <w:r w:rsidRPr="00201877">
        <w:rPr>
          <w:color w:val="000000"/>
          <w:szCs w:val="24"/>
          <w:lang w:val="fr-CH"/>
        </w:rPr>
        <w:t>soulignés</w:t>
      </w:r>
      <w:r w:rsidR="00FC315C" w:rsidRPr="00201877">
        <w:rPr>
          <w:color w:val="000000"/>
          <w:szCs w:val="24"/>
          <w:lang w:val="fr-CH"/>
        </w:rPr>
        <w:t>:</w:t>
      </w:r>
      <w:proofErr w:type="gramEnd"/>
    </w:p>
    <w:p w14:paraId="05F0E96B" w14:textId="38D85804" w:rsidR="00E05E18" w:rsidRPr="00201877" w:rsidRDefault="00E05E18" w:rsidP="00BE419D">
      <w:pPr>
        <w:pStyle w:val="enumlev1"/>
        <w:rPr>
          <w:lang w:val="fr-CH"/>
        </w:rPr>
      </w:pPr>
      <w:r w:rsidRPr="00201877">
        <w:rPr>
          <w:lang w:val="fr-CH"/>
        </w:rPr>
        <w:t>•</w:t>
      </w:r>
      <w:r w:rsidRPr="00201877">
        <w:rPr>
          <w:lang w:val="fr-CH"/>
        </w:rPr>
        <w:tab/>
      </w:r>
      <w:r w:rsidR="00201877">
        <w:rPr>
          <w:lang w:val="fr-CH"/>
        </w:rPr>
        <w:t>Garantir</w:t>
      </w:r>
      <w:r w:rsidR="00201877" w:rsidRPr="00201877">
        <w:rPr>
          <w:lang w:val="fr-CH"/>
        </w:rPr>
        <w:t xml:space="preserve"> des mesures fiables et bien définies des objectifs/indicateurs</w:t>
      </w:r>
      <w:r w:rsidR="00FC315C" w:rsidRPr="00201877">
        <w:rPr>
          <w:lang w:val="fr-CH"/>
        </w:rPr>
        <w:t>.</w:t>
      </w:r>
    </w:p>
    <w:p w14:paraId="74C11DD1" w14:textId="40AE9690" w:rsidR="00FC315C" w:rsidRDefault="00E05E18" w:rsidP="00BE419D">
      <w:pPr>
        <w:pStyle w:val="enumlev1"/>
        <w:rPr>
          <w:color w:val="000000"/>
          <w:szCs w:val="24"/>
          <w:lang w:val="fr-CH"/>
        </w:rPr>
      </w:pPr>
      <w:r w:rsidRPr="00CE585D">
        <w:rPr>
          <w:lang w:val="fr-CH"/>
        </w:rPr>
        <w:t>•</w:t>
      </w:r>
      <w:r w:rsidRPr="00CE585D">
        <w:rPr>
          <w:lang w:val="fr-CH"/>
        </w:rPr>
        <w:tab/>
      </w:r>
      <w:r w:rsidR="00F477FA">
        <w:rPr>
          <w:color w:val="000000"/>
          <w:szCs w:val="24"/>
          <w:lang w:val="fr-CH"/>
        </w:rPr>
        <w:t>S</w:t>
      </w:r>
      <w:r w:rsidR="00BE419D">
        <w:rPr>
          <w:color w:val="000000"/>
          <w:szCs w:val="24"/>
          <w:lang w:val="fr-CH"/>
        </w:rPr>
        <w:t>'</w:t>
      </w:r>
      <w:r w:rsidR="00F477FA">
        <w:rPr>
          <w:color w:val="000000"/>
          <w:szCs w:val="24"/>
          <w:lang w:val="fr-CH"/>
        </w:rPr>
        <w:t xml:space="preserve">agissant des </w:t>
      </w:r>
      <w:r w:rsidR="00201877" w:rsidRPr="00201877">
        <w:rPr>
          <w:color w:val="000000"/>
          <w:szCs w:val="24"/>
          <w:lang w:val="fr-CH"/>
        </w:rPr>
        <w:t>plan</w:t>
      </w:r>
      <w:r w:rsidR="00F477FA">
        <w:rPr>
          <w:color w:val="000000"/>
          <w:szCs w:val="24"/>
          <w:lang w:val="fr-CH"/>
        </w:rPr>
        <w:t>s</w:t>
      </w:r>
      <w:r w:rsidR="00201877" w:rsidRPr="00201877">
        <w:rPr>
          <w:color w:val="000000"/>
          <w:szCs w:val="24"/>
          <w:lang w:val="fr-CH"/>
        </w:rPr>
        <w:t xml:space="preserve"> opérationnel</w:t>
      </w:r>
      <w:r w:rsidR="00F477FA">
        <w:rPr>
          <w:color w:val="000000"/>
          <w:szCs w:val="24"/>
          <w:lang w:val="fr-CH"/>
        </w:rPr>
        <w:t xml:space="preserve">s </w:t>
      </w:r>
      <w:r w:rsidR="006F0E05">
        <w:rPr>
          <w:color w:val="000000"/>
          <w:szCs w:val="24"/>
          <w:lang w:val="fr-CH"/>
        </w:rPr>
        <w:t>destinés</w:t>
      </w:r>
      <w:r w:rsidR="00F477FA">
        <w:rPr>
          <w:color w:val="000000"/>
          <w:szCs w:val="24"/>
          <w:lang w:val="fr-CH"/>
        </w:rPr>
        <w:t xml:space="preserve"> à </w:t>
      </w:r>
      <w:r w:rsidR="00201877" w:rsidRPr="00201877">
        <w:rPr>
          <w:color w:val="000000"/>
          <w:szCs w:val="24"/>
          <w:lang w:val="fr-CH"/>
        </w:rPr>
        <w:t>chaque bureau</w:t>
      </w:r>
      <w:r w:rsidR="00F477FA">
        <w:rPr>
          <w:color w:val="000000"/>
          <w:szCs w:val="24"/>
          <w:lang w:val="fr-CH"/>
        </w:rPr>
        <w:t xml:space="preserve"> régional, </w:t>
      </w:r>
      <w:r w:rsidR="00201877" w:rsidRPr="00201877">
        <w:rPr>
          <w:color w:val="000000"/>
          <w:szCs w:val="24"/>
          <w:lang w:val="fr-CH"/>
        </w:rPr>
        <w:t xml:space="preserve">que les pays </w:t>
      </w:r>
      <w:r w:rsidR="00F477FA">
        <w:rPr>
          <w:color w:val="000000"/>
          <w:szCs w:val="24"/>
          <w:lang w:val="fr-CH"/>
        </w:rPr>
        <w:t>approuvent ces plans</w:t>
      </w:r>
      <w:r w:rsidR="00201877" w:rsidRPr="00201877">
        <w:rPr>
          <w:color w:val="000000"/>
          <w:szCs w:val="24"/>
          <w:lang w:val="fr-CH"/>
        </w:rPr>
        <w:t xml:space="preserve">, participent </w:t>
      </w:r>
      <w:r w:rsidR="00F477FA">
        <w:rPr>
          <w:color w:val="000000"/>
          <w:szCs w:val="24"/>
          <w:lang w:val="fr-CH"/>
        </w:rPr>
        <w:t xml:space="preserve">à leur exécution </w:t>
      </w:r>
      <w:r w:rsidR="00201877" w:rsidRPr="00201877">
        <w:rPr>
          <w:color w:val="000000"/>
          <w:szCs w:val="24"/>
          <w:lang w:val="fr-CH"/>
        </w:rPr>
        <w:t xml:space="preserve">et disposent </w:t>
      </w:r>
      <w:r w:rsidR="00F477FA">
        <w:rPr>
          <w:color w:val="000000"/>
          <w:szCs w:val="24"/>
          <w:lang w:val="fr-CH"/>
        </w:rPr>
        <w:t>d</w:t>
      </w:r>
      <w:r w:rsidR="00BE419D">
        <w:rPr>
          <w:color w:val="000000"/>
          <w:szCs w:val="24"/>
          <w:lang w:val="fr-CH"/>
        </w:rPr>
        <w:t>'</w:t>
      </w:r>
      <w:r w:rsidR="00F477FA">
        <w:rPr>
          <w:color w:val="000000"/>
          <w:szCs w:val="24"/>
          <w:lang w:val="fr-CH"/>
        </w:rPr>
        <w:t xml:space="preserve">IFP robustes </w:t>
      </w:r>
      <w:r w:rsidR="00201877" w:rsidRPr="00201877">
        <w:rPr>
          <w:color w:val="000000"/>
          <w:szCs w:val="24"/>
          <w:lang w:val="fr-CH"/>
        </w:rPr>
        <w:t xml:space="preserve">pour </w:t>
      </w:r>
      <w:r w:rsidR="00F477FA">
        <w:rPr>
          <w:color w:val="000000"/>
          <w:szCs w:val="24"/>
          <w:lang w:val="fr-CH"/>
        </w:rPr>
        <w:t xml:space="preserve">en </w:t>
      </w:r>
      <w:r w:rsidR="00201877" w:rsidRPr="00201877">
        <w:rPr>
          <w:color w:val="000000"/>
          <w:szCs w:val="24"/>
          <w:lang w:val="fr-CH"/>
        </w:rPr>
        <w:t xml:space="preserve">mesurer les résultats, ce qui peut </w:t>
      </w:r>
      <w:r w:rsidR="00F477FA">
        <w:rPr>
          <w:color w:val="000000"/>
          <w:szCs w:val="24"/>
          <w:lang w:val="fr-CH"/>
        </w:rPr>
        <w:t>contribuer à la maîtrise du budget</w:t>
      </w:r>
      <w:r w:rsidR="00201877" w:rsidRPr="00201877">
        <w:rPr>
          <w:color w:val="000000"/>
          <w:szCs w:val="24"/>
          <w:lang w:val="fr-CH"/>
        </w:rPr>
        <w:t>.</w:t>
      </w:r>
    </w:p>
    <w:p w14:paraId="04D2EB2E" w14:textId="77777777" w:rsidR="00BE419D" w:rsidRPr="00201877" w:rsidRDefault="00BE419D" w:rsidP="00BE419D">
      <w:pPr>
        <w:rPr>
          <w:lang w:val="fr-CH"/>
        </w:rPr>
      </w:pPr>
    </w:p>
    <w:p w14:paraId="7CACF082" w14:textId="656A03F3" w:rsidR="00E53BDC" w:rsidRDefault="00E53BDC" w:rsidP="00BE419D">
      <w:pPr>
        <w:jc w:val="center"/>
      </w:pPr>
      <w:r>
        <w:t>______________</w:t>
      </w:r>
    </w:p>
    <w:sectPr w:rsidR="00E53BDC" w:rsidSect="006A697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8FAC" w14:textId="77777777" w:rsidR="0044407D" w:rsidRDefault="0044407D">
      <w:r>
        <w:separator/>
      </w:r>
    </w:p>
  </w:endnote>
  <w:endnote w:type="continuationSeparator" w:id="0">
    <w:p w14:paraId="54F617D4" w14:textId="77777777" w:rsidR="0044407D" w:rsidRDefault="004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753B" w14:textId="29DC3422"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7F2998">
      <w:rPr>
        <w:lang w:val="en-US"/>
      </w:rPr>
      <w:t>P:\FRA\SG\CONSEIL\CWG-SFP\CWG-SFP3\000\012F.docx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1737E">
      <w:t>21.02.22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F2998">
      <w:t>04.04.18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252" w14:textId="04E70543" w:rsidR="00BB4490" w:rsidRPr="007221B4" w:rsidRDefault="0011737E" w:rsidP="00BE419D">
    <w:pPr>
      <w:pStyle w:val="Footer"/>
    </w:pPr>
    <w:r w:rsidRPr="0011737E">
      <w:rPr>
        <w:color w:val="F2F2F2" w:themeColor="background1" w:themeShade="F2"/>
      </w:rPr>
      <w:fldChar w:fldCharType="begin"/>
    </w:r>
    <w:r w:rsidRPr="0011737E">
      <w:rPr>
        <w:color w:val="F2F2F2" w:themeColor="background1" w:themeShade="F2"/>
      </w:rPr>
      <w:instrText xml:space="preserve"> FILENAME \p  \* MERGEFORMAT </w:instrText>
    </w:r>
    <w:r w:rsidRPr="0011737E">
      <w:rPr>
        <w:color w:val="F2F2F2" w:themeColor="background1" w:themeShade="F2"/>
      </w:rPr>
      <w:fldChar w:fldCharType="separate"/>
    </w:r>
    <w:r w:rsidR="007F2998" w:rsidRPr="0011737E">
      <w:rPr>
        <w:color w:val="F2F2F2" w:themeColor="background1" w:themeShade="F2"/>
      </w:rPr>
      <w:t>P:\FRA\SG\CONSEIL\CWG-SFP\CWG-SFP3\000\012F.docx</w:t>
    </w:r>
    <w:r w:rsidRPr="0011737E">
      <w:rPr>
        <w:color w:val="F2F2F2" w:themeColor="background1" w:themeShade="F2"/>
      </w:rPr>
      <w:fldChar w:fldCharType="end"/>
    </w:r>
    <w:r w:rsidR="004834D6" w:rsidRPr="0011737E">
      <w:rPr>
        <w:color w:val="F2F2F2" w:themeColor="background1" w:themeShade="F2"/>
      </w:rPr>
      <w:t xml:space="preserve"> (</w:t>
    </w:r>
    <w:r w:rsidR="007221B4" w:rsidRPr="0011737E">
      <w:rPr>
        <w:color w:val="F2F2F2" w:themeColor="background1" w:themeShade="F2"/>
      </w:rPr>
      <w:t>501505</w:t>
    </w:r>
    <w:r w:rsidR="00274751" w:rsidRPr="0011737E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10D" w14:textId="2BD48BB6"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C66E" w14:textId="77777777" w:rsidR="0044407D" w:rsidRDefault="0044407D">
      <w:r>
        <w:t>____________________</w:t>
      </w:r>
    </w:p>
  </w:footnote>
  <w:footnote w:type="continuationSeparator" w:id="0">
    <w:p w14:paraId="0C6AF9FB" w14:textId="77777777" w:rsidR="0044407D" w:rsidRDefault="0044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8E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1F0577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9C89" w14:textId="6CF77495" w:rsidR="00732045" w:rsidRPr="00FC24D4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7F2998">
      <w:rPr>
        <w:noProof/>
      </w:rPr>
      <w:t>4</w:t>
    </w:r>
    <w:r>
      <w:rPr>
        <w:noProof/>
      </w:rPr>
      <w:fldChar w:fldCharType="end"/>
    </w:r>
    <w:r w:rsidR="00FC24D4">
      <w:rPr>
        <w:noProof/>
      </w:rPr>
      <w:br/>
    </w:r>
    <w:r w:rsidR="00FC24D4" w:rsidRPr="00FC24D4">
      <w:rPr>
        <w:bCs/>
      </w:rPr>
      <w:t>CWG-SFP-</w:t>
    </w:r>
    <w:r w:rsidR="007221B4">
      <w:rPr>
        <w:bCs/>
      </w:rPr>
      <w:t>3</w:t>
    </w:r>
    <w:r w:rsidR="00FC24D4" w:rsidRPr="00FC24D4">
      <w:rPr>
        <w:bCs/>
      </w:rPr>
      <w:t>/1</w:t>
    </w:r>
    <w:r w:rsidR="007221B4">
      <w:rPr>
        <w:bCs/>
      </w:rPr>
      <w:t>2</w:t>
    </w:r>
    <w:r w:rsidR="00FC24D4" w:rsidRPr="00FC24D4">
      <w:rPr>
        <w:bCs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A7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EC2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C8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64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F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6F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2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44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A0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2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3C4510"/>
    <w:multiLevelType w:val="hybridMultilevel"/>
    <w:tmpl w:val="064AB0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D4500"/>
    <w:multiLevelType w:val="hybridMultilevel"/>
    <w:tmpl w:val="89005F9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2B5612"/>
    <w:multiLevelType w:val="hybridMultilevel"/>
    <w:tmpl w:val="A64C538E"/>
    <w:lvl w:ilvl="0" w:tplc="FD241C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D10475"/>
    <w:multiLevelType w:val="hybridMultilevel"/>
    <w:tmpl w:val="3A88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968A7"/>
    <w:multiLevelType w:val="hybridMultilevel"/>
    <w:tmpl w:val="1E54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7851"/>
    <w:multiLevelType w:val="multilevel"/>
    <w:tmpl w:val="D4069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21"/>
  </w:num>
  <w:num w:numId="17">
    <w:abstractNumId w:val="19"/>
  </w:num>
  <w:num w:numId="18">
    <w:abstractNumId w:val="18"/>
  </w:num>
  <w:num w:numId="19">
    <w:abstractNumId w:val="13"/>
  </w:num>
  <w:num w:numId="20">
    <w:abstractNumId w:val="12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95F9DD4-A491-437B-953C-A3B9C342D91D}"/>
    <w:docVar w:name="dgnword-eventsink" w:val="1785674672176"/>
  </w:docVars>
  <w:rsids>
    <w:rsidRoot w:val="0044407D"/>
    <w:rsid w:val="00001392"/>
    <w:rsid w:val="00033613"/>
    <w:rsid w:val="000359AA"/>
    <w:rsid w:val="00050E0A"/>
    <w:rsid w:val="0006001F"/>
    <w:rsid w:val="00080530"/>
    <w:rsid w:val="00083EF6"/>
    <w:rsid w:val="000D0D0A"/>
    <w:rsid w:val="000E66E9"/>
    <w:rsid w:val="00103163"/>
    <w:rsid w:val="00115D93"/>
    <w:rsid w:val="0011737E"/>
    <w:rsid w:val="0011770C"/>
    <w:rsid w:val="001179D8"/>
    <w:rsid w:val="001247A8"/>
    <w:rsid w:val="001378C0"/>
    <w:rsid w:val="00182B08"/>
    <w:rsid w:val="0018694A"/>
    <w:rsid w:val="00192154"/>
    <w:rsid w:val="00197210"/>
    <w:rsid w:val="001A3287"/>
    <w:rsid w:val="001A6508"/>
    <w:rsid w:val="001B2D93"/>
    <w:rsid w:val="001B42B6"/>
    <w:rsid w:val="001C2230"/>
    <w:rsid w:val="001D0B38"/>
    <w:rsid w:val="001D25EB"/>
    <w:rsid w:val="001D4C31"/>
    <w:rsid w:val="001E4D21"/>
    <w:rsid w:val="001E7878"/>
    <w:rsid w:val="00201877"/>
    <w:rsid w:val="00207CD1"/>
    <w:rsid w:val="002477A2"/>
    <w:rsid w:val="00261A7A"/>
    <w:rsid w:val="00263A51"/>
    <w:rsid w:val="00264E11"/>
    <w:rsid w:val="002673E5"/>
    <w:rsid w:val="00267E02"/>
    <w:rsid w:val="00274751"/>
    <w:rsid w:val="00275A42"/>
    <w:rsid w:val="002954AF"/>
    <w:rsid w:val="002A5D44"/>
    <w:rsid w:val="002D60DB"/>
    <w:rsid w:val="002E0BC4"/>
    <w:rsid w:val="002F1B76"/>
    <w:rsid w:val="0033483F"/>
    <w:rsid w:val="00355FF5"/>
    <w:rsid w:val="003561B4"/>
    <w:rsid w:val="00361350"/>
    <w:rsid w:val="003624EF"/>
    <w:rsid w:val="00394B18"/>
    <w:rsid w:val="003A4EB1"/>
    <w:rsid w:val="003C52E4"/>
    <w:rsid w:val="00402B10"/>
    <w:rsid w:val="004038CB"/>
    <w:rsid w:val="0040546F"/>
    <w:rsid w:val="0041212E"/>
    <w:rsid w:val="00415A40"/>
    <w:rsid w:val="0042404A"/>
    <w:rsid w:val="00425F87"/>
    <w:rsid w:val="0044407D"/>
    <w:rsid w:val="0044618F"/>
    <w:rsid w:val="00464C6C"/>
    <w:rsid w:val="0046769A"/>
    <w:rsid w:val="00475FB3"/>
    <w:rsid w:val="004834D6"/>
    <w:rsid w:val="00484F10"/>
    <w:rsid w:val="004A1D0B"/>
    <w:rsid w:val="004A4E55"/>
    <w:rsid w:val="004C37A9"/>
    <w:rsid w:val="004F259E"/>
    <w:rsid w:val="004F408A"/>
    <w:rsid w:val="0050626B"/>
    <w:rsid w:val="00511F1D"/>
    <w:rsid w:val="00515660"/>
    <w:rsid w:val="00517190"/>
    <w:rsid w:val="00520BAE"/>
    <w:rsid w:val="00520F36"/>
    <w:rsid w:val="00540615"/>
    <w:rsid w:val="00540A6D"/>
    <w:rsid w:val="00571EEA"/>
    <w:rsid w:val="00575417"/>
    <w:rsid w:val="005768E1"/>
    <w:rsid w:val="005C307F"/>
    <w:rsid w:val="005C3890"/>
    <w:rsid w:val="005D4D7F"/>
    <w:rsid w:val="005F7BFE"/>
    <w:rsid w:val="00600017"/>
    <w:rsid w:val="006224B9"/>
    <w:rsid w:val="00622526"/>
    <w:rsid w:val="006235CA"/>
    <w:rsid w:val="00644CF6"/>
    <w:rsid w:val="006643AB"/>
    <w:rsid w:val="00674891"/>
    <w:rsid w:val="006A1396"/>
    <w:rsid w:val="006A697F"/>
    <w:rsid w:val="006E1F3A"/>
    <w:rsid w:val="006F0E05"/>
    <w:rsid w:val="00720F7A"/>
    <w:rsid w:val="00721016"/>
    <w:rsid w:val="007210CD"/>
    <w:rsid w:val="007221B4"/>
    <w:rsid w:val="00732045"/>
    <w:rsid w:val="007369DB"/>
    <w:rsid w:val="00736E8B"/>
    <w:rsid w:val="0074521D"/>
    <w:rsid w:val="007475BB"/>
    <w:rsid w:val="00756E95"/>
    <w:rsid w:val="00792E35"/>
    <w:rsid w:val="007956C2"/>
    <w:rsid w:val="007A187E"/>
    <w:rsid w:val="007C72C2"/>
    <w:rsid w:val="007D4436"/>
    <w:rsid w:val="007E3E88"/>
    <w:rsid w:val="007F257A"/>
    <w:rsid w:val="007F2998"/>
    <w:rsid w:val="007F3665"/>
    <w:rsid w:val="00800037"/>
    <w:rsid w:val="0080627B"/>
    <w:rsid w:val="00812EB1"/>
    <w:rsid w:val="008379AF"/>
    <w:rsid w:val="008507C0"/>
    <w:rsid w:val="00856E34"/>
    <w:rsid w:val="00861D73"/>
    <w:rsid w:val="008A4E87"/>
    <w:rsid w:val="008C5036"/>
    <w:rsid w:val="008D76E6"/>
    <w:rsid w:val="008F5231"/>
    <w:rsid w:val="0092074B"/>
    <w:rsid w:val="0092267F"/>
    <w:rsid w:val="0092392D"/>
    <w:rsid w:val="0093234A"/>
    <w:rsid w:val="009C307F"/>
    <w:rsid w:val="009F642D"/>
    <w:rsid w:val="00A2113E"/>
    <w:rsid w:val="00A23A51"/>
    <w:rsid w:val="00A24607"/>
    <w:rsid w:val="00A25CD3"/>
    <w:rsid w:val="00A55330"/>
    <w:rsid w:val="00A82767"/>
    <w:rsid w:val="00AA332F"/>
    <w:rsid w:val="00AA7BBB"/>
    <w:rsid w:val="00AB4DF4"/>
    <w:rsid w:val="00AB5B50"/>
    <w:rsid w:val="00AB64A8"/>
    <w:rsid w:val="00AC0266"/>
    <w:rsid w:val="00AD24EC"/>
    <w:rsid w:val="00AE57BE"/>
    <w:rsid w:val="00B1656A"/>
    <w:rsid w:val="00B20B18"/>
    <w:rsid w:val="00B22860"/>
    <w:rsid w:val="00B309F9"/>
    <w:rsid w:val="00B32B60"/>
    <w:rsid w:val="00B61619"/>
    <w:rsid w:val="00B72DC6"/>
    <w:rsid w:val="00B749D5"/>
    <w:rsid w:val="00BA3817"/>
    <w:rsid w:val="00BB4490"/>
    <w:rsid w:val="00BB4545"/>
    <w:rsid w:val="00BD5873"/>
    <w:rsid w:val="00BE419D"/>
    <w:rsid w:val="00C04BE3"/>
    <w:rsid w:val="00C14F68"/>
    <w:rsid w:val="00C25D29"/>
    <w:rsid w:val="00C27A7C"/>
    <w:rsid w:val="00C3602D"/>
    <w:rsid w:val="00C363DE"/>
    <w:rsid w:val="00C46866"/>
    <w:rsid w:val="00CA08ED"/>
    <w:rsid w:val="00CD0673"/>
    <w:rsid w:val="00CE2077"/>
    <w:rsid w:val="00CE585D"/>
    <w:rsid w:val="00CE6216"/>
    <w:rsid w:val="00CF183B"/>
    <w:rsid w:val="00CF68CC"/>
    <w:rsid w:val="00D039A6"/>
    <w:rsid w:val="00D05B2B"/>
    <w:rsid w:val="00D168DD"/>
    <w:rsid w:val="00D375CD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5A3E"/>
    <w:rsid w:val="00DC22AA"/>
    <w:rsid w:val="00DD5A89"/>
    <w:rsid w:val="00DF683D"/>
    <w:rsid w:val="00DF74DD"/>
    <w:rsid w:val="00E05E18"/>
    <w:rsid w:val="00E10843"/>
    <w:rsid w:val="00E11212"/>
    <w:rsid w:val="00E23176"/>
    <w:rsid w:val="00E25AD0"/>
    <w:rsid w:val="00E532D1"/>
    <w:rsid w:val="00E53BDC"/>
    <w:rsid w:val="00E56B46"/>
    <w:rsid w:val="00E61DBD"/>
    <w:rsid w:val="00E61EE6"/>
    <w:rsid w:val="00E817A0"/>
    <w:rsid w:val="00EB6350"/>
    <w:rsid w:val="00EC5E54"/>
    <w:rsid w:val="00EF3DA3"/>
    <w:rsid w:val="00EF5BE1"/>
    <w:rsid w:val="00F06495"/>
    <w:rsid w:val="00F12404"/>
    <w:rsid w:val="00F15B57"/>
    <w:rsid w:val="00F427DB"/>
    <w:rsid w:val="00F44F1B"/>
    <w:rsid w:val="00F477FA"/>
    <w:rsid w:val="00F64E4E"/>
    <w:rsid w:val="00FA2BE1"/>
    <w:rsid w:val="00FA5EB1"/>
    <w:rsid w:val="00FA7439"/>
    <w:rsid w:val="00FC24D4"/>
    <w:rsid w:val="00FC315C"/>
    <w:rsid w:val="00FC4EC0"/>
    <w:rsid w:val="00FE723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37CB027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7878"/>
    <w:rPr>
      <w:rFonts w:asciiTheme="minorHAnsi" w:eastAsia="SimSun" w:hAnsiTheme="minorHAnsi"/>
      <w:sz w:val="22"/>
      <w:szCs w:val="24"/>
    </w:rPr>
  </w:style>
  <w:style w:type="paragraph" w:customStyle="1" w:styleId="Headingb0">
    <w:name w:val="Heading b"/>
    <w:basedOn w:val="Normal"/>
    <w:rsid w:val="00FC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SOP-C-0014/f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90F6-E12E-4F85-81A8-F54A01F1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4</Pages>
  <Words>1535</Words>
  <Characters>8953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 d'ordre du jour -Groupe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10468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-Groupe de Travail du Conseil chargé d'élaborer le plan stratégique et le plan financier pour la période 2024-2027</dc:title>
  <dc:subject>Council Working Group for Strategic and Financial Plans 2024-2027</dc:subject>
  <dc:creator>Royer, Veronique</dc:creator>
  <cp:keywords>CWG-SFP, CWG, CWGs &amp; EGs</cp:keywords>
  <dc:description/>
  <cp:lastModifiedBy>Xue, Kun</cp:lastModifiedBy>
  <cp:revision>2</cp:revision>
  <cp:lastPrinted>2018-04-04T11:54:00Z</cp:lastPrinted>
  <dcterms:created xsi:type="dcterms:W3CDTF">2022-02-21T08:56:00Z</dcterms:created>
  <dcterms:modified xsi:type="dcterms:W3CDTF">2022-02-21T08:56:00Z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