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517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20"/>
        <w:gridCol w:w="3052"/>
      </w:tblGrid>
      <w:tr w:rsidR="00063EA4" w:rsidRPr="00063EA4" w14:paraId="7F33A216" w14:textId="77777777" w:rsidTr="00372387">
        <w:trPr>
          <w:cantSplit/>
          <w:trHeight w:val="20"/>
        </w:trPr>
        <w:tc>
          <w:tcPr>
            <w:tcW w:w="6620" w:type="dxa"/>
          </w:tcPr>
          <w:p w14:paraId="47A45E56" w14:textId="77777777" w:rsidR="00063EA4" w:rsidRPr="00063EA4" w:rsidRDefault="00063EA4" w:rsidP="00063EA4">
            <w:pPr>
              <w:jc w:val="left"/>
              <w:rPr>
                <w:b/>
                <w:bCs/>
                <w:sz w:val="28"/>
                <w:szCs w:val="28"/>
                <w:rtl/>
                <w:lang w:bidi="ar-SY"/>
              </w:rPr>
            </w:pPr>
            <w:r w:rsidRPr="00063EA4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 xml:space="preserve">فريق العمل التابع للمجلس المعني بالخطتين </w:t>
            </w:r>
            <w:r w:rsidRPr="00063EA4">
              <w:rPr>
                <w:b/>
                <w:bCs/>
                <w:sz w:val="30"/>
                <w:szCs w:val="30"/>
                <w:rtl/>
                <w:lang w:bidi="ar-EG"/>
              </w:rPr>
              <w:br/>
            </w:r>
            <w:r w:rsidRPr="00063EA4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>الاستراتيجية والمالية للفترة</w:t>
            </w:r>
            <w:r w:rsidRPr="00063EA4">
              <w:rPr>
                <w:rFonts w:hint="eastAsia"/>
                <w:b/>
                <w:bCs/>
                <w:sz w:val="30"/>
                <w:szCs w:val="30"/>
                <w:rtl/>
                <w:lang w:bidi="ar-EG"/>
              </w:rPr>
              <w:t> </w:t>
            </w:r>
            <w:r w:rsidRPr="00063EA4">
              <w:rPr>
                <w:b/>
                <w:bCs/>
                <w:sz w:val="30"/>
                <w:szCs w:val="30"/>
                <w:lang w:val="en-GB" w:bidi="ar-EG"/>
              </w:rPr>
              <w:t>2027-2024</w:t>
            </w:r>
          </w:p>
        </w:tc>
        <w:tc>
          <w:tcPr>
            <w:tcW w:w="3052" w:type="dxa"/>
            <w:vMerge w:val="restart"/>
          </w:tcPr>
          <w:p w14:paraId="07C3D79F" w14:textId="77777777" w:rsidR="00063EA4" w:rsidRPr="00063EA4" w:rsidRDefault="00063EA4" w:rsidP="00B6297A">
            <w:pPr>
              <w:jc w:val="left"/>
              <w:rPr>
                <w:rtl/>
                <w:lang w:bidi="ar-EG"/>
              </w:rPr>
            </w:pPr>
            <w:bookmarkStart w:id="0" w:name="ditulogo"/>
            <w:bookmarkEnd w:id="0"/>
            <w:r w:rsidRPr="00063EA4">
              <w:rPr>
                <w:noProof/>
                <w:lang w:bidi="ar-EG"/>
              </w:rPr>
              <w:drawing>
                <wp:inline distT="0" distB="0" distL="0" distR="0" wp14:anchorId="01C96527" wp14:editId="263A30F5">
                  <wp:extent cx="657225" cy="723900"/>
                  <wp:effectExtent l="0" t="0" r="9525" b="0"/>
                  <wp:docPr id="6" name="Picture 6" descr="ITU-logo-UNblu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-logo-UNblu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63EA4" w:rsidRPr="00063EA4" w14:paraId="369D6E76" w14:textId="77777777" w:rsidTr="00372387">
        <w:trPr>
          <w:cantSplit/>
          <w:trHeight w:val="68"/>
        </w:trPr>
        <w:tc>
          <w:tcPr>
            <w:tcW w:w="6620" w:type="dxa"/>
            <w:tcBorders>
              <w:bottom w:val="single" w:sz="12" w:space="0" w:color="auto"/>
            </w:tcBorders>
          </w:tcPr>
          <w:p w14:paraId="7ADE1016" w14:textId="77777777" w:rsidR="00063EA4" w:rsidRPr="00063EA4" w:rsidRDefault="00063EA4" w:rsidP="00063EA4">
            <w:pPr>
              <w:spacing w:after="60"/>
              <w:rPr>
                <w:rtl/>
                <w:lang w:bidi="ar-EG"/>
              </w:rPr>
            </w:pPr>
            <w:r w:rsidRPr="00063EA4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الاجتماع </w:t>
            </w:r>
            <w:r w:rsidR="002A50D2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الثالث</w:t>
            </w:r>
            <w:r w:rsidR="001C6887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Pr="00063EA4">
              <w:rPr>
                <w:b/>
                <w:bCs/>
                <w:sz w:val="24"/>
                <w:szCs w:val="24"/>
                <w:rtl/>
                <w:lang w:bidi="ar-EG"/>
              </w:rPr>
              <w:t>–</w:t>
            </w:r>
            <w:r w:rsidR="001C6887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="002A50D2">
              <w:rPr>
                <w:b/>
                <w:bCs/>
                <w:sz w:val="24"/>
                <w:szCs w:val="24"/>
                <w:lang w:bidi="ar-EG"/>
              </w:rPr>
              <w:t>21</w:t>
            </w:r>
            <w:r w:rsidR="002A50D2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و</w:t>
            </w:r>
            <w:r w:rsidR="002A50D2">
              <w:rPr>
                <w:b/>
                <w:bCs/>
                <w:sz w:val="24"/>
                <w:szCs w:val="24"/>
                <w:lang w:bidi="ar-EG"/>
              </w:rPr>
              <w:t>22</w:t>
            </w:r>
            <w:r w:rsidRPr="00063EA4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="002A50D2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فبراير</w:t>
            </w:r>
            <w:r w:rsidR="001C6887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="001C6887">
              <w:rPr>
                <w:b/>
                <w:bCs/>
                <w:sz w:val="24"/>
                <w:szCs w:val="24"/>
                <w:lang w:bidi="ar-EG"/>
              </w:rPr>
              <w:t>2022</w:t>
            </w:r>
          </w:p>
        </w:tc>
        <w:tc>
          <w:tcPr>
            <w:tcW w:w="3052" w:type="dxa"/>
            <w:vMerge/>
            <w:tcBorders>
              <w:bottom w:val="single" w:sz="12" w:space="0" w:color="auto"/>
            </w:tcBorders>
          </w:tcPr>
          <w:p w14:paraId="341C23FD" w14:textId="77777777" w:rsidR="00063EA4" w:rsidRPr="00063EA4" w:rsidRDefault="00063EA4" w:rsidP="00063EA4">
            <w:pPr>
              <w:rPr>
                <w:lang w:val="en-GB" w:bidi="ar-EG"/>
              </w:rPr>
            </w:pPr>
          </w:p>
        </w:tc>
      </w:tr>
      <w:tr w:rsidR="00063EA4" w:rsidRPr="00063EA4" w14:paraId="7E834018" w14:textId="77777777" w:rsidTr="00372387">
        <w:trPr>
          <w:cantSplit/>
          <w:trHeight w:val="188"/>
        </w:trPr>
        <w:tc>
          <w:tcPr>
            <w:tcW w:w="6620" w:type="dxa"/>
            <w:tcBorders>
              <w:top w:val="single" w:sz="12" w:space="0" w:color="auto"/>
            </w:tcBorders>
          </w:tcPr>
          <w:p w14:paraId="50A37EA1" w14:textId="77777777" w:rsidR="00063EA4" w:rsidRPr="00063EA4" w:rsidRDefault="00063EA4" w:rsidP="00063EA4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3052" w:type="dxa"/>
            <w:tcBorders>
              <w:top w:val="single" w:sz="12" w:space="0" w:color="auto"/>
            </w:tcBorders>
          </w:tcPr>
          <w:p w14:paraId="2B3DD78F" w14:textId="77777777" w:rsidR="00063EA4" w:rsidRPr="00063EA4" w:rsidRDefault="00063EA4" w:rsidP="00063EA4">
            <w:pPr>
              <w:rPr>
                <w:b/>
                <w:bCs/>
                <w:lang w:bidi="ar-EG"/>
              </w:rPr>
            </w:pPr>
          </w:p>
        </w:tc>
      </w:tr>
      <w:tr w:rsidR="00063EA4" w:rsidRPr="00063EA4" w14:paraId="6167CB89" w14:textId="77777777" w:rsidTr="00372387">
        <w:trPr>
          <w:cantSplit/>
        </w:trPr>
        <w:tc>
          <w:tcPr>
            <w:tcW w:w="6620" w:type="dxa"/>
            <w:vMerge w:val="restart"/>
          </w:tcPr>
          <w:p w14:paraId="0C3ECCF0" w14:textId="77777777" w:rsidR="00063EA4" w:rsidRPr="00063EA4" w:rsidRDefault="00063EA4" w:rsidP="00D73F2C">
            <w:pPr>
              <w:spacing w:before="60" w:after="60" w:line="300" w:lineRule="exact"/>
              <w:rPr>
                <w:b/>
                <w:bCs/>
                <w:lang w:bidi="ar-EG"/>
              </w:rPr>
            </w:pPr>
          </w:p>
        </w:tc>
        <w:tc>
          <w:tcPr>
            <w:tcW w:w="3052" w:type="dxa"/>
            <w:vAlign w:val="center"/>
          </w:tcPr>
          <w:p w14:paraId="6048BC2C" w14:textId="155D3EF6" w:rsidR="00063EA4" w:rsidRPr="00063EA4" w:rsidRDefault="00063EA4" w:rsidP="00D73F2C">
            <w:pPr>
              <w:spacing w:before="60" w:after="60" w:line="300" w:lineRule="exact"/>
              <w:rPr>
                <w:b/>
                <w:bCs/>
                <w:lang w:bidi="ar-EG"/>
              </w:rPr>
            </w:pPr>
            <w:r w:rsidRPr="00063EA4">
              <w:rPr>
                <w:rFonts w:hint="cs"/>
                <w:b/>
                <w:bCs/>
                <w:rtl/>
                <w:lang w:bidi="ar-EG"/>
              </w:rPr>
              <w:t xml:space="preserve">الوثيقة </w:t>
            </w:r>
            <w:r w:rsidRPr="00063EA4">
              <w:rPr>
                <w:b/>
                <w:bCs/>
                <w:lang w:bidi="ar-EG"/>
              </w:rPr>
              <w:t>CWG-SFP-</w:t>
            </w:r>
            <w:r w:rsidR="002A50D2">
              <w:rPr>
                <w:b/>
                <w:bCs/>
                <w:lang w:bidi="ar-EG"/>
              </w:rPr>
              <w:t>3</w:t>
            </w:r>
            <w:r w:rsidRPr="00063EA4">
              <w:rPr>
                <w:b/>
                <w:bCs/>
                <w:lang w:bidi="ar-EG"/>
              </w:rPr>
              <w:t>/</w:t>
            </w:r>
            <w:r w:rsidR="00217749">
              <w:rPr>
                <w:b/>
                <w:bCs/>
                <w:lang w:bidi="ar-EG"/>
              </w:rPr>
              <w:t>13</w:t>
            </w:r>
            <w:r w:rsidRPr="00063EA4">
              <w:rPr>
                <w:b/>
                <w:bCs/>
                <w:lang w:bidi="ar-EG"/>
              </w:rPr>
              <w:t>-A</w:t>
            </w:r>
          </w:p>
        </w:tc>
      </w:tr>
      <w:tr w:rsidR="00063EA4" w:rsidRPr="00063EA4" w14:paraId="7DF71DD3" w14:textId="77777777" w:rsidTr="00372387">
        <w:trPr>
          <w:cantSplit/>
        </w:trPr>
        <w:tc>
          <w:tcPr>
            <w:tcW w:w="6620" w:type="dxa"/>
            <w:vMerge/>
          </w:tcPr>
          <w:p w14:paraId="65F821A8" w14:textId="77777777" w:rsidR="00063EA4" w:rsidRPr="00063EA4" w:rsidRDefault="00063EA4" w:rsidP="00D73F2C">
            <w:pPr>
              <w:spacing w:before="60" w:after="60" w:line="300" w:lineRule="exact"/>
              <w:rPr>
                <w:b/>
                <w:bCs/>
                <w:lang w:bidi="ar-EG"/>
              </w:rPr>
            </w:pPr>
          </w:p>
        </w:tc>
        <w:tc>
          <w:tcPr>
            <w:tcW w:w="3052" w:type="dxa"/>
            <w:vAlign w:val="center"/>
          </w:tcPr>
          <w:p w14:paraId="7B301088" w14:textId="7A7F0A6A" w:rsidR="00063EA4" w:rsidRPr="00063EA4" w:rsidRDefault="00217749" w:rsidP="00D73F2C">
            <w:pPr>
              <w:spacing w:before="60" w:after="60" w:line="300" w:lineRule="exact"/>
              <w:rPr>
                <w:b/>
                <w:bCs/>
                <w:rtl/>
                <w:lang w:bidi="ar-EG"/>
              </w:rPr>
            </w:pPr>
            <w:r>
              <w:rPr>
                <w:b/>
                <w:bCs/>
                <w:lang w:bidi="ar-EG"/>
              </w:rPr>
              <w:t>7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فبراير</w:t>
            </w:r>
            <w:r w:rsidR="00063EA4" w:rsidRPr="00063EA4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2A50D2">
              <w:rPr>
                <w:b/>
                <w:bCs/>
                <w:lang w:bidi="ar-EG"/>
              </w:rPr>
              <w:t>2022</w:t>
            </w:r>
          </w:p>
        </w:tc>
      </w:tr>
      <w:tr w:rsidR="00063EA4" w:rsidRPr="00063EA4" w14:paraId="25EDA7E1" w14:textId="77777777" w:rsidTr="00372387">
        <w:trPr>
          <w:cantSplit/>
        </w:trPr>
        <w:tc>
          <w:tcPr>
            <w:tcW w:w="6620" w:type="dxa"/>
            <w:vMerge/>
          </w:tcPr>
          <w:p w14:paraId="0C402190" w14:textId="77777777" w:rsidR="00063EA4" w:rsidRPr="00063EA4" w:rsidRDefault="00063EA4" w:rsidP="00D73F2C">
            <w:pPr>
              <w:spacing w:before="60" w:after="60" w:line="300" w:lineRule="exact"/>
              <w:rPr>
                <w:b/>
                <w:bCs/>
                <w:lang w:bidi="ar-EG"/>
              </w:rPr>
            </w:pPr>
          </w:p>
        </w:tc>
        <w:tc>
          <w:tcPr>
            <w:tcW w:w="3052" w:type="dxa"/>
            <w:vAlign w:val="center"/>
          </w:tcPr>
          <w:p w14:paraId="1354592C" w14:textId="77777777" w:rsidR="00063EA4" w:rsidRPr="00063EA4" w:rsidRDefault="00063EA4" w:rsidP="00D73F2C">
            <w:pPr>
              <w:spacing w:before="60" w:after="60" w:line="300" w:lineRule="exact"/>
              <w:rPr>
                <w:b/>
                <w:bCs/>
                <w:lang w:bidi="ar-EG"/>
              </w:rPr>
            </w:pPr>
            <w:r w:rsidRPr="00063EA4">
              <w:rPr>
                <w:b/>
                <w:bCs/>
                <w:rtl/>
                <w:lang w:bidi="ar-EG"/>
              </w:rPr>
              <w:t xml:space="preserve">الأصل: </w:t>
            </w:r>
            <w:r w:rsidR="00D73F2C" w:rsidRPr="001C6887">
              <w:rPr>
                <w:rFonts w:hint="cs"/>
                <w:b/>
                <w:bCs/>
                <w:rtl/>
                <w:lang w:bidi="ar-EG"/>
              </w:rPr>
              <w:t>بالإنكليزية</w:t>
            </w:r>
          </w:p>
        </w:tc>
      </w:tr>
      <w:tr w:rsidR="00063EA4" w:rsidRPr="00063EA4" w14:paraId="38239AB3" w14:textId="77777777" w:rsidTr="00372387">
        <w:trPr>
          <w:cantSplit/>
        </w:trPr>
        <w:tc>
          <w:tcPr>
            <w:tcW w:w="9672" w:type="dxa"/>
            <w:gridSpan w:val="2"/>
          </w:tcPr>
          <w:p w14:paraId="294E33BD" w14:textId="282F816E" w:rsidR="00063EA4" w:rsidRPr="00063EA4" w:rsidRDefault="00B77802" w:rsidP="00B77802">
            <w:pPr>
              <w:pStyle w:val="Source"/>
              <w:rPr>
                <w:rtl/>
                <w:lang w:bidi="ar-EG"/>
              </w:rPr>
            </w:pPr>
            <w:r w:rsidRPr="00B77802">
              <w:rPr>
                <w:rFonts w:hint="cs"/>
                <w:rtl/>
              </w:rPr>
              <w:t>مساهمة من</w:t>
            </w:r>
            <w:r>
              <w:rPr>
                <w:rFonts w:hint="cs"/>
                <w:rtl/>
                <w:lang w:bidi="ar-EG"/>
              </w:rPr>
              <w:t xml:space="preserve"> </w:t>
            </w:r>
            <w:r w:rsidR="007443A1">
              <w:rPr>
                <w:rFonts w:hint="cs"/>
                <w:rtl/>
                <w:lang w:bidi="ar-EG"/>
              </w:rPr>
              <w:t>النمسا وبلجيكا والجمهورية التشيكية وفنلندا وفرنسا وهنغاريا وليتوانيا وهولندا والبرتغال</w:t>
            </w:r>
            <w:r w:rsidR="00D3143A">
              <w:rPr>
                <w:rFonts w:hint="cs"/>
                <w:rtl/>
                <w:lang w:bidi="ar-EG"/>
              </w:rPr>
              <w:t xml:space="preserve"> ورومانيا</w:t>
            </w:r>
            <w:r w:rsidR="007443A1">
              <w:rPr>
                <w:rFonts w:hint="cs"/>
                <w:rtl/>
                <w:lang w:bidi="ar-EG"/>
              </w:rPr>
              <w:t xml:space="preserve"> وسلوفاكيا وسلوفينيا وإسبانيا والسويد</w:t>
            </w:r>
          </w:p>
        </w:tc>
      </w:tr>
      <w:tr w:rsidR="00063EA4" w:rsidRPr="00063EA4" w14:paraId="1CD71291" w14:textId="77777777" w:rsidTr="00372387">
        <w:trPr>
          <w:cantSplit/>
        </w:trPr>
        <w:tc>
          <w:tcPr>
            <w:tcW w:w="9672" w:type="dxa"/>
            <w:gridSpan w:val="2"/>
          </w:tcPr>
          <w:p w14:paraId="48F291FA" w14:textId="7BFF919B" w:rsidR="00063EA4" w:rsidRPr="00063EA4" w:rsidRDefault="008D231E" w:rsidP="00B77802">
            <w:pPr>
              <w:pStyle w:val="Title1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مقترحات مشتركة مقدمة إلى الاجتماع الثالث لفريق العمل التابع للمجلس المعني بالخطتين الاستراتيجية والمالية </w:t>
            </w:r>
            <w:r>
              <w:rPr>
                <w:lang w:bidi="ar-EG"/>
              </w:rPr>
              <w:t>(CWG-SFP)</w:t>
            </w:r>
          </w:p>
        </w:tc>
      </w:tr>
      <w:tr w:rsidR="0001362D" w:rsidRPr="00063EA4" w14:paraId="51D96B8F" w14:textId="77777777" w:rsidTr="00372387">
        <w:trPr>
          <w:cantSplit/>
        </w:trPr>
        <w:tc>
          <w:tcPr>
            <w:tcW w:w="9672" w:type="dxa"/>
            <w:gridSpan w:val="2"/>
          </w:tcPr>
          <w:p w14:paraId="3408D4D3" w14:textId="77777777" w:rsidR="0001362D" w:rsidRDefault="0001362D" w:rsidP="00742C5D">
            <w:pPr>
              <w:rPr>
                <w:rtl/>
                <w:lang w:bidi="ar-EG"/>
              </w:rPr>
            </w:pPr>
          </w:p>
        </w:tc>
      </w:tr>
    </w:tbl>
    <w:p w14:paraId="01F009FD" w14:textId="597AA03E" w:rsidR="0006468A" w:rsidRDefault="00B77802" w:rsidP="00B77802">
      <w:pPr>
        <w:pStyle w:val="Headingb"/>
        <w:rPr>
          <w:rtl/>
          <w:lang w:bidi="ar-EG"/>
        </w:rPr>
      </w:pPr>
      <w:r>
        <w:rPr>
          <w:rFonts w:hint="cs"/>
          <w:rtl/>
          <w:lang w:bidi="ar-EG"/>
        </w:rPr>
        <w:t>مقدمة</w:t>
      </w:r>
    </w:p>
    <w:p w14:paraId="157EB6A2" w14:textId="61EA962D" w:rsidR="00B77802" w:rsidRDefault="00D34899" w:rsidP="005F5A04">
      <w:pPr>
        <w:rPr>
          <w:rtl/>
          <w:lang w:bidi="ar-EG"/>
        </w:rPr>
      </w:pPr>
      <w:r>
        <w:rPr>
          <w:rFonts w:hint="cs"/>
          <w:rtl/>
          <w:lang w:bidi="ar-EG"/>
        </w:rPr>
        <w:t>إننا نودُّ</w:t>
      </w:r>
      <w:r w:rsidR="00E33957">
        <w:rPr>
          <w:rFonts w:hint="cs"/>
          <w:rtl/>
          <w:lang w:bidi="ar-EG"/>
        </w:rPr>
        <w:t xml:space="preserve"> بصفة عامة</w:t>
      </w:r>
      <w:r w:rsidR="005B3768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 xml:space="preserve">أن نُشيد بالجهود التي بذلتها الأمانة لتأخذ في حسبانها </w:t>
      </w:r>
      <w:r w:rsidR="005B3768">
        <w:rPr>
          <w:rFonts w:hint="cs"/>
          <w:rtl/>
          <w:lang w:bidi="ar-EG"/>
        </w:rPr>
        <w:t>نتائج المشاورة غير الرسمية للدول الأعضاء والمبادئ التوجيهية التي اتفقت عليها الدول الأعضاء في الاجتماع الأول لفريق العمل التابع للمجلس. ونوافق</w:t>
      </w:r>
      <w:r w:rsidR="008B0E3D">
        <w:rPr>
          <w:rFonts w:hint="cs"/>
          <w:rtl/>
          <w:lang w:bidi="ar-EG"/>
        </w:rPr>
        <w:t>ُ</w:t>
      </w:r>
      <w:r w:rsidR="005B3768">
        <w:rPr>
          <w:rFonts w:hint="cs"/>
          <w:rtl/>
          <w:lang w:bidi="ar-EG"/>
        </w:rPr>
        <w:t xml:space="preserve"> الأمانة الرأي في أنه كان يلزم تبسيط الخطة الاستراتيجية وتوضيحها</w:t>
      </w:r>
      <w:r w:rsidR="00ED1151">
        <w:rPr>
          <w:rFonts w:hint="cs"/>
          <w:rtl/>
          <w:lang w:bidi="ar-EG"/>
        </w:rPr>
        <w:t xml:space="preserve">، </w:t>
      </w:r>
      <w:r w:rsidR="00946344">
        <w:rPr>
          <w:rFonts w:hint="cs"/>
          <w:rtl/>
          <w:lang w:bidi="ar-EG"/>
        </w:rPr>
        <w:t xml:space="preserve">كي </w:t>
      </w:r>
      <w:r w:rsidR="00ED1151">
        <w:rPr>
          <w:rFonts w:hint="cs"/>
          <w:rtl/>
          <w:lang w:bidi="ar-EG"/>
        </w:rPr>
        <w:t xml:space="preserve">تبين الأولويات الاستراتيجية للمنظمة على نحو أفضل. </w:t>
      </w:r>
      <w:r w:rsidR="000E5F97">
        <w:rPr>
          <w:rFonts w:hint="cs"/>
          <w:rtl/>
          <w:lang w:bidi="ar-EG"/>
        </w:rPr>
        <w:t>و</w:t>
      </w:r>
      <w:r w:rsidR="00ED1151">
        <w:rPr>
          <w:rFonts w:hint="cs"/>
          <w:rtl/>
          <w:lang w:bidi="ar-EG"/>
        </w:rPr>
        <w:t xml:space="preserve">نرى </w:t>
      </w:r>
      <w:r w:rsidR="000E5F97">
        <w:rPr>
          <w:rFonts w:hint="cs"/>
          <w:rtl/>
          <w:lang w:bidi="ar-EG"/>
        </w:rPr>
        <w:t xml:space="preserve">أيضاً </w:t>
      </w:r>
      <w:r w:rsidR="00ED1151">
        <w:rPr>
          <w:rFonts w:hint="cs"/>
          <w:rtl/>
          <w:lang w:bidi="ar-EG"/>
        </w:rPr>
        <w:t>أنه كان يلزم زيادة تركيز نطاق</w:t>
      </w:r>
      <w:r w:rsidR="00FA77FA">
        <w:rPr>
          <w:rFonts w:hint="cs"/>
          <w:rtl/>
          <w:lang w:bidi="ar-EG"/>
        </w:rPr>
        <w:t>ها</w:t>
      </w:r>
      <w:r w:rsidR="00C05B61">
        <w:rPr>
          <w:rFonts w:hint="cs"/>
          <w:rtl/>
          <w:lang w:bidi="ar-EG"/>
        </w:rPr>
        <w:t xml:space="preserve">، </w:t>
      </w:r>
      <w:r w:rsidR="00CC00AC">
        <w:rPr>
          <w:rFonts w:hint="cs"/>
          <w:rtl/>
          <w:lang w:bidi="ar-EG"/>
        </w:rPr>
        <w:t>حفاظاً</w:t>
      </w:r>
      <w:r w:rsidR="00ED1151">
        <w:rPr>
          <w:rFonts w:hint="cs"/>
          <w:rtl/>
          <w:lang w:bidi="ar-EG"/>
        </w:rPr>
        <w:t xml:space="preserve"> على </w:t>
      </w:r>
      <w:r w:rsidR="0091796A">
        <w:rPr>
          <w:rFonts w:hint="cs"/>
          <w:rtl/>
          <w:lang w:bidi="ar-EG"/>
        </w:rPr>
        <w:t>عموم</w:t>
      </w:r>
      <w:r w:rsidR="00FA77FA">
        <w:rPr>
          <w:rFonts w:hint="cs"/>
          <w:rtl/>
          <w:lang w:bidi="ar-EG"/>
        </w:rPr>
        <w:t xml:space="preserve"> طبيعتها</w:t>
      </w:r>
      <w:r w:rsidR="00CE6EAC">
        <w:rPr>
          <w:rFonts w:hint="cs"/>
          <w:rtl/>
          <w:lang w:bidi="ar-EG"/>
        </w:rPr>
        <w:t xml:space="preserve"> </w:t>
      </w:r>
      <w:r w:rsidR="00ED1151">
        <w:rPr>
          <w:rFonts w:hint="cs"/>
          <w:rtl/>
          <w:lang w:bidi="ar-EG"/>
        </w:rPr>
        <w:t>و</w:t>
      </w:r>
      <w:r w:rsidR="00D70A37">
        <w:rPr>
          <w:rFonts w:hint="cs"/>
          <w:rtl/>
          <w:lang w:bidi="ar-EG"/>
        </w:rPr>
        <w:t>زيادة</w:t>
      </w:r>
      <w:r w:rsidR="00AA6AD6">
        <w:rPr>
          <w:rFonts w:hint="cs"/>
          <w:rtl/>
          <w:lang w:bidi="ar-EG"/>
        </w:rPr>
        <w:t xml:space="preserve"> </w:t>
      </w:r>
      <w:r w:rsidR="00D70A37">
        <w:rPr>
          <w:rFonts w:hint="cs"/>
          <w:rtl/>
          <w:lang w:bidi="ar-EG"/>
        </w:rPr>
        <w:t xml:space="preserve">تمركزها حول </w:t>
      </w:r>
      <w:r w:rsidR="00AA6AD6">
        <w:rPr>
          <w:rFonts w:hint="cs"/>
          <w:rtl/>
          <w:lang w:bidi="ar-EG"/>
        </w:rPr>
        <w:t xml:space="preserve">الغايات والأولويات </w:t>
      </w:r>
      <w:r w:rsidR="008B0E3D">
        <w:rPr>
          <w:rFonts w:hint="cs"/>
          <w:rtl/>
          <w:lang w:bidi="ar-EG"/>
        </w:rPr>
        <w:t>الاستراتيجية.</w:t>
      </w:r>
    </w:p>
    <w:p w14:paraId="386D7CCD" w14:textId="1D01DD92" w:rsidR="005B197A" w:rsidRDefault="005B197A" w:rsidP="0006468A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ففي رأينا، إن </w:t>
      </w:r>
      <w:r w:rsidR="005F5A04">
        <w:rPr>
          <w:rFonts w:hint="cs"/>
          <w:rtl/>
          <w:lang w:bidi="ar-EG"/>
        </w:rPr>
        <w:t xml:space="preserve">هيكل الخطة الاستراتيجية الجديد أوضح بكثير من سابقه. إذ تبدو الغايات الاستراتيجية المجمَّعة متوائمةً مع رؤية الاتحاد الدولي للاتصالات </w:t>
      </w:r>
      <w:r w:rsidR="005F5A04">
        <w:rPr>
          <w:lang w:bidi="ar-EG"/>
        </w:rPr>
        <w:t>(ITU)</w:t>
      </w:r>
      <w:r w:rsidR="005F5A04">
        <w:rPr>
          <w:rFonts w:hint="cs"/>
          <w:rtl/>
          <w:lang w:bidi="ar-EG"/>
        </w:rPr>
        <w:t xml:space="preserve"> ورسالته</w:t>
      </w:r>
      <w:r w:rsidR="00E33957">
        <w:rPr>
          <w:rFonts w:hint="cs"/>
          <w:rtl/>
          <w:lang w:bidi="ar-EG"/>
        </w:rPr>
        <w:t xml:space="preserve">، </w:t>
      </w:r>
      <w:r w:rsidR="00062093">
        <w:rPr>
          <w:rFonts w:hint="cs"/>
          <w:rtl/>
          <w:lang w:bidi="ar-EG"/>
        </w:rPr>
        <w:t>ويبدو</w:t>
      </w:r>
      <w:r w:rsidR="007E4920">
        <w:rPr>
          <w:rFonts w:hint="cs"/>
          <w:rtl/>
          <w:lang w:bidi="ar-EG"/>
        </w:rPr>
        <w:t xml:space="preserve"> التمييز </w:t>
      </w:r>
      <w:r w:rsidR="00B46FC4">
        <w:rPr>
          <w:rFonts w:hint="cs"/>
          <w:rtl/>
          <w:lang w:bidi="ar-EG"/>
        </w:rPr>
        <w:t xml:space="preserve">فيما </w:t>
      </w:r>
      <w:r w:rsidR="007E4920">
        <w:rPr>
          <w:rFonts w:hint="cs"/>
          <w:rtl/>
          <w:lang w:bidi="ar-EG"/>
        </w:rPr>
        <w:t>بين الغايات والمقاصد والعوامل التمكينية للمنظمة</w:t>
      </w:r>
      <w:r w:rsidR="00CF0B36">
        <w:rPr>
          <w:rFonts w:hint="cs"/>
          <w:rtl/>
          <w:lang w:bidi="ar-EG"/>
        </w:rPr>
        <w:t>،</w:t>
      </w:r>
      <w:r w:rsidR="007E4920">
        <w:rPr>
          <w:rFonts w:hint="cs"/>
          <w:rtl/>
          <w:lang w:bidi="ar-EG"/>
        </w:rPr>
        <w:t xml:space="preserve"> المشتركة على مستوى المنظمة ككل</w:t>
      </w:r>
      <w:r w:rsidR="00B46FC4">
        <w:rPr>
          <w:rFonts w:hint="cs"/>
          <w:rtl/>
          <w:lang w:bidi="ar-EG"/>
        </w:rPr>
        <w:t>،</w:t>
      </w:r>
      <w:r w:rsidR="007E4920">
        <w:rPr>
          <w:rFonts w:hint="cs"/>
          <w:rtl/>
          <w:lang w:bidi="ar-EG"/>
        </w:rPr>
        <w:t xml:space="preserve"> </w:t>
      </w:r>
      <w:r w:rsidR="00B46FC4">
        <w:rPr>
          <w:rFonts w:hint="cs"/>
          <w:rtl/>
          <w:lang w:bidi="ar-EG"/>
        </w:rPr>
        <w:t>إجراءً مناسباً.</w:t>
      </w:r>
      <w:r w:rsidR="00CF0B36">
        <w:rPr>
          <w:rFonts w:hint="cs"/>
          <w:rtl/>
          <w:lang w:bidi="ar-EG"/>
        </w:rPr>
        <w:t xml:space="preserve"> و</w:t>
      </w:r>
      <w:r w:rsidR="00A204B9">
        <w:rPr>
          <w:rFonts w:hint="cs"/>
          <w:rtl/>
          <w:lang w:bidi="ar-EG"/>
        </w:rPr>
        <w:t xml:space="preserve">تُتيح الأولويات المواضيعية </w:t>
      </w:r>
      <w:r w:rsidR="00BE203D">
        <w:rPr>
          <w:rFonts w:hint="cs"/>
          <w:rtl/>
          <w:lang w:bidi="ar-EG"/>
        </w:rPr>
        <w:t xml:space="preserve">رؤية </w:t>
      </w:r>
      <w:r w:rsidR="00FA71E7">
        <w:rPr>
          <w:rFonts w:hint="cs"/>
          <w:rtl/>
          <w:lang w:bidi="ar-EG"/>
        </w:rPr>
        <w:t xml:space="preserve">أكثر اتساقاً </w:t>
      </w:r>
      <w:r w:rsidR="003B342B">
        <w:rPr>
          <w:rFonts w:hint="cs"/>
          <w:rtl/>
          <w:lang w:bidi="ar-EG"/>
        </w:rPr>
        <w:t>عن ال</w:t>
      </w:r>
      <w:r w:rsidR="002F2AFB">
        <w:rPr>
          <w:rFonts w:hint="cs"/>
          <w:rtl/>
          <w:lang w:bidi="ar-EG"/>
        </w:rPr>
        <w:t>أنشطة التي يضطلع بها الاتحاد</w:t>
      </w:r>
      <w:r w:rsidR="009D2F1F">
        <w:rPr>
          <w:rFonts w:hint="cs"/>
          <w:rtl/>
          <w:lang w:bidi="ar-EG"/>
        </w:rPr>
        <w:t xml:space="preserve"> في</w:t>
      </w:r>
      <w:r w:rsidR="00DD679C">
        <w:rPr>
          <w:rFonts w:hint="eastAsia"/>
          <w:rtl/>
          <w:lang w:bidi="ar-EG"/>
        </w:rPr>
        <w:t> </w:t>
      </w:r>
      <w:r w:rsidR="009D2F1F">
        <w:rPr>
          <w:rFonts w:hint="cs"/>
          <w:rtl/>
          <w:lang w:bidi="ar-EG"/>
        </w:rPr>
        <w:t>جميع قطاعاته الثلاثة</w:t>
      </w:r>
      <w:r w:rsidR="00BE203D">
        <w:rPr>
          <w:rFonts w:hint="cs"/>
          <w:rtl/>
          <w:lang w:bidi="ar-EG"/>
        </w:rPr>
        <w:t xml:space="preserve">، </w:t>
      </w:r>
      <w:r w:rsidR="002F2AFB">
        <w:rPr>
          <w:rFonts w:hint="cs"/>
          <w:rtl/>
          <w:lang w:bidi="ar-EG"/>
        </w:rPr>
        <w:t xml:space="preserve">وذلك </w:t>
      </w:r>
      <w:r w:rsidR="00B80DA8">
        <w:rPr>
          <w:rFonts w:hint="cs"/>
          <w:rtl/>
          <w:lang w:bidi="ar-EG"/>
        </w:rPr>
        <w:t>بزيادة</w:t>
      </w:r>
      <w:r w:rsidR="00BE203D">
        <w:rPr>
          <w:rFonts w:hint="cs"/>
          <w:rtl/>
          <w:lang w:bidi="ar-EG"/>
        </w:rPr>
        <w:t xml:space="preserve"> التآزر فيما ب</w:t>
      </w:r>
      <w:r w:rsidR="002F2AFB">
        <w:rPr>
          <w:rFonts w:hint="cs"/>
          <w:rtl/>
          <w:lang w:bidi="ar-EG"/>
        </w:rPr>
        <w:t>ين القطاعات</w:t>
      </w:r>
      <w:r w:rsidR="00B80DA8">
        <w:rPr>
          <w:rFonts w:hint="cs"/>
          <w:rtl/>
          <w:lang w:bidi="ar-EG"/>
        </w:rPr>
        <w:t xml:space="preserve"> إلى أقصى حد ممكن</w:t>
      </w:r>
      <w:r w:rsidR="002F2AFB">
        <w:rPr>
          <w:rFonts w:hint="cs"/>
          <w:rtl/>
          <w:lang w:bidi="ar-EG"/>
        </w:rPr>
        <w:t xml:space="preserve"> وتعزيز مفهوم</w:t>
      </w:r>
      <w:proofErr w:type="gramStart"/>
      <w:r w:rsidR="00487CBE">
        <w:rPr>
          <w:rFonts w:hint="eastAsia"/>
          <w:rtl/>
          <w:lang w:bidi="ar-EG"/>
        </w:rPr>
        <w:t> </w:t>
      </w:r>
      <w:r w:rsidR="00B82F30">
        <w:rPr>
          <w:rFonts w:hint="cs"/>
          <w:rtl/>
          <w:lang w:bidi="ar-EG"/>
        </w:rPr>
        <w:t>’الاتحاد</w:t>
      </w:r>
      <w:proofErr w:type="gramEnd"/>
      <w:r w:rsidR="00487CBE">
        <w:rPr>
          <w:rFonts w:hint="eastAsia"/>
          <w:rtl/>
          <w:lang w:bidi="ar-EG"/>
        </w:rPr>
        <w:t> </w:t>
      </w:r>
      <w:r w:rsidR="00B82F30">
        <w:rPr>
          <w:rFonts w:hint="cs"/>
          <w:rtl/>
          <w:lang w:bidi="ar-EG"/>
        </w:rPr>
        <w:t xml:space="preserve">الواحد‘. </w:t>
      </w:r>
      <w:r w:rsidR="000E5F97">
        <w:rPr>
          <w:rFonts w:hint="cs"/>
          <w:rtl/>
          <w:lang w:bidi="ar-EG"/>
        </w:rPr>
        <w:t>كما</w:t>
      </w:r>
      <w:r w:rsidR="0001362D">
        <w:rPr>
          <w:rFonts w:hint="eastAsia"/>
          <w:rtl/>
          <w:lang w:bidi="ar-EG"/>
        </w:rPr>
        <w:t> </w:t>
      </w:r>
      <w:r w:rsidR="000E5F97">
        <w:rPr>
          <w:rFonts w:hint="cs"/>
          <w:rtl/>
          <w:lang w:bidi="ar-EG"/>
        </w:rPr>
        <w:t>أن</w:t>
      </w:r>
      <w:r w:rsidR="0001362D">
        <w:rPr>
          <w:rFonts w:hint="eastAsia"/>
          <w:rtl/>
          <w:lang w:bidi="ar-EG"/>
        </w:rPr>
        <w:t> </w:t>
      </w:r>
      <w:r w:rsidR="000E5F97">
        <w:rPr>
          <w:rFonts w:hint="cs"/>
          <w:rtl/>
          <w:lang w:bidi="ar-EG"/>
        </w:rPr>
        <w:t xml:space="preserve">تجميع عروض المنتجات والخدمات المقدمة على </w:t>
      </w:r>
      <w:r w:rsidR="003B342B">
        <w:rPr>
          <w:rFonts w:hint="cs"/>
          <w:rtl/>
          <w:lang w:bidi="ar-EG"/>
        </w:rPr>
        <w:t xml:space="preserve">نطاق الاتحاد يقدم رؤية أوضح عن أنشطته في القطاعات الثلاثة </w:t>
      </w:r>
      <w:r w:rsidR="00113FB2">
        <w:rPr>
          <w:rFonts w:hint="cs"/>
          <w:rtl/>
          <w:lang w:bidi="ar-EG"/>
        </w:rPr>
        <w:t>كلها</w:t>
      </w:r>
      <w:r w:rsidR="003B342B">
        <w:rPr>
          <w:rFonts w:hint="cs"/>
          <w:rtl/>
          <w:lang w:bidi="ar-EG"/>
        </w:rPr>
        <w:t>.</w:t>
      </w:r>
    </w:p>
    <w:p w14:paraId="2AFAE623" w14:textId="520FBB30" w:rsidR="00B77802" w:rsidRDefault="008B0E3D" w:rsidP="0006468A">
      <w:pPr>
        <w:rPr>
          <w:lang w:bidi="ar-EG"/>
        </w:rPr>
      </w:pPr>
      <w:r>
        <w:rPr>
          <w:rFonts w:hint="cs"/>
          <w:rtl/>
          <w:lang w:bidi="ar-EG"/>
        </w:rPr>
        <w:t>و</w:t>
      </w:r>
      <w:r w:rsidR="003B342B">
        <w:rPr>
          <w:rFonts w:hint="cs"/>
          <w:rtl/>
          <w:lang w:bidi="ar-EG"/>
        </w:rPr>
        <w:t xml:space="preserve">نودُّ </w:t>
      </w:r>
      <w:r>
        <w:rPr>
          <w:rFonts w:hint="cs"/>
          <w:rtl/>
          <w:lang w:bidi="ar-EG"/>
        </w:rPr>
        <w:t xml:space="preserve">كذلك </w:t>
      </w:r>
      <w:r w:rsidR="002E51F5">
        <w:rPr>
          <w:rFonts w:hint="cs"/>
          <w:rtl/>
          <w:lang w:bidi="ar-EG"/>
        </w:rPr>
        <w:t xml:space="preserve">أن نؤكد أهمية مراعاة القيود المالية في الاتحاد </w:t>
      </w:r>
      <w:r w:rsidR="00BD44EC">
        <w:rPr>
          <w:rFonts w:hint="cs"/>
          <w:rtl/>
          <w:lang w:bidi="ar-EG"/>
        </w:rPr>
        <w:t>عند إعداد الخطة الاستراتيجية.</w:t>
      </w:r>
      <w:r w:rsidR="00A3623D">
        <w:rPr>
          <w:rFonts w:hint="cs"/>
          <w:rtl/>
          <w:lang w:bidi="ar-EG"/>
        </w:rPr>
        <w:t xml:space="preserve"> فبالنظر إلى شح</w:t>
      </w:r>
      <w:r w:rsidR="0043552F">
        <w:rPr>
          <w:rFonts w:hint="cs"/>
          <w:rtl/>
          <w:lang w:bidi="ar-EG"/>
        </w:rPr>
        <w:t>ِّ</w:t>
      </w:r>
      <w:r w:rsidR="00A3623D">
        <w:rPr>
          <w:rFonts w:hint="cs"/>
          <w:rtl/>
          <w:lang w:bidi="ar-EG"/>
        </w:rPr>
        <w:t xml:space="preserve"> الموارد، </w:t>
      </w:r>
      <w:r w:rsidR="0091796A">
        <w:rPr>
          <w:rFonts w:hint="cs"/>
          <w:rtl/>
          <w:lang w:bidi="ar-EG"/>
        </w:rPr>
        <w:t xml:space="preserve">صار </w:t>
      </w:r>
      <w:r w:rsidR="00A3623D">
        <w:rPr>
          <w:rFonts w:hint="cs"/>
          <w:rtl/>
          <w:lang w:bidi="ar-EG"/>
        </w:rPr>
        <w:t xml:space="preserve">تركيز الاتحاد على </w:t>
      </w:r>
      <w:r w:rsidR="004D567C">
        <w:rPr>
          <w:rFonts w:hint="cs"/>
          <w:rtl/>
          <w:lang w:bidi="ar-EG"/>
        </w:rPr>
        <w:t xml:space="preserve">تنفيذ </w:t>
      </w:r>
      <w:r w:rsidR="00A3623D">
        <w:rPr>
          <w:rFonts w:hint="cs"/>
          <w:rtl/>
          <w:lang w:bidi="ar-EG"/>
        </w:rPr>
        <w:t>ولايته الأساسية وترتيب أولويات أنشطته وفقاً ل</w:t>
      </w:r>
      <w:r w:rsidR="0091796A">
        <w:rPr>
          <w:rFonts w:hint="cs"/>
          <w:rtl/>
          <w:lang w:bidi="ar-EG"/>
        </w:rPr>
        <w:t>ذلك</w:t>
      </w:r>
      <w:r w:rsidR="00A3623D">
        <w:rPr>
          <w:rFonts w:hint="cs"/>
          <w:rtl/>
          <w:lang w:bidi="ar-EG"/>
        </w:rPr>
        <w:t xml:space="preserve"> أهم حالياً من ذي قبل</w:t>
      </w:r>
      <w:r w:rsidR="00D70A37">
        <w:rPr>
          <w:rFonts w:hint="cs"/>
          <w:rtl/>
          <w:lang w:bidi="ar-EG"/>
        </w:rPr>
        <w:t>،</w:t>
      </w:r>
      <w:r w:rsidR="00A3623D">
        <w:rPr>
          <w:rFonts w:hint="cs"/>
          <w:rtl/>
          <w:lang w:bidi="ar-EG"/>
        </w:rPr>
        <w:t xml:space="preserve"> </w:t>
      </w:r>
      <w:r w:rsidR="0091796A">
        <w:rPr>
          <w:rFonts w:hint="cs"/>
          <w:rtl/>
          <w:lang w:bidi="ar-EG"/>
        </w:rPr>
        <w:t>ضماناً ل</w:t>
      </w:r>
      <w:r w:rsidR="00A3623D">
        <w:rPr>
          <w:rFonts w:hint="cs"/>
          <w:rtl/>
          <w:lang w:bidi="ar-EG"/>
        </w:rPr>
        <w:t>كفاء</w:t>
      </w:r>
      <w:r w:rsidR="00464E65">
        <w:rPr>
          <w:rFonts w:hint="cs"/>
          <w:rtl/>
          <w:lang w:bidi="ar-EG"/>
        </w:rPr>
        <w:t>ة أدائه.</w:t>
      </w:r>
    </w:p>
    <w:p w14:paraId="6AE2ACA1" w14:textId="6B7536B9" w:rsidR="00B77802" w:rsidRDefault="00D34899" w:rsidP="00B77802">
      <w:pPr>
        <w:pStyle w:val="Headingb"/>
        <w:rPr>
          <w:rtl/>
          <w:lang w:bidi="ar-EG"/>
        </w:rPr>
      </w:pPr>
      <w:r>
        <w:rPr>
          <w:rFonts w:hint="cs"/>
          <w:rtl/>
          <w:lang w:bidi="ar-EG"/>
        </w:rPr>
        <w:t>تعليقات بشأن المقترح</w:t>
      </w:r>
    </w:p>
    <w:p w14:paraId="7302A079" w14:textId="7A6BEFF6" w:rsidR="00063EA4" w:rsidRDefault="00A709BF" w:rsidP="00A709BF">
      <w:pPr>
        <w:pStyle w:val="Headingb"/>
        <w:rPr>
          <w:lang w:bidi="ar-EG"/>
        </w:rPr>
      </w:pPr>
      <w:r w:rsidRPr="00A709BF">
        <w:rPr>
          <w:rFonts w:hint="cs"/>
          <w:rtl/>
        </w:rPr>
        <w:t xml:space="preserve">القسم </w:t>
      </w:r>
      <w:r w:rsidRPr="00A709BF">
        <w:rPr>
          <w:lang w:val="en-GB" w:bidi="ar-EG"/>
        </w:rPr>
        <w:t>2.2</w:t>
      </w:r>
      <w:r w:rsidRPr="00A709BF">
        <w:rPr>
          <w:rFonts w:hint="cs"/>
          <w:rtl/>
        </w:rPr>
        <w:t xml:space="preserve"> الرؤية</w:t>
      </w:r>
    </w:p>
    <w:p w14:paraId="6547369E" w14:textId="0CA9683B" w:rsidR="00A709BF" w:rsidRDefault="00D76991" w:rsidP="002717D5">
      <w:pPr>
        <w:rPr>
          <w:lang w:bidi="ar-EG"/>
        </w:rPr>
      </w:pPr>
      <w:r>
        <w:rPr>
          <w:rFonts w:hint="cs"/>
          <w:rtl/>
          <w:lang w:bidi="ar-EG"/>
        </w:rPr>
        <w:t xml:space="preserve">إننا </w:t>
      </w:r>
      <w:r w:rsidR="00464E65">
        <w:rPr>
          <w:rFonts w:hint="cs"/>
          <w:rtl/>
          <w:lang w:bidi="ar-EG"/>
        </w:rPr>
        <w:t xml:space="preserve">نؤيد الخيار </w:t>
      </w:r>
      <w:r w:rsidR="00464E65">
        <w:rPr>
          <w:lang w:bidi="ar-EG"/>
        </w:rPr>
        <w:t>1</w:t>
      </w:r>
      <w:r w:rsidR="00DB72C7">
        <w:rPr>
          <w:rFonts w:hint="cs"/>
          <w:rtl/>
          <w:lang w:bidi="ar-EG"/>
        </w:rPr>
        <w:t xml:space="preserve">، </w:t>
      </w:r>
      <w:r w:rsidR="002F5059">
        <w:rPr>
          <w:rFonts w:hint="cs"/>
          <w:rtl/>
          <w:lang w:bidi="ar-EG"/>
        </w:rPr>
        <w:t>وهو الإبقاء على</w:t>
      </w:r>
      <w:r w:rsidR="00464E65">
        <w:rPr>
          <w:rFonts w:hint="cs"/>
          <w:rtl/>
          <w:lang w:bidi="ar-EG"/>
        </w:rPr>
        <w:t xml:space="preserve"> ال</w:t>
      </w:r>
      <w:r w:rsidR="002F5059">
        <w:rPr>
          <w:rFonts w:hint="cs"/>
          <w:rtl/>
          <w:lang w:bidi="ar-EG"/>
        </w:rPr>
        <w:t xml:space="preserve">نص </w:t>
      </w:r>
      <w:r w:rsidR="00464E65">
        <w:rPr>
          <w:rFonts w:hint="cs"/>
          <w:rtl/>
          <w:lang w:bidi="ar-EG"/>
        </w:rPr>
        <w:t xml:space="preserve">الحالي لرؤية الاتحاد. </w:t>
      </w:r>
      <w:r w:rsidR="00FA77FA">
        <w:rPr>
          <w:rFonts w:hint="cs"/>
          <w:rtl/>
          <w:lang w:bidi="ar-EG"/>
        </w:rPr>
        <w:t>ف</w:t>
      </w:r>
      <w:r w:rsidR="00464E65">
        <w:rPr>
          <w:rFonts w:hint="cs"/>
          <w:rtl/>
          <w:lang w:bidi="ar-EG"/>
        </w:rPr>
        <w:t>الصياغة الحالية</w:t>
      </w:r>
      <w:r w:rsidR="00FA77FA">
        <w:rPr>
          <w:rFonts w:hint="cs"/>
          <w:rtl/>
          <w:lang w:bidi="ar-EG"/>
        </w:rPr>
        <w:t xml:space="preserve"> تبدو</w:t>
      </w:r>
      <w:r w:rsidR="00464E65">
        <w:rPr>
          <w:rFonts w:hint="cs"/>
          <w:rtl/>
          <w:lang w:bidi="ar-EG"/>
        </w:rPr>
        <w:t xml:space="preserve"> أكثر تحديداً</w:t>
      </w:r>
      <w:r w:rsidR="004E2274">
        <w:rPr>
          <w:rFonts w:hint="cs"/>
          <w:rtl/>
          <w:lang w:bidi="ar-EG"/>
        </w:rPr>
        <w:t xml:space="preserve"> </w:t>
      </w:r>
      <w:r w:rsidR="00464E65">
        <w:rPr>
          <w:rFonts w:hint="cs"/>
          <w:rtl/>
          <w:lang w:bidi="ar-EG"/>
        </w:rPr>
        <w:t xml:space="preserve">ولا تتضمن أي مفاهيم جديدة </w:t>
      </w:r>
      <w:r w:rsidR="00C05B61">
        <w:rPr>
          <w:rFonts w:hint="cs"/>
          <w:rtl/>
          <w:lang w:bidi="ar-EG"/>
        </w:rPr>
        <w:t>تستدعي</w:t>
      </w:r>
      <w:r w:rsidR="00DA5C92">
        <w:rPr>
          <w:rFonts w:hint="cs"/>
          <w:rtl/>
          <w:lang w:bidi="ar-EG"/>
        </w:rPr>
        <w:t xml:space="preserve"> النقاش </w:t>
      </w:r>
      <w:r w:rsidR="004E2274">
        <w:rPr>
          <w:rFonts w:hint="cs"/>
          <w:rtl/>
          <w:lang w:bidi="ar-EG"/>
        </w:rPr>
        <w:t xml:space="preserve">(من قبيل "تقدم البشرية")، كما أنها لا تزال مناسبة للفترة </w:t>
      </w:r>
      <w:r w:rsidR="004E2274">
        <w:rPr>
          <w:lang w:bidi="ar-EG"/>
        </w:rPr>
        <w:t>2027-2024</w:t>
      </w:r>
      <w:r w:rsidR="004E2274">
        <w:rPr>
          <w:rFonts w:hint="cs"/>
          <w:rtl/>
          <w:lang w:bidi="ar-EG"/>
        </w:rPr>
        <w:t>.</w:t>
      </w:r>
    </w:p>
    <w:p w14:paraId="472C0FD0" w14:textId="1414A39F" w:rsidR="00A709BF" w:rsidRDefault="00A709BF" w:rsidP="002717D5">
      <w:pPr>
        <w:pStyle w:val="Headingb"/>
        <w:rPr>
          <w:lang w:bidi="ar-EG"/>
        </w:rPr>
      </w:pPr>
      <w:r w:rsidRPr="00A709BF">
        <w:rPr>
          <w:rFonts w:hint="cs"/>
          <w:rtl/>
        </w:rPr>
        <w:t xml:space="preserve">القسم </w:t>
      </w:r>
      <w:r w:rsidRPr="00A709BF">
        <w:rPr>
          <w:lang w:val="en-GB"/>
        </w:rPr>
        <w:t>3.2</w:t>
      </w:r>
      <w:r w:rsidRPr="00A709BF">
        <w:rPr>
          <w:rFonts w:hint="cs"/>
          <w:rtl/>
          <w:lang w:bidi="ar-EG"/>
        </w:rPr>
        <w:t xml:space="preserve"> </w:t>
      </w:r>
      <w:r w:rsidRPr="00A709BF">
        <w:rPr>
          <w:rFonts w:hint="cs"/>
          <w:rtl/>
        </w:rPr>
        <w:t>الرسالة</w:t>
      </w:r>
    </w:p>
    <w:p w14:paraId="0F8AFDBB" w14:textId="6819730F" w:rsidR="00FC4A9F" w:rsidRDefault="00D76991" w:rsidP="004F661E">
      <w:pPr>
        <w:rPr>
          <w:lang w:bidi="ar-EG"/>
        </w:rPr>
      </w:pPr>
      <w:r>
        <w:rPr>
          <w:rFonts w:hint="cs"/>
          <w:rtl/>
          <w:lang w:bidi="ar-EG"/>
        </w:rPr>
        <w:t xml:space="preserve">إننا </w:t>
      </w:r>
      <w:r w:rsidR="002F5059">
        <w:rPr>
          <w:rFonts w:hint="cs"/>
          <w:rtl/>
          <w:lang w:bidi="ar-EG"/>
        </w:rPr>
        <w:t>نؤيد الخيار</w:t>
      </w:r>
      <w:r w:rsidR="009630C8">
        <w:rPr>
          <w:rFonts w:hint="cs"/>
          <w:rtl/>
          <w:lang w:bidi="ar-EG"/>
        </w:rPr>
        <w:t xml:space="preserve"> </w:t>
      </w:r>
      <w:r w:rsidR="002F5059">
        <w:rPr>
          <w:lang w:bidi="ar-EG"/>
        </w:rPr>
        <w:t>1</w:t>
      </w:r>
      <w:r w:rsidR="009630C8">
        <w:rPr>
          <w:rFonts w:hint="cs"/>
          <w:rtl/>
          <w:lang w:bidi="ar-EG"/>
        </w:rPr>
        <w:t xml:space="preserve"> </w:t>
      </w:r>
      <w:r w:rsidR="0067689F">
        <w:rPr>
          <w:rFonts w:hint="cs"/>
          <w:rtl/>
          <w:lang w:bidi="ar-EG"/>
        </w:rPr>
        <w:t>كذلك</w:t>
      </w:r>
      <w:r w:rsidR="009630C8">
        <w:rPr>
          <w:rFonts w:hint="cs"/>
          <w:rtl/>
          <w:lang w:bidi="ar-EG"/>
        </w:rPr>
        <w:t>،</w:t>
      </w:r>
      <w:r w:rsidR="002F5059">
        <w:rPr>
          <w:rFonts w:hint="cs"/>
          <w:rtl/>
          <w:lang w:bidi="ar-EG"/>
        </w:rPr>
        <w:t xml:space="preserve"> أي الإبقاء على بيان الرسالة الراهن، إذ لا يختلف النصان اختلافاً جوهرياً</w:t>
      </w:r>
      <w:r w:rsidR="00606AC3">
        <w:rPr>
          <w:rFonts w:hint="cs"/>
          <w:rtl/>
          <w:lang w:bidi="ar-EG"/>
        </w:rPr>
        <w:t>،</w:t>
      </w:r>
      <w:r w:rsidR="0030099B">
        <w:rPr>
          <w:rFonts w:hint="cs"/>
          <w:rtl/>
          <w:lang w:bidi="ar-EG"/>
        </w:rPr>
        <w:t xml:space="preserve"> وتبدو عبارة "</w:t>
      </w:r>
      <w:r w:rsidR="004F661E" w:rsidRPr="004F661E">
        <w:rPr>
          <w:rtl/>
        </w:rPr>
        <w:t>النمو والتنمية الاجتماعيين والاقتصاديين المستدامين بيئياً</w:t>
      </w:r>
      <w:r w:rsidR="0030099B">
        <w:rPr>
          <w:rFonts w:hint="cs"/>
          <w:rtl/>
          <w:lang w:bidi="ar-EG"/>
        </w:rPr>
        <w:t>" أكثر تحديداً من مجرد "التنمية المستدامة".</w:t>
      </w:r>
    </w:p>
    <w:p w14:paraId="52159202" w14:textId="5B291F8D" w:rsidR="002717D5" w:rsidRDefault="002717D5" w:rsidP="002717D5">
      <w:pPr>
        <w:pStyle w:val="Headingb"/>
        <w:rPr>
          <w:lang w:bidi="ar-EG"/>
        </w:rPr>
      </w:pPr>
      <w:r w:rsidRPr="00A709BF">
        <w:rPr>
          <w:rFonts w:hint="cs"/>
          <w:rtl/>
        </w:rPr>
        <w:lastRenderedPageBreak/>
        <w:t xml:space="preserve">القسم </w:t>
      </w:r>
      <w:r>
        <w:rPr>
          <w:lang w:val="en-GB"/>
        </w:rPr>
        <w:t>4</w:t>
      </w:r>
      <w:r w:rsidRPr="00A709BF">
        <w:rPr>
          <w:lang w:val="en-GB"/>
        </w:rPr>
        <w:t>.2</w:t>
      </w:r>
      <w:r w:rsidRPr="00A709BF">
        <w:rPr>
          <w:rFonts w:hint="cs"/>
          <w:rtl/>
          <w:lang w:bidi="ar-EG"/>
        </w:rPr>
        <w:t xml:space="preserve"> </w:t>
      </w:r>
      <w:r>
        <w:rPr>
          <w:rFonts w:hint="cs"/>
          <w:rtl/>
        </w:rPr>
        <w:t>الغايات الاستراتيجية</w:t>
      </w:r>
    </w:p>
    <w:p w14:paraId="77AE242E" w14:textId="19AA9D6E" w:rsidR="00FC4A9F" w:rsidRDefault="00D76991" w:rsidP="00DB72C7">
      <w:pPr>
        <w:rPr>
          <w:lang w:bidi="ar-EG"/>
        </w:rPr>
      </w:pPr>
      <w:r>
        <w:rPr>
          <w:rFonts w:hint="cs"/>
          <w:rtl/>
          <w:lang w:bidi="ar-EG"/>
        </w:rPr>
        <w:t xml:space="preserve">نحن </w:t>
      </w:r>
      <w:r w:rsidR="0030099B">
        <w:rPr>
          <w:rFonts w:hint="cs"/>
          <w:rtl/>
          <w:lang w:bidi="ar-EG"/>
        </w:rPr>
        <w:t xml:space="preserve">نؤيد بقوة الصياغة الجديدة </w:t>
      </w:r>
      <w:r w:rsidR="004F661E">
        <w:rPr>
          <w:rFonts w:hint="cs"/>
          <w:rtl/>
          <w:lang w:bidi="ar-EG"/>
        </w:rPr>
        <w:t xml:space="preserve">للغايات الاستراتيجية، </w:t>
      </w:r>
      <w:r w:rsidR="00FA77FA">
        <w:rPr>
          <w:rFonts w:hint="cs"/>
          <w:rtl/>
          <w:lang w:bidi="ar-EG"/>
        </w:rPr>
        <w:t>حيث إنها</w:t>
      </w:r>
      <w:r w:rsidR="004F661E">
        <w:rPr>
          <w:rFonts w:hint="cs"/>
          <w:rtl/>
          <w:lang w:bidi="ar-EG"/>
        </w:rPr>
        <w:t xml:space="preserve"> تبدو</w:t>
      </w:r>
      <w:r w:rsidR="0091796A">
        <w:rPr>
          <w:rFonts w:hint="cs"/>
          <w:rtl/>
          <w:lang w:bidi="ar-EG"/>
        </w:rPr>
        <w:t xml:space="preserve"> أشمل وأوضح بكثير</w:t>
      </w:r>
      <w:r w:rsidR="00FA77FA">
        <w:rPr>
          <w:rFonts w:hint="cs"/>
          <w:rtl/>
          <w:lang w:bidi="ar-EG"/>
        </w:rPr>
        <w:t xml:space="preserve">، وتخلو </w:t>
      </w:r>
      <w:r w:rsidR="00C04757">
        <w:rPr>
          <w:rFonts w:hint="cs"/>
          <w:rtl/>
          <w:lang w:bidi="ar-EG"/>
        </w:rPr>
        <w:t>من أي تداخل فيما بينها</w:t>
      </w:r>
      <w:r w:rsidR="003B60DA">
        <w:rPr>
          <w:rFonts w:hint="cs"/>
          <w:rtl/>
          <w:lang w:bidi="ar-EG"/>
        </w:rPr>
        <w:t xml:space="preserve">. </w:t>
      </w:r>
      <w:r w:rsidR="00855474">
        <w:rPr>
          <w:rFonts w:hint="cs"/>
          <w:rtl/>
          <w:lang w:bidi="ar-EG"/>
        </w:rPr>
        <w:t>و</w:t>
      </w:r>
      <w:r w:rsidR="00CE568D">
        <w:rPr>
          <w:rFonts w:hint="cs"/>
          <w:rtl/>
          <w:lang w:bidi="ar-EG"/>
        </w:rPr>
        <w:t>تتماشى</w:t>
      </w:r>
      <w:r w:rsidR="00C04757">
        <w:rPr>
          <w:rFonts w:hint="cs"/>
          <w:rtl/>
          <w:lang w:bidi="ar-EG"/>
        </w:rPr>
        <w:t xml:space="preserve"> </w:t>
      </w:r>
      <w:r w:rsidR="003B60DA">
        <w:rPr>
          <w:rFonts w:hint="cs"/>
          <w:rtl/>
          <w:lang w:bidi="ar-EG"/>
        </w:rPr>
        <w:t xml:space="preserve">الصياغة الجديدة أيضاً </w:t>
      </w:r>
      <w:r w:rsidR="00C04757">
        <w:rPr>
          <w:rFonts w:hint="cs"/>
          <w:rtl/>
          <w:lang w:bidi="ar-EG"/>
        </w:rPr>
        <w:t xml:space="preserve">مع </w:t>
      </w:r>
      <w:r w:rsidR="00CE568D">
        <w:rPr>
          <w:rFonts w:hint="cs"/>
          <w:rtl/>
          <w:lang w:bidi="ar-EG"/>
        </w:rPr>
        <w:t xml:space="preserve">مضمون </w:t>
      </w:r>
      <w:r w:rsidR="00C04757">
        <w:rPr>
          <w:rFonts w:hint="cs"/>
          <w:rtl/>
          <w:lang w:bidi="ar-EG"/>
        </w:rPr>
        <w:t xml:space="preserve">خطة التنمية المستدامة لعام </w:t>
      </w:r>
      <w:r w:rsidR="00C04757">
        <w:rPr>
          <w:lang w:bidi="ar-EG"/>
        </w:rPr>
        <w:t>2030</w:t>
      </w:r>
      <w:r w:rsidR="00C04757">
        <w:rPr>
          <w:rFonts w:hint="cs"/>
          <w:rtl/>
          <w:lang w:bidi="ar-EG"/>
        </w:rPr>
        <w:t>.</w:t>
      </w:r>
    </w:p>
    <w:p w14:paraId="4B307000" w14:textId="031603E6" w:rsidR="002717D5" w:rsidRDefault="002717D5" w:rsidP="002717D5">
      <w:pPr>
        <w:pStyle w:val="Headingb"/>
        <w:rPr>
          <w:rtl/>
          <w:lang w:bidi="ar-EG"/>
        </w:rPr>
      </w:pPr>
      <w:r w:rsidRPr="00A709BF">
        <w:rPr>
          <w:rFonts w:hint="cs"/>
          <w:rtl/>
        </w:rPr>
        <w:t xml:space="preserve">القسم </w:t>
      </w:r>
      <w:r>
        <w:rPr>
          <w:lang w:val="en-GB"/>
        </w:rPr>
        <w:t>5</w:t>
      </w:r>
      <w:r w:rsidRPr="00A709BF">
        <w:rPr>
          <w:lang w:val="en-GB"/>
        </w:rPr>
        <w:t>.2</w:t>
      </w:r>
      <w:r w:rsidRPr="00A709BF">
        <w:rPr>
          <w:rFonts w:hint="cs"/>
          <w:rtl/>
          <w:lang w:bidi="ar-EG"/>
        </w:rPr>
        <w:t xml:space="preserve"> </w:t>
      </w:r>
      <w:r w:rsidR="00DB72C7">
        <w:rPr>
          <w:rFonts w:hint="cs"/>
          <w:rtl/>
          <w:lang w:bidi="ar-EG"/>
        </w:rPr>
        <w:t xml:space="preserve">مقاصد برنامج الاتحاد </w:t>
      </w:r>
      <w:r w:rsidR="009D4166">
        <w:rPr>
          <w:rFonts w:hint="cs"/>
          <w:rtl/>
          <w:lang w:bidi="ar-EG"/>
        </w:rPr>
        <w:t>للتوصيل في</w:t>
      </w:r>
      <w:r w:rsidR="00DB72C7">
        <w:rPr>
          <w:rFonts w:hint="cs"/>
          <w:rtl/>
          <w:lang w:bidi="ar-EG"/>
        </w:rPr>
        <w:t xml:space="preserve"> </w:t>
      </w:r>
      <w:r w:rsidR="00DB72C7">
        <w:rPr>
          <w:lang w:bidi="ar-EG"/>
        </w:rPr>
        <w:t>2030</w:t>
      </w:r>
    </w:p>
    <w:p w14:paraId="029E0F5D" w14:textId="3BAD2431" w:rsidR="00FC4A9F" w:rsidRDefault="00E820F9" w:rsidP="007E12A9">
      <w:pPr>
        <w:rPr>
          <w:lang w:bidi="ar-EG"/>
        </w:rPr>
      </w:pPr>
      <w:r>
        <w:rPr>
          <w:rFonts w:hint="cs"/>
          <w:rtl/>
          <w:lang w:bidi="ar-EG"/>
        </w:rPr>
        <w:t xml:space="preserve">إننا </w:t>
      </w:r>
      <w:r w:rsidR="0067689F">
        <w:rPr>
          <w:rFonts w:hint="cs"/>
          <w:rtl/>
          <w:lang w:bidi="ar-EG"/>
        </w:rPr>
        <w:t xml:space="preserve">نؤيد صياغة المقاصد المحددة لعام </w:t>
      </w:r>
      <w:r w:rsidR="0067689F">
        <w:rPr>
          <w:lang w:bidi="ar-EG"/>
        </w:rPr>
        <w:t>2030</w:t>
      </w:r>
      <w:r w:rsidR="0067689F">
        <w:rPr>
          <w:rFonts w:hint="cs"/>
          <w:rtl/>
          <w:lang w:bidi="ar-EG"/>
        </w:rPr>
        <w:t xml:space="preserve">، التي توجه أعمال الاتحاد نحو تيسير تحقيق أهداف التنمية المستدامة </w:t>
      </w:r>
      <w:r w:rsidR="0067689F">
        <w:rPr>
          <w:lang w:bidi="ar-EG"/>
        </w:rPr>
        <w:t>(SDG)</w:t>
      </w:r>
      <w:r w:rsidR="0067689F">
        <w:rPr>
          <w:rFonts w:hint="cs"/>
          <w:rtl/>
          <w:lang w:bidi="ar-EG"/>
        </w:rPr>
        <w:t xml:space="preserve">. ونؤيد أيضاً استخدام مؤشرات ذكية </w:t>
      </w:r>
      <w:r w:rsidR="0067689F">
        <w:rPr>
          <w:lang w:bidi="ar-EG"/>
        </w:rPr>
        <w:t>(SMART)</w:t>
      </w:r>
      <w:r w:rsidR="0067689F">
        <w:rPr>
          <w:rFonts w:hint="cs"/>
          <w:rtl/>
          <w:lang w:bidi="ar-EG"/>
        </w:rPr>
        <w:t xml:space="preserve"> في</w:t>
      </w:r>
      <w:proofErr w:type="gramStart"/>
      <w:r w:rsidR="0067689F">
        <w:rPr>
          <w:rFonts w:hint="cs"/>
          <w:rtl/>
          <w:lang w:bidi="ar-EG"/>
        </w:rPr>
        <w:t xml:space="preserve"> ’إطار</w:t>
      </w:r>
      <w:proofErr w:type="gramEnd"/>
      <w:r w:rsidR="0067689F">
        <w:rPr>
          <w:rFonts w:hint="cs"/>
          <w:rtl/>
          <w:lang w:bidi="ar-EG"/>
        </w:rPr>
        <w:t xml:space="preserve"> النتائج‘ ومؤشرات فرعية ل</w:t>
      </w:r>
      <w:r w:rsidR="00606AC3">
        <w:rPr>
          <w:rFonts w:hint="cs"/>
          <w:rtl/>
          <w:lang w:bidi="ar-EG"/>
        </w:rPr>
        <w:t>ت</w:t>
      </w:r>
      <w:r w:rsidR="0067689F">
        <w:rPr>
          <w:rFonts w:hint="cs"/>
          <w:rtl/>
          <w:lang w:bidi="ar-EG"/>
        </w:rPr>
        <w:t>حسين كيفية القياس، الأمر الذي من شأنه أن يعزز</w:t>
      </w:r>
      <w:r w:rsidR="007E12A9">
        <w:rPr>
          <w:rFonts w:hint="cs"/>
          <w:rtl/>
          <w:lang w:bidi="ar-EG"/>
        </w:rPr>
        <w:t xml:space="preserve"> المساءلة ع</w:t>
      </w:r>
      <w:r w:rsidR="00606AC3">
        <w:rPr>
          <w:rFonts w:hint="cs"/>
          <w:rtl/>
          <w:lang w:bidi="ar-EG"/>
        </w:rPr>
        <w:t>ن</w:t>
      </w:r>
      <w:r w:rsidR="007E12A9">
        <w:rPr>
          <w:rFonts w:hint="cs"/>
          <w:rtl/>
          <w:lang w:bidi="ar-EG"/>
        </w:rPr>
        <w:t xml:space="preserve"> أعمال الاتحاد.</w:t>
      </w:r>
    </w:p>
    <w:p w14:paraId="0C847BD6" w14:textId="47CA10A2" w:rsidR="00A709BF" w:rsidRDefault="00134B63" w:rsidP="00134B63">
      <w:pPr>
        <w:pStyle w:val="Headingb"/>
        <w:rPr>
          <w:lang w:bidi="ar-EG"/>
        </w:rPr>
      </w:pPr>
      <w:r w:rsidRPr="00134B63">
        <w:rPr>
          <w:rFonts w:hint="cs"/>
          <w:rtl/>
        </w:rPr>
        <w:t xml:space="preserve">القسم </w:t>
      </w:r>
      <w:r w:rsidRPr="00134B63">
        <w:rPr>
          <w:lang w:val="en-GB"/>
        </w:rPr>
        <w:t>6.2</w:t>
      </w:r>
      <w:r w:rsidRPr="00134B63">
        <w:rPr>
          <w:rFonts w:hint="cs"/>
          <w:rtl/>
        </w:rPr>
        <w:t xml:space="preserve"> الأولويات المواضيعية</w:t>
      </w:r>
    </w:p>
    <w:p w14:paraId="712EEE67" w14:textId="677498A7" w:rsidR="00A709BF" w:rsidRDefault="007E12A9" w:rsidP="0006468A">
      <w:pPr>
        <w:rPr>
          <w:lang w:bidi="ar-EG"/>
        </w:rPr>
      </w:pPr>
      <w:r>
        <w:rPr>
          <w:rFonts w:hint="cs"/>
          <w:rtl/>
          <w:lang w:bidi="ar-EG"/>
        </w:rPr>
        <w:t xml:space="preserve">إجمالاً، </w:t>
      </w:r>
      <w:r w:rsidR="00DF103F">
        <w:rPr>
          <w:rFonts w:hint="cs"/>
          <w:rtl/>
          <w:lang w:bidi="ar-EG"/>
        </w:rPr>
        <w:t xml:space="preserve">يبدو أن </w:t>
      </w:r>
      <w:r>
        <w:rPr>
          <w:rFonts w:hint="cs"/>
          <w:rtl/>
          <w:lang w:bidi="ar-EG"/>
        </w:rPr>
        <w:t xml:space="preserve">الأولويات المواضيعية </w:t>
      </w:r>
      <w:r w:rsidR="00DF103F">
        <w:rPr>
          <w:rFonts w:hint="cs"/>
          <w:rtl/>
          <w:lang w:bidi="ar-EG"/>
        </w:rPr>
        <w:t xml:space="preserve">تغطي </w:t>
      </w:r>
      <w:r>
        <w:rPr>
          <w:rFonts w:hint="cs"/>
          <w:rtl/>
          <w:lang w:bidi="ar-EG"/>
        </w:rPr>
        <w:t>نطاق أنشطة الاتحاد على الوجه السليم.</w:t>
      </w:r>
    </w:p>
    <w:p w14:paraId="2A0F65A2" w14:textId="4AD31489" w:rsidR="00FC4A9F" w:rsidRDefault="007E12A9" w:rsidP="004764B7">
      <w:r>
        <w:rPr>
          <w:rFonts w:hint="cs"/>
          <w:rtl/>
        </w:rPr>
        <w:t>و</w:t>
      </w:r>
      <w:r w:rsidR="00DA5C92">
        <w:rPr>
          <w:rFonts w:hint="cs"/>
          <w:rtl/>
        </w:rPr>
        <w:t>ن</w:t>
      </w:r>
      <w:r w:rsidR="00E820F9">
        <w:rPr>
          <w:rFonts w:hint="cs"/>
          <w:rtl/>
        </w:rPr>
        <w:t xml:space="preserve">حن </w:t>
      </w:r>
      <w:r w:rsidR="009817BB" w:rsidRPr="009817BB">
        <w:rPr>
          <w:rtl/>
        </w:rPr>
        <w:t xml:space="preserve">نؤيد الخيار </w:t>
      </w:r>
      <w:r w:rsidR="009817BB" w:rsidRPr="009817BB">
        <w:rPr>
          <w:lang w:val="en-GB" w:bidi="ar-EG"/>
        </w:rPr>
        <w:t>2</w:t>
      </w:r>
      <w:r w:rsidR="009817BB" w:rsidRPr="009817BB">
        <w:rPr>
          <w:rtl/>
        </w:rPr>
        <w:t xml:space="preserve"> </w:t>
      </w:r>
      <w:r w:rsidR="009817BB" w:rsidRPr="009817BB">
        <w:rPr>
          <w:rFonts w:hint="cs"/>
          <w:rtl/>
        </w:rPr>
        <w:t xml:space="preserve">المتمثل في </w:t>
      </w:r>
      <w:r w:rsidR="00855474">
        <w:rPr>
          <w:rFonts w:hint="cs"/>
          <w:rtl/>
        </w:rPr>
        <w:t>إدماج</w:t>
      </w:r>
      <w:r w:rsidR="009817BB" w:rsidRPr="009817BB">
        <w:rPr>
          <w:rtl/>
        </w:rPr>
        <w:t xml:space="preserve"> نتائج الأمن السيبراني في أولويات مواضيعية أخرى </w:t>
      </w:r>
      <w:r w:rsidR="00855474">
        <w:rPr>
          <w:rFonts w:hint="cs"/>
          <w:rtl/>
        </w:rPr>
        <w:t>ك</w:t>
      </w:r>
      <w:r w:rsidR="009817BB" w:rsidRPr="009817BB">
        <w:rPr>
          <w:rtl/>
        </w:rPr>
        <w:t xml:space="preserve">البنية التحتية </w:t>
      </w:r>
      <w:r w:rsidR="00855474">
        <w:rPr>
          <w:rFonts w:hint="cs"/>
          <w:rtl/>
        </w:rPr>
        <w:t>أو التطبيقات أو</w:t>
      </w:r>
      <w:r w:rsidR="003F27C3">
        <w:rPr>
          <w:rFonts w:hint="eastAsia"/>
          <w:rtl/>
        </w:rPr>
        <w:t> </w:t>
      </w:r>
      <w:r w:rsidR="00855474" w:rsidRPr="009817BB">
        <w:rPr>
          <w:rtl/>
        </w:rPr>
        <w:t>البيئة التمكينية</w:t>
      </w:r>
      <w:r w:rsidR="00855474">
        <w:rPr>
          <w:rFonts w:hint="cs"/>
          <w:rtl/>
        </w:rPr>
        <w:t xml:space="preserve">. </w:t>
      </w:r>
      <w:r w:rsidR="00606AC3">
        <w:rPr>
          <w:rFonts w:hint="cs"/>
          <w:rtl/>
        </w:rPr>
        <w:t>و</w:t>
      </w:r>
      <w:r w:rsidR="003B60DA">
        <w:rPr>
          <w:rFonts w:hint="cs"/>
          <w:rtl/>
        </w:rPr>
        <w:t>نستشعر</w:t>
      </w:r>
      <w:r w:rsidR="00DA5C92">
        <w:rPr>
          <w:rFonts w:hint="cs"/>
          <w:rtl/>
        </w:rPr>
        <w:t xml:space="preserve">ُ </w:t>
      </w:r>
      <w:r w:rsidR="003B60DA">
        <w:rPr>
          <w:rFonts w:hint="cs"/>
          <w:rtl/>
        </w:rPr>
        <w:t>أهمية أن يركز الاتحاد أعماله على تنفيذ ولايته الأساسية، مُلبِّياً احتياجات أعضائه</w:t>
      </w:r>
      <w:r w:rsidR="00113FB2">
        <w:rPr>
          <w:rFonts w:hint="cs"/>
          <w:rtl/>
        </w:rPr>
        <w:t xml:space="preserve"> كافة</w:t>
      </w:r>
      <w:r w:rsidR="003B60DA">
        <w:rPr>
          <w:rFonts w:hint="cs"/>
          <w:rtl/>
        </w:rPr>
        <w:t>، خاصة</w:t>
      </w:r>
      <w:r w:rsidR="00C04773">
        <w:rPr>
          <w:rFonts w:hint="cs"/>
          <w:rtl/>
        </w:rPr>
        <w:t>ً</w:t>
      </w:r>
      <w:r w:rsidR="003B60DA">
        <w:rPr>
          <w:rFonts w:hint="cs"/>
          <w:rtl/>
        </w:rPr>
        <w:t xml:space="preserve"> البلدان النامية، وأن يتجنب </w:t>
      </w:r>
      <w:r w:rsidR="004D567C">
        <w:rPr>
          <w:rFonts w:hint="cs"/>
          <w:rtl/>
        </w:rPr>
        <w:t xml:space="preserve">تداخل أعماله مع الأعمال </w:t>
      </w:r>
      <w:r w:rsidR="00113FB2">
        <w:rPr>
          <w:rFonts w:hint="cs"/>
          <w:rtl/>
        </w:rPr>
        <w:t>المضطلَع بها</w:t>
      </w:r>
      <w:r w:rsidR="004D567C">
        <w:rPr>
          <w:rFonts w:hint="cs"/>
          <w:rtl/>
        </w:rPr>
        <w:t xml:space="preserve"> في </w:t>
      </w:r>
      <w:r w:rsidR="004764B7">
        <w:rPr>
          <w:rFonts w:hint="cs"/>
          <w:rtl/>
        </w:rPr>
        <w:t>ال</w:t>
      </w:r>
      <w:r w:rsidR="004D567C">
        <w:rPr>
          <w:rFonts w:hint="cs"/>
          <w:rtl/>
        </w:rPr>
        <w:t xml:space="preserve">محافل </w:t>
      </w:r>
      <w:r w:rsidR="004764B7">
        <w:rPr>
          <w:rFonts w:hint="cs"/>
          <w:rtl/>
        </w:rPr>
        <w:t>ال</w:t>
      </w:r>
      <w:r w:rsidR="004D567C">
        <w:rPr>
          <w:rFonts w:hint="cs"/>
          <w:rtl/>
        </w:rPr>
        <w:t>أخرى و</w:t>
      </w:r>
      <w:r w:rsidR="004764B7">
        <w:rPr>
          <w:rFonts w:hint="cs"/>
          <w:rtl/>
        </w:rPr>
        <w:t xml:space="preserve">يسعى إلى تحسين </w:t>
      </w:r>
      <w:r w:rsidR="004D567C">
        <w:rPr>
          <w:rFonts w:hint="cs"/>
          <w:rtl/>
        </w:rPr>
        <w:t xml:space="preserve">مستوى التآزر </w:t>
      </w:r>
      <w:r w:rsidR="00946344">
        <w:rPr>
          <w:rFonts w:hint="cs"/>
          <w:rtl/>
        </w:rPr>
        <w:t>فيما</w:t>
      </w:r>
      <w:r w:rsidR="003436D1">
        <w:rPr>
          <w:rFonts w:hint="eastAsia"/>
          <w:rtl/>
        </w:rPr>
        <w:t> </w:t>
      </w:r>
      <w:r w:rsidR="00946344">
        <w:rPr>
          <w:rFonts w:hint="cs"/>
          <w:rtl/>
        </w:rPr>
        <w:t>بين أعمالهما. فضلاً عن ذلك،</w:t>
      </w:r>
      <w:r w:rsidR="00606AC3">
        <w:rPr>
          <w:rFonts w:hint="cs"/>
          <w:rtl/>
        </w:rPr>
        <w:t xml:space="preserve"> إننا </w:t>
      </w:r>
      <w:r w:rsidR="00946344">
        <w:rPr>
          <w:rFonts w:hint="cs"/>
          <w:rtl/>
        </w:rPr>
        <w:t>نستشعر</w:t>
      </w:r>
      <w:r w:rsidR="00606AC3">
        <w:rPr>
          <w:rFonts w:hint="cs"/>
          <w:rtl/>
        </w:rPr>
        <w:t xml:space="preserve"> أيضاً</w:t>
      </w:r>
      <w:r w:rsidR="00946344">
        <w:rPr>
          <w:rFonts w:hint="cs"/>
          <w:rtl/>
        </w:rPr>
        <w:t xml:space="preserve"> </w:t>
      </w:r>
      <w:r w:rsidR="0083518F">
        <w:rPr>
          <w:rFonts w:hint="cs"/>
          <w:rtl/>
        </w:rPr>
        <w:t xml:space="preserve">أهمية ألا </w:t>
      </w:r>
      <w:r w:rsidR="00A53775">
        <w:rPr>
          <w:rFonts w:hint="cs"/>
          <w:rtl/>
        </w:rPr>
        <w:t>يُبالغ الاتحاد في عدد</w:t>
      </w:r>
      <w:r w:rsidR="0083518F">
        <w:rPr>
          <w:rFonts w:hint="cs"/>
          <w:rtl/>
        </w:rPr>
        <w:t xml:space="preserve"> الأولويات المواضيعية </w:t>
      </w:r>
      <w:r w:rsidR="00CB4846">
        <w:rPr>
          <w:rFonts w:hint="cs"/>
          <w:rtl/>
        </w:rPr>
        <w:t>المراد تحديدها في</w:t>
      </w:r>
      <w:r w:rsidR="00E86E6E">
        <w:rPr>
          <w:rFonts w:hint="eastAsia"/>
          <w:rtl/>
        </w:rPr>
        <w:t> </w:t>
      </w:r>
      <w:r w:rsidR="0083518F">
        <w:rPr>
          <w:rFonts w:hint="cs"/>
          <w:rtl/>
        </w:rPr>
        <w:t>الخطة الاستراتيجية حفاظاً على تركّز نطاق</w:t>
      </w:r>
      <w:r w:rsidR="00A53775">
        <w:rPr>
          <w:rFonts w:hint="cs"/>
          <w:rtl/>
        </w:rPr>
        <w:t xml:space="preserve"> الخطة</w:t>
      </w:r>
      <w:r w:rsidR="0083518F">
        <w:rPr>
          <w:rFonts w:hint="cs"/>
          <w:rtl/>
        </w:rPr>
        <w:t xml:space="preserve">. </w:t>
      </w:r>
      <w:r w:rsidR="00113FB2">
        <w:rPr>
          <w:rFonts w:hint="cs"/>
          <w:rtl/>
        </w:rPr>
        <w:t>ولعلَّ لترتيب الأولويات وعدم توزيع الموارد الشحيحة على عدد مفرط من الأولويات المواضيعية أهمية بالغة في الوقت الحاضر على وجه الخصوص.</w:t>
      </w:r>
    </w:p>
    <w:p w14:paraId="20D52E65" w14:textId="5CAA25F4" w:rsidR="009817BB" w:rsidRDefault="00134B63" w:rsidP="004764B7">
      <w:pPr>
        <w:pStyle w:val="Headingb"/>
        <w:rPr>
          <w:rtl/>
        </w:rPr>
      </w:pPr>
      <w:r w:rsidRPr="00134B63">
        <w:rPr>
          <w:rFonts w:hint="cs"/>
          <w:rtl/>
        </w:rPr>
        <w:t xml:space="preserve">القسم </w:t>
      </w:r>
      <w:r w:rsidRPr="00134B63">
        <w:rPr>
          <w:lang w:val="en-GB"/>
        </w:rPr>
        <w:t>7.2</w:t>
      </w:r>
      <w:r w:rsidRPr="00134B63">
        <w:rPr>
          <w:rFonts w:hint="cs"/>
          <w:rtl/>
        </w:rPr>
        <w:t xml:space="preserve"> المنتجات والخدمات</w:t>
      </w:r>
    </w:p>
    <w:p w14:paraId="067EF555" w14:textId="02D68459" w:rsidR="00CB4846" w:rsidRPr="003436D1" w:rsidRDefault="00E820F9" w:rsidP="003F27C3">
      <w:pPr>
        <w:rPr>
          <w:rtl/>
          <w:lang w:bidi="ar-EG"/>
        </w:rPr>
      </w:pPr>
      <w:r>
        <w:rPr>
          <w:rFonts w:hint="cs"/>
          <w:rtl/>
        </w:rPr>
        <w:t>إننا</w:t>
      </w:r>
      <w:r w:rsidR="00D76991" w:rsidRPr="00DA5C92">
        <w:rPr>
          <w:rFonts w:hint="cs"/>
          <w:rtl/>
        </w:rPr>
        <w:t xml:space="preserve"> نؤيد صياغة هذا القسم المقترحة التي ت</w:t>
      </w:r>
      <w:r w:rsidR="00CE568D" w:rsidRPr="00DA5C92">
        <w:rPr>
          <w:rFonts w:hint="cs"/>
          <w:rtl/>
        </w:rPr>
        <w:t>ُ</w:t>
      </w:r>
      <w:r w:rsidR="00316E8B" w:rsidRPr="00DA5C92">
        <w:rPr>
          <w:rFonts w:hint="cs"/>
          <w:rtl/>
          <w:lang w:bidi="ar-EG"/>
        </w:rPr>
        <w:t>بين عرض القيمة المُجمَّعة الذي يقدمه الاتحاد وت</w:t>
      </w:r>
      <w:r w:rsidR="00CE568D" w:rsidRPr="00DA5C92">
        <w:rPr>
          <w:rFonts w:hint="cs"/>
          <w:rtl/>
          <w:lang w:bidi="ar-EG"/>
        </w:rPr>
        <w:t>ُ</w:t>
      </w:r>
      <w:r w:rsidR="00316E8B" w:rsidRPr="00DA5C92">
        <w:rPr>
          <w:rFonts w:hint="cs"/>
          <w:rtl/>
          <w:lang w:bidi="ar-EG"/>
        </w:rPr>
        <w:t>برز الصلات التي تتخلل مجموعة منتجاته وخدماته كاملةً. فإعادة تجميع وصوْغ الأنشطة القائمة بغ</w:t>
      </w:r>
      <w:r w:rsidR="00CE568D" w:rsidRPr="00DA5C92">
        <w:rPr>
          <w:rFonts w:hint="cs"/>
          <w:rtl/>
          <w:lang w:bidi="ar-EG"/>
        </w:rPr>
        <w:t>رض</w:t>
      </w:r>
      <w:r w:rsidR="00316E8B" w:rsidRPr="00DA5C92">
        <w:rPr>
          <w:rFonts w:hint="cs"/>
          <w:rtl/>
          <w:lang w:bidi="ar-EG"/>
        </w:rPr>
        <w:t xml:space="preserve"> إبراز مجالات العمل المشتركة، مع بيان خصوصية العروض القائمة في القطاعات</w:t>
      </w:r>
      <w:r w:rsidR="00606AC3" w:rsidRPr="00DA5C92">
        <w:rPr>
          <w:rFonts w:hint="cs"/>
          <w:rtl/>
          <w:lang w:bidi="ar-EG"/>
        </w:rPr>
        <w:t>،</w:t>
      </w:r>
      <w:r w:rsidR="00316E8B" w:rsidRPr="00DA5C92">
        <w:rPr>
          <w:rFonts w:hint="cs"/>
          <w:rtl/>
          <w:lang w:bidi="ar-EG"/>
        </w:rPr>
        <w:t xml:space="preserve"> </w:t>
      </w:r>
      <w:r w:rsidR="00CE568D" w:rsidRPr="00DA5C92">
        <w:rPr>
          <w:rFonts w:hint="cs"/>
          <w:rtl/>
          <w:lang w:bidi="ar-EG"/>
        </w:rPr>
        <w:t xml:space="preserve">في </w:t>
      </w:r>
      <w:r w:rsidR="003F5920">
        <w:rPr>
          <w:rFonts w:hint="cs"/>
          <w:rtl/>
          <w:lang w:bidi="ar-EG"/>
        </w:rPr>
        <w:t>آن</w:t>
      </w:r>
      <w:r w:rsidR="00CE568D" w:rsidRPr="00DA5C92">
        <w:rPr>
          <w:rFonts w:hint="cs"/>
          <w:rtl/>
          <w:lang w:bidi="ar-EG"/>
        </w:rPr>
        <w:t xml:space="preserve">، </w:t>
      </w:r>
      <w:r w:rsidR="00B80DA8" w:rsidRPr="00DA5C92">
        <w:rPr>
          <w:rFonts w:hint="cs"/>
          <w:rtl/>
          <w:lang w:bidi="ar-EG"/>
        </w:rPr>
        <w:t>يتماشيان على ما يبدو</w:t>
      </w:r>
      <w:r w:rsidR="00CE568D" w:rsidRPr="00DA5C92">
        <w:rPr>
          <w:rFonts w:hint="cs"/>
          <w:rtl/>
          <w:lang w:bidi="ar-EG"/>
        </w:rPr>
        <w:t xml:space="preserve"> مع طلب الدول الأعضاء زيادة التآزر إلى أقصى حد ممكن وتلافي ازدواجية العمل وتداخل </w:t>
      </w:r>
      <w:r w:rsidR="00B80DA8" w:rsidRPr="00DA5C92">
        <w:rPr>
          <w:rFonts w:hint="cs"/>
          <w:rtl/>
          <w:lang w:bidi="ar-EG"/>
        </w:rPr>
        <w:t>الأعمال</w:t>
      </w:r>
      <w:r w:rsidR="00CE568D" w:rsidRPr="003436D1">
        <w:rPr>
          <w:rFonts w:hint="cs"/>
          <w:rtl/>
          <w:lang w:bidi="ar-EG"/>
        </w:rPr>
        <w:t>.</w:t>
      </w:r>
    </w:p>
    <w:p w14:paraId="246DE861" w14:textId="77777777" w:rsidR="008C7D7C" w:rsidRPr="003F27C3" w:rsidRDefault="008C7D7C" w:rsidP="003F27C3">
      <w:pPr>
        <w:rPr>
          <w:rtl/>
        </w:rPr>
      </w:pPr>
      <w:r>
        <w:rPr>
          <w:rFonts w:hint="cs"/>
          <w:rtl/>
        </w:rPr>
        <w:t>ونتطلع إلى مزيد من المناقشات في إطار فريق العمل التابع للمجلس المعني بإعداد مشروع الخطة الاستراتيجية.</w:t>
      </w:r>
    </w:p>
    <w:p w14:paraId="2F7049BB" w14:textId="4C8E2720" w:rsidR="00063EA4" w:rsidRPr="00063EA4" w:rsidRDefault="009817BB" w:rsidP="009817BB">
      <w:pPr>
        <w:spacing w:before="600"/>
        <w:jc w:val="center"/>
        <w:rPr>
          <w:lang w:bidi="ar-EG"/>
        </w:rPr>
      </w:pPr>
      <w:r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ــــــــــــــــــــــــــــــــــــــــــــــــــــــــــــــــــــــــــــــــــــــــــــــــــــــــــ</w:t>
      </w:r>
    </w:p>
    <w:sectPr w:rsidR="00063EA4" w:rsidRPr="00063EA4" w:rsidSect="006C3242">
      <w:headerReference w:type="default" r:id="rId9"/>
      <w:footerReference w:type="default" r:id="rId10"/>
      <w:footerReference w:type="first" r:id="rId11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C55601" w14:textId="77777777" w:rsidR="00556C94" w:rsidRDefault="00556C94" w:rsidP="006C3242">
      <w:pPr>
        <w:spacing w:before="0" w:line="240" w:lineRule="auto"/>
      </w:pPr>
      <w:r>
        <w:separator/>
      </w:r>
    </w:p>
  </w:endnote>
  <w:endnote w:type="continuationSeparator" w:id="0">
    <w:p w14:paraId="2024F817" w14:textId="77777777" w:rsidR="00556C94" w:rsidRDefault="00556C94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altName w:val="Times New Roman"/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A0E88" w14:textId="2A7CBAB6" w:rsidR="006C3242" w:rsidRPr="0026373E" w:rsidRDefault="006C3242" w:rsidP="00FE5872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fr-FR"/>
      </w:rPr>
    </w:pPr>
    <w:r w:rsidRPr="00561E87">
      <w:rPr>
        <w:color w:val="F2F2F2" w:themeColor="background1" w:themeShade="F2"/>
        <w:sz w:val="16"/>
        <w:szCs w:val="16"/>
        <w:lang w:val="fr-FR"/>
      </w:rPr>
      <w:fldChar w:fldCharType="begin"/>
    </w:r>
    <w:r w:rsidRPr="00561E87">
      <w:rPr>
        <w:color w:val="F2F2F2" w:themeColor="background1" w:themeShade="F2"/>
        <w:sz w:val="16"/>
        <w:szCs w:val="16"/>
        <w:lang w:val="fr-FR"/>
      </w:rPr>
      <w:instrText xml:space="preserve"> FILENAME \p \* MERGEFORMAT </w:instrText>
    </w:r>
    <w:r w:rsidRPr="00561E87">
      <w:rPr>
        <w:color w:val="F2F2F2" w:themeColor="background1" w:themeShade="F2"/>
        <w:sz w:val="16"/>
        <w:szCs w:val="16"/>
        <w:lang w:val="fr-FR"/>
      </w:rPr>
      <w:fldChar w:fldCharType="separate"/>
    </w:r>
    <w:r w:rsidR="00B132CF" w:rsidRPr="00561E87">
      <w:rPr>
        <w:noProof/>
        <w:color w:val="F2F2F2" w:themeColor="background1" w:themeShade="F2"/>
        <w:sz w:val="16"/>
        <w:szCs w:val="16"/>
        <w:lang w:val="fr-FR"/>
      </w:rPr>
      <w:t>P:\ARA\SG\CONSEIL\CWG-SFP\CWG-SFP3\000\013V2A.docx</w:t>
    </w:r>
    <w:r w:rsidRPr="00561E87">
      <w:rPr>
        <w:color w:val="F2F2F2" w:themeColor="background1" w:themeShade="F2"/>
        <w:sz w:val="16"/>
        <w:szCs w:val="16"/>
      </w:rPr>
      <w:fldChar w:fldCharType="end"/>
    </w:r>
    <w:proofErr w:type="gramStart"/>
    <w:r w:rsidRPr="00561E87">
      <w:rPr>
        <w:color w:val="F2F2F2" w:themeColor="background1" w:themeShade="F2"/>
        <w:sz w:val="16"/>
        <w:szCs w:val="16"/>
        <w:lang w:val="fr-CH"/>
      </w:rPr>
      <w:t xml:space="preserve">  </w:t>
    </w:r>
    <w:r w:rsidRPr="00561E87">
      <w:rPr>
        <w:color w:val="F2F2F2" w:themeColor="background1" w:themeShade="F2"/>
        <w:sz w:val="16"/>
        <w:szCs w:val="16"/>
        <w:lang w:val="fr-FR"/>
      </w:rPr>
      <w:t xml:space="preserve"> (</w:t>
    </w:r>
    <w:proofErr w:type="gramEnd"/>
    <w:r w:rsidR="009817BB" w:rsidRPr="00561E87">
      <w:rPr>
        <w:rFonts w:hint="cs"/>
        <w:color w:val="F2F2F2" w:themeColor="background1" w:themeShade="F2"/>
        <w:sz w:val="16"/>
        <w:szCs w:val="16"/>
        <w:rtl/>
        <w:lang w:val="fr-FR"/>
      </w:rPr>
      <w:t>501511</w:t>
    </w:r>
    <w:r w:rsidRPr="00561E87">
      <w:rPr>
        <w:color w:val="F2F2F2" w:themeColor="background1" w:themeShade="F2"/>
        <w:sz w:val="16"/>
        <w:szCs w:val="16"/>
        <w:lang w:val="fr-FR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585F4" w14:textId="77777777" w:rsidR="0006468A" w:rsidRPr="00AB26D9" w:rsidRDefault="00AB26D9" w:rsidP="00AB26D9">
    <w:pPr>
      <w:spacing w:after="120"/>
      <w:jc w:val="center"/>
      <w:rPr>
        <w:lang w:val="es-ES"/>
      </w:rPr>
    </w:pPr>
    <w:r>
      <w:rPr>
        <w:lang w:val="es-ES"/>
      </w:rPr>
      <w:t xml:space="preserve">• </w:t>
    </w:r>
    <w:hyperlink r:id="rId1" w:history="1">
      <w:r w:rsidRPr="003F22D4">
        <w:rPr>
          <w:rStyle w:val="Hyperlink"/>
          <w:rFonts w:cstheme="minorHAnsi"/>
          <w:lang w:val="es-ES"/>
        </w:rPr>
        <w:t>http://www.itu.int/council</w:t>
      </w:r>
    </w:hyperlink>
    <w:r>
      <w:rPr>
        <w:lang w:val="es-ES"/>
      </w:rP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74AC3A" w14:textId="77777777" w:rsidR="00556C94" w:rsidRDefault="00556C94" w:rsidP="006C3242">
      <w:pPr>
        <w:spacing w:before="0" w:line="240" w:lineRule="auto"/>
      </w:pPr>
      <w:r>
        <w:separator/>
      </w:r>
    </w:p>
  </w:footnote>
  <w:footnote w:type="continuationSeparator" w:id="0">
    <w:p w14:paraId="6F2FF4A9" w14:textId="77777777" w:rsidR="00556C94" w:rsidRDefault="00556C94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2AE78" w14:textId="08EB70DF" w:rsidR="003A0882" w:rsidRPr="003A0882" w:rsidRDefault="003A0882" w:rsidP="003A0882">
    <w:pPr>
      <w:tabs>
        <w:tab w:val="clear" w:pos="794"/>
      </w:tabs>
      <w:bidi w:val="0"/>
      <w:spacing w:before="0" w:after="120" w:line="259" w:lineRule="auto"/>
      <w:jc w:val="center"/>
      <w:rPr>
        <w:rFonts w:ascii="Calibri" w:eastAsia="Calibri" w:hAnsi="Calibri" w:cs="Arial"/>
        <w:sz w:val="18"/>
        <w:lang w:val="en-GB" w:eastAsia="en-US"/>
      </w:rPr>
    </w:pPr>
    <w:r w:rsidRPr="003A0882">
      <w:rPr>
        <w:rFonts w:ascii="Calibri" w:eastAsia="Calibri" w:hAnsi="Calibri" w:cs="Arial"/>
        <w:sz w:val="18"/>
        <w:lang w:val="en-GB" w:eastAsia="en-US"/>
      </w:rPr>
      <w:fldChar w:fldCharType="begin"/>
    </w:r>
    <w:r w:rsidRPr="003A0882">
      <w:rPr>
        <w:rFonts w:ascii="Calibri" w:eastAsia="Calibri" w:hAnsi="Calibri" w:cs="Arial"/>
        <w:sz w:val="18"/>
        <w:lang w:val="en-GB" w:eastAsia="en-US"/>
      </w:rPr>
      <w:instrText xml:space="preserve"> PAGE   \* MERGEFORMAT </w:instrText>
    </w:r>
    <w:r w:rsidRPr="003A0882">
      <w:rPr>
        <w:rFonts w:ascii="Calibri" w:eastAsia="Calibri" w:hAnsi="Calibri" w:cs="Arial"/>
        <w:sz w:val="18"/>
        <w:lang w:val="en-GB" w:eastAsia="en-US"/>
      </w:rPr>
      <w:fldChar w:fldCharType="separate"/>
    </w:r>
    <w:r w:rsidRPr="003A0882">
      <w:rPr>
        <w:rFonts w:ascii="Calibri" w:eastAsia="Calibri" w:hAnsi="Calibri" w:cs="Arial"/>
        <w:noProof/>
        <w:sz w:val="18"/>
        <w:lang w:val="en-GB" w:eastAsia="en-US"/>
      </w:rPr>
      <w:t>2</w:t>
    </w:r>
    <w:r w:rsidRPr="003A0882">
      <w:rPr>
        <w:rFonts w:ascii="Calibri" w:eastAsia="Calibri" w:hAnsi="Calibri" w:cs="Arial"/>
        <w:noProof/>
        <w:sz w:val="18"/>
        <w:lang w:val="en-GB" w:eastAsia="en-US"/>
      </w:rPr>
      <w:fldChar w:fldCharType="end"/>
    </w:r>
    <w:r w:rsidRPr="003A0882">
      <w:rPr>
        <w:rFonts w:ascii="Calibri" w:eastAsia="Calibri" w:hAnsi="Calibri" w:cs="Arial"/>
        <w:noProof/>
        <w:sz w:val="18"/>
        <w:lang w:val="en-GB" w:eastAsia="en-US"/>
      </w:rPr>
      <w:br/>
      <w:t>CWG-SFP-</w:t>
    </w:r>
    <w:r w:rsidR="002A50D2">
      <w:rPr>
        <w:rFonts w:ascii="Calibri" w:eastAsia="Calibri" w:hAnsi="Calibri" w:cs="Arial"/>
        <w:noProof/>
        <w:sz w:val="18"/>
        <w:lang w:val="en-GB" w:eastAsia="en-US"/>
      </w:rPr>
      <w:t>3</w:t>
    </w:r>
    <w:r w:rsidRPr="003A0882">
      <w:rPr>
        <w:rFonts w:ascii="Calibri" w:eastAsia="Calibri" w:hAnsi="Calibri" w:cs="Arial"/>
        <w:noProof/>
        <w:sz w:val="18"/>
        <w:lang w:val="en-GB" w:eastAsia="en-US"/>
      </w:rPr>
      <w:t>\</w:t>
    </w:r>
    <w:r w:rsidR="004A300D">
      <w:rPr>
        <w:rFonts w:ascii="Calibri" w:eastAsia="Calibri" w:hAnsi="Calibri" w:cs="Arial"/>
        <w:noProof/>
        <w:sz w:val="18"/>
        <w:lang w:val="en-GB" w:eastAsia="en-US"/>
      </w:rPr>
      <w:t>13</w:t>
    </w:r>
    <w:r w:rsidRPr="003A0882">
      <w:rPr>
        <w:rFonts w:ascii="Calibri" w:eastAsia="Calibri" w:hAnsi="Calibri" w:cs="Arial"/>
        <w:noProof/>
        <w:sz w:val="18"/>
        <w:lang w:val="en-GB" w:eastAsia="en-US"/>
      </w:rPr>
      <w:t>-</w:t>
    </w:r>
    <w:r>
      <w:rPr>
        <w:rFonts w:ascii="Calibri" w:eastAsia="Calibri" w:hAnsi="Calibri" w:cs="Arial"/>
        <w:noProof/>
        <w:sz w:val="18"/>
        <w:lang w:val="en-GB" w:eastAsia="en-US"/>
      </w:rPr>
      <w:t>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FC4"/>
    <w:rsid w:val="0001362D"/>
    <w:rsid w:val="00062093"/>
    <w:rsid w:val="00063EA4"/>
    <w:rsid w:val="0006468A"/>
    <w:rsid w:val="00090574"/>
    <w:rsid w:val="000C1C0E"/>
    <w:rsid w:val="000C548A"/>
    <w:rsid w:val="000E5F97"/>
    <w:rsid w:val="00113FB2"/>
    <w:rsid w:val="00124577"/>
    <w:rsid w:val="00134B63"/>
    <w:rsid w:val="001C0169"/>
    <w:rsid w:val="001C6887"/>
    <w:rsid w:val="001D1D50"/>
    <w:rsid w:val="001D6745"/>
    <w:rsid w:val="001E346E"/>
    <w:rsid w:val="001E446E"/>
    <w:rsid w:val="002154EE"/>
    <w:rsid w:val="00217749"/>
    <w:rsid w:val="002276D2"/>
    <w:rsid w:val="0023283D"/>
    <w:rsid w:val="0026373E"/>
    <w:rsid w:val="002717D5"/>
    <w:rsid w:val="00271C43"/>
    <w:rsid w:val="00290728"/>
    <w:rsid w:val="002978F4"/>
    <w:rsid w:val="002A4340"/>
    <w:rsid w:val="002A50D2"/>
    <w:rsid w:val="002B028D"/>
    <w:rsid w:val="002E51F5"/>
    <w:rsid w:val="002E6541"/>
    <w:rsid w:val="002F2AFB"/>
    <w:rsid w:val="002F5059"/>
    <w:rsid w:val="0030099B"/>
    <w:rsid w:val="00316E8B"/>
    <w:rsid w:val="00334924"/>
    <w:rsid w:val="003409BC"/>
    <w:rsid w:val="003436D1"/>
    <w:rsid w:val="00357185"/>
    <w:rsid w:val="00383829"/>
    <w:rsid w:val="003A0882"/>
    <w:rsid w:val="003B342B"/>
    <w:rsid w:val="003B60DA"/>
    <w:rsid w:val="003F27C3"/>
    <w:rsid w:val="003F4B29"/>
    <w:rsid w:val="003F5920"/>
    <w:rsid w:val="0042686F"/>
    <w:rsid w:val="004317D8"/>
    <w:rsid w:val="00434183"/>
    <w:rsid w:val="0043552F"/>
    <w:rsid w:val="00443869"/>
    <w:rsid w:val="00447F32"/>
    <w:rsid w:val="00464E65"/>
    <w:rsid w:val="004764B7"/>
    <w:rsid w:val="00487CBE"/>
    <w:rsid w:val="004A300D"/>
    <w:rsid w:val="004D567C"/>
    <w:rsid w:val="004E11DC"/>
    <w:rsid w:val="004E2274"/>
    <w:rsid w:val="004F661E"/>
    <w:rsid w:val="00525DDD"/>
    <w:rsid w:val="005409AC"/>
    <w:rsid w:val="00550C04"/>
    <w:rsid w:val="0055516A"/>
    <w:rsid w:val="00556C94"/>
    <w:rsid w:val="00561E87"/>
    <w:rsid w:val="0058491B"/>
    <w:rsid w:val="00592EA5"/>
    <w:rsid w:val="005A3170"/>
    <w:rsid w:val="005B197A"/>
    <w:rsid w:val="005B3768"/>
    <w:rsid w:val="005F5A04"/>
    <w:rsid w:val="00606AC3"/>
    <w:rsid w:val="0067689F"/>
    <w:rsid w:val="00677396"/>
    <w:rsid w:val="0069200F"/>
    <w:rsid w:val="006A65CB"/>
    <w:rsid w:val="006C3242"/>
    <w:rsid w:val="006C7CC0"/>
    <w:rsid w:val="006F63F7"/>
    <w:rsid w:val="007025C7"/>
    <w:rsid w:val="00706D7A"/>
    <w:rsid w:val="00722F0D"/>
    <w:rsid w:val="00742C5D"/>
    <w:rsid w:val="0074420E"/>
    <w:rsid w:val="007443A1"/>
    <w:rsid w:val="00783E26"/>
    <w:rsid w:val="007C3BC7"/>
    <w:rsid w:val="007C3BCD"/>
    <w:rsid w:val="007D4ACF"/>
    <w:rsid w:val="007E12A9"/>
    <w:rsid w:val="007E4920"/>
    <w:rsid w:val="007F0787"/>
    <w:rsid w:val="007F19F5"/>
    <w:rsid w:val="007F72A3"/>
    <w:rsid w:val="00810B7B"/>
    <w:rsid w:val="0082358A"/>
    <w:rsid w:val="008235CD"/>
    <w:rsid w:val="008247DE"/>
    <w:rsid w:val="008339C0"/>
    <w:rsid w:val="0083518F"/>
    <w:rsid w:val="00840B10"/>
    <w:rsid w:val="008513CB"/>
    <w:rsid w:val="00855474"/>
    <w:rsid w:val="00867DA3"/>
    <w:rsid w:val="008A7F84"/>
    <w:rsid w:val="008B0E3D"/>
    <w:rsid w:val="008C7D7C"/>
    <w:rsid w:val="008D231E"/>
    <w:rsid w:val="008D50E2"/>
    <w:rsid w:val="009004E4"/>
    <w:rsid w:val="0091702E"/>
    <w:rsid w:val="0091796A"/>
    <w:rsid w:val="00923B0C"/>
    <w:rsid w:val="0094021C"/>
    <w:rsid w:val="00946344"/>
    <w:rsid w:val="00952F86"/>
    <w:rsid w:val="009630C8"/>
    <w:rsid w:val="009817BB"/>
    <w:rsid w:val="00982B28"/>
    <w:rsid w:val="009D2F1F"/>
    <w:rsid w:val="009D313F"/>
    <w:rsid w:val="009D4166"/>
    <w:rsid w:val="00A204B9"/>
    <w:rsid w:val="00A3623D"/>
    <w:rsid w:val="00A47A5A"/>
    <w:rsid w:val="00A53775"/>
    <w:rsid w:val="00A6683B"/>
    <w:rsid w:val="00A709BF"/>
    <w:rsid w:val="00A97F94"/>
    <w:rsid w:val="00AA6AD6"/>
    <w:rsid w:val="00AA7EA2"/>
    <w:rsid w:val="00AB0DD6"/>
    <w:rsid w:val="00AB26D9"/>
    <w:rsid w:val="00B03099"/>
    <w:rsid w:val="00B05BC8"/>
    <w:rsid w:val="00B132CF"/>
    <w:rsid w:val="00B46FC4"/>
    <w:rsid w:val="00B6297A"/>
    <w:rsid w:val="00B64B47"/>
    <w:rsid w:val="00B77802"/>
    <w:rsid w:val="00B80DA8"/>
    <w:rsid w:val="00B82F30"/>
    <w:rsid w:val="00BD44EC"/>
    <w:rsid w:val="00BE203D"/>
    <w:rsid w:val="00C002DE"/>
    <w:rsid w:val="00C04757"/>
    <w:rsid w:val="00C04773"/>
    <w:rsid w:val="00C05B61"/>
    <w:rsid w:val="00C32423"/>
    <w:rsid w:val="00C53BF8"/>
    <w:rsid w:val="00C66157"/>
    <w:rsid w:val="00C674FE"/>
    <w:rsid w:val="00C67501"/>
    <w:rsid w:val="00C75633"/>
    <w:rsid w:val="00CB4846"/>
    <w:rsid w:val="00CC00AC"/>
    <w:rsid w:val="00CE2EE1"/>
    <w:rsid w:val="00CE3349"/>
    <w:rsid w:val="00CE36E5"/>
    <w:rsid w:val="00CE568D"/>
    <w:rsid w:val="00CE6EAC"/>
    <w:rsid w:val="00CF0B36"/>
    <w:rsid w:val="00CF27F5"/>
    <w:rsid w:val="00CF3FFD"/>
    <w:rsid w:val="00D10CCF"/>
    <w:rsid w:val="00D3143A"/>
    <w:rsid w:val="00D34899"/>
    <w:rsid w:val="00D70A37"/>
    <w:rsid w:val="00D73F2C"/>
    <w:rsid w:val="00D76991"/>
    <w:rsid w:val="00D77D0F"/>
    <w:rsid w:val="00DA1CF0"/>
    <w:rsid w:val="00DA5C92"/>
    <w:rsid w:val="00DB72C7"/>
    <w:rsid w:val="00DC1E02"/>
    <w:rsid w:val="00DC24B4"/>
    <w:rsid w:val="00DC5FB0"/>
    <w:rsid w:val="00DD679C"/>
    <w:rsid w:val="00DF103F"/>
    <w:rsid w:val="00DF16DC"/>
    <w:rsid w:val="00E33957"/>
    <w:rsid w:val="00E45211"/>
    <w:rsid w:val="00E473C5"/>
    <w:rsid w:val="00E820F9"/>
    <w:rsid w:val="00E82FC4"/>
    <w:rsid w:val="00E86E6E"/>
    <w:rsid w:val="00E92863"/>
    <w:rsid w:val="00EB796D"/>
    <w:rsid w:val="00ED1151"/>
    <w:rsid w:val="00F058DC"/>
    <w:rsid w:val="00F24FC4"/>
    <w:rsid w:val="00F2676C"/>
    <w:rsid w:val="00F84366"/>
    <w:rsid w:val="00F85089"/>
    <w:rsid w:val="00F974C5"/>
    <w:rsid w:val="00FA6F46"/>
    <w:rsid w:val="00FA71E7"/>
    <w:rsid w:val="00FA77FA"/>
    <w:rsid w:val="00FC4592"/>
    <w:rsid w:val="00FC4A9F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D8DAD3"/>
  <w15:chartTrackingRefBased/>
  <w15:docId w15:val="{C5ABB9E8-129B-44B7-B56D-DEB57B518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063EA4"/>
    <w:pPr>
      <w:keepNext/>
      <w:spacing w:before="240"/>
      <w:jc w:val="center"/>
    </w:pPr>
    <w:rPr>
      <w:b/>
      <w:bCs/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8339C0"/>
    <w:pPr>
      <w:keepNext/>
      <w:spacing w:before="240"/>
      <w:ind w:left="1134" w:hanging="1134"/>
    </w:pPr>
    <w:rPr>
      <w:b/>
      <w:bCs/>
      <w:sz w:val="24"/>
      <w:szCs w:val="24"/>
    </w:rPr>
  </w:style>
  <w:style w:type="paragraph" w:styleId="Revision">
    <w:name w:val="Revision"/>
    <w:hidden/>
    <w:uiPriority w:val="99"/>
    <w:semiHidden/>
    <w:rsid w:val="008C7D7C"/>
    <w:pPr>
      <w:spacing w:after="0" w:line="240" w:lineRule="auto"/>
    </w:pPr>
    <w:rPr>
      <w:rFonts w:ascii="Dubai" w:hAnsi="Dubai" w:cs="Duba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428108-4966-4581-8805-B68FC0355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611</Words>
  <Characters>3485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4088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Contribution by Austria, Belgium, Czech Republic, Finland, France, Hungary, Lithuania, Netherlands, Poland, Portugal, Romania, Slovakia, Slovenia, Spain, and Sweden to the third meeting of the CWG-SFP</dc:title>
  <dc:subject>Council Working Group for Strategic and Financial Plans 2024-2027</dc:subject>
  <dc:creator>Aly, Abdalla</dc:creator>
  <cp:keywords>CWG-SFP</cp:keywords>
  <dc:description/>
  <cp:lastModifiedBy>Xue, Kun</cp:lastModifiedBy>
  <cp:revision>2</cp:revision>
  <dcterms:created xsi:type="dcterms:W3CDTF">2022-02-17T15:13:00Z</dcterms:created>
  <dcterms:modified xsi:type="dcterms:W3CDTF">2022-02-17T15:13:00Z</dcterms:modified>
</cp:coreProperties>
</file>