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4C7019" w14:paraId="615D7DD6" w14:textId="77777777">
        <w:trPr>
          <w:cantSplit/>
        </w:trPr>
        <w:tc>
          <w:tcPr>
            <w:tcW w:w="6911" w:type="dxa"/>
          </w:tcPr>
          <w:p w14:paraId="1A9DE82C" w14:textId="5D15BA68" w:rsidR="00700D1F" w:rsidRPr="004C7019" w:rsidRDefault="005133D3" w:rsidP="00D42120">
            <w:pPr>
              <w:spacing w:before="360" w:after="48"/>
              <w:rPr>
                <w:position w:val="6"/>
                <w:lang w:eastAsia="zh-CN"/>
              </w:rPr>
            </w:pPr>
            <w:r w:rsidRPr="005133D3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Pr="005133D3">
              <w:rPr>
                <w:b/>
                <w:sz w:val="28"/>
                <w:szCs w:val="28"/>
                <w:lang w:eastAsia="zh-CN"/>
              </w:rPr>
              <w:t>202</w:t>
            </w:r>
            <w:r w:rsidRPr="005133D3">
              <w:rPr>
                <w:rFonts w:hint="eastAsia"/>
                <w:b/>
                <w:sz w:val="28"/>
                <w:szCs w:val="28"/>
                <w:lang w:eastAsia="zh-CN"/>
              </w:rPr>
              <w:t>4</w:t>
            </w:r>
            <w:r w:rsidRPr="005133D3">
              <w:rPr>
                <w:b/>
                <w:sz w:val="28"/>
                <w:szCs w:val="28"/>
                <w:lang w:eastAsia="zh-CN"/>
              </w:rPr>
              <w:t>-202</w:t>
            </w:r>
            <w:r w:rsidRPr="005133D3">
              <w:rPr>
                <w:rFonts w:hint="eastAsia"/>
                <w:b/>
                <w:sz w:val="28"/>
                <w:szCs w:val="28"/>
                <w:lang w:eastAsia="zh-CN"/>
              </w:rPr>
              <w:t>7</w:t>
            </w:r>
            <w:r w:rsidRPr="005133D3">
              <w:rPr>
                <w:rFonts w:hint="eastAsia"/>
                <w:b/>
                <w:sz w:val="28"/>
                <w:szCs w:val="28"/>
                <w:lang w:eastAsia="zh-CN"/>
              </w:rPr>
              <w:t>年战略规划</w:t>
            </w:r>
            <w:r w:rsidRPr="005133D3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Pr="005133D3">
              <w:rPr>
                <w:b/>
                <w:sz w:val="28"/>
                <w:szCs w:val="28"/>
                <w:lang w:eastAsia="zh-CN"/>
              </w:rPr>
              <w:br/>
            </w:r>
            <w:r w:rsidRPr="005368D6">
              <w:rPr>
                <w:rFonts w:hint="eastAsia"/>
                <w:b/>
                <w:szCs w:val="24"/>
                <w:lang w:eastAsia="zh-CN"/>
              </w:rPr>
              <w:t>第</w:t>
            </w:r>
            <w:r w:rsidR="00D42120" w:rsidRPr="005368D6">
              <w:rPr>
                <w:rFonts w:hint="eastAsia"/>
                <w:b/>
                <w:szCs w:val="24"/>
                <w:lang w:eastAsia="zh-CN"/>
              </w:rPr>
              <w:t>三</w:t>
            </w:r>
            <w:r w:rsidRPr="005368D6">
              <w:rPr>
                <w:b/>
                <w:szCs w:val="24"/>
                <w:lang w:eastAsia="zh-CN"/>
              </w:rPr>
              <w:t>次会议</w:t>
            </w:r>
            <w:r w:rsidRPr="005368D6">
              <w:rPr>
                <w:b/>
                <w:szCs w:val="24"/>
                <w:lang w:eastAsia="zh-CN"/>
              </w:rPr>
              <w:t xml:space="preserve"> –</w:t>
            </w:r>
            <w:r w:rsidRPr="005368D6">
              <w:rPr>
                <w:rFonts w:hint="eastAsia"/>
                <w:b/>
                <w:szCs w:val="24"/>
                <w:lang w:eastAsia="zh-CN"/>
              </w:rPr>
              <w:t xml:space="preserve"> </w:t>
            </w:r>
            <w:r w:rsidR="00D91323" w:rsidRPr="005368D6">
              <w:rPr>
                <w:b/>
                <w:szCs w:val="24"/>
                <w:lang w:eastAsia="zh-CN"/>
              </w:rPr>
              <w:t>20</w:t>
            </w:r>
            <w:r w:rsidR="00D91323" w:rsidRPr="005368D6">
              <w:rPr>
                <w:rFonts w:hint="eastAsia"/>
                <w:b/>
                <w:szCs w:val="24"/>
                <w:lang w:eastAsia="zh-CN"/>
              </w:rPr>
              <w:t>22</w:t>
            </w:r>
            <w:r w:rsidR="00D91323" w:rsidRPr="005368D6">
              <w:rPr>
                <w:b/>
                <w:szCs w:val="24"/>
                <w:lang w:eastAsia="zh-CN"/>
              </w:rPr>
              <w:t>年</w:t>
            </w:r>
            <w:r w:rsidR="00D91323" w:rsidRPr="005368D6">
              <w:rPr>
                <w:b/>
                <w:szCs w:val="24"/>
                <w:lang w:eastAsia="zh-CN"/>
              </w:rPr>
              <w:t>2</w:t>
            </w:r>
            <w:r w:rsidR="00D91323" w:rsidRPr="005368D6">
              <w:rPr>
                <w:b/>
                <w:szCs w:val="24"/>
                <w:lang w:eastAsia="zh-CN"/>
              </w:rPr>
              <w:t>月</w:t>
            </w:r>
            <w:r w:rsidR="00D91323" w:rsidRPr="005368D6">
              <w:rPr>
                <w:rFonts w:hint="eastAsia"/>
                <w:b/>
                <w:szCs w:val="24"/>
                <w:lang w:eastAsia="zh-CN"/>
              </w:rPr>
              <w:t>21-</w:t>
            </w:r>
            <w:r w:rsidR="00D91323" w:rsidRPr="005368D6">
              <w:rPr>
                <w:b/>
                <w:szCs w:val="24"/>
                <w:lang w:eastAsia="zh-CN"/>
              </w:rPr>
              <w:t>22</w:t>
            </w:r>
            <w:r w:rsidR="00D91323" w:rsidRPr="005368D6">
              <w:rPr>
                <w:rFonts w:hint="eastAsia"/>
                <w:b/>
                <w:szCs w:val="24"/>
                <w:lang w:eastAsia="zh-CN"/>
              </w:rPr>
              <w:t>日</w:t>
            </w:r>
          </w:p>
        </w:tc>
        <w:tc>
          <w:tcPr>
            <w:tcW w:w="3120" w:type="dxa"/>
          </w:tcPr>
          <w:p w14:paraId="36E09915" w14:textId="77777777" w:rsidR="00700D1F" w:rsidRPr="004C7019" w:rsidRDefault="009D2585" w:rsidP="009D2585">
            <w:pPr>
              <w:spacing w:before="0"/>
            </w:pPr>
            <w:bookmarkStart w:id="0" w:name="ditulogo"/>
            <w:bookmarkEnd w:id="0"/>
            <w:r w:rsidRPr="004C7019">
              <w:rPr>
                <w:noProof/>
                <w:lang w:val="en-US" w:eastAsia="zh-CN"/>
              </w:rPr>
              <w:drawing>
                <wp:inline distT="0" distB="0" distL="0" distR="0" wp14:anchorId="79267DB9" wp14:editId="54B2105A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4C7019" w14:paraId="73E044B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AB17852" w14:textId="7BAE3581" w:rsidR="00700D1F" w:rsidRPr="004C7019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561CC1C" w14:textId="77777777" w:rsidR="00700D1F" w:rsidRPr="004C7019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4C7019" w14:paraId="4678394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DB8BB3A" w14:textId="77777777" w:rsidR="00700D1F" w:rsidRPr="004C7019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2F39A6E" w14:textId="77777777" w:rsidR="00700D1F" w:rsidRPr="004C7019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3C68C5" w:rsidRPr="004C7019" w14:paraId="78C1034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D39AE3D" w14:textId="77777777" w:rsidR="003C68C5" w:rsidRPr="004C7019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78DE070A" w14:textId="571FB874" w:rsidR="003C68C5" w:rsidRPr="004C7019" w:rsidRDefault="003C68C5" w:rsidP="00DD4128">
            <w:pPr>
              <w:tabs>
                <w:tab w:val="left" w:pos="851"/>
              </w:tabs>
              <w:spacing w:before="0"/>
              <w:rPr>
                <w:b/>
                <w:bCs/>
              </w:rPr>
            </w:pPr>
            <w:proofErr w:type="spellStart"/>
            <w:r w:rsidRPr="004C7019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Pr="004C7019">
              <w:rPr>
                <w:b/>
                <w:bCs/>
                <w:sz w:val="20"/>
              </w:rPr>
              <w:t xml:space="preserve"> </w:t>
            </w:r>
            <w:r w:rsidR="009B0BC1" w:rsidRPr="00A82C73">
              <w:rPr>
                <w:rFonts w:cs="Times New Roman Bold"/>
                <w:b/>
                <w:spacing w:val="-4"/>
              </w:rPr>
              <w:t>CWG-SFP-</w:t>
            </w:r>
            <w:r w:rsidR="00D91323">
              <w:rPr>
                <w:rFonts w:cs="Times New Roman Bold" w:hint="eastAsia"/>
                <w:b/>
                <w:spacing w:val="-4"/>
                <w:lang w:eastAsia="zh-CN"/>
              </w:rPr>
              <w:t>3</w:t>
            </w:r>
            <w:r w:rsidR="009B0BC1" w:rsidRPr="00A82C73">
              <w:rPr>
                <w:rFonts w:cs="Times New Roman Bold"/>
                <w:b/>
                <w:bCs/>
                <w:spacing w:val="-4"/>
              </w:rPr>
              <w:t>/</w:t>
            </w:r>
            <w:r w:rsidR="005368D6">
              <w:rPr>
                <w:rFonts w:cs="Times New Roman Bold"/>
                <w:b/>
                <w:bCs/>
                <w:spacing w:val="-4"/>
                <w:lang w:eastAsia="zh-CN"/>
              </w:rPr>
              <w:t>1</w:t>
            </w:r>
            <w:r w:rsidR="00DD4128">
              <w:rPr>
                <w:rFonts w:cs="Times New Roman Bold"/>
                <w:b/>
                <w:bCs/>
                <w:spacing w:val="-4"/>
                <w:lang w:eastAsia="zh-CN"/>
              </w:rPr>
              <w:t>3</w:t>
            </w:r>
            <w:r w:rsidR="009B0BC1" w:rsidRPr="00A82C73">
              <w:rPr>
                <w:rFonts w:cs="Times New Roman Bold"/>
                <w:b/>
                <w:bCs/>
                <w:spacing w:val="-4"/>
              </w:rPr>
              <w:t>-C</w:t>
            </w:r>
          </w:p>
        </w:tc>
      </w:tr>
      <w:bookmarkEnd w:id="1"/>
      <w:tr w:rsidR="003C68C5" w:rsidRPr="004C7019" w14:paraId="083FB0F5" w14:textId="77777777">
        <w:trPr>
          <w:cantSplit/>
          <w:trHeight w:val="23"/>
        </w:trPr>
        <w:tc>
          <w:tcPr>
            <w:tcW w:w="6911" w:type="dxa"/>
            <w:vMerge/>
          </w:tcPr>
          <w:p w14:paraId="1FA732A1" w14:textId="77777777" w:rsidR="003C68C5" w:rsidRPr="004C7019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C4E05C1" w14:textId="7F6B4053" w:rsidR="003C68C5" w:rsidRPr="004C7019" w:rsidRDefault="009B0BC1" w:rsidP="000916EA">
            <w:pPr>
              <w:tabs>
                <w:tab w:val="left" w:pos="993"/>
              </w:tabs>
              <w:spacing w:before="0"/>
              <w:rPr>
                <w:b/>
                <w:bCs/>
              </w:rPr>
            </w:pPr>
            <w:r w:rsidRPr="004C7019">
              <w:rPr>
                <w:b/>
              </w:rPr>
              <w:t>20</w:t>
            </w:r>
            <w:r w:rsidRPr="004C7019">
              <w:rPr>
                <w:rFonts w:hint="eastAsia"/>
                <w:b/>
                <w:lang w:eastAsia="zh-CN"/>
              </w:rPr>
              <w:t>2</w:t>
            </w:r>
            <w:r w:rsidR="00D91323">
              <w:rPr>
                <w:rFonts w:hint="eastAsia"/>
                <w:b/>
                <w:lang w:eastAsia="zh-CN"/>
              </w:rPr>
              <w:t>2</w:t>
            </w:r>
            <w:r w:rsidR="003C68C5" w:rsidRPr="004C7019">
              <w:rPr>
                <w:rFonts w:hint="eastAsia"/>
                <w:b/>
              </w:rPr>
              <w:t>年</w:t>
            </w:r>
            <w:r w:rsidR="005368D6">
              <w:rPr>
                <w:b/>
                <w:lang w:eastAsia="zh-CN"/>
              </w:rPr>
              <w:t>2</w:t>
            </w:r>
            <w:r w:rsidR="003C68C5" w:rsidRPr="004C7019">
              <w:rPr>
                <w:rFonts w:hint="eastAsia"/>
                <w:b/>
              </w:rPr>
              <w:t>月</w:t>
            </w:r>
            <w:r w:rsidR="005368D6">
              <w:rPr>
                <w:b/>
                <w:lang w:eastAsia="zh-CN"/>
              </w:rPr>
              <w:t>7</w:t>
            </w:r>
            <w:r w:rsidR="003C68C5" w:rsidRPr="004C7019">
              <w:rPr>
                <w:rFonts w:hint="eastAsia"/>
                <w:b/>
              </w:rPr>
              <w:t>日</w:t>
            </w:r>
          </w:p>
        </w:tc>
      </w:tr>
      <w:tr w:rsidR="003C68C5" w:rsidRPr="004C7019" w14:paraId="5D735881" w14:textId="77777777" w:rsidTr="00DB3997">
        <w:trPr>
          <w:cantSplit/>
          <w:trHeight w:val="23"/>
        </w:trPr>
        <w:tc>
          <w:tcPr>
            <w:tcW w:w="6911" w:type="dxa"/>
            <w:vMerge/>
          </w:tcPr>
          <w:p w14:paraId="0E745397" w14:textId="77777777" w:rsidR="003C68C5" w:rsidRPr="004C7019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FB77E41" w14:textId="77777777" w:rsidR="003C68C5" w:rsidRPr="004C7019" w:rsidRDefault="003C68C5" w:rsidP="000916EA">
            <w:pPr>
              <w:tabs>
                <w:tab w:val="left" w:pos="993"/>
              </w:tabs>
              <w:spacing w:before="0"/>
              <w:rPr>
                <w:b/>
                <w:bCs/>
              </w:rPr>
            </w:pPr>
            <w:proofErr w:type="spellStart"/>
            <w:r w:rsidRPr="004C7019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DD4128" w:rsidRPr="004C7019" w14:paraId="5C5022EF" w14:textId="77777777" w:rsidTr="00B76531">
        <w:trPr>
          <w:cantSplit/>
        </w:trPr>
        <w:tc>
          <w:tcPr>
            <w:tcW w:w="10031" w:type="dxa"/>
            <w:gridSpan w:val="2"/>
          </w:tcPr>
          <w:p w14:paraId="6E555FFB" w14:textId="4159855E" w:rsidR="00DD4128" w:rsidRPr="004C7019" w:rsidRDefault="00DD4128" w:rsidP="00DD4128">
            <w:pPr>
              <w:pStyle w:val="Source"/>
              <w:rPr>
                <w:lang w:eastAsia="zh-CN"/>
              </w:rPr>
            </w:pPr>
            <w:r w:rsidRPr="00F13EED">
              <w:rPr>
                <w:rFonts w:hint="eastAsia"/>
                <w:szCs w:val="28"/>
                <w:lang w:eastAsia="zh-CN"/>
              </w:rPr>
              <w:t>奥地利、比利时、捷克共和国、芬兰、法国、匈牙利、立陶宛、荷兰、波兰、葡萄牙、斯洛伐克、斯洛文尼亚、西班牙和瑞典</w:t>
            </w:r>
            <w:r w:rsidRPr="003002F3">
              <w:rPr>
                <w:rFonts w:hint="eastAsia"/>
                <w:lang w:eastAsia="zh-CN"/>
              </w:rPr>
              <w:t>的文稿</w:t>
            </w:r>
          </w:p>
        </w:tc>
      </w:tr>
      <w:tr w:rsidR="00DD4128" w:rsidRPr="004C7019" w14:paraId="41C4F7CC" w14:textId="77777777" w:rsidTr="00B76531">
        <w:trPr>
          <w:cantSplit/>
        </w:trPr>
        <w:tc>
          <w:tcPr>
            <w:tcW w:w="10031" w:type="dxa"/>
            <w:gridSpan w:val="2"/>
          </w:tcPr>
          <w:p w14:paraId="38196859" w14:textId="14746125" w:rsidR="00DD4128" w:rsidRPr="004C7019" w:rsidRDefault="00DD4128" w:rsidP="00DD4128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</w:t>
            </w:r>
            <w:r w:rsidRPr="00F13EED">
              <w:rPr>
                <w:rFonts w:hint="eastAsia"/>
                <w:lang w:eastAsia="zh-CN"/>
              </w:rPr>
              <w:t>理事会战略规划和财务规划工作组（</w:t>
            </w:r>
            <w:r w:rsidRPr="00F13EED">
              <w:rPr>
                <w:rFonts w:hint="eastAsia"/>
                <w:lang w:eastAsia="zh-CN"/>
              </w:rPr>
              <w:t>CWG-SFP</w:t>
            </w:r>
            <w:r w:rsidRPr="00F13EED">
              <w:rPr>
                <w:rFonts w:hint="eastAsia"/>
                <w:lang w:eastAsia="zh-CN"/>
              </w:rPr>
              <w:t>）</w:t>
            </w:r>
            <w:r w:rsidRPr="003002F3">
              <w:rPr>
                <w:lang w:eastAsia="zh-CN"/>
              </w:rPr>
              <w:br/>
            </w:r>
            <w:r w:rsidRPr="00F13EED">
              <w:rPr>
                <w:rFonts w:hint="eastAsia"/>
                <w:lang w:eastAsia="zh-CN"/>
              </w:rPr>
              <w:t>第三次会议</w:t>
            </w:r>
            <w:r>
              <w:rPr>
                <w:rFonts w:hint="eastAsia"/>
                <w:lang w:eastAsia="zh-CN"/>
              </w:rPr>
              <w:t>的共同</w:t>
            </w:r>
            <w:r w:rsidRPr="003002F3">
              <w:rPr>
                <w:rFonts w:hint="eastAsia"/>
                <w:lang w:eastAsia="zh-CN"/>
              </w:rPr>
              <w:t>提案</w:t>
            </w:r>
          </w:p>
        </w:tc>
      </w:tr>
      <w:tr w:rsidR="005368D6" w:rsidRPr="004C7019" w14:paraId="2B123A0D" w14:textId="77777777" w:rsidTr="00B76531">
        <w:trPr>
          <w:cantSplit/>
        </w:trPr>
        <w:tc>
          <w:tcPr>
            <w:tcW w:w="10031" w:type="dxa"/>
            <w:gridSpan w:val="2"/>
          </w:tcPr>
          <w:p w14:paraId="7DEA92E4" w14:textId="77777777" w:rsidR="005368D6" w:rsidRDefault="005368D6" w:rsidP="005368D6">
            <w:pPr>
              <w:pStyle w:val="Title2"/>
              <w:rPr>
                <w:lang w:eastAsia="zh-CN"/>
              </w:rPr>
            </w:pPr>
          </w:p>
        </w:tc>
      </w:tr>
    </w:tbl>
    <w:p w14:paraId="5E02BD09" w14:textId="24B3BB51" w:rsidR="005368D6" w:rsidRPr="004F12A1" w:rsidRDefault="005368D6" w:rsidP="00D602F5">
      <w:pPr>
        <w:pStyle w:val="Headingb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ind w:left="567" w:hanging="567"/>
        <w:textAlignment w:val="baseline"/>
        <w:outlineLvl w:val="0"/>
        <w:rPr>
          <w:lang w:val="es-ES_tradnl" w:eastAsia="zh-CN"/>
        </w:rPr>
      </w:pPr>
      <w:r w:rsidRPr="004F12A1">
        <w:rPr>
          <w:rFonts w:cs="Microsoft YaHei" w:hint="eastAsia"/>
          <w:lang w:val="es-ES_tradnl" w:eastAsia="zh-CN"/>
        </w:rPr>
        <w:t>引言</w:t>
      </w:r>
    </w:p>
    <w:p w14:paraId="4EC9AA4F" w14:textId="77777777" w:rsidR="00DD4128" w:rsidRPr="008F3C1F" w:rsidRDefault="00DD4128" w:rsidP="00E21A4A">
      <w:pPr>
        <w:ind w:firstLineChars="200" w:firstLine="48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总体而言，</w:t>
      </w:r>
      <w:r w:rsidRPr="00C65350">
        <w:rPr>
          <w:rFonts w:hint="eastAsia"/>
          <w:color w:val="000000" w:themeColor="text1"/>
          <w:lang w:eastAsia="zh-CN"/>
        </w:rPr>
        <w:t>我们</w:t>
      </w:r>
      <w:r>
        <w:rPr>
          <w:rFonts w:hint="eastAsia"/>
          <w:color w:val="000000" w:themeColor="text1"/>
          <w:lang w:eastAsia="zh-CN"/>
        </w:rPr>
        <w:t>赞赏</w:t>
      </w:r>
      <w:r w:rsidRPr="00C65350">
        <w:rPr>
          <w:rFonts w:hint="eastAsia"/>
          <w:color w:val="000000" w:themeColor="text1"/>
          <w:lang w:eastAsia="zh-CN"/>
        </w:rPr>
        <w:t>秘书处为</w:t>
      </w:r>
      <w:r>
        <w:rPr>
          <w:rFonts w:hint="eastAsia"/>
          <w:color w:val="000000" w:themeColor="text1"/>
          <w:lang w:eastAsia="zh-CN"/>
        </w:rPr>
        <w:t>将</w:t>
      </w:r>
      <w:r w:rsidRPr="00C65350">
        <w:rPr>
          <w:rFonts w:hint="eastAsia"/>
          <w:color w:val="000000" w:themeColor="text1"/>
          <w:lang w:eastAsia="zh-CN"/>
        </w:rPr>
        <w:t>成员国非正式磋商结果和成员国在理事会工作组第一次会议</w:t>
      </w:r>
      <w:r>
        <w:rPr>
          <w:rFonts w:hint="eastAsia"/>
          <w:color w:val="000000" w:themeColor="text1"/>
          <w:lang w:eastAsia="zh-CN"/>
        </w:rPr>
        <w:t>期间一致同意</w:t>
      </w:r>
      <w:r w:rsidRPr="00C65350">
        <w:rPr>
          <w:rFonts w:hint="eastAsia"/>
          <w:color w:val="000000" w:themeColor="text1"/>
          <w:lang w:eastAsia="zh-CN"/>
        </w:rPr>
        <w:t>的指导原则</w:t>
      </w:r>
      <w:r>
        <w:rPr>
          <w:rFonts w:hint="eastAsia"/>
          <w:color w:val="000000" w:themeColor="text1"/>
          <w:lang w:eastAsia="zh-CN"/>
        </w:rPr>
        <w:t>纳入考虑</w:t>
      </w:r>
      <w:r w:rsidRPr="00C65350">
        <w:rPr>
          <w:rFonts w:hint="eastAsia"/>
          <w:color w:val="000000" w:themeColor="text1"/>
          <w:lang w:eastAsia="zh-CN"/>
        </w:rPr>
        <w:t>所做的努力。我们同意《战略</w:t>
      </w:r>
      <w:r>
        <w:rPr>
          <w:rFonts w:hint="eastAsia"/>
          <w:color w:val="000000" w:themeColor="text1"/>
          <w:lang w:eastAsia="zh-CN"/>
        </w:rPr>
        <w:t>规划</w:t>
      </w:r>
      <w:r w:rsidRPr="00C65350">
        <w:rPr>
          <w:rFonts w:hint="eastAsia"/>
          <w:color w:val="000000" w:themeColor="text1"/>
          <w:lang w:eastAsia="zh-CN"/>
        </w:rPr>
        <w:t>》</w:t>
      </w:r>
      <w:r>
        <w:rPr>
          <w:rFonts w:hint="eastAsia"/>
          <w:color w:val="000000" w:themeColor="text1"/>
          <w:lang w:eastAsia="zh-CN"/>
        </w:rPr>
        <w:t>需要简洁明了</w:t>
      </w:r>
      <w:r w:rsidRPr="00C65350">
        <w:rPr>
          <w:rFonts w:hint="eastAsia"/>
          <w:color w:val="000000" w:themeColor="text1"/>
          <w:lang w:eastAsia="zh-CN"/>
        </w:rPr>
        <w:t>，</w:t>
      </w:r>
      <w:r>
        <w:rPr>
          <w:rFonts w:hint="eastAsia"/>
          <w:color w:val="000000" w:themeColor="text1"/>
          <w:lang w:eastAsia="zh-CN"/>
        </w:rPr>
        <w:t>以便</w:t>
      </w:r>
      <w:r w:rsidRPr="00C65350">
        <w:rPr>
          <w:rFonts w:hint="eastAsia"/>
          <w:color w:val="000000" w:themeColor="text1"/>
          <w:lang w:eastAsia="zh-CN"/>
        </w:rPr>
        <w:t>更好地反映本组织的战略重点。我们还认为</w:t>
      </w:r>
      <w:r>
        <w:rPr>
          <w:rFonts w:hint="eastAsia"/>
          <w:color w:val="000000" w:themeColor="text1"/>
          <w:lang w:eastAsia="zh-CN"/>
        </w:rPr>
        <w:t>需要更突出重点</w:t>
      </w:r>
      <w:r w:rsidRPr="00C65350">
        <w:rPr>
          <w:rFonts w:hint="eastAsia"/>
          <w:color w:val="000000" w:themeColor="text1"/>
          <w:lang w:eastAsia="zh-CN"/>
        </w:rPr>
        <w:t>，</w:t>
      </w:r>
      <w:r>
        <w:rPr>
          <w:rFonts w:hint="eastAsia"/>
          <w:color w:val="000000" w:themeColor="text1"/>
          <w:lang w:eastAsia="zh-CN"/>
        </w:rPr>
        <w:t>使</w:t>
      </w:r>
      <w:r w:rsidRPr="00C65350">
        <w:rPr>
          <w:rFonts w:hint="eastAsia"/>
          <w:color w:val="000000" w:themeColor="text1"/>
          <w:lang w:eastAsia="zh-CN"/>
        </w:rPr>
        <w:t>《战略</w:t>
      </w:r>
      <w:r>
        <w:rPr>
          <w:rFonts w:hint="eastAsia"/>
          <w:color w:val="000000" w:themeColor="text1"/>
          <w:lang w:eastAsia="zh-CN"/>
        </w:rPr>
        <w:t>规划</w:t>
      </w:r>
      <w:r w:rsidRPr="00C65350">
        <w:rPr>
          <w:rFonts w:hint="eastAsia"/>
          <w:color w:val="000000" w:themeColor="text1"/>
          <w:lang w:eastAsia="zh-CN"/>
        </w:rPr>
        <w:t>》保持高水平，并</w:t>
      </w:r>
      <w:r>
        <w:rPr>
          <w:rFonts w:hint="eastAsia"/>
          <w:color w:val="000000" w:themeColor="text1"/>
          <w:lang w:eastAsia="zh-CN"/>
        </w:rPr>
        <w:t>且</w:t>
      </w:r>
      <w:r w:rsidRPr="00C65350">
        <w:rPr>
          <w:rFonts w:hint="eastAsia"/>
          <w:color w:val="000000" w:themeColor="text1"/>
          <w:lang w:eastAsia="zh-CN"/>
        </w:rPr>
        <w:t>更好地</w:t>
      </w:r>
      <w:proofErr w:type="gramStart"/>
      <w:r>
        <w:rPr>
          <w:rFonts w:hint="eastAsia"/>
          <w:color w:val="000000" w:themeColor="text1"/>
          <w:lang w:eastAsia="zh-CN"/>
        </w:rPr>
        <w:t>以总体</w:t>
      </w:r>
      <w:proofErr w:type="gramEnd"/>
      <w:r w:rsidRPr="00C65350">
        <w:rPr>
          <w:rFonts w:hint="eastAsia"/>
          <w:color w:val="000000" w:themeColor="text1"/>
          <w:lang w:eastAsia="zh-CN"/>
        </w:rPr>
        <w:t>战略目标和</w:t>
      </w:r>
      <w:r>
        <w:rPr>
          <w:rFonts w:hint="eastAsia"/>
          <w:color w:val="000000" w:themeColor="text1"/>
          <w:lang w:eastAsia="zh-CN"/>
        </w:rPr>
        <w:t>重点为中心</w:t>
      </w:r>
      <w:r w:rsidRPr="00C65350">
        <w:rPr>
          <w:rFonts w:hint="eastAsia"/>
          <w:color w:val="000000" w:themeColor="text1"/>
          <w:lang w:eastAsia="zh-CN"/>
        </w:rPr>
        <w:t>。</w:t>
      </w:r>
    </w:p>
    <w:p w14:paraId="29978978" w14:textId="77777777" w:rsidR="00DD4128" w:rsidRPr="008F3C1F" w:rsidRDefault="00DD4128" w:rsidP="00E21A4A">
      <w:pPr>
        <w:ind w:firstLineChars="200" w:firstLine="48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在我们看来，《战略规划》的</w:t>
      </w:r>
      <w:r w:rsidRPr="00757905">
        <w:rPr>
          <w:rFonts w:hint="eastAsia"/>
          <w:color w:val="000000" w:themeColor="text1"/>
          <w:lang w:eastAsia="zh-CN"/>
        </w:rPr>
        <w:t>新结构</w:t>
      </w:r>
      <w:r>
        <w:rPr>
          <w:rFonts w:hint="eastAsia"/>
          <w:color w:val="000000" w:themeColor="text1"/>
          <w:lang w:eastAsia="zh-CN"/>
        </w:rPr>
        <w:t>更为清晰</w:t>
      </w:r>
      <w:r w:rsidRPr="00757905">
        <w:rPr>
          <w:rFonts w:hint="eastAsia"/>
          <w:color w:val="000000" w:themeColor="text1"/>
          <w:lang w:eastAsia="zh-CN"/>
        </w:rPr>
        <w:t>。</w:t>
      </w:r>
      <w:r>
        <w:rPr>
          <w:rFonts w:hint="eastAsia"/>
          <w:color w:val="000000" w:themeColor="text1"/>
          <w:lang w:eastAsia="zh-CN"/>
        </w:rPr>
        <w:t>经整合的总体</w:t>
      </w:r>
      <w:r w:rsidRPr="00757905">
        <w:rPr>
          <w:rFonts w:hint="eastAsia"/>
          <w:color w:val="000000" w:themeColor="text1"/>
          <w:lang w:eastAsia="zh-CN"/>
        </w:rPr>
        <w:t>战略目标</w:t>
      </w:r>
      <w:r>
        <w:rPr>
          <w:rFonts w:hint="eastAsia"/>
          <w:color w:val="000000" w:themeColor="text1"/>
          <w:lang w:eastAsia="zh-CN"/>
        </w:rPr>
        <w:t>看起来</w:t>
      </w:r>
      <w:r w:rsidRPr="00757905">
        <w:rPr>
          <w:rFonts w:hint="eastAsia"/>
          <w:color w:val="000000" w:themeColor="text1"/>
          <w:lang w:eastAsia="zh-CN"/>
        </w:rPr>
        <w:t>与国际电联</w:t>
      </w:r>
      <w:proofErr w:type="gramStart"/>
      <w:r w:rsidRPr="00757905">
        <w:rPr>
          <w:rFonts w:hint="eastAsia"/>
          <w:color w:val="000000" w:themeColor="text1"/>
          <w:lang w:eastAsia="zh-CN"/>
        </w:rPr>
        <w:t>的愿景和</w:t>
      </w:r>
      <w:proofErr w:type="gramEnd"/>
      <w:r w:rsidRPr="00757905">
        <w:rPr>
          <w:rFonts w:hint="eastAsia"/>
          <w:color w:val="000000" w:themeColor="text1"/>
          <w:lang w:eastAsia="zh-CN"/>
        </w:rPr>
        <w:t>使命一致，</w:t>
      </w:r>
      <w:r>
        <w:rPr>
          <w:rFonts w:hint="eastAsia"/>
          <w:color w:val="000000" w:themeColor="text1"/>
          <w:lang w:eastAsia="zh-CN"/>
        </w:rPr>
        <w:t>总体</w:t>
      </w:r>
      <w:r w:rsidRPr="00757905">
        <w:rPr>
          <w:rFonts w:hint="eastAsia"/>
          <w:color w:val="000000" w:themeColor="text1"/>
          <w:lang w:eastAsia="zh-CN"/>
        </w:rPr>
        <w:t>目标、</w:t>
      </w:r>
      <w:r>
        <w:rPr>
          <w:rFonts w:hint="eastAsia"/>
          <w:color w:val="000000" w:themeColor="text1"/>
          <w:lang w:eastAsia="zh-CN"/>
        </w:rPr>
        <w:t>具体目标</w:t>
      </w:r>
      <w:r w:rsidRPr="00757905">
        <w:rPr>
          <w:rFonts w:hint="eastAsia"/>
          <w:color w:val="000000" w:themeColor="text1"/>
          <w:lang w:eastAsia="zh-CN"/>
        </w:rPr>
        <w:t>和贯穿整个组织的组织推动因素之间的区别</w:t>
      </w:r>
      <w:r>
        <w:rPr>
          <w:rFonts w:hint="eastAsia"/>
          <w:color w:val="000000" w:themeColor="text1"/>
          <w:lang w:eastAsia="zh-CN"/>
        </w:rPr>
        <w:t>亦甚为妥帖</w:t>
      </w:r>
      <w:r w:rsidRPr="00757905">
        <w:rPr>
          <w:rFonts w:hint="eastAsia"/>
          <w:color w:val="000000" w:themeColor="text1"/>
          <w:lang w:eastAsia="zh-CN"/>
        </w:rPr>
        <w:t>。</w:t>
      </w:r>
      <w:r>
        <w:rPr>
          <w:rFonts w:hint="eastAsia"/>
          <w:color w:val="000000" w:themeColor="text1"/>
          <w:lang w:eastAsia="zh-CN"/>
        </w:rPr>
        <w:t>主题重点使</w:t>
      </w:r>
      <w:r w:rsidRPr="00757905">
        <w:rPr>
          <w:rFonts w:hint="eastAsia"/>
          <w:color w:val="000000" w:themeColor="text1"/>
          <w:lang w:eastAsia="zh-CN"/>
        </w:rPr>
        <w:t>国际电</w:t>
      </w:r>
      <w:proofErr w:type="gramStart"/>
      <w:r w:rsidRPr="00757905">
        <w:rPr>
          <w:rFonts w:hint="eastAsia"/>
          <w:color w:val="000000" w:themeColor="text1"/>
          <w:lang w:eastAsia="zh-CN"/>
        </w:rPr>
        <w:t>联所有</w:t>
      </w:r>
      <w:proofErr w:type="gramEnd"/>
      <w:r w:rsidRPr="00757905">
        <w:rPr>
          <w:rFonts w:hint="eastAsia"/>
          <w:color w:val="000000" w:themeColor="text1"/>
          <w:lang w:eastAsia="zh-CN"/>
        </w:rPr>
        <w:t>三个部门</w:t>
      </w:r>
      <w:r>
        <w:rPr>
          <w:rFonts w:hint="eastAsia"/>
          <w:color w:val="000000" w:themeColor="text1"/>
          <w:lang w:eastAsia="zh-CN"/>
        </w:rPr>
        <w:t>的</w:t>
      </w:r>
      <w:r w:rsidRPr="00757905">
        <w:rPr>
          <w:rFonts w:hint="eastAsia"/>
          <w:color w:val="000000" w:themeColor="text1"/>
          <w:lang w:eastAsia="zh-CN"/>
        </w:rPr>
        <w:t>活动</w:t>
      </w:r>
      <w:r>
        <w:rPr>
          <w:rFonts w:hint="eastAsia"/>
          <w:color w:val="000000" w:themeColor="text1"/>
          <w:lang w:eastAsia="zh-CN"/>
        </w:rPr>
        <w:t>条理更清楚连贯</w:t>
      </w:r>
      <w:r w:rsidRPr="00757905">
        <w:rPr>
          <w:rFonts w:hint="eastAsia"/>
          <w:color w:val="000000" w:themeColor="text1"/>
          <w:lang w:eastAsia="zh-CN"/>
        </w:rPr>
        <w:t>，</w:t>
      </w:r>
      <w:r>
        <w:rPr>
          <w:rFonts w:hint="eastAsia"/>
          <w:color w:val="000000" w:themeColor="text1"/>
          <w:lang w:eastAsia="zh-CN"/>
        </w:rPr>
        <w:t>将</w:t>
      </w:r>
      <w:r w:rsidRPr="00757905">
        <w:rPr>
          <w:rFonts w:hint="eastAsia"/>
          <w:color w:val="000000" w:themeColor="text1"/>
          <w:lang w:eastAsia="zh-CN"/>
        </w:rPr>
        <w:t>协同作用</w:t>
      </w:r>
      <w:r>
        <w:rPr>
          <w:rFonts w:hint="eastAsia"/>
          <w:color w:val="000000" w:themeColor="text1"/>
          <w:lang w:eastAsia="zh-CN"/>
        </w:rPr>
        <w:t>最大化</w:t>
      </w:r>
      <w:r w:rsidRPr="00757905">
        <w:rPr>
          <w:rFonts w:hint="eastAsia"/>
          <w:color w:val="000000" w:themeColor="text1"/>
          <w:lang w:eastAsia="zh-CN"/>
        </w:rPr>
        <w:t>并</w:t>
      </w:r>
      <w:r>
        <w:rPr>
          <w:rFonts w:hint="eastAsia"/>
          <w:color w:val="000000" w:themeColor="text1"/>
          <w:lang w:eastAsia="zh-CN"/>
        </w:rPr>
        <w:t>加强“</w:t>
      </w:r>
      <w:r w:rsidRPr="009C08A4">
        <w:rPr>
          <w:rFonts w:hint="eastAsia"/>
          <w:color w:val="000000" w:themeColor="text1"/>
          <w:lang w:eastAsia="zh-CN"/>
        </w:rPr>
        <w:t>国际电联是一家</w:t>
      </w:r>
      <w:r>
        <w:rPr>
          <w:rFonts w:hint="eastAsia"/>
          <w:color w:val="000000" w:themeColor="text1"/>
          <w:lang w:eastAsia="zh-CN"/>
        </w:rPr>
        <w:t>”</w:t>
      </w:r>
      <w:r w:rsidRPr="00757905">
        <w:rPr>
          <w:rFonts w:hint="eastAsia"/>
          <w:color w:val="000000" w:themeColor="text1"/>
          <w:lang w:eastAsia="zh-CN"/>
        </w:rPr>
        <w:t>的概念。整个国际电</w:t>
      </w:r>
      <w:proofErr w:type="gramStart"/>
      <w:r w:rsidRPr="00757905">
        <w:rPr>
          <w:rFonts w:hint="eastAsia"/>
          <w:color w:val="000000" w:themeColor="text1"/>
          <w:lang w:eastAsia="zh-CN"/>
        </w:rPr>
        <w:t>联</w:t>
      </w:r>
      <w:r>
        <w:rPr>
          <w:rFonts w:hint="eastAsia"/>
          <w:color w:val="000000" w:themeColor="text1"/>
          <w:lang w:eastAsia="zh-CN"/>
        </w:rPr>
        <w:t>范围</w:t>
      </w:r>
      <w:proofErr w:type="gramEnd"/>
      <w:r>
        <w:rPr>
          <w:rFonts w:hint="eastAsia"/>
          <w:color w:val="000000" w:themeColor="text1"/>
          <w:lang w:eastAsia="zh-CN"/>
        </w:rPr>
        <w:t>内</w:t>
      </w:r>
      <w:r w:rsidRPr="00757905">
        <w:rPr>
          <w:rFonts w:hint="eastAsia"/>
          <w:color w:val="000000" w:themeColor="text1"/>
          <w:lang w:eastAsia="zh-CN"/>
        </w:rPr>
        <w:t>产品和服务的综合介绍</w:t>
      </w:r>
      <w:r>
        <w:rPr>
          <w:rFonts w:hint="eastAsia"/>
          <w:color w:val="000000" w:themeColor="text1"/>
          <w:lang w:eastAsia="zh-CN"/>
        </w:rPr>
        <w:t>提供了对</w:t>
      </w:r>
      <w:r w:rsidRPr="00757905">
        <w:rPr>
          <w:rFonts w:hint="eastAsia"/>
          <w:color w:val="000000" w:themeColor="text1"/>
          <w:lang w:eastAsia="zh-CN"/>
        </w:rPr>
        <w:t>国际电</w:t>
      </w:r>
      <w:proofErr w:type="gramStart"/>
      <w:r w:rsidRPr="00757905">
        <w:rPr>
          <w:rFonts w:hint="eastAsia"/>
          <w:color w:val="000000" w:themeColor="text1"/>
          <w:lang w:eastAsia="zh-CN"/>
        </w:rPr>
        <w:t>联所有</w:t>
      </w:r>
      <w:proofErr w:type="gramEnd"/>
      <w:r w:rsidRPr="00757905">
        <w:rPr>
          <w:rFonts w:hint="eastAsia"/>
          <w:color w:val="000000" w:themeColor="text1"/>
          <w:lang w:eastAsia="zh-CN"/>
        </w:rPr>
        <w:t>三个部门活动</w:t>
      </w:r>
      <w:r>
        <w:rPr>
          <w:rFonts w:hint="eastAsia"/>
          <w:color w:val="000000" w:themeColor="text1"/>
          <w:lang w:eastAsia="zh-CN"/>
        </w:rPr>
        <w:t>更清楚的认识</w:t>
      </w:r>
      <w:r w:rsidRPr="00757905">
        <w:rPr>
          <w:rFonts w:hint="eastAsia"/>
          <w:color w:val="000000" w:themeColor="text1"/>
          <w:lang w:eastAsia="zh-CN"/>
        </w:rPr>
        <w:t>。</w:t>
      </w:r>
    </w:p>
    <w:p w14:paraId="3581823B" w14:textId="77777777" w:rsidR="00DD4128" w:rsidRPr="008F3C1F" w:rsidRDefault="00DD4128" w:rsidP="00E21A4A">
      <w:pPr>
        <w:ind w:firstLineChars="200" w:firstLine="48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我们</w:t>
      </w:r>
      <w:r w:rsidRPr="00127E4B">
        <w:rPr>
          <w:rFonts w:hint="eastAsia"/>
          <w:color w:val="000000" w:themeColor="text1"/>
          <w:lang w:eastAsia="zh-CN"/>
        </w:rPr>
        <w:t>想强调，在制定</w:t>
      </w:r>
      <w:r>
        <w:rPr>
          <w:rFonts w:hint="eastAsia"/>
          <w:color w:val="000000" w:themeColor="text1"/>
          <w:lang w:eastAsia="zh-CN"/>
        </w:rPr>
        <w:t>这份《</w:t>
      </w:r>
      <w:r w:rsidRPr="00127E4B">
        <w:rPr>
          <w:rFonts w:hint="eastAsia"/>
          <w:color w:val="000000" w:themeColor="text1"/>
          <w:lang w:eastAsia="zh-CN"/>
        </w:rPr>
        <w:t>战略</w:t>
      </w:r>
      <w:r>
        <w:rPr>
          <w:rFonts w:hint="eastAsia"/>
          <w:color w:val="000000" w:themeColor="text1"/>
          <w:lang w:eastAsia="zh-CN"/>
        </w:rPr>
        <w:t>规划》</w:t>
      </w:r>
      <w:r w:rsidRPr="00127E4B">
        <w:rPr>
          <w:rFonts w:hint="eastAsia"/>
          <w:color w:val="000000" w:themeColor="text1"/>
          <w:lang w:eastAsia="zh-CN"/>
        </w:rPr>
        <w:t>时</w:t>
      </w:r>
      <w:r>
        <w:rPr>
          <w:rFonts w:hint="eastAsia"/>
          <w:color w:val="000000" w:themeColor="text1"/>
          <w:lang w:eastAsia="zh-CN"/>
        </w:rPr>
        <w:t>顾及</w:t>
      </w:r>
      <w:r w:rsidRPr="00127E4B">
        <w:rPr>
          <w:rFonts w:hint="eastAsia"/>
          <w:color w:val="000000" w:themeColor="text1"/>
          <w:lang w:eastAsia="zh-CN"/>
        </w:rPr>
        <w:t>国际电联</w:t>
      </w:r>
      <w:r>
        <w:rPr>
          <w:rFonts w:hint="eastAsia"/>
          <w:color w:val="000000" w:themeColor="text1"/>
          <w:lang w:eastAsia="zh-CN"/>
        </w:rPr>
        <w:t>财务</w:t>
      </w:r>
      <w:r w:rsidRPr="00127E4B">
        <w:rPr>
          <w:rFonts w:hint="eastAsia"/>
          <w:color w:val="000000" w:themeColor="text1"/>
          <w:lang w:eastAsia="zh-CN"/>
        </w:rPr>
        <w:t>限制</w:t>
      </w:r>
      <w:r>
        <w:rPr>
          <w:rFonts w:hint="eastAsia"/>
          <w:color w:val="000000" w:themeColor="text1"/>
          <w:lang w:eastAsia="zh-CN"/>
        </w:rPr>
        <w:t>的重要性</w:t>
      </w:r>
      <w:r w:rsidRPr="00127E4B">
        <w:rPr>
          <w:rFonts w:hint="eastAsia"/>
          <w:color w:val="000000" w:themeColor="text1"/>
          <w:lang w:eastAsia="zh-CN"/>
        </w:rPr>
        <w:t>。</w:t>
      </w:r>
      <w:r>
        <w:rPr>
          <w:rFonts w:hint="eastAsia"/>
          <w:color w:val="000000" w:themeColor="text1"/>
          <w:lang w:eastAsia="zh-CN"/>
        </w:rPr>
        <w:t>鉴于</w:t>
      </w:r>
      <w:r w:rsidRPr="00127E4B">
        <w:rPr>
          <w:rFonts w:hint="eastAsia"/>
          <w:color w:val="000000" w:themeColor="text1"/>
          <w:lang w:eastAsia="zh-CN"/>
        </w:rPr>
        <w:t>资源</w:t>
      </w:r>
      <w:r>
        <w:rPr>
          <w:rFonts w:hint="eastAsia"/>
          <w:color w:val="000000" w:themeColor="text1"/>
          <w:lang w:eastAsia="zh-CN"/>
        </w:rPr>
        <w:t>宝贵</w:t>
      </w:r>
      <w:r w:rsidRPr="00127E4B">
        <w:rPr>
          <w:rFonts w:hint="eastAsia"/>
          <w:color w:val="000000" w:themeColor="text1"/>
          <w:lang w:eastAsia="zh-CN"/>
        </w:rPr>
        <w:t>，国际</w:t>
      </w:r>
      <w:proofErr w:type="gramStart"/>
      <w:r w:rsidRPr="00127E4B">
        <w:rPr>
          <w:rFonts w:hint="eastAsia"/>
          <w:color w:val="000000" w:themeColor="text1"/>
          <w:lang w:eastAsia="zh-CN"/>
        </w:rPr>
        <w:t>电联比以往</w:t>
      </w:r>
      <w:proofErr w:type="gramEnd"/>
      <w:r w:rsidRPr="00127E4B">
        <w:rPr>
          <w:rFonts w:hint="eastAsia"/>
          <w:color w:val="000000" w:themeColor="text1"/>
          <w:lang w:eastAsia="zh-CN"/>
        </w:rPr>
        <w:t>任何时候都更需要</w:t>
      </w:r>
      <w:r>
        <w:rPr>
          <w:rFonts w:hint="eastAsia"/>
          <w:color w:val="000000" w:themeColor="text1"/>
          <w:lang w:eastAsia="zh-CN"/>
        </w:rPr>
        <w:t>聚焦其</w:t>
      </w:r>
      <w:r w:rsidRPr="00127E4B">
        <w:rPr>
          <w:rFonts w:hint="eastAsia"/>
          <w:color w:val="000000" w:themeColor="text1"/>
          <w:lang w:eastAsia="zh-CN"/>
        </w:rPr>
        <w:t>核心</w:t>
      </w:r>
      <w:r>
        <w:rPr>
          <w:rFonts w:hint="eastAsia"/>
          <w:color w:val="000000" w:themeColor="text1"/>
          <w:lang w:eastAsia="zh-CN"/>
        </w:rPr>
        <w:t>任务授权</w:t>
      </w:r>
      <w:r w:rsidRPr="00127E4B">
        <w:rPr>
          <w:rFonts w:hint="eastAsia"/>
          <w:color w:val="000000" w:themeColor="text1"/>
          <w:lang w:eastAsia="zh-CN"/>
        </w:rPr>
        <w:t>，并据此</w:t>
      </w:r>
      <w:r>
        <w:rPr>
          <w:rFonts w:hint="eastAsia"/>
          <w:color w:val="000000" w:themeColor="text1"/>
          <w:lang w:eastAsia="zh-CN"/>
        </w:rPr>
        <w:t>确定</w:t>
      </w:r>
      <w:r w:rsidRPr="00127E4B">
        <w:rPr>
          <w:rFonts w:hint="eastAsia"/>
          <w:color w:val="000000" w:themeColor="text1"/>
          <w:lang w:eastAsia="zh-CN"/>
        </w:rPr>
        <w:t>活动的优先次序，以</w:t>
      </w:r>
      <w:r>
        <w:rPr>
          <w:rFonts w:hint="eastAsia"/>
          <w:color w:val="000000" w:themeColor="text1"/>
          <w:lang w:eastAsia="zh-CN"/>
        </w:rPr>
        <w:t>取得成效</w:t>
      </w:r>
      <w:r w:rsidRPr="00127E4B">
        <w:rPr>
          <w:rFonts w:hint="eastAsia"/>
          <w:color w:val="000000" w:themeColor="text1"/>
          <w:lang w:eastAsia="zh-CN"/>
        </w:rPr>
        <w:t>。</w:t>
      </w:r>
    </w:p>
    <w:p w14:paraId="4DD27B9C" w14:textId="77777777" w:rsidR="00DD4128" w:rsidRPr="00DD4128" w:rsidRDefault="00DD4128" w:rsidP="004F12A1">
      <w:pPr>
        <w:pStyle w:val="Headingb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ind w:left="567" w:hanging="567"/>
        <w:textAlignment w:val="baseline"/>
        <w:outlineLvl w:val="0"/>
        <w:rPr>
          <w:rFonts w:cs="Microsoft YaHei"/>
          <w:lang w:val="es-ES_tradnl" w:eastAsia="zh-CN"/>
        </w:rPr>
      </w:pPr>
      <w:r w:rsidRPr="00DD4128">
        <w:rPr>
          <w:rFonts w:cs="Microsoft YaHei" w:hint="eastAsia"/>
          <w:lang w:val="es-ES_tradnl" w:eastAsia="zh-CN"/>
        </w:rPr>
        <w:t>有关提案的看法</w:t>
      </w:r>
    </w:p>
    <w:p w14:paraId="1EDCE3BE" w14:textId="77777777" w:rsidR="00DD4128" w:rsidRPr="00DD4128" w:rsidRDefault="00DD4128" w:rsidP="004F12A1">
      <w:pPr>
        <w:pStyle w:val="Headingb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ind w:left="567" w:hanging="567"/>
        <w:textAlignment w:val="baseline"/>
        <w:outlineLvl w:val="0"/>
        <w:rPr>
          <w:rFonts w:cs="Microsoft YaHei"/>
          <w:lang w:val="es-ES_tradnl" w:eastAsia="zh-CN"/>
        </w:rPr>
      </w:pPr>
      <w:r w:rsidRPr="00DD4128">
        <w:rPr>
          <w:rFonts w:cs="Microsoft YaHei" w:hint="eastAsia"/>
          <w:lang w:val="es-ES_tradnl" w:eastAsia="zh-CN"/>
        </w:rPr>
        <w:t>第</w:t>
      </w:r>
      <w:r w:rsidRPr="00DD4128">
        <w:rPr>
          <w:rFonts w:cs="Microsoft YaHei" w:hint="eastAsia"/>
          <w:lang w:val="es-ES_tradnl" w:eastAsia="zh-CN"/>
        </w:rPr>
        <w:t>2</w:t>
      </w:r>
      <w:r w:rsidRPr="00DD4128">
        <w:rPr>
          <w:rFonts w:cs="Microsoft YaHei"/>
          <w:lang w:val="es-ES_tradnl" w:eastAsia="zh-CN"/>
        </w:rPr>
        <w:t>.2</w:t>
      </w:r>
      <w:r w:rsidRPr="00DD4128">
        <w:rPr>
          <w:rFonts w:cs="Microsoft YaHei" w:hint="eastAsia"/>
          <w:lang w:val="es-ES_tradnl" w:eastAsia="zh-CN"/>
        </w:rPr>
        <w:t>节：愿景</w:t>
      </w:r>
    </w:p>
    <w:p w14:paraId="1B19C239" w14:textId="77777777" w:rsidR="00DD4128" w:rsidRPr="00DD4128" w:rsidRDefault="00DD4128" w:rsidP="00E21A4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Theme="minorEastAsia" w:cs="Calibri"/>
          <w:color w:val="000000" w:themeColor="text1"/>
          <w:shd w:val="clear" w:color="auto" w:fill="FFFFFF"/>
          <w:lang w:eastAsia="zh-CN"/>
        </w:rPr>
      </w:pPr>
      <w:r w:rsidRPr="00DD4128">
        <w:rPr>
          <w:rFonts w:eastAsiaTheme="minorEastAsia" w:cs="Calibri" w:hint="eastAsia"/>
          <w:color w:val="000000" w:themeColor="text1"/>
          <w:shd w:val="clear" w:color="auto" w:fill="FFFFFF"/>
          <w:lang w:eastAsia="zh-CN"/>
        </w:rPr>
        <w:t>我们支持方案</w:t>
      </w:r>
      <w:r w:rsidRPr="00DD4128">
        <w:rPr>
          <w:rFonts w:eastAsiaTheme="minorEastAsia" w:cs="Calibri" w:hint="eastAsia"/>
          <w:color w:val="000000" w:themeColor="text1"/>
          <w:shd w:val="clear" w:color="auto" w:fill="FFFFFF"/>
          <w:lang w:eastAsia="zh-CN"/>
        </w:rPr>
        <w:t>1</w:t>
      </w:r>
      <w:r w:rsidRPr="00DD4128">
        <w:rPr>
          <w:rFonts w:eastAsiaTheme="minorEastAsia" w:cs="Calibri" w:hint="eastAsia"/>
          <w:color w:val="000000" w:themeColor="text1"/>
          <w:shd w:val="clear" w:color="auto" w:fill="FFFFFF"/>
          <w:lang w:eastAsia="zh-CN"/>
        </w:rPr>
        <w:t>，维持当前版本的国际电联愿景。现有表述似乎更确切，没有需要探讨的新概念（如“人类进步”），并且契合</w:t>
      </w:r>
      <w:r w:rsidRPr="00DD4128">
        <w:rPr>
          <w:rFonts w:eastAsiaTheme="minorEastAsia" w:cs="Calibri" w:hint="eastAsia"/>
          <w:color w:val="000000" w:themeColor="text1"/>
          <w:shd w:val="clear" w:color="auto" w:fill="FFFFFF"/>
          <w:lang w:eastAsia="zh-CN"/>
        </w:rPr>
        <w:t>2024-2027</w:t>
      </w:r>
      <w:r w:rsidRPr="00DD4128">
        <w:rPr>
          <w:rFonts w:eastAsiaTheme="minorEastAsia" w:cs="Calibri" w:hint="eastAsia"/>
          <w:color w:val="000000" w:themeColor="text1"/>
          <w:shd w:val="clear" w:color="auto" w:fill="FFFFFF"/>
          <w:lang w:eastAsia="zh-CN"/>
        </w:rPr>
        <w:t>年时间段。</w:t>
      </w:r>
    </w:p>
    <w:p w14:paraId="463CC226" w14:textId="77777777" w:rsidR="00DD4128" w:rsidRPr="00DD4128" w:rsidRDefault="00DD4128" w:rsidP="004F12A1">
      <w:pPr>
        <w:pStyle w:val="Headingb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ind w:left="567" w:hanging="567"/>
        <w:textAlignment w:val="baseline"/>
        <w:outlineLvl w:val="0"/>
        <w:rPr>
          <w:rFonts w:cs="Microsoft YaHei"/>
          <w:lang w:val="es-ES_tradnl" w:eastAsia="zh-CN"/>
        </w:rPr>
      </w:pPr>
      <w:r w:rsidRPr="00DD4128">
        <w:rPr>
          <w:rFonts w:cs="Microsoft YaHei" w:hint="eastAsia"/>
          <w:lang w:val="es-ES_tradnl" w:eastAsia="zh-CN"/>
        </w:rPr>
        <w:t>第</w:t>
      </w:r>
      <w:r w:rsidRPr="00DD4128">
        <w:rPr>
          <w:rFonts w:cs="Microsoft YaHei" w:hint="eastAsia"/>
          <w:lang w:val="es-ES_tradnl" w:eastAsia="zh-CN"/>
        </w:rPr>
        <w:t>2</w:t>
      </w:r>
      <w:r w:rsidRPr="00DD4128">
        <w:rPr>
          <w:rFonts w:cs="Microsoft YaHei"/>
          <w:lang w:val="es-ES_tradnl" w:eastAsia="zh-CN"/>
        </w:rPr>
        <w:t>.3</w:t>
      </w:r>
      <w:r w:rsidRPr="00DD4128">
        <w:rPr>
          <w:rFonts w:cs="Microsoft YaHei" w:hint="eastAsia"/>
          <w:lang w:val="es-ES_tradnl" w:eastAsia="zh-CN"/>
        </w:rPr>
        <w:t>节：使命</w:t>
      </w:r>
    </w:p>
    <w:p w14:paraId="23F1038C" w14:textId="77777777" w:rsidR="00DD4128" w:rsidRPr="00DD4128" w:rsidRDefault="00DD4128" w:rsidP="00E83C6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Theme="minorEastAsia"/>
          <w:noProof/>
          <w:lang w:eastAsia="zh-CN"/>
        </w:rPr>
      </w:pPr>
      <w:r w:rsidRPr="00DD4128">
        <w:rPr>
          <w:rFonts w:eastAsiaTheme="minorEastAsia" w:hint="eastAsia"/>
          <w:noProof/>
          <w:lang w:eastAsia="zh-CN"/>
        </w:rPr>
        <w:t>我们亦支持方案</w:t>
      </w:r>
      <w:r w:rsidRPr="00DD4128">
        <w:rPr>
          <w:rFonts w:eastAsiaTheme="minorEastAsia" w:hint="eastAsia"/>
          <w:noProof/>
          <w:lang w:eastAsia="zh-CN"/>
        </w:rPr>
        <w:t>1</w:t>
      </w:r>
      <w:r w:rsidRPr="00DD4128">
        <w:rPr>
          <w:rFonts w:eastAsiaTheme="minorEastAsia" w:hint="eastAsia"/>
          <w:noProof/>
          <w:lang w:eastAsia="zh-CN"/>
        </w:rPr>
        <w:t>，维持当前的使命陈述，因为两个版本没有本质上的区别，而“</w:t>
      </w:r>
      <w:r w:rsidRPr="00DD4128">
        <w:rPr>
          <w:rFonts w:ascii="SimSun" w:eastAsiaTheme="minorEastAsia" w:hAnsi="SimSun" w:cs="Calibri"/>
          <w:color w:val="000000"/>
          <w:szCs w:val="24"/>
          <w:lang w:eastAsia="zh-CN"/>
        </w:rPr>
        <w:t>社会、经济和在环境方面具有可持续性的增长和发展</w:t>
      </w:r>
      <w:r w:rsidRPr="00DD4128">
        <w:rPr>
          <w:rFonts w:ascii="SimSun" w:eastAsiaTheme="minorEastAsia" w:hAnsi="SimSun" w:cs="Calibri" w:hint="eastAsia"/>
          <w:color w:val="000000"/>
          <w:szCs w:val="24"/>
          <w:lang w:eastAsia="zh-CN"/>
        </w:rPr>
        <w:t>”</w:t>
      </w:r>
      <w:r w:rsidRPr="00DD4128">
        <w:rPr>
          <w:rFonts w:eastAsiaTheme="minorEastAsia" w:hint="eastAsia"/>
          <w:noProof/>
          <w:lang w:eastAsia="zh-CN"/>
        </w:rPr>
        <w:t>似乎比单一的“可持续发展”更确切。</w:t>
      </w:r>
    </w:p>
    <w:p w14:paraId="7021E03B" w14:textId="006F9E12" w:rsidR="00DD4128" w:rsidRPr="00DD4128" w:rsidRDefault="00DD4128" w:rsidP="004F12A1">
      <w:pPr>
        <w:pStyle w:val="Headingb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ind w:left="567" w:hanging="567"/>
        <w:textAlignment w:val="baseline"/>
        <w:outlineLvl w:val="0"/>
        <w:rPr>
          <w:rFonts w:cs="Microsoft YaHei"/>
          <w:lang w:val="es-ES_tradnl" w:eastAsia="zh-CN"/>
        </w:rPr>
      </w:pPr>
      <w:r w:rsidRPr="00DD4128">
        <w:rPr>
          <w:rFonts w:cs="Microsoft YaHei" w:hint="eastAsia"/>
          <w:lang w:val="es-ES_tradnl" w:eastAsia="zh-CN"/>
        </w:rPr>
        <w:t>第</w:t>
      </w:r>
      <w:r w:rsidRPr="00DD4128">
        <w:rPr>
          <w:rFonts w:cs="Microsoft YaHei" w:hint="eastAsia"/>
          <w:lang w:val="es-ES_tradnl" w:eastAsia="zh-CN"/>
        </w:rPr>
        <w:t>2</w:t>
      </w:r>
      <w:r w:rsidRPr="00DD4128">
        <w:rPr>
          <w:rFonts w:cs="Microsoft YaHei"/>
          <w:lang w:val="es-ES_tradnl" w:eastAsia="zh-CN"/>
        </w:rPr>
        <w:t>.4</w:t>
      </w:r>
      <w:r w:rsidRPr="00DD4128">
        <w:rPr>
          <w:rFonts w:cs="Microsoft YaHei" w:hint="eastAsia"/>
          <w:lang w:val="es-ES_tradnl" w:eastAsia="zh-CN"/>
        </w:rPr>
        <w:t>节</w:t>
      </w:r>
      <w:r w:rsidR="004F12A1" w:rsidRPr="00DD4128">
        <w:rPr>
          <w:rFonts w:cs="Microsoft YaHei" w:hint="eastAsia"/>
          <w:lang w:val="es-ES_tradnl" w:eastAsia="zh-CN"/>
        </w:rPr>
        <w:t>：</w:t>
      </w:r>
      <w:r w:rsidRPr="00DD4128">
        <w:rPr>
          <w:rFonts w:cs="Microsoft YaHei" w:hint="eastAsia"/>
          <w:lang w:val="es-ES_tradnl" w:eastAsia="zh-CN"/>
        </w:rPr>
        <w:t>总体战略目标</w:t>
      </w:r>
    </w:p>
    <w:p w14:paraId="5EA4377C" w14:textId="77777777" w:rsidR="00DD4128" w:rsidRPr="00DD4128" w:rsidRDefault="00DD4128" w:rsidP="00E21A4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Theme="minorEastAsia"/>
          <w:noProof/>
          <w:lang w:eastAsia="zh-CN"/>
        </w:rPr>
      </w:pPr>
      <w:r w:rsidRPr="00DD4128">
        <w:rPr>
          <w:rFonts w:eastAsiaTheme="minorEastAsia" w:hint="eastAsia"/>
          <w:noProof/>
          <w:lang w:eastAsia="zh-CN"/>
        </w:rPr>
        <w:t>我们坚决支持新起草的总体战略目标，看起来更全面、更清楚，相互之间没有重叠，亦完全符合《</w:t>
      </w:r>
      <w:r w:rsidRPr="00DD4128">
        <w:rPr>
          <w:rFonts w:eastAsiaTheme="minorEastAsia" w:hint="eastAsia"/>
          <w:noProof/>
          <w:lang w:eastAsia="zh-CN"/>
        </w:rPr>
        <w:t>2030</w:t>
      </w:r>
      <w:r w:rsidRPr="00DD4128">
        <w:rPr>
          <w:rFonts w:eastAsiaTheme="minorEastAsia" w:hint="eastAsia"/>
          <w:noProof/>
          <w:lang w:eastAsia="zh-CN"/>
        </w:rPr>
        <w:t>年可持续发展议程》。</w:t>
      </w:r>
    </w:p>
    <w:p w14:paraId="5CF17A38" w14:textId="56EDAB56" w:rsidR="00DD4128" w:rsidRPr="00DD4128" w:rsidRDefault="00DD4128" w:rsidP="004F12A1">
      <w:pPr>
        <w:pStyle w:val="Headingb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ind w:left="567" w:hanging="567"/>
        <w:textAlignment w:val="baseline"/>
        <w:outlineLvl w:val="0"/>
        <w:rPr>
          <w:rFonts w:cs="Microsoft YaHei"/>
          <w:lang w:val="es-ES_tradnl" w:eastAsia="zh-CN"/>
        </w:rPr>
      </w:pPr>
      <w:r w:rsidRPr="00DD4128">
        <w:rPr>
          <w:rFonts w:cs="Microsoft YaHei" w:hint="eastAsia"/>
          <w:lang w:val="es-ES_tradnl" w:eastAsia="zh-CN"/>
        </w:rPr>
        <w:lastRenderedPageBreak/>
        <w:t>第</w:t>
      </w:r>
      <w:r w:rsidRPr="00DD4128">
        <w:rPr>
          <w:rFonts w:cs="Microsoft YaHei" w:hint="eastAsia"/>
          <w:lang w:val="es-ES_tradnl" w:eastAsia="zh-CN"/>
        </w:rPr>
        <w:t>2</w:t>
      </w:r>
      <w:r w:rsidRPr="00DD4128">
        <w:rPr>
          <w:rFonts w:cs="Microsoft YaHei"/>
          <w:lang w:val="es-ES_tradnl" w:eastAsia="zh-CN"/>
        </w:rPr>
        <w:t>.5</w:t>
      </w:r>
      <w:r w:rsidRPr="00DD4128">
        <w:rPr>
          <w:rFonts w:cs="Microsoft YaHei" w:hint="eastAsia"/>
          <w:lang w:val="es-ES_tradnl" w:eastAsia="zh-CN"/>
        </w:rPr>
        <w:t>节</w:t>
      </w:r>
      <w:r w:rsidR="004F12A1" w:rsidRPr="00DD4128">
        <w:rPr>
          <w:rFonts w:cs="Microsoft YaHei" w:hint="eastAsia"/>
          <w:lang w:val="es-ES_tradnl" w:eastAsia="zh-CN"/>
        </w:rPr>
        <w:t>：</w:t>
      </w:r>
      <w:r w:rsidRPr="00DD4128">
        <w:rPr>
          <w:rFonts w:cs="Microsoft YaHei" w:hint="eastAsia"/>
          <w:lang w:val="es-ES_tradnl" w:eastAsia="zh-CN"/>
        </w:rPr>
        <w:t>国际电联《连通</w:t>
      </w:r>
      <w:r w:rsidRPr="00DD4128">
        <w:rPr>
          <w:rFonts w:cs="Microsoft YaHei" w:hint="eastAsia"/>
          <w:lang w:val="es-ES_tradnl" w:eastAsia="zh-CN"/>
        </w:rPr>
        <w:t>2030</w:t>
      </w:r>
      <w:r w:rsidRPr="00DD4128">
        <w:rPr>
          <w:rFonts w:cs="Microsoft YaHei" w:hint="eastAsia"/>
          <w:lang w:val="es-ES_tradnl" w:eastAsia="zh-CN"/>
        </w:rPr>
        <w:t>年议程》的具体目标</w:t>
      </w:r>
    </w:p>
    <w:p w14:paraId="36EA9EF2" w14:textId="77777777" w:rsidR="00DD4128" w:rsidRPr="00DD4128" w:rsidRDefault="00DD4128" w:rsidP="00E21A4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Theme="minorEastAsia"/>
          <w:color w:val="000000" w:themeColor="text1"/>
          <w:lang w:eastAsia="zh-CN"/>
        </w:rPr>
      </w:pPr>
      <w:r w:rsidRPr="00DD4128">
        <w:rPr>
          <w:rFonts w:eastAsiaTheme="minorEastAsia" w:hint="eastAsia"/>
          <w:color w:val="000000" w:themeColor="text1"/>
          <w:lang w:eastAsia="zh-CN"/>
        </w:rPr>
        <w:t>我们支持起草的</w:t>
      </w:r>
      <w:r w:rsidRPr="00DD4128">
        <w:rPr>
          <w:rFonts w:eastAsiaTheme="minorEastAsia" w:hint="eastAsia"/>
          <w:color w:val="000000" w:themeColor="text1"/>
          <w:lang w:eastAsia="zh-CN"/>
        </w:rPr>
        <w:t>2030</w:t>
      </w:r>
      <w:r w:rsidRPr="00DD4128">
        <w:rPr>
          <w:rFonts w:eastAsiaTheme="minorEastAsia" w:hint="eastAsia"/>
          <w:color w:val="000000" w:themeColor="text1"/>
          <w:lang w:eastAsia="zh-CN"/>
        </w:rPr>
        <w:t>年具体目标，这些目标使国际电联的行动以促成可持续发展目标的实现为导向。我们</w:t>
      </w:r>
      <w:proofErr w:type="gramStart"/>
      <w:r w:rsidRPr="00DD4128">
        <w:rPr>
          <w:rFonts w:eastAsiaTheme="minorEastAsia" w:hint="eastAsia"/>
          <w:color w:val="000000" w:themeColor="text1"/>
          <w:lang w:eastAsia="zh-CN"/>
        </w:rPr>
        <w:t>亦支持</w:t>
      </w:r>
      <w:proofErr w:type="gramEnd"/>
      <w:r w:rsidRPr="00DD4128">
        <w:rPr>
          <w:rFonts w:eastAsiaTheme="minorEastAsia" w:hint="eastAsia"/>
          <w:color w:val="000000" w:themeColor="text1"/>
          <w:lang w:eastAsia="zh-CN"/>
        </w:rPr>
        <w:t>结果框架中使用</w:t>
      </w:r>
      <w:r w:rsidRPr="00DD4128">
        <w:rPr>
          <w:rFonts w:eastAsiaTheme="minorEastAsia" w:hint="eastAsia"/>
          <w:color w:val="000000" w:themeColor="text1"/>
          <w:lang w:eastAsia="zh-CN"/>
        </w:rPr>
        <w:t>SMART</w:t>
      </w:r>
      <w:r w:rsidRPr="00DD4128">
        <w:rPr>
          <w:rFonts w:eastAsiaTheme="minorEastAsia" w:hint="eastAsia"/>
          <w:color w:val="000000" w:themeColor="text1"/>
          <w:lang w:eastAsia="zh-CN"/>
        </w:rPr>
        <w:t>具体目标指标和细化衡量的子指标，这将加强对国际电</w:t>
      </w:r>
      <w:proofErr w:type="gramStart"/>
      <w:r w:rsidRPr="00DD4128">
        <w:rPr>
          <w:rFonts w:eastAsiaTheme="minorEastAsia" w:hint="eastAsia"/>
          <w:color w:val="000000" w:themeColor="text1"/>
          <w:lang w:eastAsia="zh-CN"/>
        </w:rPr>
        <w:t>联行动</w:t>
      </w:r>
      <w:proofErr w:type="gramEnd"/>
      <w:r w:rsidRPr="00DD4128">
        <w:rPr>
          <w:rFonts w:eastAsiaTheme="minorEastAsia" w:hint="eastAsia"/>
          <w:color w:val="000000" w:themeColor="text1"/>
          <w:lang w:eastAsia="zh-CN"/>
        </w:rPr>
        <w:t>的问责。</w:t>
      </w:r>
    </w:p>
    <w:p w14:paraId="61E07344" w14:textId="2E4C65CD" w:rsidR="00DD4128" w:rsidRPr="00DD4128" w:rsidRDefault="00DD4128" w:rsidP="004F12A1">
      <w:pPr>
        <w:pStyle w:val="Headingb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ind w:left="567" w:hanging="567"/>
        <w:textAlignment w:val="baseline"/>
        <w:outlineLvl w:val="0"/>
        <w:rPr>
          <w:rFonts w:cs="Microsoft YaHei"/>
          <w:lang w:val="es-ES_tradnl" w:eastAsia="zh-CN"/>
        </w:rPr>
      </w:pPr>
      <w:r w:rsidRPr="00DD4128">
        <w:rPr>
          <w:rFonts w:cs="Microsoft YaHei" w:hint="eastAsia"/>
          <w:lang w:val="es-ES_tradnl" w:eastAsia="zh-CN"/>
        </w:rPr>
        <w:t>第</w:t>
      </w:r>
      <w:r w:rsidRPr="00DD4128">
        <w:rPr>
          <w:rFonts w:cs="Microsoft YaHei" w:hint="eastAsia"/>
          <w:lang w:val="es-ES_tradnl" w:eastAsia="zh-CN"/>
        </w:rPr>
        <w:t>2</w:t>
      </w:r>
      <w:r w:rsidRPr="00DD4128">
        <w:rPr>
          <w:rFonts w:cs="Microsoft YaHei"/>
          <w:lang w:val="es-ES_tradnl" w:eastAsia="zh-CN"/>
        </w:rPr>
        <w:t>.6</w:t>
      </w:r>
      <w:r w:rsidRPr="00DD4128">
        <w:rPr>
          <w:rFonts w:cs="Microsoft YaHei" w:hint="eastAsia"/>
          <w:lang w:val="es-ES_tradnl" w:eastAsia="zh-CN"/>
        </w:rPr>
        <w:t>节</w:t>
      </w:r>
      <w:r w:rsidR="004F12A1" w:rsidRPr="00DD4128">
        <w:rPr>
          <w:rFonts w:cs="Microsoft YaHei" w:hint="eastAsia"/>
          <w:lang w:val="es-ES_tradnl" w:eastAsia="zh-CN"/>
        </w:rPr>
        <w:t>：</w:t>
      </w:r>
      <w:r w:rsidRPr="00DD4128">
        <w:rPr>
          <w:rFonts w:cs="Microsoft YaHei" w:hint="eastAsia"/>
          <w:lang w:val="es-ES_tradnl" w:eastAsia="zh-CN"/>
        </w:rPr>
        <w:t>主题重点</w:t>
      </w:r>
    </w:p>
    <w:p w14:paraId="7AB2F13C" w14:textId="77777777" w:rsidR="00DD4128" w:rsidRPr="00DD4128" w:rsidRDefault="00DD4128" w:rsidP="00E21A4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Theme="minorEastAsia"/>
          <w:color w:val="000000" w:themeColor="text1"/>
          <w:lang w:eastAsia="zh-CN"/>
        </w:rPr>
      </w:pPr>
      <w:r w:rsidRPr="00DD4128">
        <w:rPr>
          <w:rFonts w:eastAsiaTheme="minorEastAsia" w:hint="eastAsia"/>
          <w:color w:val="000000" w:themeColor="text1"/>
          <w:lang w:eastAsia="zh-CN"/>
        </w:rPr>
        <w:t>总体而言，主题重点看起来正确地涵盖了国际电联活动的范围。</w:t>
      </w:r>
    </w:p>
    <w:p w14:paraId="3DDD7C77" w14:textId="77777777" w:rsidR="00DD4128" w:rsidRPr="00DD4128" w:rsidRDefault="00DD4128" w:rsidP="00E21A4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Theme="minorEastAsia"/>
          <w:color w:val="000000" w:themeColor="text1"/>
          <w:lang w:eastAsia="zh-CN"/>
        </w:rPr>
      </w:pPr>
      <w:r w:rsidRPr="00DD4128">
        <w:rPr>
          <w:rFonts w:eastAsiaTheme="minorEastAsia" w:hint="eastAsia"/>
          <w:color w:val="000000" w:themeColor="text1"/>
          <w:lang w:eastAsia="zh-CN"/>
        </w:rPr>
        <w:t>我们支持方案</w:t>
      </w:r>
      <w:r w:rsidRPr="00DD4128">
        <w:rPr>
          <w:rFonts w:eastAsiaTheme="minorEastAsia" w:hint="eastAsia"/>
          <w:color w:val="000000" w:themeColor="text1"/>
          <w:lang w:eastAsia="zh-CN"/>
        </w:rPr>
        <w:t>2</w:t>
      </w:r>
      <w:r w:rsidRPr="00DD4128">
        <w:rPr>
          <w:rFonts w:eastAsiaTheme="minorEastAsia" w:hint="eastAsia"/>
          <w:color w:val="000000" w:themeColor="text1"/>
          <w:lang w:eastAsia="zh-CN"/>
        </w:rPr>
        <w:t>，将网络安全成果纳入主题重点，如基础设施、应用或有利环境。我们认为重要的是，国际电联在顾及所有成员（尤其是发展中国家）需求的同时，将工作重点放在核心任务授权上，避免重叠并与其他论坛正在开展的工作形成更好的协同作用。此外，我们认为，国际电</w:t>
      </w:r>
      <w:proofErr w:type="gramStart"/>
      <w:r w:rsidRPr="00DD4128">
        <w:rPr>
          <w:rFonts w:eastAsiaTheme="minorEastAsia" w:hint="eastAsia"/>
          <w:color w:val="000000" w:themeColor="text1"/>
          <w:lang w:eastAsia="zh-CN"/>
        </w:rPr>
        <w:t>联不要</w:t>
      </w:r>
      <w:proofErr w:type="gramEnd"/>
      <w:r w:rsidRPr="00DD4128">
        <w:rPr>
          <w:rFonts w:eastAsiaTheme="minorEastAsia" w:hint="eastAsia"/>
          <w:color w:val="000000" w:themeColor="text1"/>
          <w:lang w:eastAsia="zh-CN"/>
        </w:rPr>
        <w:t>有过多主题重点，使战略规划重心集中很重要。尤其在此刻，确定优先次序，并避免将宝贵资源分散给过多主题重点至关重要。</w:t>
      </w:r>
    </w:p>
    <w:p w14:paraId="74FCA9D5" w14:textId="5F8D02C0" w:rsidR="00DD4128" w:rsidRPr="00DD4128" w:rsidRDefault="00DD4128" w:rsidP="004F12A1">
      <w:pPr>
        <w:pStyle w:val="Headingb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ind w:left="567" w:hanging="567"/>
        <w:textAlignment w:val="baseline"/>
        <w:outlineLvl w:val="0"/>
        <w:rPr>
          <w:rFonts w:cs="Microsoft YaHei"/>
          <w:lang w:val="es-ES_tradnl" w:eastAsia="zh-CN"/>
        </w:rPr>
      </w:pPr>
      <w:r w:rsidRPr="00DD4128">
        <w:rPr>
          <w:rFonts w:cs="Microsoft YaHei" w:hint="eastAsia"/>
          <w:lang w:val="es-ES_tradnl" w:eastAsia="zh-CN"/>
        </w:rPr>
        <w:t>第</w:t>
      </w:r>
      <w:r w:rsidRPr="00DD4128">
        <w:rPr>
          <w:rFonts w:cs="Microsoft YaHei"/>
          <w:lang w:val="es-ES_tradnl" w:eastAsia="zh-CN"/>
        </w:rPr>
        <w:t>2.7</w:t>
      </w:r>
      <w:r w:rsidRPr="00DD4128">
        <w:rPr>
          <w:rFonts w:cs="Microsoft YaHei" w:hint="eastAsia"/>
          <w:lang w:val="es-ES_tradnl" w:eastAsia="zh-CN"/>
        </w:rPr>
        <w:t>节</w:t>
      </w:r>
      <w:r w:rsidR="004F12A1" w:rsidRPr="00DD4128">
        <w:rPr>
          <w:rFonts w:cs="Microsoft YaHei" w:hint="eastAsia"/>
          <w:lang w:val="es-ES_tradnl" w:eastAsia="zh-CN"/>
        </w:rPr>
        <w:t>：</w:t>
      </w:r>
      <w:r w:rsidRPr="00DD4128">
        <w:rPr>
          <w:rFonts w:cs="Microsoft YaHei" w:hint="eastAsia"/>
          <w:lang w:val="es-ES_tradnl" w:eastAsia="zh-CN"/>
        </w:rPr>
        <w:t>产品和服务</w:t>
      </w:r>
    </w:p>
    <w:p w14:paraId="1C0C50F5" w14:textId="77777777" w:rsidR="00DD4128" w:rsidRPr="00DD4128" w:rsidRDefault="00DD4128" w:rsidP="00E21A4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Theme="minorEastAsia"/>
          <w:lang w:eastAsia="zh-CN"/>
        </w:rPr>
      </w:pPr>
      <w:r w:rsidRPr="00DD4128">
        <w:rPr>
          <w:rFonts w:eastAsiaTheme="minorEastAsia" w:hint="eastAsia"/>
          <w:lang w:eastAsia="zh-CN"/>
        </w:rPr>
        <w:t>我们支持这一节的拟议表述，展示国际电联的综合价值主张，并强调所有产品和服务之间的联系。对现有活动重新组合和重新拟定以突出共同的工作领域，同时反映出部门现有产品和服务的独特性，似乎符合成员国提出的将协同作用最大化并避免重复和重叠的要求。</w:t>
      </w:r>
    </w:p>
    <w:p w14:paraId="1F8A9528" w14:textId="77777777" w:rsidR="00DD4128" w:rsidRPr="00DD4128" w:rsidRDefault="00DD4128" w:rsidP="00E21A4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Theme="minorEastAsia"/>
          <w:lang w:val="en-US" w:eastAsia="zh-CN"/>
        </w:rPr>
      </w:pPr>
      <w:r w:rsidRPr="00DD4128">
        <w:rPr>
          <w:rFonts w:eastAsiaTheme="minorEastAsia" w:hint="eastAsia"/>
          <w:bCs/>
          <w:lang w:eastAsia="zh-CN"/>
        </w:rPr>
        <w:t>我们期待在理事会工作组进一步讨论《战略规划》草案。</w:t>
      </w:r>
    </w:p>
    <w:p w14:paraId="0CDD0145" w14:textId="77777777" w:rsidR="00AB3E00" w:rsidRDefault="00AB3E00" w:rsidP="00AB3E00">
      <w:pPr>
        <w:spacing w:before="360"/>
        <w:jc w:val="center"/>
      </w:pPr>
      <w:r>
        <w:t>______________</w:t>
      </w:r>
    </w:p>
    <w:sectPr w:rsidR="00AB3E00" w:rsidSect="00DC60C4">
      <w:headerReference w:type="default" r:id="rId9"/>
      <w:footerReference w:type="default" r:id="rId10"/>
      <w:footerReference w:type="first" r:id="rId11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6166" w14:textId="77777777" w:rsidR="00400631" w:rsidRDefault="00400631">
      <w:r>
        <w:separator/>
      </w:r>
    </w:p>
  </w:endnote>
  <w:endnote w:type="continuationSeparator" w:id="0">
    <w:p w14:paraId="5D4A15B6" w14:textId="77777777" w:rsidR="00400631" w:rsidRDefault="0040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3C47" w14:textId="109D0687" w:rsidR="00B40A53" w:rsidRPr="00502A2C" w:rsidRDefault="0001297B" w:rsidP="0001297B">
    <w:pPr>
      <w:pStyle w:val="Footer"/>
      <w:rPr>
        <w:szCs w:val="16"/>
        <w:lang w:val="fr-CH"/>
      </w:rPr>
    </w:pPr>
    <w:r w:rsidRPr="00FD58DE">
      <w:rPr>
        <w:color w:val="F2F2F2" w:themeColor="background1" w:themeShade="F2"/>
        <w:szCs w:val="16"/>
      </w:rPr>
      <w:fldChar w:fldCharType="begin"/>
    </w:r>
    <w:r w:rsidRPr="00FD58DE">
      <w:rPr>
        <w:color w:val="F2F2F2" w:themeColor="background1" w:themeShade="F2"/>
        <w:szCs w:val="16"/>
        <w:lang w:val="fr-CH"/>
      </w:rPr>
      <w:instrText xml:space="preserve"> FILENAME \p \* MERGEFORMAT </w:instrText>
    </w:r>
    <w:r w:rsidRPr="00FD58DE">
      <w:rPr>
        <w:color w:val="F2F2F2" w:themeColor="background1" w:themeShade="F2"/>
        <w:szCs w:val="16"/>
      </w:rPr>
      <w:fldChar w:fldCharType="separate"/>
    </w:r>
    <w:r w:rsidR="00482D2B" w:rsidRPr="00FD58DE">
      <w:rPr>
        <w:color w:val="F2F2F2" w:themeColor="background1" w:themeShade="F2"/>
        <w:szCs w:val="16"/>
        <w:lang w:val="fr-CH"/>
      </w:rPr>
      <w:t>P:\CHI\SG\CONSEIL\CWG-SFP\CWG-SFP3\000\013C.docx</w:t>
    </w:r>
    <w:r w:rsidRPr="00FD58DE">
      <w:rPr>
        <w:color w:val="F2F2F2" w:themeColor="background1" w:themeShade="F2"/>
        <w:szCs w:val="16"/>
      </w:rPr>
      <w:fldChar w:fldCharType="end"/>
    </w:r>
    <w:r w:rsidRPr="00FD58DE">
      <w:rPr>
        <w:color w:val="F2F2F2" w:themeColor="background1" w:themeShade="F2"/>
        <w:szCs w:val="16"/>
        <w:lang w:val="fr-CH"/>
      </w:rPr>
      <w:t xml:space="preserve"> (</w:t>
    </w:r>
    <w:r w:rsidR="004F12A1" w:rsidRPr="00FD58DE">
      <w:rPr>
        <w:color w:val="F2F2F2" w:themeColor="background1" w:themeShade="F2"/>
        <w:szCs w:val="16"/>
        <w:lang w:val="fr-CH"/>
      </w:rPr>
      <w:t>501511</w:t>
    </w:r>
    <w:r w:rsidRPr="00FD58DE">
      <w:rPr>
        <w:color w:val="F2F2F2" w:themeColor="background1" w:themeShade="F2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732E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846D" w14:textId="77777777" w:rsidR="00400631" w:rsidRDefault="00400631">
      <w:r>
        <w:t>____________________</w:t>
      </w:r>
    </w:p>
  </w:footnote>
  <w:footnote w:type="continuationSeparator" w:id="0">
    <w:p w14:paraId="0CA82D0A" w14:textId="77777777" w:rsidR="00400631" w:rsidRDefault="0040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787274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14:paraId="278D15E3" w14:textId="20B054D1" w:rsidR="00977EB9" w:rsidRPr="008B1926" w:rsidRDefault="00977EB9" w:rsidP="00977EB9">
        <w:pPr>
          <w:pStyle w:val="Header"/>
          <w:rPr>
            <w:szCs w:val="18"/>
          </w:rPr>
        </w:pPr>
        <w:r w:rsidRPr="008B1926">
          <w:rPr>
            <w:szCs w:val="18"/>
          </w:rPr>
          <w:fldChar w:fldCharType="begin"/>
        </w:r>
        <w:r w:rsidRPr="008B1926">
          <w:rPr>
            <w:szCs w:val="18"/>
          </w:rPr>
          <w:instrText xml:space="preserve"> PAGE   \* MERGEFORMAT </w:instrText>
        </w:r>
        <w:r w:rsidRPr="008B1926">
          <w:rPr>
            <w:szCs w:val="18"/>
          </w:rPr>
          <w:fldChar w:fldCharType="separate"/>
        </w:r>
        <w:r w:rsidR="00482D2B">
          <w:rPr>
            <w:noProof/>
            <w:szCs w:val="18"/>
          </w:rPr>
          <w:t>2</w:t>
        </w:r>
        <w:r w:rsidRPr="008B1926">
          <w:rPr>
            <w:noProof/>
            <w:szCs w:val="18"/>
          </w:rPr>
          <w:fldChar w:fldCharType="end"/>
        </w:r>
      </w:p>
    </w:sdtContent>
  </w:sdt>
  <w:p w14:paraId="669BA6D6" w14:textId="2A3BEC35" w:rsidR="00DA48FE" w:rsidRPr="00977EB9" w:rsidRDefault="00977EB9" w:rsidP="00977EB9">
    <w:pPr>
      <w:pStyle w:val="Header"/>
      <w:rPr>
        <w:szCs w:val="18"/>
      </w:rPr>
    </w:pPr>
    <w:r w:rsidRPr="008B1926">
      <w:rPr>
        <w:rFonts w:eastAsia="MS Mincho" w:cs="Arial"/>
        <w:noProof/>
        <w:szCs w:val="18"/>
        <w:lang w:eastAsia="zh-CN"/>
      </w:rPr>
      <w:t>CWG-SFP-</w:t>
    </w:r>
    <w:r>
      <w:rPr>
        <w:rFonts w:eastAsia="MS Mincho" w:cs="Arial"/>
        <w:noProof/>
        <w:szCs w:val="18"/>
        <w:lang w:eastAsia="zh-CN"/>
      </w:rPr>
      <w:t>3</w:t>
    </w:r>
    <w:r w:rsidRPr="008B1926">
      <w:rPr>
        <w:rFonts w:eastAsia="MS Mincho" w:cs="Arial"/>
        <w:noProof/>
        <w:szCs w:val="18"/>
        <w:lang w:eastAsia="zh-CN"/>
      </w:rPr>
      <w:t>/</w:t>
    </w:r>
    <w:r w:rsidR="0013453E">
      <w:rPr>
        <w:rFonts w:eastAsia="MS Mincho" w:cs="Arial"/>
        <w:noProof/>
        <w:szCs w:val="18"/>
        <w:lang w:eastAsia="zh-CN"/>
      </w:rPr>
      <w:t>1</w:t>
    </w:r>
    <w:r w:rsidR="002959A1">
      <w:rPr>
        <w:rFonts w:eastAsia="MS Mincho" w:cs="Arial"/>
        <w:noProof/>
        <w:szCs w:val="18"/>
        <w:lang w:eastAsia="zh-CN"/>
      </w:rPr>
      <w:t>3</w:t>
    </w:r>
    <w:r w:rsidRPr="008B1926">
      <w:rPr>
        <w:rFonts w:eastAsia="MS Mincho" w:cs="Arial"/>
        <w:noProof/>
        <w:szCs w:val="18"/>
        <w:lang w:eastAsia="zh-CN"/>
      </w:rPr>
      <w:t>-</w:t>
    </w:r>
    <w:r>
      <w:rPr>
        <w:rFonts w:eastAsia="MS Mincho" w:cs="Arial"/>
        <w:noProof/>
        <w:szCs w:val="18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373FC"/>
    <w:multiLevelType w:val="hybridMultilevel"/>
    <w:tmpl w:val="B41E5E18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C4510"/>
    <w:multiLevelType w:val="hybridMultilevel"/>
    <w:tmpl w:val="064AB0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A6755"/>
    <w:multiLevelType w:val="hybridMultilevel"/>
    <w:tmpl w:val="0046B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0921B5"/>
    <w:multiLevelType w:val="hybridMultilevel"/>
    <w:tmpl w:val="4044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61A4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80139"/>
    <w:multiLevelType w:val="hybridMultilevel"/>
    <w:tmpl w:val="1312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DA0DAA"/>
    <w:multiLevelType w:val="hybridMultilevel"/>
    <w:tmpl w:val="A8065DDA"/>
    <w:lvl w:ilvl="0" w:tplc="C706D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0732D"/>
    <w:multiLevelType w:val="hybridMultilevel"/>
    <w:tmpl w:val="D81C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5"/>
  </w:num>
  <w:num w:numId="5">
    <w:abstractNumId w:val="17"/>
  </w:num>
  <w:num w:numId="6">
    <w:abstractNumId w:val="1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2"/>
  </w:num>
  <w:num w:numId="13">
    <w:abstractNumId w:val="18"/>
  </w:num>
  <w:num w:numId="14">
    <w:abstractNumId w:val="19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</w:num>
  <w:num w:numId="15">
    <w:abstractNumId w:val="9"/>
    <w:lvlOverride w:ilvl="0">
      <w:lvl w:ilvl="0" w:tplc="04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7"/>
    <w:lvlOverride w:ilvl="0">
      <w:lvl w:ilvl="0" w:tplc="04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6"/>
    <w:lvlOverride w:ilvl="0">
      <w:lvl w:ilvl="0" w:tplc="08090003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</w:num>
  <w:num w:numId="18">
    <w:abstractNumId w:val="11"/>
    <w:lvlOverride w:ilvl="0">
      <w:lvl w:ilvl="0" w:tplc="C706D8FA">
        <w:numFmt w:val="bullet"/>
        <w:lvlText w:val="-"/>
        <w:lvlJc w:val="left"/>
        <w:pPr>
          <w:ind w:left="720" w:hanging="360"/>
        </w:pPr>
        <w:rPr>
          <w:rFonts w:ascii="Calibri" w:eastAsiaTheme="minorHAnsi" w:hAnsi="Calibri" w:cs="Calibri" w:hint="default"/>
          <w:lang w:val="en-US"/>
        </w:rPr>
      </w:lvl>
    </w:lvlOverride>
  </w:num>
  <w:num w:numId="19">
    <w:abstractNumId w:val="1"/>
    <w:lvlOverride w:ilvl="0">
      <w:lvl w:ilvl="0" w:tplc="02561A40">
        <w:numFmt w:val="bullet"/>
        <w:lvlText w:val="-"/>
        <w:lvlJc w:val="left"/>
        <w:pPr>
          <w:ind w:left="720" w:hanging="360"/>
        </w:pPr>
        <w:rPr>
          <w:rFonts w:ascii="Calibri" w:eastAsiaTheme="minorHAnsi" w:hAnsi="Calibri" w:cs="Calibri" w:hint="default"/>
        </w:rPr>
      </w:lvl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C5"/>
    <w:rsid w:val="00001B77"/>
    <w:rsid w:val="0000517A"/>
    <w:rsid w:val="0001297B"/>
    <w:rsid w:val="0003025F"/>
    <w:rsid w:val="00031E72"/>
    <w:rsid w:val="000404D2"/>
    <w:rsid w:val="00042CF2"/>
    <w:rsid w:val="00043A09"/>
    <w:rsid w:val="00054C37"/>
    <w:rsid w:val="00057C46"/>
    <w:rsid w:val="000853C0"/>
    <w:rsid w:val="000916EA"/>
    <w:rsid w:val="000A1C21"/>
    <w:rsid w:val="000C4248"/>
    <w:rsid w:val="000D0B67"/>
    <w:rsid w:val="000D15EA"/>
    <w:rsid w:val="000D16BD"/>
    <w:rsid w:val="000D3EE3"/>
    <w:rsid w:val="000D6A0B"/>
    <w:rsid w:val="000D6F2B"/>
    <w:rsid w:val="000E25D6"/>
    <w:rsid w:val="000F0794"/>
    <w:rsid w:val="00100D84"/>
    <w:rsid w:val="001048CF"/>
    <w:rsid w:val="00110D35"/>
    <w:rsid w:val="00120379"/>
    <w:rsid w:val="00124C9D"/>
    <w:rsid w:val="0013453E"/>
    <w:rsid w:val="00157773"/>
    <w:rsid w:val="0017144E"/>
    <w:rsid w:val="00181BC7"/>
    <w:rsid w:val="0018251A"/>
    <w:rsid w:val="00190272"/>
    <w:rsid w:val="00193244"/>
    <w:rsid w:val="00195C6C"/>
    <w:rsid w:val="00195FED"/>
    <w:rsid w:val="001A4BD6"/>
    <w:rsid w:val="001B4A65"/>
    <w:rsid w:val="001C1190"/>
    <w:rsid w:val="001D5A18"/>
    <w:rsid w:val="00225BA8"/>
    <w:rsid w:val="00230DC7"/>
    <w:rsid w:val="00244284"/>
    <w:rsid w:val="00245187"/>
    <w:rsid w:val="00263356"/>
    <w:rsid w:val="00264044"/>
    <w:rsid w:val="002768E8"/>
    <w:rsid w:val="00280EB8"/>
    <w:rsid w:val="002959A1"/>
    <w:rsid w:val="002A6670"/>
    <w:rsid w:val="002B0397"/>
    <w:rsid w:val="002D75EB"/>
    <w:rsid w:val="002E2C4D"/>
    <w:rsid w:val="002F1CEA"/>
    <w:rsid w:val="002F20D0"/>
    <w:rsid w:val="002F5F44"/>
    <w:rsid w:val="00303502"/>
    <w:rsid w:val="003205F3"/>
    <w:rsid w:val="00325C25"/>
    <w:rsid w:val="00365816"/>
    <w:rsid w:val="00372C8F"/>
    <w:rsid w:val="00373884"/>
    <w:rsid w:val="003765FC"/>
    <w:rsid w:val="00380ECE"/>
    <w:rsid w:val="00390B89"/>
    <w:rsid w:val="00393DDF"/>
    <w:rsid w:val="00395802"/>
    <w:rsid w:val="00396929"/>
    <w:rsid w:val="00397F55"/>
    <w:rsid w:val="003A369A"/>
    <w:rsid w:val="003A480D"/>
    <w:rsid w:val="003B4454"/>
    <w:rsid w:val="003C2E37"/>
    <w:rsid w:val="003C68C5"/>
    <w:rsid w:val="003F1415"/>
    <w:rsid w:val="00400631"/>
    <w:rsid w:val="0040144C"/>
    <w:rsid w:val="00403EB7"/>
    <w:rsid w:val="00430BF0"/>
    <w:rsid w:val="0044349D"/>
    <w:rsid w:val="004516AA"/>
    <w:rsid w:val="00453FA2"/>
    <w:rsid w:val="004672E6"/>
    <w:rsid w:val="004715C0"/>
    <w:rsid w:val="00474ED1"/>
    <w:rsid w:val="004772A3"/>
    <w:rsid w:val="00482D2B"/>
    <w:rsid w:val="00492EDB"/>
    <w:rsid w:val="00493085"/>
    <w:rsid w:val="004A36EC"/>
    <w:rsid w:val="004C7019"/>
    <w:rsid w:val="004D163F"/>
    <w:rsid w:val="004E4BFF"/>
    <w:rsid w:val="004E6FDF"/>
    <w:rsid w:val="004F079A"/>
    <w:rsid w:val="004F12A1"/>
    <w:rsid w:val="004F2598"/>
    <w:rsid w:val="00502A2C"/>
    <w:rsid w:val="005133D3"/>
    <w:rsid w:val="0052309D"/>
    <w:rsid w:val="005368D6"/>
    <w:rsid w:val="005403F7"/>
    <w:rsid w:val="00540632"/>
    <w:rsid w:val="00541CF4"/>
    <w:rsid w:val="00544C81"/>
    <w:rsid w:val="005451E8"/>
    <w:rsid w:val="005457A7"/>
    <w:rsid w:val="005507F2"/>
    <w:rsid w:val="00557085"/>
    <w:rsid w:val="005759CC"/>
    <w:rsid w:val="005A72E1"/>
    <w:rsid w:val="005C5A89"/>
    <w:rsid w:val="005C6632"/>
    <w:rsid w:val="005D1C9E"/>
    <w:rsid w:val="005E308F"/>
    <w:rsid w:val="005E56E6"/>
    <w:rsid w:val="00601F06"/>
    <w:rsid w:val="00626565"/>
    <w:rsid w:val="0063372F"/>
    <w:rsid w:val="00654257"/>
    <w:rsid w:val="0065435A"/>
    <w:rsid w:val="006A2DD3"/>
    <w:rsid w:val="006A5AF8"/>
    <w:rsid w:val="006C36CD"/>
    <w:rsid w:val="00700D1F"/>
    <w:rsid w:val="007158DE"/>
    <w:rsid w:val="00717444"/>
    <w:rsid w:val="00720594"/>
    <w:rsid w:val="007205CB"/>
    <w:rsid w:val="00720B07"/>
    <w:rsid w:val="00722F05"/>
    <w:rsid w:val="00726073"/>
    <w:rsid w:val="00734FE8"/>
    <w:rsid w:val="007360CE"/>
    <w:rsid w:val="00743354"/>
    <w:rsid w:val="00745F65"/>
    <w:rsid w:val="0075041B"/>
    <w:rsid w:val="007508E8"/>
    <w:rsid w:val="00764D7A"/>
    <w:rsid w:val="00772315"/>
    <w:rsid w:val="00775157"/>
    <w:rsid w:val="007813AE"/>
    <w:rsid w:val="00796695"/>
    <w:rsid w:val="007969F5"/>
    <w:rsid w:val="007A37DB"/>
    <w:rsid w:val="007B7E8D"/>
    <w:rsid w:val="007E189D"/>
    <w:rsid w:val="007F053A"/>
    <w:rsid w:val="007F0CDE"/>
    <w:rsid w:val="007F46B6"/>
    <w:rsid w:val="00811259"/>
    <w:rsid w:val="00813AA2"/>
    <w:rsid w:val="008173A3"/>
    <w:rsid w:val="0086059C"/>
    <w:rsid w:val="00864589"/>
    <w:rsid w:val="00864AA5"/>
    <w:rsid w:val="00870ECF"/>
    <w:rsid w:val="0087698A"/>
    <w:rsid w:val="00890AFB"/>
    <w:rsid w:val="00890FC4"/>
    <w:rsid w:val="00895905"/>
    <w:rsid w:val="008C6E1C"/>
    <w:rsid w:val="008D2A36"/>
    <w:rsid w:val="008E6E99"/>
    <w:rsid w:val="008F6603"/>
    <w:rsid w:val="009164A9"/>
    <w:rsid w:val="009258CB"/>
    <w:rsid w:val="0093362E"/>
    <w:rsid w:val="00944563"/>
    <w:rsid w:val="009453DB"/>
    <w:rsid w:val="00953160"/>
    <w:rsid w:val="0095533D"/>
    <w:rsid w:val="009625D8"/>
    <w:rsid w:val="00977179"/>
    <w:rsid w:val="00977EB9"/>
    <w:rsid w:val="0098459B"/>
    <w:rsid w:val="00997185"/>
    <w:rsid w:val="009A3F1A"/>
    <w:rsid w:val="009A55EF"/>
    <w:rsid w:val="009B0BC1"/>
    <w:rsid w:val="009C2458"/>
    <w:rsid w:val="009C4A7B"/>
    <w:rsid w:val="009C6123"/>
    <w:rsid w:val="009D2585"/>
    <w:rsid w:val="009F1E3E"/>
    <w:rsid w:val="009F2A13"/>
    <w:rsid w:val="00A04EB3"/>
    <w:rsid w:val="00A1213C"/>
    <w:rsid w:val="00A13C17"/>
    <w:rsid w:val="00A272FF"/>
    <w:rsid w:val="00A411A4"/>
    <w:rsid w:val="00A50AD3"/>
    <w:rsid w:val="00A5354B"/>
    <w:rsid w:val="00A71B57"/>
    <w:rsid w:val="00A82C73"/>
    <w:rsid w:val="00A85CE7"/>
    <w:rsid w:val="00A87B83"/>
    <w:rsid w:val="00AB3E00"/>
    <w:rsid w:val="00AB42C1"/>
    <w:rsid w:val="00AC516F"/>
    <w:rsid w:val="00AE2926"/>
    <w:rsid w:val="00AE536E"/>
    <w:rsid w:val="00AF0DE6"/>
    <w:rsid w:val="00B0184B"/>
    <w:rsid w:val="00B035CD"/>
    <w:rsid w:val="00B0769D"/>
    <w:rsid w:val="00B14489"/>
    <w:rsid w:val="00B217F8"/>
    <w:rsid w:val="00B332EA"/>
    <w:rsid w:val="00B34643"/>
    <w:rsid w:val="00B40A53"/>
    <w:rsid w:val="00B45365"/>
    <w:rsid w:val="00B46A65"/>
    <w:rsid w:val="00B5321F"/>
    <w:rsid w:val="00B60184"/>
    <w:rsid w:val="00B60F88"/>
    <w:rsid w:val="00B62D20"/>
    <w:rsid w:val="00B81E75"/>
    <w:rsid w:val="00B86D56"/>
    <w:rsid w:val="00B90C18"/>
    <w:rsid w:val="00B97155"/>
    <w:rsid w:val="00BA1A78"/>
    <w:rsid w:val="00BC021A"/>
    <w:rsid w:val="00BC51D5"/>
    <w:rsid w:val="00BD1194"/>
    <w:rsid w:val="00BD1A5A"/>
    <w:rsid w:val="00BD7A9B"/>
    <w:rsid w:val="00BD7BE1"/>
    <w:rsid w:val="00BE49A9"/>
    <w:rsid w:val="00BE4CF0"/>
    <w:rsid w:val="00BF416B"/>
    <w:rsid w:val="00BF774C"/>
    <w:rsid w:val="00C50B28"/>
    <w:rsid w:val="00C64E4E"/>
    <w:rsid w:val="00C66E64"/>
    <w:rsid w:val="00C71444"/>
    <w:rsid w:val="00C761A0"/>
    <w:rsid w:val="00C85F7E"/>
    <w:rsid w:val="00C90D53"/>
    <w:rsid w:val="00CB3E36"/>
    <w:rsid w:val="00CB5108"/>
    <w:rsid w:val="00CC47FE"/>
    <w:rsid w:val="00CD47F0"/>
    <w:rsid w:val="00CD5566"/>
    <w:rsid w:val="00CD64D7"/>
    <w:rsid w:val="00CE6F22"/>
    <w:rsid w:val="00CF41F6"/>
    <w:rsid w:val="00CF7D3E"/>
    <w:rsid w:val="00D02B4E"/>
    <w:rsid w:val="00D21F11"/>
    <w:rsid w:val="00D34610"/>
    <w:rsid w:val="00D366CA"/>
    <w:rsid w:val="00D36817"/>
    <w:rsid w:val="00D42120"/>
    <w:rsid w:val="00D45122"/>
    <w:rsid w:val="00D5666C"/>
    <w:rsid w:val="00D602F5"/>
    <w:rsid w:val="00D63268"/>
    <w:rsid w:val="00D666BC"/>
    <w:rsid w:val="00D7062A"/>
    <w:rsid w:val="00D83542"/>
    <w:rsid w:val="00D86DA5"/>
    <w:rsid w:val="00D90E1E"/>
    <w:rsid w:val="00D91323"/>
    <w:rsid w:val="00D92F45"/>
    <w:rsid w:val="00D94637"/>
    <w:rsid w:val="00D94A44"/>
    <w:rsid w:val="00D95E18"/>
    <w:rsid w:val="00D96457"/>
    <w:rsid w:val="00D966A7"/>
    <w:rsid w:val="00D9725C"/>
    <w:rsid w:val="00DA3796"/>
    <w:rsid w:val="00DA48FE"/>
    <w:rsid w:val="00DA7006"/>
    <w:rsid w:val="00DB3997"/>
    <w:rsid w:val="00DC60C4"/>
    <w:rsid w:val="00DC6427"/>
    <w:rsid w:val="00DD4128"/>
    <w:rsid w:val="00DD66A1"/>
    <w:rsid w:val="00DE196D"/>
    <w:rsid w:val="00DF135E"/>
    <w:rsid w:val="00DF1C8F"/>
    <w:rsid w:val="00DF6B49"/>
    <w:rsid w:val="00E067C5"/>
    <w:rsid w:val="00E06A40"/>
    <w:rsid w:val="00E21A4A"/>
    <w:rsid w:val="00E265BF"/>
    <w:rsid w:val="00E378D8"/>
    <w:rsid w:val="00E43A12"/>
    <w:rsid w:val="00E46DD4"/>
    <w:rsid w:val="00E67C67"/>
    <w:rsid w:val="00E77476"/>
    <w:rsid w:val="00E8228B"/>
    <w:rsid w:val="00E834CD"/>
    <w:rsid w:val="00E83C65"/>
    <w:rsid w:val="00E85450"/>
    <w:rsid w:val="00E86B0F"/>
    <w:rsid w:val="00EC4BED"/>
    <w:rsid w:val="00EE4D0B"/>
    <w:rsid w:val="00EE5706"/>
    <w:rsid w:val="00EF373D"/>
    <w:rsid w:val="00F11595"/>
    <w:rsid w:val="00F13BC9"/>
    <w:rsid w:val="00F20CD5"/>
    <w:rsid w:val="00F350F0"/>
    <w:rsid w:val="00F357B2"/>
    <w:rsid w:val="00F36556"/>
    <w:rsid w:val="00F36B4A"/>
    <w:rsid w:val="00F432F3"/>
    <w:rsid w:val="00F672C9"/>
    <w:rsid w:val="00F70354"/>
    <w:rsid w:val="00F705DF"/>
    <w:rsid w:val="00F70622"/>
    <w:rsid w:val="00F81EED"/>
    <w:rsid w:val="00F85624"/>
    <w:rsid w:val="00F87C05"/>
    <w:rsid w:val="00F9010E"/>
    <w:rsid w:val="00F91748"/>
    <w:rsid w:val="00F93191"/>
    <w:rsid w:val="00F93A17"/>
    <w:rsid w:val="00FA2AF6"/>
    <w:rsid w:val="00FB073D"/>
    <w:rsid w:val="00FB394C"/>
    <w:rsid w:val="00FB771F"/>
    <w:rsid w:val="00FC4562"/>
    <w:rsid w:val="00FC5386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6A8A9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977EB9"/>
    <w:rPr>
      <w:rFonts w:ascii="Calibri" w:hAnsi="Calibri"/>
      <w:sz w:val="18"/>
      <w:lang w:val="fr-FR" w:eastAsia="en-US"/>
    </w:rPr>
  </w:style>
  <w:style w:type="paragraph" w:customStyle="1" w:styleId="Headingb0">
    <w:name w:val="Heading b"/>
    <w:basedOn w:val="Normal"/>
    <w:rsid w:val="005457A7"/>
    <w:rPr>
      <w:b/>
      <w:bCs/>
      <w:lang w:val="zh-CN" w:eastAsia="zh-CN"/>
    </w:rPr>
  </w:style>
  <w:style w:type="character" w:customStyle="1" w:styleId="TabletextChar">
    <w:name w:val="Table_text Char"/>
    <w:basedOn w:val="DefaultParagraphFont"/>
    <w:link w:val="Tabletext"/>
    <w:locked/>
    <w:rsid w:val="00EC4BED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63372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22FD-54FB-44D2-A2EB-1197B5EB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2</Pages>
  <Words>1231</Words>
  <Characters>134</Characters>
  <Application>Microsoft Office Word</Application>
  <DocSecurity>4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Austria, Belgium, Czech Republic, Finland, France, Hungary, Lithuania, Netherlands, Poland, Portugal, Slovakia, Slovenia, Spain, and Sweden to the third meeting of the CWG-SFP</dc:title>
  <dc:subject>Council Working Group for Strategic and Financial Plans 2024-2027</dc:subject>
  <dc:creator>Wang, Yujia</dc:creator>
  <cp:keywords>CWG-SFP</cp:keywords>
  <dc:description/>
  <cp:lastModifiedBy>Xue, Kun</cp:lastModifiedBy>
  <cp:revision>2</cp:revision>
  <cp:lastPrinted>2018-04-05T09:51:00Z</cp:lastPrinted>
  <dcterms:created xsi:type="dcterms:W3CDTF">2022-02-11T17:18:00Z</dcterms:created>
  <dcterms:modified xsi:type="dcterms:W3CDTF">2022-02-11T17:18:00Z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