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6033E0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6033E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6033E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6033E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6033E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6033E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6033E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6033E0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033E0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033E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6EBF5EC" w:rsidR="00821479" w:rsidRPr="006033E0" w:rsidRDefault="00A87CE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DF0C73"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>0</w:t>
            </w:r>
            <w:r w:rsidR="00756434"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>марта</w:t>
            </w:r>
            <w:r w:rsidR="00DF2730"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6033E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6033E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033E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6033E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6033E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033E0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6033E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1E2C1273" w:rsidR="00821479" w:rsidRPr="006033E0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033E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6033E0">
              <w:rPr>
                <w:b/>
                <w:bCs/>
                <w:szCs w:val="22"/>
                <w:lang w:val="ru-RU"/>
              </w:rPr>
              <w:t>CWG-SFP-</w:t>
            </w:r>
            <w:r w:rsidR="00A87CE4" w:rsidRPr="006033E0">
              <w:rPr>
                <w:b/>
                <w:bCs/>
                <w:szCs w:val="22"/>
                <w:lang w:val="ru-RU"/>
              </w:rPr>
              <w:t>4</w:t>
            </w:r>
            <w:r w:rsidR="0076356D" w:rsidRPr="006033E0">
              <w:rPr>
                <w:b/>
                <w:bCs/>
                <w:szCs w:val="22"/>
                <w:lang w:val="ru-RU"/>
              </w:rPr>
              <w:t>/</w:t>
            </w:r>
            <w:r w:rsidR="00375DFF" w:rsidRPr="006033E0">
              <w:rPr>
                <w:b/>
                <w:bCs/>
                <w:szCs w:val="22"/>
                <w:lang w:val="ru-RU"/>
              </w:rPr>
              <w:t>4</w:t>
            </w:r>
            <w:r w:rsidR="00821479" w:rsidRPr="006033E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6033E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6033E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177EC489" w:rsidR="00821479" w:rsidRPr="006033E0" w:rsidRDefault="00A87CE4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033E0">
              <w:rPr>
                <w:b/>
                <w:bCs/>
                <w:szCs w:val="22"/>
                <w:lang w:val="ru-RU"/>
              </w:rPr>
              <w:t>3 марта</w:t>
            </w:r>
            <w:r w:rsidR="00580C49" w:rsidRPr="006033E0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6033E0">
              <w:rPr>
                <w:b/>
                <w:bCs/>
                <w:szCs w:val="22"/>
                <w:lang w:val="ru-RU"/>
              </w:rPr>
              <w:t>20</w:t>
            </w:r>
            <w:r w:rsidR="00DF2730" w:rsidRPr="006033E0">
              <w:rPr>
                <w:b/>
                <w:bCs/>
                <w:szCs w:val="22"/>
                <w:lang w:val="ru-RU"/>
              </w:rPr>
              <w:t>2</w:t>
            </w:r>
            <w:r w:rsidR="00580C49" w:rsidRPr="006033E0">
              <w:rPr>
                <w:b/>
                <w:bCs/>
                <w:szCs w:val="22"/>
                <w:lang w:val="ru-RU"/>
              </w:rPr>
              <w:t>2</w:t>
            </w:r>
            <w:r w:rsidR="00821479" w:rsidRPr="006033E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6033E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6033E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6033E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033E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B80226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7954E704" w:rsidR="00DF2730" w:rsidRPr="006D56ED" w:rsidRDefault="006D56ED" w:rsidP="00C40C15">
            <w:pPr>
              <w:pStyle w:val="Title1"/>
              <w:spacing w:before="480"/>
              <w:rPr>
                <w:lang w:val="ru-RU"/>
              </w:rPr>
            </w:pPr>
            <w:r>
              <w:rPr>
                <w:b/>
                <w:caps w:val="0"/>
                <w:lang w:val="ru-RU"/>
              </w:rPr>
              <w:t>Вклад</w:t>
            </w:r>
            <w:r w:rsidRPr="006D56ED">
              <w:rPr>
                <w:b/>
                <w:caps w:val="0"/>
                <w:lang w:val="ru-RU"/>
              </w:rPr>
              <w:t xml:space="preserve"> </w:t>
            </w:r>
            <w:r>
              <w:rPr>
                <w:b/>
                <w:caps w:val="0"/>
                <w:lang w:val="ru-RU"/>
              </w:rPr>
              <w:t>Председателя</w:t>
            </w:r>
            <w:r w:rsidRPr="006D56ED">
              <w:rPr>
                <w:b/>
                <w:caps w:val="0"/>
                <w:lang w:val="ru-RU"/>
              </w:rPr>
              <w:t xml:space="preserve"> </w:t>
            </w:r>
            <w:r>
              <w:rPr>
                <w:b/>
                <w:caps w:val="0"/>
                <w:lang w:val="ru-RU"/>
              </w:rPr>
              <w:t>РГС</w:t>
            </w:r>
            <w:r w:rsidRPr="006D56ED">
              <w:rPr>
                <w:b/>
                <w:caps w:val="0"/>
                <w:lang w:val="ru-RU"/>
              </w:rPr>
              <w:t xml:space="preserve"> </w:t>
            </w:r>
            <w:r>
              <w:rPr>
                <w:b/>
                <w:caps w:val="0"/>
                <w:lang w:val="ru-RU"/>
              </w:rPr>
              <w:t>по</w:t>
            </w:r>
            <w:r w:rsidRPr="006D56ED">
              <w:rPr>
                <w:b/>
                <w:caps w:val="0"/>
                <w:lang w:val="ru-RU"/>
              </w:rPr>
              <w:t xml:space="preserve"> </w:t>
            </w:r>
            <w:r>
              <w:rPr>
                <w:b/>
                <w:caps w:val="0"/>
                <w:lang w:val="ru-RU"/>
              </w:rPr>
              <w:t>разработке</w:t>
            </w:r>
            <w:r>
              <w:rPr>
                <w:b/>
                <w:caps w:val="0"/>
                <w:lang w:val="ru-RU"/>
              </w:rPr>
              <w:br/>
              <w:t>Стратегического и Финансового планов на</w:t>
            </w:r>
            <w:r w:rsidR="00C67B72" w:rsidRPr="006D56ED">
              <w:rPr>
                <w:b/>
                <w:caps w:val="0"/>
                <w:lang w:val="ru-RU"/>
              </w:rPr>
              <w:t xml:space="preserve"> 2024−2027</w:t>
            </w:r>
            <w:r w:rsidR="00C67B72" w:rsidRPr="006D56ED">
              <w:rPr>
                <w:b/>
                <w:caps w:val="0"/>
              </w:rPr>
              <w:t> </w:t>
            </w:r>
            <w:r w:rsidR="00C67B72" w:rsidRPr="006033E0">
              <w:rPr>
                <w:b/>
                <w:caps w:val="0"/>
                <w:lang w:val="ru-RU"/>
              </w:rPr>
              <w:t>год</w:t>
            </w:r>
            <w:r>
              <w:rPr>
                <w:b/>
                <w:caps w:val="0"/>
                <w:lang w:val="ru-RU"/>
              </w:rPr>
              <w:t>ы</w:t>
            </w:r>
          </w:p>
        </w:tc>
      </w:tr>
      <w:tr w:rsidR="00821479" w:rsidRPr="00B80226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362C0F38" w14:textId="6B759378" w:rsidR="00375DFF" w:rsidRPr="00B80226" w:rsidRDefault="006D56ED" w:rsidP="00375DFF">
            <w:pPr>
              <w:spacing w:before="240" w:after="120"/>
              <w:jc w:val="center"/>
              <w:rPr>
                <w:caps/>
                <w:sz w:val="26"/>
                <w:szCs w:val="26"/>
                <w:lang w:val="ru-RU"/>
              </w:rPr>
            </w:pPr>
            <w:bookmarkStart w:id="1" w:name="_Hlk90019171"/>
            <w:r w:rsidRPr="00F51621">
              <w:rPr>
                <w:caps/>
                <w:sz w:val="26"/>
                <w:szCs w:val="26"/>
                <w:lang w:val="ru-RU"/>
              </w:rPr>
              <w:t>приложение</w:t>
            </w:r>
            <w:r w:rsidR="00375DFF" w:rsidRPr="00B80226">
              <w:rPr>
                <w:caps/>
                <w:sz w:val="26"/>
                <w:szCs w:val="26"/>
                <w:lang w:val="ru-RU"/>
              </w:rPr>
              <w:t xml:space="preserve"> 2 </w:t>
            </w:r>
            <w:r w:rsidRPr="00F51621">
              <w:rPr>
                <w:caps/>
                <w:sz w:val="26"/>
                <w:szCs w:val="26"/>
                <w:lang w:val="ru-RU"/>
              </w:rPr>
              <w:t>к</w:t>
            </w:r>
            <w:r w:rsidRPr="00B80226">
              <w:rPr>
                <w:caps/>
                <w:sz w:val="26"/>
                <w:szCs w:val="26"/>
                <w:lang w:val="ru-RU"/>
              </w:rPr>
              <w:t xml:space="preserve"> </w:t>
            </w:r>
            <w:r w:rsidRPr="00F51621">
              <w:rPr>
                <w:caps/>
                <w:sz w:val="26"/>
                <w:szCs w:val="26"/>
                <w:lang w:val="ru-RU"/>
              </w:rPr>
              <w:t>отчету</w:t>
            </w:r>
            <w:r w:rsidRPr="00B80226">
              <w:rPr>
                <w:caps/>
                <w:sz w:val="26"/>
                <w:szCs w:val="26"/>
                <w:lang w:val="ru-RU"/>
              </w:rPr>
              <w:t xml:space="preserve"> </w:t>
            </w:r>
            <w:r w:rsidRPr="00F51621">
              <w:rPr>
                <w:caps/>
                <w:sz w:val="26"/>
                <w:szCs w:val="26"/>
                <w:lang w:val="ru-RU"/>
              </w:rPr>
              <w:t>ргс</w:t>
            </w:r>
            <w:r w:rsidRPr="00B80226">
              <w:rPr>
                <w:caps/>
                <w:sz w:val="26"/>
                <w:szCs w:val="26"/>
                <w:lang w:val="ru-RU"/>
              </w:rPr>
              <w:t>-</w:t>
            </w:r>
            <w:r w:rsidRPr="00F51621">
              <w:rPr>
                <w:caps/>
                <w:sz w:val="26"/>
                <w:szCs w:val="26"/>
                <w:lang w:val="ru-RU"/>
              </w:rPr>
              <w:t>сфп</w:t>
            </w:r>
          </w:p>
          <w:p w14:paraId="1438F2E4" w14:textId="68AC079C" w:rsidR="00821479" w:rsidRPr="00F51621" w:rsidRDefault="00F51621" w:rsidP="00375DFF">
            <w:pPr>
              <w:pStyle w:val="Source"/>
              <w:spacing w:before="240"/>
              <w:rPr>
                <w:b w:val="0"/>
                <w:bCs/>
                <w:szCs w:val="26"/>
                <w:lang w:val="ru-RU"/>
              </w:rPr>
            </w:pPr>
            <w:r w:rsidRPr="00F51621">
              <w:rPr>
                <w:b w:val="0"/>
                <w:bCs/>
                <w:caps/>
                <w:szCs w:val="26"/>
                <w:lang w:val="ru-RU"/>
              </w:rPr>
              <w:t>проект</w:t>
            </w:r>
            <w:r w:rsidR="00375DFF" w:rsidRPr="00F51621">
              <w:rPr>
                <w:b w:val="0"/>
                <w:szCs w:val="26"/>
                <w:lang w:val="ru-RU"/>
              </w:rPr>
              <w:t xml:space="preserve"> </w:t>
            </w:r>
            <w:r w:rsidR="00375DFF" w:rsidRPr="00F51621">
              <w:rPr>
                <w:b w:val="0"/>
                <w:bCs/>
                <w:caps/>
                <w:szCs w:val="26"/>
                <w:lang w:val="ru-RU"/>
              </w:rPr>
              <w:t>ПРИЛОЖЕНИ</w:t>
            </w:r>
            <w:r w:rsidRPr="00F51621">
              <w:rPr>
                <w:b w:val="0"/>
                <w:bCs/>
                <w:caps/>
                <w:szCs w:val="26"/>
                <w:lang w:val="ru-RU"/>
              </w:rPr>
              <w:t>я</w:t>
            </w:r>
            <w:r w:rsidR="00375DFF" w:rsidRPr="00F51621">
              <w:rPr>
                <w:b w:val="0"/>
                <w:bCs/>
                <w:caps/>
                <w:szCs w:val="26"/>
                <w:lang w:val="ru-RU"/>
              </w:rPr>
              <w:t xml:space="preserve"> 2 К рЕЗОЛЮЦИИ 71: </w:t>
            </w:r>
            <w:r>
              <w:rPr>
                <w:b w:val="0"/>
                <w:bCs/>
                <w:caps/>
                <w:szCs w:val="26"/>
                <w:lang w:val="ru-RU"/>
              </w:rPr>
              <w:t xml:space="preserve">проект </w:t>
            </w:r>
            <w:r w:rsidR="00375DFF" w:rsidRPr="00F51621">
              <w:rPr>
                <w:b w:val="0"/>
                <w:bCs/>
                <w:caps/>
                <w:szCs w:val="26"/>
                <w:lang w:val="ru-RU"/>
              </w:rPr>
              <w:t>ситуационн</w:t>
            </w:r>
            <w:r>
              <w:rPr>
                <w:b w:val="0"/>
                <w:bCs/>
                <w:caps/>
                <w:szCs w:val="26"/>
                <w:lang w:val="ru-RU"/>
              </w:rPr>
              <w:t>ого</w:t>
            </w:r>
            <w:r w:rsidR="00375DFF" w:rsidRPr="00F51621">
              <w:rPr>
                <w:b w:val="0"/>
                <w:bCs/>
                <w:caps/>
                <w:szCs w:val="26"/>
                <w:lang w:val="ru-RU"/>
              </w:rPr>
              <w:t xml:space="preserve"> анализ</w:t>
            </w:r>
            <w:bookmarkEnd w:id="1"/>
            <w:r>
              <w:rPr>
                <w:b w:val="0"/>
                <w:bCs/>
                <w:caps/>
                <w:szCs w:val="26"/>
                <w:lang w:val="ru-RU"/>
              </w:rPr>
              <w:t>а</w:t>
            </w:r>
          </w:p>
        </w:tc>
      </w:tr>
      <w:tr w:rsidR="00DB2408" w:rsidRPr="004608CB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151596E7" w:rsidR="00DF0C73" w:rsidRPr="00F51621" w:rsidRDefault="00375DFF" w:rsidP="00375DFF">
            <w:pPr>
              <w:spacing w:after="120"/>
              <w:rPr>
                <w:lang w:val="ru-RU"/>
              </w:rPr>
            </w:pPr>
            <w:r w:rsidRPr="006D56ED">
              <w:rPr>
                <w:bCs/>
                <w:lang w:val="ru-RU"/>
              </w:rPr>
              <w:t>(</w:t>
            </w:r>
            <w:r w:rsidR="00C67B72" w:rsidRPr="006033E0">
              <w:rPr>
                <w:bCs/>
                <w:lang w:val="ru-RU"/>
              </w:rPr>
              <w:t>Примечание</w:t>
            </w:r>
            <w:r w:rsidR="006D56ED" w:rsidRPr="006D56ED">
              <w:rPr>
                <w:bCs/>
                <w:lang w:val="ru-RU"/>
              </w:rPr>
              <w:t xml:space="preserve">. – </w:t>
            </w:r>
            <w:r w:rsidR="006D56ED">
              <w:rPr>
                <w:bCs/>
                <w:lang w:val="ru-RU"/>
              </w:rPr>
              <w:t>В</w:t>
            </w:r>
            <w:r w:rsidR="006D56ED" w:rsidRPr="006D56ED">
              <w:rPr>
                <w:bCs/>
                <w:lang w:val="ru-RU"/>
              </w:rPr>
              <w:t xml:space="preserve"> </w:t>
            </w:r>
            <w:r w:rsidR="006D56ED">
              <w:rPr>
                <w:bCs/>
                <w:lang w:val="ru-RU"/>
              </w:rPr>
              <w:t>настоящем</w:t>
            </w:r>
            <w:r w:rsidR="006D56ED" w:rsidRPr="006D56ED">
              <w:rPr>
                <w:bCs/>
                <w:lang w:val="ru-RU"/>
              </w:rPr>
              <w:t xml:space="preserve"> </w:t>
            </w:r>
            <w:r w:rsidR="006D56ED">
              <w:rPr>
                <w:bCs/>
                <w:lang w:val="ru-RU"/>
              </w:rPr>
              <w:t>документе</w:t>
            </w:r>
            <w:r w:rsidR="006D56ED" w:rsidRPr="006D56ED">
              <w:rPr>
                <w:bCs/>
                <w:lang w:val="ru-RU"/>
              </w:rPr>
              <w:t xml:space="preserve"> </w:t>
            </w:r>
            <w:r w:rsidR="006D56ED">
              <w:rPr>
                <w:bCs/>
                <w:lang w:val="ru-RU"/>
              </w:rPr>
              <w:t>представлены</w:t>
            </w:r>
            <w:r w:rsidR="006D56ED" w:rsidRPr="006D56ED">
              <w:rPr>
                <w:bCs/>
                <w:lang w:val="ru-RU"/>
              </w:rPr>
              <w:t xml:space="preserve"> </w:t>
            </w:r>
            <w:r w:rsidR="006D56ED">
              <w:rPr>
                <w:bCs/>
                <w:lang w:val="ru-RU"/>
              </w:rPr>
              <w:t>итоги</w:t>
            </w:r>
            <w:r w:rsidR="006D56ED" w:rsidRPr="006D56ED">
              <w:rPr>
                <w:bCs/>
                <w:lang w:val="ru-RU"/>
              </w:rPr>
              <w:t xml:space="preserve"> </w:t>
            </w:r>
            <w:r w:rsidR="006D56ED">
              <w:rPr>
                <w:bCs/>
                <w:lang w:val="ru-RU"/>
              </w:rPr>
              <w:t>третьего</w:t>
            </w:r>
            <w:r w:rsidR="006D56ED" w:rsidRPr="006D56ED">
              <w:rPr>
                <w:bCs/>
                <w:lang w:val="ru-RU"/>
              </w:rPr>
              <w:t xml:space="preserve"> </w:t>
            </w:r>
            <w:r w:rsidR="006D56ED">
              <w:rPr>
                <w:bCs/>
                <w:lang w:val="ru-RU"/>
              </w:rPr>
              <w:t>собрания</w:t>
            </w:r>
            <w:r w:rsidR="00F51621">
              <w:rPr>
                <w:bCs/>
                <w:lang w:val="ru-RU"/>
              </w:rPr>
              <w:t xml:space="preserve"> </w:t>
            </w:r>
            <w:r w:rsidR="00F51621" w:rsidRPr="00F51621">
              <w:rPr>
                <w:caps/>
                <w:szCs w:val="22"/>
                <w:lang w:val="ru-RU"/>
              </w:rPr>
              <w:t>ргс-сфп</w:t>
            </w:r>
            <w:r w:rsidR="00F51621">
              <w:rPr>
                <w:caps/>
                <w:szCs w:val="22"/>
                <w:lang w:val="ru-RU"/>
              </w:rPr>
              <w:t>.</w:t>
            </w:r>
            <w:r w:rsidR="00C67B72" w:rsidRPr="006D56ED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Пересмотр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настоящего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документа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будет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представлен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Совету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после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четвертого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собрания</w:t>
            </w:r>
            <w:r w:rsidR="00F51621" w:rsidRPr="00F51621">
              <w:rPr>
                <w:lang w:val="ru-RU"/>
              </w:rPr>
              <w:t xml:space="preserve"> </w:t>
            </w:r>
            <w:r w:rsidR="00F51621" w:rsidRPr="00F51621">
              <w:rPr>
                <w:caps/>
                <w:szCs w:val="22"/>
                <w:lang w:val="ru-RU"/>
              </w:rPr>
              <w:t xml:space="preserve">ргс-сфп, </w:t>
            </w:r>
            <w:r w:rsidR="00F51621">
              <w:rPr>
                <w:szCs w:val="22"/>
                <w:lang w:val="ru-RU"/>
              </w:rPr>
              <w:t xml:space="preserve">провести которое планируется </w:t>
            </w:r>
            <w:r w:rsidR="00C67B72" w:rsidRPr="00F51621">
              <w:rPr>
                <w:lang w:val="ru-RU"/>
              </w:rPr>
              <w:t>20</w:t>
            </w:r>
            <w:r w:rsidR="00F51621">
              <w:rPr>
                <w:lang w:val="ru-RU"/>
              </w:rPr>
              <w:t> марта</w:t>
            </w:r>
            <w:r w:rsidR="00C67B72" w:rsidRPr="00F51621">
              <w:rPr>
                <w:lang w:val="ru-RU"/>
              </w:rPr>
              <w:t xml:space="preserve">. </w:t>
            </w:r>
            <w:r w:rsidR="00F51621">
              <w:rPr>
                <w:lang w:val="ru-RU"/>
              </w:rPr>
              <w:t>Текст</w:t>
            </w:r>
            <w:r w:rsidR="00F51621" w:rsidRPr="00F51621">
              <w:rPr>
                <w:lang w:val="ru-RU"/>
              </w:rPr>
              <w:t xml:space="preserve">, </w:t>
            </w:r>
            <w:r w:rsidR="00F51621" w:rsidRPr="00F51621">
              <w:rPr>
                <w:highlight w:val="cyan"/>
                <w:lang w:val="ru-RU"/>
              </w:rPr>
              <w:t>выделенный голубым</w:t>
            </w:r>
            <w:r w:rsidR="00F51621" w:rsidRPr="00F51621">
              <w:rPr>
                <w:lang w:val="ru-RU"/>
              </w:rPr>
              <w:t xml:space="preserve">, </w:t>
            </w:r>
            <w:r w:rsidR="00F51621">
              <w:rPr>
                <w:lang w:val="ru-RU"/>
              </w:rPr>
              <w:t>отражает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все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квадратные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скобки</w:t>
            </w:r>
            <w:r w:rsidR="00F51621" w:rsidRPr="00F51621">
              <w:rPr>
                <w:lang w:val="ru-RU"/>
              </w:rPr>
              <w:t xml:space="preserve">, </w:t>
            </w:r>
            <w:r w:rsidR="00F51621">
              <w:rPr>
                <w:lang w:val="ru-RU"/>
              </w:rPr>
              <w:t>внесенные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на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собрании</w:t>
            </w:r>
            <w:r w:rsidR="00F51621" w:rsidRPr="00F51621">
              <w:rPr>
                <w:lang w:val="ru-RU"/>
              </w:rPr>
              <w:t xml:space="preserve">, </w:t>
            </w:r>
            <w:r w:rsidR="00F51621">
              <w:rPr>
                <w:lang w:val="ru-RU"/>
              </w:rPr>
              <w:t>а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текст</w:t>
            </w:r>
            <w:r w:rsidR="00F51621" w:rsidRPr="00F51621">
              <w:rPr>
                <w:lang w:val="ru-RU"/>
              </w:rPr>
              <w:t xml:space="preserve">, </w:t>
            </w:r>
            <w:r w:rsidR="00F51621" w:rsidRPr="00F51621">
              <w:rPr>
                <w:highlight w:val="green"/>
                <w:lang w:val="ru-RU"/>
              </w:rPr>
              <w:t>выделенный зеленым</w:t>
            </w:r>
            <w:r w:rsidR="00F51621" w:rsidRPr="00F51621">
              <w:rPr>
                <w:lang w:val="ru-RU"/>
              </w:rPr>
              <w:t xml:space="preserve">, </w:t>
            </w:r>
            <w:r w:rsidR="00F51621">
              <w:rPr>
                <w:lang w:val="ru-RU"/>
              </w:rPr>
              <w:t>отражает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поправки</w:t>
            </w:r>
            <w:r w:rsidR="00F51621" w:rsidRPr="00F51621">
              <w:rPr>
                <w:lang w:val="ru-RU"/>
              </w:rPr>
              <w:t xml:space="preserve">, </w:t>
            </w:r>
            <w:r w:rsidR="00F51621">
              <w:rPr>
                <w:lang w:val="ru-RU"/>
              </w:rPr>
              <w:t>сделанные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после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собрания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для</w:t>
            </w:r>
            <w:r w:rsidR="00F51621" w:rsidRPr="00F51621">
              <w:rPr>
                <w:lang w:val="ru-RU"/>
              </w:rPr>
              <w:t xml:space="preserve"> </w:t>
            </w:r>
            <w:r w:rsidR="00F51621">
              <w:rPr>
                <w:lang w:val="ru-RU"/>
              </w:rPr>
              <w:t>представления соглашений, достигнутых в ходе обсуждения</w:t>
            </w:r>
            <w:r w:rsidR="00C67B72" w:rsidRPr="00F51621">
              <w:rPr>
                <w:lang w:val="ru-RU"/>
              </w:rPr>
              <w:t>.)</w:t>
            </w:r>
          </w:p>
        </w:tc>
      </w:tr>
    </w:tbl>
    <w:p w14:paraId="0FAD2363" w14:textId="741D3E59" w:rsidR="00375DFF" w:rsidRPr="00F51621" w:rsidRDefault="00375D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HAnsi" w:hAnsiTheme="minorHAnsi"/>
          <w:lang w:val="ru-RU"/>
        </w:rPr>
      </w:pPr>
      <w:r w:rsidRPr="00F51621">
        <w:rPr>
          <w:rFonts w:asciiTheme="minorHAnsi" w:eastAsiaTheme="minorHAnsi" w:hAnsiTheme="minorHAnsi"/>
          <w:lang w:val="ru-RU"/>
        </w:rPr>
        <w:br w:type="page"/>
      </w:r>
    </w:p>
    <w:p w14:paraId="70BC1500" w14:textId="765443A0" w:rsidR="00375DFF" w:rsidRPr="006033E0" w:rsidRDefault="00F51621" w:rsidP="00C67B72">
      <w:pPr>
        <w:pStyle w:val="AnnexNo"/>
        <w:rPr>
          <w:lang w:val="ru-RU"/>
        </w:rPr>
      </w:pPr>
      <w:r>
        <w:rPr>
          <w:lang w:val="ru-RU"/>
        </w:rPr>
        <w:lastRenderedPageBreak/>
        <w:t>проект</w:t>
      </w:r>
      <w:r w:rsidR="006033E0" w:rsidRPr="006033E0">
        <w:rPr>
          <w:lang w:val="ru-RU"/>
        </w:rPr>
        <w:t xml:space="preserve"> </w:t>
      </w:r>
      <w:r w:rsidR="00375DFF" w:rsidRPr="006033E0">
        <w:rPr>
          <w:lang w:val="ru-RU"/>
        </w:rPr>
        <w:t>ПРИЛОЖЕНИ</w:t>
      </w:r>
      <w:r>
        <w:rPr>
          <w:lang w:val="ru-RU"/>
        </w:rPr>
        <w:t>я</w:t>
      </w:r>
      <w:r w:rsidR="00375DFF" w:rsidRPr="006033E0">
        <w:rPr>
          <w:lang w:val="ru-RU"/>
        </w:rPr>
        <w:t xml:space="preserve"> 2</w:t>
      </w:r>
      <w:r w:rsidR="00C67B72" w:rsidRPr="006033E0">
        <w:rPr>
          <w:lang w:val="ru-RU"/>
        </w:rPr>
        <w:t xml:space="preserve"> </w:t>
      </w:r>
      <w:r w:rsidR="00375DFF" w:rsidRPr="006033E0">
        <w:rPr>
          <w:lang w:val="ru-RU"/>
        </w:rPr>
        <w:t>К РЕЗОЛЮЦИИ 71: СИТУАЦИОННЫЙ АНАЛИЗ</w:t>
      </w:r>
    </w:p>
    <w:p w14:paraId="6C243756" w14:textId="77777777" w:rsidR="00375DFF" w:rsidRPr="006033E0" w:rsidRDefault="00375DFF" w:rsidP="00375DFF">
      <w:pPr>
        <w:pStyle w:val="Heading1"/>
        <w:rPr>
          <w:lang w:val="ru-RU"/>
        </w:rPr>
      </w:pPr>
      <w:r w:rsidRPr="006033E0">
        <w:rPr>
          <w:lang w:val="ru-RU"/>
        </w:rPr>
        <w:t>1</w:t>
      </w:r>
      <w:r w:rsidRPr="006033E0">
        <w:rPr>
          <w:lang w:val="ru-RU"/>
        </w:rPr>
        <w:tab/>
        <w:t>МСЭ как часть системы Организации Объединенных Наций</w:t>
      </w:r>
    </w:p>
    <w:p w14:paraId="446BCEDC" w14:textId="77214842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</w:t>
      </w:r>
      <w:r w:rsidRPr="006033E0">
        <w:rPr>
          <w:lang w:val="ru-RU"/>
        </w:rPr>
        <w:tab/>
        <w:t>МСЭ – специализированное учреждение Организации Объединенных Наций в области электросвязи/</w:t>
      </w:r>
      <w:r w:rsidR="00BC6F89">
        <w:rPr>
          <w:lang w:val="ru-RU"/>
        </w:rPr>
        <w:t>информационно-коммуникационных технологий</w:t>
      </w:r>
      <w:r w:rsidR="006E2744" w:rsidRPr="006033E0">
        <w:rPr>
          <w:lang w:val="ru-RU"/>
        </w:rPr>
        <w:t xml:space="preserve"> (ИКТ)</w:t>
      </w:r>
      <w:r w:rsidRPr="006033E0">
        <w:rPr>
          <w:lang w:val="ru-RU"/>
        </w:rPr>
        <w:t>. МСЭ осуществляет распределение глобального радиочастотного спектра и связанных с ним ресурсов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располагают, чтобы никто не был забыт. Целью работы МСЭ являются защита и поддержка основополагающего права каждого на общение.</w:t>
      </w:r>
    </w:p>
    <w:p w14:paraId="76EBA80F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2</w:t>
      </w:r>
      <w:r w:rsidRPr="006033E0">
        <w:rPr>
          <w:lang w:val="ru-RU"/>
        </w:rPr>
        <w:tab/>
        <w:t>Основой МСЭ со времени его создания в 1865 году является партнерство разнообразных членов. Ввиду этого он занимает уникальное положение в системе ООН, объединяя 193 Государства</w:t>
      </w:r>
      <w:r w:rsidRPr="006033E0">
        <w:rPr>
          <w:lang w:val="ru-RU"/>
        </w:rPr>
        <w:noBreakHyphen/>
        <w:t>Члена, свыше 900 компаний частного сектора, высших учебных заведений и организаций гражданского общества, совместно работающих для использования мощи электросвязи/ИКТ с целью содействия возможности установления универсальных и приемлемых в ценовом отношении соединений для всех.</w:t>
      </w:r>
    </w:p>
    <w:p w14:paraId="499B34FE" w14:textId="77777777" w:rsidR="00375DFF" w:rsidRPr="006033E0" w:rsidRDefault="00375DFF" w:rsidP="00375DFF">
      <w:pPr>
        <w:pStyle w:val="Heading1"/>
        <w:rPr>
          <w:lang w:val="ru-RU"/>
        </w:rPr>
      </w:pPr>
      <w:r w:rsidRPr="006033E0">
        <w:rPr>
          <w:lang w:val="ru-RU"/>
        </w:rPr>
        <w:t>2</w:t>
      </w:r>
      <w:r w:rsidRPr="006033E0">
        <w:rPr>
          <w:lang w:val="ru-RU"/>
        </w:rPr>
        <w:tab/>
        <w:t>Динамика после Полномочной конференции МСЭ 2018 года</w:t>
      </w:r>
    </w:p>
    <w:p w14:paraId="624CE3B1" w14:textId="77777777" w:rsidR="00375DFF" w:rsidRPr="006033E0" w:rsidRDefault="00375DFF" w:rsidP="00375DFF">
      <w:pPr>
        <w:pStyle w:val="Heading2"/>
        <w:rPr>
          <w:lang w:val="ru-RU"/>
        </w:rPr>
      </w:pPr>
      <w:r w:rsidRPr="006033E0">
        <w:rPr>
          <w:lang w:val="ru-RU"/>
        </w:rPr>
        <w:t>2.1</w:t>
      </w:r>
      <w:r w:rsidRPr="006033E0">
        <w:rPr>
          <w:lang w:val="ru-RU"/>
        </w:rPr>
        <w:tab/>
        <w:t>Динамика в системе ООН</w:t>
      </w:r>
    </w:p>
    <w:p w14:paraId="3AC7DAF6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3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В системе Организации Объединенных Наций в целом одним из основных приоритетов стали цифровая трансформация и сотрудничество</w:t>
      </w:r>
      <w:r w:rsidRPr="006033E0">
        <w:rPr>
          <w:lang w:val="ru-RU"/>
        </w:rPr>
        <w:t>. Стремительный прогресс цифровых технологий преобразует социально-экономические реалии в глобальном масштабе</w:t>
      </w:r>
      <w:r w:rsidRPr="006033E0">
        <w:rPr>
          <w:rFonts w:eastAsia="Calibri"/>
          <w:lang w:val="ru-RU"/>
        </w:rPr>
        <w:t>. Ввиду этого цифровая трансформация стала считаться одним из основных приоритетов во всей системе ООН, в особенности для поддержки достижения Целей в области устойчивого развития (ЦУР). Следует отметить, что в стратегиях и приоритетах Генерального секретаря ООН все большее внимание уделяется вопросам цифровой безопасности и кибербезопасности, растет число резолюций Генеральной Ассамблеи ООН и других организаций системы ООН по цифровым технологиям, а многие организации системы ООН осуществляют стратегии и инициативы в области цифровой трансформации для своих программ, фондов и внутренних процессов. Также все чаще проводятся конференции и международные дни ООН по цифровой тематике. В частности, Генеральный секретарь ООН изложил свою концепцию открытого, свободного и безопасного цифрового будущего для всех в "Дорожной карте по цифровому сотрудничеству", опубликованной в июне 2020 года</w:t>
      </w:r>
      <w:r w:rsidRPr="006033E0">
        <w:rPr>
          <w:rStyle w:val="FootnoteReference"/>
          <w:rFonts w:eastAsia="Calibri" w:cs="Calibri"/>
          <w:lang w:val="ru-RU"/>
        </w:rPr>
        <w:footnoteReference w:id="1"/>
      </w:r>
      <w:r w:rsidRPr="006033E0">
        <w:rPr>
          <w:rFonts w:eastAsia="Calibri"/>
          <w:lang w:val="ru-RU"/>
        </w:rPr>
        <w:t>. Она была подкреплена комплексом рекомендаций, соответствующих обязательствам, принятым государствами-членами в "</w:t>
      </w:r>
      <w:r w:rsidRPr="006033E0">
        <w:rPr>
          <w:lang w:val="ru-RU"/>
        </w:rPr>
        <w:t>Декларации о праздновании семьдесят пятой годовщины Организации Объединенных Наций"</w:t>
      </w:r>
      <w:r w:rsidRPr="006033E0">
        <w:rPr>
          <w:rStyle w:val="FootnoteReference"/>
          <w:rFonts w:eastAsia="Calibri"/>
          <w:lang w:val="ru-RU"/>
        </w:rPr>
        <w:footnoteReference w:id="2"/>
      </w:r>
      <w:r w:rsidRPr="006033E0">
        <w:rPr>
          <w:lang w:val="ru-RU"/>
        </w:rPr>
        <w:t>, в его недавнем докладе "Наша общая повестка дня", выпущенном в сентябре 2021 года</w:t>
      </w:r>
      <w:r w:rsidRPr="006033E0">
        <w:rPr>
          <w:rStyle w:val="FootnoteReference"/>
          <w:rFonts w:eastAsia="Calibri"/>
          <w:lang w:val="ru-RU"/>
        </w:rPr>
        <w:footnoteReference w:id="3"/>
      </w:r>
      <w:r w:rsidRPr="006033E0">
        <w:rPr>
          <w:lang w:val="ru-RU"/>
        </w:rPr>
        <w:t>.</w:t>
      </w:r>
    </w:p>
    <w:p w14:paraId="2027EB28" w14:textId="784AE711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4</w:t>
      </w:r>
      <w:r w:rsidRPr="006033E0">
        <w:rPr>
          <w:lang w:val="ru-RU"/>
        </w:rPr>
        <w:tab/>
        <w:t xml:space="preserve">Эта динамика в системе ООН может создать параллельные направления работы и связанные с ними моменты неэффективности в организациях системы ООН, работа которых частично совпадает с мандатом МСЭ в областях электросвязи/ИКТ, таких как </w:t>
      </w:r>
      <w:r w:rsidRPr="006033E0">
        <w:rPr>
          <w:color w:val="000000"/>
          <w:lang w:val="ru-RU"/>
        </w:rPr>
        <w:t>универсальная возможность установления соединений</w:t>
      </w:r>
      <w:r w:rsidRPr="006033E0">
        <w:rPr>
          <w:lang w:val="ru-RU"/>
        </w:rPr>
        <w:t xml:space="preserve">. Это может также помешать созданию МСЭ ценностей при поддержке цифровой трансформации у своих членов. В то же время эти изменения могут также открыть перспективы </w:t>
      </w:r>
      <w:r w:rsidRPr="006033E0">
        <w:rPr>
          <w:lang w:val="ru-RU"/>
        </w:rPr>
        <w:lastRenderedPageBreak/>
        <w:t xml:space="preserve">укрепления уникальной роли МСЭ как ведущей организации в области электросвязи/ИКТ. В частности, МСЭ может сотрудничать и участвовать в направлениях работы организаций системы ООН для увеличения синергии, совместного использования знаний и производства нового и увеличенного финансирования, а также для поддержки инициатив в области электросвязи/ИКТ на глобальном, региональном и местном уровнях. Так, МСЭ уже участвует в направлениях деятельности ООН, возглавляя реализацию </w:t>
      </w:r>
      <w:r w:rsidRPr="006033E0">
        <w:rPr>
          <w:rFonts w:eastAsia="Calibri"/>
          <w:lang w:val="ru-RU"/>
        </w:rPr>
        <w:t>Дорожной карты Генерального секретаря по цифровому сотрудничеству и поддерживая деятельность в рамках ООН в целом по осуществлению "Нашей общей повестки дня"</w:t>
      </w:r>
      <w:r w:rsidRPr="006033E0">
        <w:rPr>
          <w:lang w:val="ru-RU"/>
        </w:rPr>
        <w:t>. В целом это даст МСЭ возможность выполнять свои мандаты в программной, оперативной и управленческой сферах при большей согласованности и координации в рамках системы ООН, а также обеспечивать укрепление своих приоритетов и отражения их в работе в рамках всей системы ООН, намеченных результатах деятельности и пунктах повестки дня.</w:t>
      </w:r>
    </w:p>
    <w:p w14:paraId="36752490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5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Реформирование системы развития ООН предусматривает ряд далекоидущих изменений с целью поддержки государств-членов в достижении Целей в области устойчивого развития</w:t>
      </w:r>
      <w:r w:rsidRPr="006033E0">
        <w:rPr>
          <w:lang w:val="ru-RU"/>
        </w:rPr>
        <w:t>. Следствием принятия Повестки дня на период до 2030 года явились радикальные изменения в Системе развития ООН (</w:t>
      </w:r>
      <w:r w:rsidRPr="006033E0">
        <w:rPr>
          <w:color w:val="000000"/>
          <w:lang w:val="ru-RU"/>
        </w:rPr>
        <w:t>СРООН</w:t>
      </w:r>
      <w:r w:rsidRPr="006033E0">
        <w:rPr>
          <w:lang w:val="ru-RU"/>
        </w:rPr>
        <w:t xml:space="preserve">), включая </w:t>
      </w:r>
      <w:r w:rsidRPr="006033E0">
        <w:rPr>
          <w:color w:val="000000"/>
          <w:lang w:val="ru-RU"/>
        </w:rPr>
        <w:t>введение нового поколения страновых групп ООН</w:t>
      </w:r>
      <w:r w:rsidRPr="006033E0">
        <w:rPr>
          <w:lang w:val="ru-RU"/>
        </w:rPr>
        <w:t xml:space="preserve">, </w:t>
      </w:r>
      <w:r w:rsidRPr="006033E0">
        <w:rPr>
          <w:color w:val="000000"/>
          <w:lang w:val="ru-RU"/>
        </w:rPr>
        <w:t>сосредоточенных на проведении общей страновой оценки (ОСО) и реализации стратегической Рамочной программы ООН по сотрудничеству в области устойчивого развития (РПООНУР) под руководством независимых и наделенных полномочиями координаторов-резидентов (КР)</w:t>
      </w:r>
      <w:r w:rsidRPr="006033E0">
        <w:rPr>
          <w:rStyle w:val="FootnoteReference"/>
          <w:rFonts w:eastAsia="Calibri" w:cs="Calibri"/>
          <w:lang w:val="ru-RU"/>
        </w:rPr>
        <w:footnoteReference w:id="4"/>
      </w:r>
      <w:r w:rsidRPr="006033E0">
        <w:rPr>
          <w:lang w:val="ru-RU"/>
        </w:rPr>
        <w:t xml:space="preserve">. В частности, </w:t>
      </w:r>
      <w:r w:rsidRPr="006033E0">
        <w:rPr>
          <w:color w:val="000000"/>
          <w:lang w:val="ru-RU"/>
        </w:rPr>
        <w:t>РПООНУР</w:t>
      </w:r>
      <w:r w:rsidRPr="006033E0">
        <w:rPr>
          <w:lang w:val="ru-RU"/>
        </w:rPr>
        <w:t xml:space="preserve"> подчеркивает коллективное стремление </w:t>
      </w:r>
      <w:r w:rsidRPr="006033E0">
        <w:rPr>
          <w:color w:val="000000"/>
          <w:lang w:val="ru-RU"/>
        </w:rPr>
        <w:t>СРООН</w:t>
      </w:r>
      <w:r w:rsidRPr="006033E0">
        <w:rPr>
          <w:lang w:val="ru-RU"/>
        </w:rPr>
        <w:t xml:space="preserve"> оказывать странам помощь в отношении приоритетов и пробелов в ЦУР; эта программа также повышает подотчетность страновых групп ООН и принимающих правительств по коллективному представлению результатов развития. Для этого в системе ООН ОСО применяется и для проведения независимой, беспристрастной и коллективной оценки хода работы стран, их перспектив и проблем в отношении выполнения своих обязательств по Повестке дня на период до 2030 года, нормам и стандартам ООН и принципам Устава ООН, </w:t>
      </w:r>
      <w:r w:rsidRPr="006033E0">
        <w:rPr>
          <w:color w:val="000000"/>
          <w:lang w:val="ru-RU"/>
        </w:rPr>
        <w:t>как это отражено в Руководящих принципах Рамочной программы по сотрудничеству</w:t>
      </w:r>
      <w:r w:rsidRPr="006033E0">
        <w:rPr>
          <w:lang w:val="ru-RU"/>
        </w:rPr>
        <w:t xml:space="preserve">. </w:t>
      </w:r>
      <w:r w:rsidRPr="006033E0">
        <w:rPr>
          <w:color w:val="000000"/>
          <w:lang w:val="ru-RU"/>
        </w:rPr>
        <w:t>СРООН</w:t>
      </w:r>
      <w:r w:rsidRPr="006033E0">
        <w:rPr>
          <w:lang w:val="ru-RU"/>
        </w:rPr>
        <w:t xml:space="preserve"> также совершенствует и развивает общие хозяйственные операции благодаря взаимному признанию передового опыта в области политики и процедур</w:t>
      </w:r>
      <w:r w:rsidRPr="006033E0">
        <w:rPr>
          <w:rStyle w:val="FootnoteReference"/>
          <w:rFonts w:eastAsia="Calibri" w:cs="Calibri"/>
          <w:lang w:val="ru-RU"/>
        </w:rPr>
        <w:footnoteReference w:id="5"/>
      </w:r>
      <w:r w:rsidRPr="006033E0">
        <w:rPr>
          <w:lang w:val="ru-RU"/>
        </w:rPr>
        <w:t xml:space="preserve">. Это дает организациям системы ООН возможность использовать направления политики, процедуры, системы контрактов и связанные с этим оперативные механизмы других организаций системы ООН для осуществления своих мандатов, без дополнительной оценки, проверок или утверждений. </w:t>
      </w:r>
    </w:p>
    <w:p w14:paraId="470889A5" w14:textId="349A878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6</w:t>
      </w:r>
      <w:r w:rsidRPr="006033E0">
        <w:rPr>
          <w:lang w:val="ru-RU"/>
        </w:rPr>
        <w:tab/>
        <w:t xml:space="preserve">Для обеспечения применимости системы ООН для МСЭ Союз может и далее взаимодействовать с реформированной СРООН, в особенности с системой </w:t>
      </w:r>
      <w:r w:rsidR="00BC6F89" w:rsidRPr="00BC6F89">
        <w:rPr>
          <w:color w:val="000000"/>
          <w:lang w:val="ru-RU"/>
        </w:rPr>
        <w:t>обладающи</w:t>
      </w:r>
      <w:r w:rsidR="00BC6F89">
        <w:rPr>
          <w:color w:val="000000"/>
          <w:lang w:val="ru-RU"/>
        </w:rPr>
        <w:t>х</w:t>
      </w:r>
      <w:r w:rsidR="00BC6F89" w:rsidRPr="00BC6F89">
        <w:rPr>
          <w:color w:val="000000"/>
          <w:lang w:val="ru-RU"/>
        </w:rPr>
        <w:t xml:space="preserve"> необходимыми полномочиями координаторо</w:t>
      </w:r>
      <w:r w:rsidR="00BC6F89">
        <w:rPr>
          <w:color w:val="000000"/>
          <w:lang w:val="ru-RU"/>
        </w:rPr>
        <w:t>в</w:t>
      </w:r>
      <w:r w:rsidR="00BC6F89" w:rsidRPr="00BC6F89">
        <w:rPr>
          <w:color w:val="000000"/>
          <w:lang w:val="ru-RU"/>
        </w:rPr>
        <w:t>-резиденто</w:t>
      </w:r>
      <w:r w:rsidR="00BC6F89">
        <w:rPr>
          <w:color w:val="000000"/>
          <w:lang w:val="ru-RU"/>
        </w:rPr>
        <w:t>в</w:t>
      </w:r>
      <w:r w:rsidR="00BC6F89" w:rsidRPr="00BC6F89">
        <w:rPr>
          <w:color w:val="000000"/>
          <w:lang w:val="ru-RU"/>
        </w:rPr>
        <w:t xml:space="preserve"> </w:t>
      </w:r>
      <w:r w:rsidR="00BC6F89">
        <w:rPr>
          <w:color w:val="000000"/>
          <w:lang w:val="ru-RU"/>
        </w:rPr>
        <w:t>(</w:t>
      </w:r>
      <w:r w:rsidRPr="006033E0">
        <w:rPr>
          <w:lang w:val="ru-RU"/>
        </w:rPr>
        <w:t>КР</w:t>
      </w:r>
      <w:r w:rsidR="00BC6F89">
        <w:rPr>
          <w:lang w:val="ru-RU"/>
        </w:rPr>
        <w:t>)</w:t>
      </w:r>
      <w:r w:rsidRPr="006033E0">
        <w:rPr>
          <w:lang w:val="ru-RU"/>
        </w:rPr>
        <w:t xml:space="preserve">. В частности, Союз может принимать меры для повышения информированности КР о мандате и функциях МСЭ, привлекая их к собраниям и консультациям с Членами. Союз может также далее использовать региональное присутствие МСЭ и поддерживать региональные отделения при взаимодействии с КР в рамках ОСО и </w:t>
      </w:r>
      <w:r w:rsidRPr="006033E0">
        <w:rPr>
          <w:color w:val="000000"/>
          <w:lang w:val="ru-RU"/>
        </w:rPr>
        <w:t>РПООНУР</w:t>
      </w:r>
      <w:r w:rsidRPr="006033E0">
        <w:rPr>
          <w:lang w:val="ru-RU"/>
        </w:rPr>
        <w:t xml:space="preserve">. Наряду с этим, для расширения своего участия в ОСО и других периодических обзорах ООН МСЭ может предоставлять руководящие указания или данные по конкретным странам или регионам, касающиеся электросвязи/ИКТ. В то же время МСЭ может продолжать расширять свою роль в системе ООН на настоящее время. Организация является стороной </w:t>
      </w:r>
      <w:r w:rsidRPr="006033E0">
        <w:rPr>
          <w:color w:val="000000"/>
          <w:lang w:val="ru-RU"/>
        </w:rPr>
        <w:t>РПООНУР</w:t>
      </w:r>
      <w:r w:rsidRPr="006033E0">
        <w:rPr>
          <w:lang w:val="ru-RU"/>
        </w:rPr>
        <w:t xml:space="preserve"> и тесно сотрудничает с </w:t>
      </w:r>
      <w:r w:rsidRPr="006033E0">
        <w:rPr>
          <w:color w:val="000000"/>
          <w:lang w:val="ru-RU"/>
        </w:rPr>
        <w:t>Управлением ООН по координации оперативной деятельности в целях развития (УКОР)</w:t>
      </w:r>
      <w:r w:rsidRPr="006033E0">
        <w:rPr>
          <w:lang w:val="ru-RU"/>
        </w:rPr>
        <w:t xml:space="preserve"> для представления предложений КР, а также участвовала в виртуальных брифингах, проводимых УКОР. Директорам региональных отделений МСЭ также регулярно предоставляются сведения о новых событиях, включая обновляемые руководящие указания по взаимодействию КР и организаций системы ООН, такие как пересмотренная </w:t>
      </w:r>
      <w:r w:rsidRPr="006033E0">
        <w:rPr>
          <w:color w:val="000000"/>
          <w:lang w:val="ru-RU"/>
        </w:rPr>
        <w:t>Рамочная программа по вопросам управления и подотчетности, которая была недавно опубликована с включением национальных, региональных и глобальных глав</w:t>
      </w:r>
      <w:r w:rsidRPr="006033E0">
        <w:rPr>
          <w:lang w:val="ru-RU"/>
        </w:rPr>
        <w:t>.</w:t>
      </w:r>
    </w:p>
    <w:p w14:paraId="2D9556E9" w14:textId="77777777" w:rsidR="00375DFF" w:rsidRPr="006033E0" w:rsidRDefault="00375DFF" w:rsidP="00375DFF">
      <w:pPr>
        <w:pStyle w:val="Heading2"/>
        <w:rPr>
          <w:rFonts w:eastAsiaTheme="minorHAnsi"/>
          <w:lang w:val="ru-RU"/>
        </w:rPr>
      </w:pPr>
      <w:r w:rsidRPr="006033E0">
        <w:rPr>
          <w:rFonts w:eastAsiaTheme="minorHAnsi"/>
          <w:lang w:val="ru-RU"/>
        </w:rPr>
        <w:lastRenderedPageBreak/>
        <w:t>2.2</w:t>
      </w:r>
      <w:r w:rsidRPr="006033E0">
        <w:rPr>
          <w:rFonts w:eastAsiaTheme="minorHAnsi"/>
          <w:lang w:val="ru-RU"/>
        </w:rPr>
        <w:tab/>
        <w:t>Динамика в области электросвязи и ИКТ</w:t>
      </w:r>
    </w:p>
    <w:p w14:paraId="5533E58F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7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Пандемия COVID-19 показала решающую роль электросвязи и ИКТ в соединении обществ и ускорении цифровой трансформации</w:t>
      </w:r>
      <w:r w:rsidRPr="006033E0">
        <w:rPr>
          <w:lang w:val="ru-RU"/>
        </w:rPr>
        <w:t>. Кризис COVID-19 создал беспрецедентный спрос на сети связи. В результате глобальных мер изоляции и увеличения масштабов телеработы, дистанционного обучения, дистанционного досуга и телемедицины трафик интернета возрос на 30%</w:t>
      </w:r>
      <w:r w:rsidRPr="006033E0">
        <w:rPr>
          <w:rStyle w:val="FootnoteReference"/>
          <w:lang w:val="ru-RU"/>
        </w:rPr>
        <w:footnoteReference w:id="6"/>
      </w:r>
      <w:r w:rsidRPr="006033E0">
        <w:rPr>
          <w:lang w:val="ru-RU"/>
        </w:rPr>
        <w:t xml:space="preserve">. Потребители стали больше полагаться на цифровые инструменты, и 74% пользователей в мире сообщают о значительном увеличении использования интернета </w:t>
      </w:r>
      <w:r w:rsidRPr="006033E0">
        <w:rPr>
          <w:color w:val="000000"/>
          <w:lang w:val="ru-RU"/>
        </w:rPr>
        <w:t>в периоды мер изоляции, связанных с пандемией COVID-19</w:t>
      </w:r>
      <w:r w:rsidRPr="006033E0">
        <w:rPr>
          <w:rStyle w:val="FootnoteReference"/>
          <w:lang w:val="ru-RU"/>
        </w:rPr>
        <w:footnoteReference w:id="7"/>
      </w:r>
      <w:r w:rsidRPr="006033E0">
        <w:rPr>
          <w:lang w:val="ru-RU"/>
        </w:rPr>
        <w:t>. Для удовлетворения этих постоянно развивающихся потребностей пользователей стремительно увеличиваются масштабы применения новых технологий. Сохраняются темпы развертывания сетей 5G, что дает возможность быстрее устанавливать соединения на большие расстояния. С марта 2020 года в строй вводится в среднем восемь новых сетей 5G, тогда как в 2019 году этот показатель равнялся шести</w:t>
      </w:r>
      <w:r w:rsidRPr="006033E0">
        <w:rPr>
          <w:rStyle w:val="FootnoteReference"/>
          <w:lang w:val="ru-RU"/>
        </w:rPr>
        <w:footnoteReference w:id="8"/>
      </w:r>
      <w:r w:rsidRPr="006033E0">
        <w:rPr>
          <w:lang w:val="ru-RU"/>
        </w:rPr>
        <w:t>. Инфраструктура ИТ также развивается и становится более демократичной. Трафик интернета в облаке за время пандемии удвоился по сравнению с 2019 годом</w:t>
      </w:r>
      <w:r w:rsidRPr="006033E0">
        <w:rPr>
          <w:rStyle w:val="FootnoteReference"/>
          <w:lang w:val="ru-RU"/>
        </w:rPr>
        <w:footnoteReference w:id="9"/>
      </w:r>
      <w:r w:rsidRPr="006033E0">
        <w:rPr>
          <w:lang w:val="ru-RU"/>
        </w:rPr>
        <w:t xml:space="preserve">. Наряду с этим развиваются и распространяются </w:t>
      </w:r>
      <w:proofErr w:type="spellStart"/>
      <w:r w:rsidRPr="006033E0">
        <w:rPr>
          <w:lang w:val="ru-RU"/>
        </w:rPr>
        <w:t>IoT</w:t>
      </w:r>
      <w:proofErr w:type="spellEnd"/>
      <w:r w:rsidRPr="006033E0">
        <w:rPr>
          <w:lang w:val="ru-RU"/>
        </w:rPr>
        <w:t>, квантовые вычисления и ИИ. Эти технологии обладают потенциалом повышения эксплуатационной эффективности, ускорения автоматизации и раскрытия новых способностей</w:t>
      </w:r>
      <w:r w:rsidRPr="006033E0">
        <w:rPr>
          <w:rStyle w:val="FootnoteReference"/>
          <w:lang w:val="ru-RU"/>
        </w:rPr>
        <w:footnoteReference w:id="10"/>
      </w:r>
      <w:r w:rsidRPr="006033E0">
        <w:rPr>
          <w:lang w:val="ru-RU"/>
        </w:rPr>
        <w:t>. Кризис COVID-19 показал, что появляющиеся технологии необходимы для функционирования нашего общества и экономики, а также для обеспечения критической инфраструктуры. По мере развития цифровизации растет значение обеспечения справедливого и устойчивого развития.</w:t>
      </w:r>
    </w:p>
    <w:p w14:paraId="42FA92A3" w14:textId="49563B75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8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В то же время</w:t>
      </w:r>
      <w:r w:rsidRPr="006033E0">
        <w:rPr>
          <w:lang w:val="ru-RU"/>
        </w:rPr>
        <w:t xml:space="preserve"> </w:t>
      </w:r>
      <w:r w:rsidRPr="006033E0">
        <w:rPr>
          <w:b/>
          <w:bCs/>
          <w:lang w:val="ru-RU"/>
        </w:rPr>
        <w:t>из-за социально-экономического воздействия пандемии уязвимые сообщества оказались забытыми</w:t>
      </w:r>
      <w:r w:rsidRPr="009B54C9">
        <w:rPr>
          <w:lang w:val="ru-RU"/>
        </w:rPr>
        <w:t xml:space="preserve">. </w:t>
      </w:r>
      <w:r w:rsidRPr="006033E0">
        <w:rPr>
          <w:lang w:val="ru-RU"/>
        </w:rPr>
        <w:t>Из-за пандемии увеличились различия в инвестициях в области электросвязи/ИКТ и в развитии инфраструктуры в различных странах. В развитых странах капитальные инвестиции в области электросвязи/ИКТ увеличились в связи с ростом интернет-трафика, что привело к распространению инфраструктуры 5G и волоконно-оптической связи. В развивающихся странах снизились капитальные инвестиции и расходы на душу населения, а темпы развития покрытия 4G и 5G замедлились. Связь 5G в настоящее время охватывает 3% населения в Латинской Америке и 0% в Африке. Таким образом, при стремительных темпах цифровизации после COVID-19 лишенные приемлемых в ценовом отношении возможностей установления соединений рискуют оказаться забытыми еще в большей степени. В 2021 году около 2,9 млрд. человек лишены доступа к интернету, и 96% из них живут в развивающихся странах</w:t>
      </w:r>
      <w:r w:rsidRPr="006033E0">
        <w:rPr>
          <w:rStyle w:val="FootnoteReference"/>
          <w:lang w:val="ru-RU"/>
        </w:rPr>
        <w:footnoteReference w:id="11"/>
      </w:r>
      <w:r w:rsidRPr="006033E0">
        <w:rPr>
          <w:lang w:val="ru-RU"/>
        </w:rPr>
        <w:t xml:space="preserve">. В частности, в определенных ООН </w:t>
      </w:r>
      <w:r w:rsidRPr="00BC6F89">
        <w:rPr>
          <w:highlight w:val="green"/>
          <w:lang w:val="ru-RU"/>
        </w:rPr>
        <w:t>наименее развитых странах (НРС)</w:t>
      </w:r>
      <w:r w:rsidR="00542135" w:rsidRPr="00BC6F89">
        <w:rPr>
          <w:rStyle w:val="FootnoteReference"/>
          <w:highlight w:val="green"/>
          <w:lang w:val="ru-RU"/>
        </w:rPr>
        <w:footnoteReference w:id="12"/>
      </w:r>
      <w:r w:rsidRPr="006033E0">
        <w:rPr>
          <w:lang w:val="ru-RU"/>
        </w:rPr>
        <w:t xml:space="preserve"> значительными барьерами для принятия цифровых инструментов являются недостаточная приемлемость в ценовом отношении, недостаточная грамотность и нехватка цифровых навыков. Разрыв в использовании насчитывает почти в шесть раз больше людей, чем разрыв в охвате, и, хотя приемлемость телефонных аппаратов в ценовом отношении повысилась, свыше 50% НРС не достигли международных целевых показателей приемлемости в ценовом отношении</w:t>
      </w:r>
      <w:r w:rsidRPr="006033E0">
        <w:rPr>
          <w:rStyle w:val="FootnoteReference"/>
          <w:lang w:val="ru-RU"/>
        </w:rPr>
        <w:footnoteReference w:id="13"/>
      </w:r>
      <w:r w:rsidRPr="006033E0">
        <w:rPr>
          <w:lang w:val="ru-RU"/>
        </w:rPr>
        <w:t>. Поскольку все большее число услуг предоставляется в онлайновом режиме, наиболее уязвимые члены общества будут иметь все более ограниченный доступ к образованию, медицине, государственным услугам, электронной коммерции и инструментам связи.</w:t>
      </w:r>
    </w:p>
    <w:p w14:paraId="21D86270" w14:textId="4FD872FC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lastRenderedPageBreak/>
        <w:t>9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Между тем, по мере усугубления кризиса в области климата все яснее становится необходимость деятельности в секторе электросвязи/ИКТ для осуществления Направлений деятельности ВВУИО и Повестки дня в области устойчивого развития на период до 2030 года</w:t>
      </w:r>
      <w:r w:rsidRPr="006033E0">
        <w:rPr>
          <w:lang w:val="ru-RU"/>
        </w:rPr>
        <w:t>. За последние 2000 лет воздействие человека вызвало беспрецедентное потепление климата. В то же время стремительное развитие и развертывание электросвязи/ИКТ во всем мире привело к увеличению выбросов парниковых газов (ПГ), потребления энергии и объемов электронных отходов. По последним оценкам</w:t>
      </w:r>
      <w:r w:rsidR="009B54C9" w:rsidRPr="009B54C9">
        <w:rPr>
          <w:lang w:val="ru-RU"/>
        </w:rPr>
        <w:t>,</w:t>
      </w:r>
      <w:r w:rsidRPr="006033E0">
        <w:rPr>
          <w:lang w:val="ru-RU"/>
        </w:rPr>
        <w:t xml:space="preserve"> на сектор электросвязи/ИКТ приходится 3–4% глобальных выбросов CO</w:t>
      </w:r>
      <w:r w:rsidRPr="006033E0">
        <w:rPr>
          <w:vertAlign w:val="subscript"/>
          <w:lang w:val="ru-RU"/>
        </w:rPr>
        <w:t>2</w:t>
      </w:r>
      <w:r w:rsidRPr="006033E0">
        <w:rPr>
          <w:lang w:val="ru-RU"/>
        </w:rPr>
        <w:t>, примерно в два раза больше, чем на гражданскую авиацию. Поскольку ожидается, что ежегодно глобальный трафик данных будет увеличиваться примерно на 60%, прогнозируется дальнейший рост доли отрасли</w:t>
      </w:r>
      <w:r w:rsidRPr="006033E0">
        <w:rPr>
          <w:rStyle w:val="FootnoteReference"/>
          <w:lang w:val="ru-RU"/>
        </w:rPr>
        <w:footnoteReference w:id="14"/>
      </w:r>
      <w:r w:rsidRPr="006033E0">
        <w:rPr>
          <w:lang w:val="ru-RU"/>
        </w:rPr>
        <w:t>. Тем не менее, хотя сектору требуются энергетические ресурсы, электросвязь/ИКТ также открывают новые перспективы смягчения последствий изменения климата и адаптации к нему. Так, электросвязь/ИКТ играют решающую роль в мониторинге и анализе краткосрочных и долгосрочных климатических тенденций, позволяя сокращать риск бедствий и управлять операциями при них, а также повышая осведомленность для содействия защите окружающей среды и сокращения выбросов ПГ. В этом контексте, по мере приближения 2030 года, все большее значение приобретает использование мощи электросвязи/ИКТ для реализации устойчивого развития и ускорения осуществления Направлений деятельности ВВУИО и достижения Целей в области устойчивого развития.</w:t>
      </w:r>
    </w:p>
    <w:p w14:paraId="054539C2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10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МСЭ имеет возможность, для реагирования на эти проблемы и использования потенциала цифровизации, играть решающую роль в сокращении цифрового разрыва и реализации устойчивой цифровой трансформации</w:t>
      </w:r>
      <w:r w:rsidRPr="006033E0">
        <w:rPr>
          <w:lang w:val="ru-RU"/>
        </w:rPr>
        <w:t xml:space="preserve">. Разнообразный членский состав МСЭ дает Союзу уникальную возможность решать проблемы цифрового неравенства. В частности, правительства и регуляторные органы развивающихся стран могут выдвигать инициативы, направленные на </w:t>
      </w:r>
      <w:r w:rsidRPr="006033E0">
        <w:rPr>
          <w:color w:val="000000"/>
          <w:lang w:val="ru-RU"/>
        </w:rPr>
        <w:t xml:space="preserve">обращение вспять тенденции к сокращению капитальных затрат </w:t>
      </w:r>
      <w:r w:rsidRPr="006033E0">
        <w:rPr>
          <w:lang w:val="ru-RU"/>
        </w:rPr>
        <w:t>и стимулирование инвестиций для содействие развертыванию сетей. Они также могут сотрудничать для сокращения имеющихся на стороне спроса препятствий, прилагая усилия для повышения приемлемости в ценовом отношении, роста цифровой грамотности, разработки местного контента и принятия подвижной широкополосной связи. МСЭ как организация может и далее служить платформой для ответных действий технического и регуляторного характера и поощрения сотрудничества между регуляторными органами и отраслью. МСЭ может также далее использовать данные для совершенствования цифрового регулирования, наращивая аналитический потенциал, применяя ориентированные на данные инструменты в принятии решений и предоставляя регуляторным органам регуляторные решения для реагирования на изменения в среде электросвязи/ИКТ</w:t>
      </w:r>
      <w:r w:rsidRPr="006033E0">
        <w:rPr>
          <w:rStyle w:val="FootnoteReference"/>
          <w:rFonts w:cs="Calibri"/>
          <w:lang w:val="ru-RU"/>
        </w:rPr>
        <w:footnoteReference w:id="15"/>
      </w:r>
      <w:r w:rsidRPr="006033E0">
        <w:rPr>
          <w:lang w:val="ru-RU"/>
        </w:rPr>
        <w:t>. Наконец, для поддержки достижения ЦУР МСЭ может и далее играть решающую роль в содействии членам в использовании мощи электросвязи/ИКТ для повышения устойчивости, принятия мер в связи с кризисом в области климата и уменьшения экологического следа сектора. В частности, работа МСЭ может способствовать решению проблем увеличения потребления энергии, выбросов парниковых газов (ПГ) и производства электронных отходов, при применении экологической призмы во всей свой работе.</w:t>
      </w:r>
    </w:p>
    <w:p w14:paraId="4BC57D80" w14:textId="77777777" w:rsidR="00375DFF" w:rsidRPr="006033E0" w:rsidRDefault="00375DFF" w:rsidP="00375DFF">
      <w:pPr>
        <w:pStyle w:val="Heading2"/>
        <w:rPr>
          <w:lang w:val="ru-RU"/>
        </w:rPr>
      </w:pPr>
      <w:r w:rsidRPr="006033E0">
        <w:rPr>
          <w:lang w:val="ru-RU"/>
        </w:rPr>
        <w:t>2.3</w:t>
      </w:r>
      <w:r w:rsidRPr="006033E0">
        <w:rPr>
          <w:lang w:val="ru-RU"/>
        </w:rPr>
        <w:tab/>
        <w:t>Ход достижения целевых показателей Стратегического плана МСЭ на 2020–2023 годы</w:t>
      </w:r>
    </w:p>
    <w:p w14:paraId="726C6FEA" w14:textId="3DC02030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11</w:t>
      </w:r>
      <w:r w:rsidRPr="006033E0">
        <w:rPr>
          <w:lang w:val="ru-RU"/>
        </w:rPr>
        <w:tab/>
        <w:t>В Стратегическом плане МСЭ на 2020–2023 годы поставлено пять стратегических целей (рост, открытость, устойчивость, инновации и партнерство), измеряемых по 24 целевым показателям, которые содействуют выполнению Повестки дня "Соединим к 2030 году".</w:t>
      </w:r>
    </w:p>
    <w:p w14:paraId="450E4ABC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12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Распространение использования интернета ускорилось во время пандемии</w:t>
      </w:r>
      <w:r w:rsidRPr="006033E0">
        <w:rPr>
          <w:lang w:val="ru-RU"/>
        </w:rPr>
        <w:t>. Согласно оценкам, в 2021 году интернетом пользуются 4,9 млрд. человек</w:t>
      </w:r>
      <w:r w:rsidRPr="006033E0">
        <w:rPr>
          <w:rStyle w:val="FootnoteReference"/>
          <w:lang w:val="ru-RU"/>
        </w:rPr>
        <w:footnoteReference w:id="16"/>
      </w:r>
      <w:r w:rsidRPr="006033E0">
        <w:rPr>
          <w:lang w:val="ru-RU"/>
        </w:rPr>
        <w:t xml:space="preserve">, что означает, что подключены 63% населения мира – увеличение на 17% – и, по оценкам, почти 800 млн. подключились к интернету с </w:t>
      </w:r>
      <w:r w:rsidRPr="006033E0">
        <w:rPr>
          <w:lang w:val="ru-RU"/>
        </w:rPr>
        <w:lastRenderedPageBreak/>
        <w:t>2019 года. Проникновение интернета увеличилось в среднем более чем на 20% в Африке, Азиатско-Тихоокеанском регионе и в странах, определенных ООН как наименее развитые (НРС).</w:t>
      </w:r>
    </w:p>
    <w:p w14:paraId="5055E956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13</w:t>
      </w:r>
      <w:r w:rsidRPr="006033E0">
        <w:rPr>
          <w:lang w:val="ru-RU"/>
        </w:rPr>
        <w:tab/>
      </w:r>
      <w:bookmarkStart w:id="2" w:name="lt_pId100"/>
      <w:r w:rsidRPr="00D77D95">
        <w:rPr>
          <w:b/>
          <w:bCs/>
          <w:lang w:val="ru-RU"/>
        </w:rPr>
        <w:t>Рост был объяснимо слабее в развитых экономиках, где использование интернета является практически универсальным</w:t>
      </w:r>
      <w:r w:rsidRPr="006033E0">
        <w:rPr>
          <w:lang w:val="ru-RU"/>
        </w:rPr>
        <w:t xml:space="preserve"> и составляет более 90%.</w:t>
      </w:r>
      <w:bookmarkEnd w:id="2"/>
      <w:r w:rsidRPr="006033E0">
        <w:rPr>
          <w:lang w:val="ru-RU"/>
        </w:rPr>
        <w:t xml:space="preserve"> Этот дифференциал роста способствовал небольшому сокращению разрыва между наиболее и наименее соединенными странами мира: так, разрыв между развитыми экономиками и НРС сократился с 66 процентных пунктов в 2017 году до 63 процентных пунктов в 2021 году.</w:t>
      </w:r>
    </w:p>
    <w:p w14:paraId="0AE55652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14</w:t>
      </w:r>
      <w:r w:rsidRPr="006033E0">
        <w:rPr>
          <w:lang w:val="ru-RU"/>
        </w:rPr>
        <w:tab/>
      </w:r>
      <w:bookmarkStart w:id="3" w:name="lt_pId102"/>
      <w:r w:rsidRPr="006033E0">
        <w:rPr>
          <w:b/>
          <w:bCs/>
          <w:lang w:val="ru-RU"/>
        </w:rPr>
        <w:t>Рост</w:t>
      </w:r>
      <w:r w:rsidRPr="006033E0">
        <w:rPr>
          <w:lang w:val="ru-RU"/>
        </w:rPr>
        <w:t xml:space="preserve"> </w:t>
      </w:r>
      <w:r w:rsidRPr="006033E0">
        <w:rPr>
          <w:b/>
          <w:bCs/>
          <w:lang w:val="ru-RU"/>
        </w:rPr>
        <w:t>числа контрактов на широкополосную связь в 2021 году</w:t>
      </w:r>
      <w:r w:rsidRPr="006033E0">
        <w:rPr>
          <w:lang w:val="ru-RU"/>
        </w:rPr>
        <w:t>: после небольшого снижения в 2020 году проникновение контрактов на подвижную сотовую связь в 2021 году опять увеличилось и достигло рекордного показателя – 110 контрактов на 100 человек населения.</w:t>
      </w:r>
      <w:bookmarkEnd w:id="3"/>
      <w:r w:rsidRPr="006033E0">
        <w:rPr>
          <w:lang w:val="ru-RU"/>
        </w:rPr>
        <w:t xml:space="preserve"> Та же тенденция наблюдалась в отношении контрактов на подвижную связь с возможностью широкополосной связи (3G или выше) – 83 контракта на 100 человек населения.</w:t>
      </w:r>
    </w:p>
    <w:p w14:paraId="1B2D459C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15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Разрыв между городскими и сельскими районами не столь значителен в развитых странах, но остается серьезной проблемой в отношении возможности установления цифровых соединений во всем остальном мире</w:t>
      </w:r>
      <w:r w:rsidRPr="006033E0">
        <w:rPr>
          <w:lang w:val="ru-RU"/>
        </w:rPr>
        <w:t>. В глобальном масштабе число пользователей интернета среди жителей городских районов в два раза больше, чем среди жителей сельских районов (76% в городских и 39% в сельских районах). В развитых экономиках разрыв между городскими и сельскими районами в использовании интернета представляется незначительным (89% жителей городских районов и 85% жителей сельских районов использовали интернет в течение последних трех месяцев), тогда как в развивающихся странах вдвое больше жителей городов пользуются интернетом по сравнению с населением сельских районов (72% в городских и 34% в сельских районах). В НРС число пользователей интернета среди жителей городских районов почти в четыре раза больше, чем среди жителей сельских районов (47% в городских и 13% в сельских районах).</w:t>
      </w:r>
    </w:p>
    <w:p w14:paraId="32D41F87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16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Цифровой гендерный разрыв также сокращается во всем мире, но в более бедных странах разрыв остается большим</w:t>
      </w:r>
      <w:r w:rsidRPr="006033E0">
        <w:rPr>
          <w:lang w:val="ru-RU"/>
        </w:rPr>
        <w:t xml:space="preserve">. </w:t>
      </w:r>
      <w:r w:rsidRPr="006033E0">
        <w:rPr>
          <w:rFonts w:cs="Arial"/>
          <w:szCs w:val="22"/>
          <w:lang w:val="ru-RU" w:eastAsia="en-GB"/>
        </w:rPr>
        <w:t>Цифровой гендерный разрыв практически ликвидирован в развитом мире (интернетом пользуются 89% мужчин и 88% женщин), но он остается большим в наименее развитых странах (31% мужчин и лишь 19% женщин) и в развивающихся странах, не имеющих выхода к морю (38% мужчин и 27% женщин).</w:t>
      </w:r>
    </w:p>
    <w:p w14:paraId="0ECA5E2E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17</w:t>
      </w:r>
      <w:r w:rsidRPr="006033E0">
        <w:rPr>
          <w:lang w:val="ru-RU"/>
        </w:rPr>
        <w:tab/>
      </w:r>
      <w:r w:rsidRPr="006033E0">
        <w:rPr>
          <w:rFonts w:cs="Calibri"/>
          <w:b/>
          <w:bCs/>
          <w:szCs w:val="22"/>
          <w:lang w:val="ru-RU" w:eastAsia="en-GB"/>
        </w:rPr>
        <w:t xml:space="preserve">Во </w:t>
      </w:r>
      <w:r w:rsidRPr="006033E0">
        <w:rPr>
          <w:rFonts w:cs="Arial"/>
          <w:b/>
          <w:bCs/>
          <w:szCs w:val="22"/>
          <w:lang w:val="ru-RU" w:eastAsia="en-GB"/>
        </w:rPr>
        <w:t>всех</w:t>
      </w:r>
      <w:r w:rsidRPr="006033E0">
        <w:rPr>
          <w:rFonts w:cs="Calibri"/>
          <w:b/>
          <w:bCs/>
          <w:szCs w:val="22"/>
          <w:lang w:val="ru-RU" w:eastAsia="en-GB"/>
        </w:rPr>
        <w:t xml:space="preserve"> регионах мира очевиден разрыв поколений</w:t>
      </w:r>
      <w:r w:rsidRPr="006033E0">
        <w:rPr>
          <w:lang w:val="ru-RU"/>
        </w:rPr>
        <w:t>. В среднем 71% населения мира в возрасте от 15 до 24 лет пользуется интернетом, тогда как во всех других возрастных группах – 57%. Этот разрыв поколений выявляется во всех регионах. Наиболее ярко он наблюдается в НРС, где к интернету подключено 34% молодежи и 22% всего остального населения. Более широкое распространение среди молодежи сулит хорошие перспективы подключения и развития. Например, в НРС возраст половины населения – меньше 20 лет, что позволяет предположить, что местные рынки труда будут характеризоваться как все более соединенные и технологически подкованные, по мере того как молодое поколение приходит на рынок труда.</w:t>
      </w:r>
    </w:p>
    <w:p w14:paraId="048BBFEA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18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Мониторинг изменения цифрового разрыва в мире</w:t>
      </w:r>
      <w:r w:rsidRPr="006033E0">
        <w:rPr>
          <w:lang w:val="ru-RU"/>
        </w:rPr>
        <w:t xml:space="preserve">. Имеющиеся у МСЭ цифры также указывают на явный разрыв между доступностью цифровой сети и фактическим подключением. Хотя 95% людей в мире теоретически могут иметь доступ к сети 3G или 4G подвижной широкополосной связи, миллиарды из них не подключаются. </w:t>
      </w:r>
    </w:p>
    <w:p w14:paraId="004E2624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19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Серьезным барьером остается вопрос приемлемости цен на устройства и услуги</w:t>
      </w:r>
      <w:r w:rsidRPr="006033E0">
        <w:rPr>
          <w:lang w:val="ru-RU"/>
        </w:rPr>
        <w:t xml:space="preserve">. Широко признанный целевой показатель приемлемости широкополосной связи в ценовом отношении в развивающихся странах устанавливает стоимость пакета базовых услуг подвижной широкополосной связи на уровне 2% от валового национального дохода (ВНД) на душу населения. Тем не менее в некоторых беднейших странах мира стоимость подключения к интернету может быть ошеломляющей – 20% или более от ВНД на душу населения. </w:t>
      </w:r>
    </w:p>
    <w:p w14:paraId="5119D40C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20</w:t>
      </w:r>
      <w:r w:rsidRPr="006033E0">
        <w:rPr>
          <w:lang w:val="ru-RU"/>
        </w:rPr>
        <w:tab/>
      </w:r>
      <w:r w:rsidRPr="006033E0">
        <w:rPr>
          <w:b/>
          <w:bCs/>
          <w:lang w:val="ru-RU"/>
        </w:rPr>
        <w:t>Отсутствие цифровых навыков и понимания преимуществ онлайнового подключения – еще один фактор, сдерживающий рост</w:t>
      </w:r>
      <w:r w:rsidRPr="006033E0">
        <w:rPr>
          <w:lang w:val="ru-RU"/>
        </w:rPr>
        <w:t xml:space="preserve">, который также усугубляется отсутствием контента на </w:t>
      </w:r>
      <w:r w:rsidRPr="006033E0">
        <w:rPr>
          <w:lang w:val="ru-RU"/>
        </w:rPr>
        <w:lastRenderedPageBreak/>
        <w:t>местных языках и тем, что работа с интерфейсами требует навыков чтения и счета, которыми многие не обладают.</w:t>
      </w:r>
    </w:p>
    <w:p w14:paraId="66E8A733" w14:textId="77777777" w:rsidR="00375DFF" w:rsidRPr="006033E0" w:rsidRDefault="00375DFF" w:rsidP="00375DFF">
      <w:pPr>
        <w:pStyle w:val="Heading2"/>
        <w:rPr>
          <w:lang w:val="ru-RU"/>
        </w:rPr>
      </w:pPr>
      <w:r w:rsidRPr="006033E0">
        <w:rPr>
          <w:lang w:val="ru-RU"/>
        </w:rPr>
        <w:t>2.4</w:t>
      </w:r>
      <w:r w:rsidRPr="006033E0">
        <w:rPr>
          <w:lang w:val="ru-RU"/>
        </w:rPr>
        <w:tab/>
        <w:t>Оценка предлагаемых МСЭ стоимостных преимуществ и их организационной эффективности</w:t>
      </w:r>
    </w:p>
    <w:p w14:paraId="06634BC3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21</w:t>
      </w:r>
      <w:r w:rsidRPr="006033E0">
        <w:rPr>
          <w:lang w:val="ru-RU"/>
        </w:rPr>
        <w:tab/>
        <w:t>В рамках нескольких проектов и инициатив, осуществляемых в последнем цикле стратегического планирования, рассматривается потенциал МСЭ и предоставляются рекомендации по дальнейшему совершенствованию предлагаемых членам стоимостных преимуществ и советы руководству МСЭ по совершенствованию организационной эффективности. Сюда относятся обзор регионального присутствия МСЭ, проект "Культура и навыки" и неофициальные консультации с Членами в процессе стратегического планирования.</w:t>
      </w:r>
    </w:p>
    <w:p w14:paraId="2A5E3176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22</w:t>
      </w:r>
      <w:r w:rsidRPr="006033E0">
        <w:rPr>
          <w:lang w:val="ru-RU"/>
        </w:rPr>
        <w:tab/>
        <w:t>В частности, в отзывах Членов подчеркивается необходимость установления четких областей воздействия и использования синергии всех Секторов МСЭ. Для совершенствования предлагаемых Членам МСЭ преимуществ также предлагалось предоставить Членам каталог услуг. В заключение в отзывах подчеркивалась необходимость совершенствования внутреннего управления благодаря управлению, ориентированному на результаты, и повышения прозрачности и подотчетности.</w:t>
      </w:r>
    </w:p>
    <w:p w14:paraId="7A9C497D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23</w:t>
      </w:r>
      <w:r w:rsidRPr="006033E0">
        <w:rPr>
          <w:lang w:val="ru-RU"/>
        </w:rPr>
        <w:tab/>
        <w:t xml:space="preserve">В отчете по проекту "Культура и навыки" отмечается необходимость реформирования организационной культуры МСЭ путем содействия </w:t>
      </w:r>
      <w:proofErr w:type="spellStart"/>
      <w:r w:rsidRPr="006033E0">
        <w:rPr>
          <w:lang w:val="ru-RU"/>
        </w:rPr>
        <w:t>межфункционального</w:t>
      </w:r>
      <w:proofErr w:type="spellEnd"/>
      <w:r w:rsidRPr="006033E0">
        <w:rPr>
          <w:lang w:val="ru-RU"/>
        </w:rPr>
        <w:t xml:space="preserve"> сотрудничества, инноваций "снизу вверх" и реагирования на изменения в области электросвязи/ИКТ. В нем также подчеркивается необходимость принятия мер в связи с недостаточной эффективностью процессов, дублированием и отмечающимися случаями бюрократии, которые приводят к медленному принятию решений с опозданием. К числу других областей совершенствования в отношении культуры относятся предоставление персоналу большей </w:t>
      </w:r>
      <w:r w:rsidRPr="006033E0">
        <w:rPr>
          <w:color w:val="000000"/>
          <w:lang w:val="ru-RU"/>
        </w:rPr>
        <w:t>ответственности и подотчетности на основании управления кадровым потенциалом на базе показателей деятельности</w:t>
      </w:r>
      <w:r w:rsidRPr="006033E0">
        <w:rPr>
          <w:lang w:val="ru-RU"/>
        </w:rPr>
        <w:t>, при укреплении руководства путем минимизации организационной иерархии.</w:t>
      </w:r>
    </w:p>
    <w:p w14:paraId="58BC4781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24</w:t>
      </w:r>
      <w:r w:rsidRPr="006033E0">
        <w:rPr>
          <w:lang w:val="ru-RU"/>
        </w:rPr>
        <w:tab/>
        <w:t xml:space="preserve">Наконец, в отношении регионального присутствия в обзоре регионального присутствия МСЭ рекомендуется МСЭ далее интегрировать свои инструменты регионального и глобального планирования для повышения их согласованности и направления внимания на региональные программы и инициативы. В частности, подчеркивается необходимость уточнения региональных мандатов и обязанностей, обеспечения того, чтобы региональное присутствие представляло МСЭ в целом, согласовывалось с концепцией и миссией организации и играло ведущую роль в координации конкретных видов деятельности. </w:t>
      </w:r>
    </w:p>
    <w:p w14:paraId="4A100CE2" w14:textId="77777777" w:rsidR="00375DFF" w:rsidRPr="006033E0" w:rsidRDefault="00375DFF" w:rsidP="00375DFF">
      <w:pPr>
        <w:pStyle w:val="Heading2"/>
        <w:rPr>
          <w:lang w:val="ru-RU"/>
        </w:rPr>
      </w:pPr>
      <w:r w:rsidRPr="006033E0">
        <w:rPr>
          <w:lang w:val="ru-RU"/>
        </w:rPr>
        <w:t>2.5</w:t>
      </w:r>
      <w:r w:rsidRPr="006033E0">
        <w:rPr>
          <w:lang w:val="ru-RU"/>
        </w:rPr>
        <w:tab/>
        <w:t xml:space="preserve">Краткий обзор </w:t>
      </w:r>
      <w:r w:rsidRPr="006033E0">
        <w:rPr>
          <w:color w:val="000000"/>
          <w:lang w:val="ru-RU"/>
        </w:rPr>
        <w:t>сильных и слабых сторон, возможностей и угроз</w:t>
      </w:r>
      <w:r w:rsidRPr="006033E0">
        <w:rPr>
          <w:lang w:val="ru-RU"/>
        </w:rPr>
        <w:t xml:space="preserve"> МСЭ (SWOT)</w:t>
      </w:r>
    </w:p>
    <w:p w14:paraId="64CB1EF4" w14:textId="77777777" w:rsidR="00375DFF" w:rsidRPr="006033E0" w:rsidRDefault="00375DFF" w:rsidP="00375DFF">
      <w:pPr>
        <w:rPr>
          <w:lang w:val="ru-RU"/>
        </w:rPr>
      </w:pPr>
      <w:r w:rsidRPr="006033E0">
        <w:rPr>
          <w:lang w:val="ru-RU"/>
        </w:rPr>
        <w:t>25</w:t>
      </w:r>
      <w:r w:rsidRPr="006033E0">
        <w:rPr>
          <w:lang w:val="ru-RU"/>
        </w:rPr>
        <w:tab/>
        <w:t>Для реагирования на стремительные изменения в цифровой среде МСЭ необходимо использовать имеющиеся у него как у ведущего учреждения системы ООН в области электросвязи/ИКТ сильные стороны и четко продемонстрировать свою решающую роль в совершенствовании доступа к этим технологиям и их использования для устойчивого развития. МСЭ будет также стремиться использовать как внутренние, так и внешние возможности повышать пользу услуг, продуктов и инициатив МСЭ. Вместе с тем для укрепления и сохранения своей важной роли в секторе электросвязи и ИКТ Союз должен также уделять внимание исправлению своих слабых сторон как организации и реагированию на появляющиеся угрозы. МСЭ определил, проанализировал и оценил стратегические риски в процессе стратегического планирования (как часть общей структуры управления рисками организации), что далее отражено в результатах настоящего анализа.</w:t>
      </w:r>
    </w:p>
    <w:p w14:paraId="5B5BCF15" w14:textId="6FD94D10" w:rsidR="00375DFF" w:rsidRDefault="00375DFF" w:rsidP="00375DFF">
      <w:pPr>
        <w:rPr>
          <w:lang w:val="ru-RU"/>
        </w:rPr>
      </w:pPr>
      <w:r w:rsidRPr="006033E0">
        <w:rPr>
          <w:lang w:val="ru-RU"/>
        </w:rPr>
        <w:t>26</w:t>
      </w:r>
      <w:r w:rsidRPr="006033E0">
        <w:rPr>
          <w:lang w:val="ru-RU"/>
        </w:rPr>
        <w:tab/>
        <w:t>Дополнительные сведения о сильных и слабых сторонах, возможностях и угрозах (SWOT) для МСЭ приведены в таблицах ниже.</w:t>
      </w:r>
    </w:p>
    <w:p w14:paraId="0FC52E21" w14:textId="7C4E455B" w:rsidR="00542135" w:rsidRPr="00030A4F" w:rsidRDefault="00BC6F89" w:rsidP="00542135">
      <w:pPr>
        <w:pStyle w:val="SimpleHeading"/>
        <w:shd w:val="clear" w:color="auto" w:fill="DDD9C3" w:themeFill="background2" w:themeFillShade="E6"/>
        <w:rPr>
          <w:sz w:val="22"/>
          <w:lang w:val="ru-RU"/>
        </w:rPr>
      </w:pPr>
      <w:r w:rsidRPr="00030A4F">
        <w:rPr>
          <w:sz w:val="22"/>
          <w:lang w:val="ru-RU"/>
        </w:rPr>
        <w:lastRenderedPageBreak/>
        <w:t>Сильные стороны</w:t>
      </w:r>
    </w:p>
    <w:p w14:paraId="1A8773E5" w14:textId="2CAADA19" w:rsidR="00542135" w:rsidRPr="00BC6F89" w:rsidRDefault="00542135" w:rsidP="00542135">
      <w:pPr>
        <w:pStyle w:val="enumlev1"/>
        <w:rPr>
          <w:lang w:val="ru-RU" w:eastAsia="en-GB"/>
        </w:rPr>
      </w:pPr>
      <w:r w:rsidRPr="00BC6F89">
        <w:rPr>
          <w:lang w:val="ru-RU" w:eastAsia="en-GB"/>
        </w:rPr>
        <w:t>–</w:t>
      </w:r>
      <w:r w:rsidRPr="00BC6F89">
        <w:rPr>
          <w:lang w:val="ru-RU" w:eastAsia="en-GB"/>
        </w:rPr>
        <w:tab/>
      </w:r>
      <w:r w:rsidR="00BC6F89">
        <w:rPr>
          <w:lang w:val="ru-RU" w:eastAsia="en-GB"/>
        </w:rPr>
        <w:t>Целенаправленные действия в области электросвязи/ИКТ и более 150 лет истории, что создает для МСЭ уникальное положение в системе ООН</w:t>
      </w:r>
    </w:p>
    <w:p w14:paraId="5975CBBE" w14:textId="5F4374BA" w:rsidR="00542135" w:rsidRPr="00BC6F89" w:rsidRDefault="00542135" w:rsidP="00542135">
      <w:pPr>
        <w:pStyle w:val="enumlev1"/>
        <w:rPr>
          <w:lang w:val="ru-RU" w:eastAsia="en-GB"/>
        </w:rPr>
      </w:pPr>
      <w:r w:rsidRPr="00BC6F89">
        <w:rPr>
          <w:lang w:val="ru-RU" w:eastAsia="en-GB"/>
        </w:rPr>
        <w:t>–</w:t>
      </w:r>
      <w:r w:rsidRPr="00BC6F89">
        <w:rPr>
          <w:lang w:val="ru-RU" w:eastAsia="en-GB"/>
        </w:rPr>
        <w:tab/>
      </w:r>
      <w:r w:rsidR="00BC6F89">
        <w:rPr>
          <w:lang w:val="ru-RU"/>
        </w:rPr>
        <w:t>Ведущая роль в организации использования ресурсов ИКТ и доступа к ним в глобальном масштабе с помощью регуляторных норм и стандартов универсальной применимости</w:t>
      </w:r>
    </w:p>
    <w:p w14:paraId="171610AB" w14:textId="3F67D94B" w:rsidR="00542135" w:rsidRPr="00BC6F89" w:rsidRDefault="00542135" w:rsidP="00542135">
      <w:pPr>
        <w:pStyle w:val="enumlev1"/>
        <w:rPr>
          <w:lang w:val="ru-RU" w:eastAsia="en-GB"/>
        </w:rPr>
      </w:pPr>
      <w:r w:rsidRPr="00BC6F89">
        <w:rPr>
          <w:lang w:val="ru-RU" w:eastAsia="en-GB"/>
        </w:rPr>
        <w:t>–</w:t>
      </w:r>
      <w:r w:rsidRPr="00BC6F89">
        <w:rPr>
          <w:lang w:val="ru-RU" w:eastAsia="en-GB"/>
        </w:rPr>
        <w:tab/>
      </w:r>
      <w:r w:rsidR="00BC6F89">
        <w:rPr>
          <w:lang w:val="ru-RU" w:eastAsia="en-GB"/>
        </w:rPr>
        <w:t>Надежная глобальная и нейтральная платформа с признанной торговой маркой и пользующаяся доверием в международном сообществе для содействия достижению ЦУР и реализации Направлений деятельности ВВУИО</w:t>
      </w:r>
    </w:p>
    <w:p w14:paraId="448A1F07" w14:textId="62D005C7" w:rsidR="00542135" w:rsidRPr="00BC6F89" w:rsidRDefault="00542135" w:rsidP="00542135">
      <w:pPr>
        <w:pStyle w:val="enumlev1"/>
        <w:rPr>
          <w:lang w:val="ru-RU" w:eastAsia="en-GB"/>
        </w:rPr>
      </w:pPr>
      <w:r w:rsidRPr="00BC6F89">
        <w:rPr>
          <w:lang w:val="ru-RU" w:eastAsia="en-GB"/>
        </w:rPr>
        <w:t>–</w:t>
      </w:r>
      <w:r w:rsidRPr="00BC6F89">
        <w:rPr>
          <w:lang w:val="ru-RU" w:eastAsia="en-GB"/>
        </w:rPr>
        <w:tab/>
      </w:r>
      <w:r w:rsidR="00BC6F89">
        <w:rPr>
          <w:lang w:val="ru-RU" w:eastAsia="en-GB"/>
        </w:rPr>
        <w:t>Комплексный и разнообразный членский состав, в который входят правительства и регуляторные органы, частный сектор и академические организации и который предоставляет уникальную платформу для многосторонних обсуждений и дает возможность формирования партнерств с заинтересованными сторонами из сектора электросвязи/ИКТ</w:t>
      </w:r>
    </w:p>
    <w:p w14:paraId="01D51E26" w14:textId="2B1FE534" w:rsidR="00542135" w:rsidRPr="00BC6F89" w:rsidRDefault="00542135" w:rsidP="00542135">
      <w:pPr>
        <w:pStyle w:val="enumlev1"/>
        <w:rPr>
          <w:lang w:val="ru-RU" w:eastAsia="en-GB"/>
        </w:rPr>
      </w:pPr>
      <w:r w:rsidRPr="00BC6F89">
        <w:rPr>
          <w:lang w:val="ru-RU" w:eastAsia="en-GB"/>
        </w:rPr>
        <w:t>–</w:t>
      </w:r>
      <w:r w:rsidRPr="00BC6F89">
        <w:rPr>
          <w:lang w:val="ru-RU" w:eastAsia="en-GB"/>
        </w:rPr>
        <w:tab/>
      </w:r>
      <w:r w:rsidR="00BC6F89">
        <w:rPr>
          <w:lang w:val="ru-RU" w:eastAsia="en-GB"/>
        </w:rPr>
        <w:t>Разносторонний диапазон отраслевых мандатов, которые содействуют комплексным и взаимодополняющим мерам для выполнения миссии МСЭ</w:t>
      </w:r>
    </w:p>
    <w:p w14:paraId="67F239AC" w14:textId="01A8CDCB" w:rsidR="00542135" w:rsidRPr="00720BCB" w:rsidRDefault="00542135" w:rsidP="00542135">
      <w:pPr>
        <w:pStyle w:val="enumlev1"/>
        <w:rPr>
          <w:lang w:val="ru-RU" w:eastAsia="en-GB"/>
        </w:rPr>
      </w:pPr>
      <w:r w:rsidRPr="00720BCB">
        <w:rPr>
          <w:lang w:val="ru-RU" w:eastAsia="en-GB"/>
        </w:rPr>
        <w:t>–</w:t>
      </w:r>
      <w:r w:rsidRPr="00720BCB">
        <w:rPr>
          <w:lang w:val="ru-RU" w:eastAsia="en-GB"/>
        </w:rPr>
        <w:tab/>
      </w:r>
      <w:r w:rsidR="00720BCB">
        <w:rPr>
          <w:lang w:val="ru-RU" w:eastAsia="en-GB"/>
        </w:rPr>
        <w:t>Значительный технический потенциал сотрудников и Членов, в особенности в рамках основных сфер компетенции</w:t>
      </w:r>
    </w:p>
    <w:p w14:paraId="6C5DEC6B" w14:textId="43EB8650" w:rsidR="00542135" w:rsidRPr="006033E0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  <w:t xml:space="preserve">Разнообразие мандатов Секторов МСЭ, позволяющее широкое взаимодействие внутри Союза, способствующее выполнению его </w:t>
      </w:r>
      <w:r w:rsidR="00720BCB">
        <w:rPr>
          <w:lang w:val="ru-RU" w:eastAsia="en-GB"/>
        </w:rPr>
        <w:t>м</w:t>
      </w:r>
      <w:r w:rsidRPr="006033E0">
        <w:rPr>
          <w:lang w:val="ru-RU" w:eastAsia="en-GB"/>
        </w:rPr>
        <w:t>иссии (при условии реализации такой возможности, как использование синергии всех Секторов МСЭ)</w:t>
      </w:r>
    </w:p>
    <w:p w14:paraId="2CBAB31B" w14:textId="7A73E925" w:rsidR="00542135" w:rsidRPr="001D07C2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="00720BCB">
        <w:rPr>
          <w:lang w:val="ru-RU" w:eastAsia="en-GB"/>
        </w:rPr>
        <w:t>С</w:t>
      </w:r>
      <w:r w:rsidRPr="006033E0">
        <w:rPr>
          <w:lang w:val="ru-RU" w:eastAsia="en-GB"/>
        </w:rPr>
        <w:t xml:space="preserve">труктура </w:t>
      </w:r>
      <w:r w:rsidR="00720BCB">
        <w:rPr>
          <w:lang w:val="ru-RU" w:eastAsia="en-GB"/>
        </w:rPr>
        <w:t>Союза</w:t>
      </w:r>
      <w:r w:rsidRPr="006033E0">
        <w:rPr>
          <w:lang w:val="ru-RU" w:eastAsia="en-GB"/>
        </w:rPr>
        <w:t xml:space="preserve">, </w:t>
      </w:r>
      <w:r w:rsidR="00720BCB">
        <w:rPr>
          <w:lang w:val="ru-RU" w:eastAsia="en-GB"/>
        </w:rPr>
        <w:t xml:space="preserve">в особенности Секторов МСЭ, </w:t>
      </w:r>
      <w:r w:rsidRPr="006033E0">
        <w:rPr>
          <w:lang w:val="ru-RU" w:eastAsia="en-GB"/>
        </w:rPr>
        <w:t xml:space="preserve">позволяющая наилучшим образом удовлетворять различные потребности членства в рамках мандата МСЭ и специализации Секторов (в частности, путем использования функции регионального присутствия, делегирования персоналу </w:t>
      </w:r>
      <w:proofErr w:type="spellStart"/>
      <w:r w:rsidRPr="006033E0">
        <w:rPr>
          <w:lang w:val="ru-RU" w:eastAsia="en-GB"/>
        </w:rPr>
        <w:t>б</w:t>
      </w:r>
      <w:r w:rsidR="00720BCB">
        <w:rPr>
          <w:rFonts w:cs="Calibri"/>
          <w:lang w:val="ru-RU" w:eastAsia="en-GB"/>
        </w:rPr>
        <w:t>ó</w:t>
      </w:r>
      <w:r w:rsidRPr="006033E0">
        <w:rPr>
          <w:lang w:val="ru-RU" w:eastAsia="en-GB"/>
        </w:rPr>
        <w:t>льших</w:t>
      </w:r>
      <w:proofErr w:type="spellEnd"/>
      <w:r w:rsidRPr="006033E0">
        <w:rPr>
          <w:lang w:val="ru-RU" w:eastAsia="en-GB"/>
        </w:rPr>
        <w:t xml:space="preserve"> полномочий и соответствующих им ответственности и подотчетности на основании управления кадровым потенциалом на базе показателей деятельности и др.)</w:t>
      </w:r>
    </w:p>
    <w:p w14:paraId="1175CCA8" w14:textId="5F56CB1C" w:rsidR="00542135" w:rsidRPr="00030A4F" w:rsidRDefault="00720BCB" w:rsidP="00542135">
      <w:pPr>
        <w:pStyle w:val="SimpleHeading"/>
        <w:shd w:val="clear" w:color="auto" w:fill="DDD9C3" w:themeFill="background2" w:themeFillShade="E6"/>
        <w:rPr>
          <w:rFonts w:cstheme="majorBidi"/>
          <w:sz w:val="22"/>
          <w:lang w:val="ru-RU"/>
        </w:rPr>
      </w:pPr>
      <w:r w:rsidRPr="00030A4F">
        <w:rPr>
          <w:sz w:val="22"/>
          <w:lang w:val="ru-RU"/>
        </w:rPr>
        <w:t>Слабые стороны</w:t>
      </w:r>
    </w:p>
    <w:p w14:paraId="6F390532" w14:textId="2BE7F0E5" w:rsidR="00542135" w:rsidRPr="00720BCB" w:rsidRDefault="00542135" w:rsidP="00542135">
      <w:pPr>
        <w:pStyle w:val="enumlev1"/>
        <w:rPr>
          <w:lang w:val="ru-RU" w:eastAsia="en-GB"/>
        </w:rPr>
      </w:pPr>
      <w:r w:rsidRPr="00720BCB">
        <w:rPr>
          <w:lang w:val="ru-RU" w:eastAsia="en-GB"/>
        </w:rPr>
        <w:t>–</w:t>
      </w:r>
      <w:r w:rsidRPr="00720BCB">
        <w:rPr>
          <w:lang w:val="ru-RU" w:eastAsia="en-GB"/>
        </w:rPr>
        <w:tab/>
      </w:r>
      <w:r w:rsidRPr="00720BCB">
        <w:rPr>
          <w:highlight w:val="cyan"/>
          <w:lang w:val="ru-RU" w:eastAsia="en-GB"/>
        </w:rPr>
        <w:t>[</w:t>
      </w:r>
      <w:r w:rsidR="00720BCB" w:rsidRPr="00720BCB">
        <w:rPr>
          <w:highlight w:val="cyan"/>
          <w:lang w:val="ru-RU" w:eastAsia="en-GB"/>
        </w:rPr>
        <w:t>Отсутствие эффективности и бюрократизм, что приводит к медленному осуществлению процессов с опозданием</w:t>
      </w:r>
      <w:r w:rsidRPr="00720BCB">
        <w:rPr>
          <w:highlight w:val="cyan"/>
          <w:lang w:val="ru-RU" w:eastAsia="en-GB"/>
        </w:rPr>
        <w:t>]</w:t>
      </w:r>
    </w:p>
    <w:p w14:paraId="798949E5" w14:textId="1BE42E8D" w:rsidR="00542135" w:rsidRPr="002C450E" w:rsidRDefault="00542135" w:rsidP="00542135">
      <w:pPr>
        <w:pStyle w:val="enumlev1"/>
        <w:rPr>
          <w:highlight w:val="cyan"/>
          <w:lang w:val="ru-RU" w:eastAsia="en-GB"/>
        </w:rPr>
      </w:pPr>
      <w:r w:rsidRPr="00720BCB">
        <w:rPr>
          <w:lang w:val="ru-RU" w:eastAsia="en-GB"/>
        </w:rPr>
        <w:t>–</w:t>
      </w:r>
      <w:r w:rsidRPr="00720BCB">
        <w:rPr>
          <w:lang w:val="ru-RU" w:eastAsia="en-GB"/>
        </w:rPr>
        <w:tab/>
      </w:r>
      <w:r w:rsidRPr="00720BCB">
        <w:rPr>
          <w:highlight w:val="cyan"/>
          <w:lang w:val="ru-RU" w:eastAsia="en-GB"/>
        </w:rPr>
        <w:t>[</w:t>
      </w:r>
      <w:r w:rsidR="00720BCB" w:rsidRPr="002C450E">
        <w:rPr>
          <w:highlight w:val="cyan"/>
          <w:lang w:val="ru-RU" w:eastAsia="en-GB"/>
        </w:rPr>
        <w:t>Сложная структура управления, ограничивающая организационную гибкость и скорость принятия решений</w:t>
      </w:r>
      <w:r w:rsidRPr="002C450E">
        <w:rPr>
          <w:highlight w:val="cyan"/>
          <w:lang w:val="ru-RU" w:eastAsia="en-GB"/>
        </w:rPr>
        <w:t>]</w:t>
      </w:r>
    </w:p>
    <w:p w14:paraId="22E4C46A" w14:textId="571F678B" w:rsidR="00542135" w:rsidRPr="002C450E" w:rsidRDefault="00542135" w:rsidP="00542135">
      <w:pPr>
        <w:pStyle w:val="enumlev1"/>
        <w:rPr>
          <w:highlight w:val="cyan"/>
          <w:lang w:val="ru-RU" w:eastAsia="en-GB"/>
        </w:rPr>
      </w:pPr>
      <w:r w:rsidRPr="002C450E">
        <w:rPr>
          <w:highlight w:val="cyan"/>
          <w:lang w:val="ru-RU" w:eastAsia="en-GB"/>
        </w:rPr>
        <w:t>–</w:t>
      </w:r>
      <w:r w:rsidRPr="002C450E">
        <w:rPr>
          <w:highlight w:val="cyan"/>
          <w:lang w:val="ru-RU" w:eastAsia="en-GB"/>
        </w:rPr>
        <w:tab/>
        <w:t>[</w:t>
      </w:r>
      <w:r w:rsidR="00720BCB" w:rsidRPr="002C450E">
        <w:rPr>
          <w:highlight w:val="cyan"/>
          <w:lang w:val="ru-RU" w:eastAsia="en-GB"/>
        </w:rPr>
        <w:t xml:space="preserve">Несогласованный подход при ограниченном </w:t>
      </w:r>
      <w:proofErr w:type="spellStart"/>
      <w:r w:rsidR="00720BCB" w:rsidRPr="002C450E">
        <w:rPr>
          <w:highlight w:val="cyan"/>
          <w:lang w:val="ru-RU" w:eastAsia="en-GB"/>
        </w:rPr>
        <w:t>межфункциональном</w:t>
      </w:r>
      <w:proofErr w:type="spellEnd"/>
      <w:r w:rsidR="00720BCB" w:rsidRPr="002C450E">
        <w:rPr>
          <w:highlight w:val="cyan"/>
          <w:lang w:val="ru-RU" w:eastAsia="en-GB"/>
        </w:rPr>
        <w:t xml:space="preserve"> сотрудничестве, что препятствует потенциальной синергии и оперативной эффективности</w:t>
      </w:r>
      <w:r w:rsidRPr="002C450E">
        <w:rPr>
          <w:highlight w:val="cyan"/>
          <w:lang w:val="ru-RU" w:eastAsia="en-GB"/>
        </w:rPr>
        <w:t>]</w:t>
      </w:r>
    </w:p>
    <w:p w14:paraId="3D4FD17A" w14:textId="2C5BC19D" w:rsidR="00542135" w:rsidRPr="00720BCB" w:rsidRDefault="00542135" w:rsidP="00542135">
      <w:pPr>
        <w:pStyle w:val="enumlev1"/>
        <w:rPr>
          <w:lang w:val="ru-RU" w:eastAsia="en-GB"/>
        </w:rPr>
      </w:pPr>
      <w:r w:rsidRPr="002C450E">
        <w:rPr>
          <w:highlight w:val="cyan"/>
          <w:lang w:val="ru-RU" w:eastAsia="en-GB"/>
        </w:rPr>
        <w:t>–</w:t>
      </w:r>
      <w:r w:rsidRPr="002C450E">
        <w:rPr>
          <w:highlight w:val="cyan"/>
          <w:lang w:val="ru-RU" w:eastAsia="en-GB"/>
        </w:rPr>
        <w:tab/>
        <w:t>[</w:t>
      </w:r>
      <w:r w:rsidR="00720BCB" w:rsidRPr="002C450E">
        <w:rPr>
          <w:highlight w:val="cyan"/>
          <w:lang w:val="ru-RU" w:eastAsia="en-GB"/>
        </w:rPr>
        <w:t>Избегающие рисков организационная культура и процессы, сдерживающие инновации и предпринимательство "снизу вверх"</w:t>
      </w:r>
      <w:r w:rsidRPr="002C450E">
        <w:rPr>
          <w:highlight w:val="cyan"/>
          <w:lang w:val="ru-RU" w:eastAsia="en-GB"/>
        </w:rPr>
        <w:t>]</w:t>
      </w:r>
    </w:p>
    <w:p w14:paraId="3A240D49" w14:textId="4E11A717" w:rsidR="00542135" w:rsidRPr="001D07C2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="00412309" w:rsidRPr="006033E0">
        <w:rPr>
          <w:lang w:val="ru-RU" w:eastAsia="en-GB"/>
        </w:rPr>
        <w:t xml:space="preserve">Ограниченная способность мобилизации ресурсов, сдерживающая </w:t>
      </w:r>
      <w:r w:rsidR="00720BCB" w:rsidRPr="006033E0">
        <w:rPr>
          <w:lang w:val="ru-RU" w:eastAsia="en-GB"/>
        </w:rPr>
        <w:t>возможности организации из-за особенностей финансирования деятельности со стороны Г</w:t>
      </w:r>
      <w:r w:rsidR="00720BCB">
        <w:rPr>
          <w:lang w:val="ru-RU" w:eastAsia="en-GB"/>
        </w:rPr>
        <w:t>осударств-Членов</w:t>
      </w:r>
      <w:r w:rsidR="00720BCB" w:rsidRPr="006033E0">
        <w:rPr>
          <w:lang w:val="ru-RU" w:eastAsia="en-GB"/>
        </w:rPr>
        <w:t xml:space="preserve"> как результат ограничений на размер единицы взносов, вариабельности в принятии Г</w:t>
      </w:r>
      <w:r w:rsidR="00720BCB">
        <w:rPr>
          <w:lang w:val="ru-RU" w:eastAsia="en-GB"/>
        </w:rPr>
        <w:t>осударствами-Членами</w:t>
      </w:r>
      <w:r w:rsidR="00720BCB" w:rsidRPr="006033E0">
        <w:rPr>
          <w:lang w:val="ru-RU" w:eastAsia="en-GB"/>
        </w:rPr>
        <w:t xml:space="preserve"> на себя обязательств по выбору класса взносов, а также задолженности </w:t>
      </w:r>
      <w:r w:rsidR="00720BCB">
        <w:rPr>
          <w:lang w:val="ru-RU" w:eastAsia="en-GB"/>
        </w:rPr>
        <w:t>Ч</w:t>
      </w:r>
      <w:r w:rsidR="00720BCB" w:rsidRPr="006033E0">
        <w:rPr>
          <w:lang w:val="ru-RU" w:eastAsia="en-GB"/>
        </w:rPr>
        <w:t>лен</w:t>
      </w:r>
      <w:r w:rsidR="00720BCB">
        <w:rPr>
          <w:lang w:val="ru-RU" w:eastAsia="en-GB"/>
        </w:rPr>
        <w:t>ов</w:t>
      </w:r>
      <w:r w:rsidR="00720BCB" w:rsidRPr="006033E0">
        <w:rPr>
          <w:lang w:val="ru-RU" w:eastAsia="en-GB"/>
        </w:rPr>
        <w:t xml:space="preserve"> перед Союзом</w:t>
      </w:r>
    </w:p>
    <w:p w14:paraId="141E8CCD" w14:textId="461E68DF" w:rsidR="00542135" w:rsidRPr="006033E0" w:rsidRDefault="00542135" w:rsidP="00542135">
      <w:pPr>
        <w:pStyle w:val="enumlev1"/>
        <w:rPr>
          <w:lang w:val="ru-RU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Pr="006033E0">
        <w:rPr>
          <w:highlight w:val="cyan"/>
          <w:lang w:val="ru-RU"/>
        </w:rPr>
        <w:t>[</w:t>
      </w:r>
      <w:r w:rsidR="00720BCB" w:rsidRPr="006033E0">
        <w:rPr>
          <w:highlight w:val="cyan"/>
          <w:lang w:val="ru-RU"/>
        </w:rPr>
        <w:t xml:space="preserve">МСЭ − организация системы </w:t>
      </w:r>
      <w:r w:rsidR="00720BCB">
        <w:rPr>
          <w:highlight w:val="cyan"/>
          <w:lang w:val="ru-RU"/>
        </w:rPr>
        <w:t>Организации Объединенных Наций</w:t>
      </w:r>
      <w:r w:rsidR="00720BCB" w:rsidRPr="006033E0">
        <w:rPr>
          <w:highlight w:val="cyan"/>
          <w:lang w:val="ru-RU"/>
        </w:rPr>
        <w:t xml:space="preserve">, управляемая независимыми Государствами-Членами, что может приводить к размыванию и выхолащиванию </w:t>
      </w:r>
      <w:r w:rsidR="00720BCB">
        <w:rPr>
          <w:highlight w:val="cyan"/>
          <w:lang w:val="ru-RU"/>
        </w:rPr>
        <w:t>основных</w:t>
      </w:r>
      <w:r w:rsidR="00720BCB" w:rsidRPr="006033E0">
        <w:rPr>
          <w:highlight w:val="cyan"/>
          <w:lang w:val="ru-RU"/>
        </w:rPr>
        <w:t xml:space="preserve"> компетенций МСЭ и, как следствие, </w:t>
      </w:r>
      <w:r w:rsidR="00720BCB">
        <w:rPr>
          <w:highlight w:val="cyan"/>
          <w:lang w:val="ru-RU"/>
        </w:rPr>
        <w:t>уменьшению</w:t>
      </w:r>
      <w:r w:rsidR="00720BCB" w:rsidRPr="006033E0">
        <w:rPr>
          <w:highlight w:val="cyan"/>
          <w:lang w:val="ru-RU"/>
        </w:rPr>
        <w:t xml:space="preserve"> его ценности для </w:t>
      </w:r>
      <w:r w:rsidR="00720BCB">
        <w:rPr>
          <w:highlight w:val="cyan"/>
          <w:lang w:val="ru-RU"/>
        </w:rPr>
        <w:t>Ч</w:t>
      </w:r>
      <w:r w:rsidR="00720BCB" w:rsidRPr="006033E0">
        <w:rPr>
          <w:highlight w:val="cyan"/>
          <w:lang w:val="ru-RU"/>
        </w:rPr>
        <w:t>лен</w:t>
      </w:r>
      <w:r w:rsidR="00720BCB">
        <w:rPr>
          <w:highlight w:val="cyan"/>
          <w:lang w:val="ru-RU"/>
        </w:rPr>
        <w:t>ов МСЭ</w:t>
      </w:r>
      <w:r w:rsidR="00720BCB" w:rsidRPr="006033E0">
        <w:rPr>
          <w:highlight w:val="cyan"/>
          <w:lang w:val="ru-RU"/>
        </w:rPr>
        <w:t xml:space="preserve"> – Ограниченн</w:t>
      </w:r>
      <w:r w:rsidR="00720BCB">
        <w:rPr>
          <w:highlight w:val="cyan"/>
          <w:lang w:val="ru-RU"/>
        </w:rPr>
        <w:t>ые</w:t>
      </w:r>
      <w:r w:rsidR="00720BCB" w:rsidRPr="006033E0">
        <w:rPr>
          <w:highlight w:val="cyan"/>
          <w:lang w:val="ru-RU"/>
        </w:rPr>
        <w:t xml:space="preserve"> возможности быстрого изменени</w:t>
      </w:r>
      <w:r w:rsidR="00720BCB">
        <w:rPr>
          <w:highlight w:val="cyan"/>
          <w:lang w:val="ru-RU"/>
        </w:rPr>
        <w:t>я</w:t>
      </w:r>
      <w:r w:rsidR="00720BCB" w:rsidRPr="006033E0">
        <w:rPr>
          <w:highlight w:val="cyan"/>
          <w:lang w:val="ru-RU"/>
        </w:rPr>
        <w:t xml:space="preserve"> </w:t>
      </w:r>
      <w:r w:rsidR="00720BCB">
        <w:rPr>
          <w:highlight w:val="cyan"/>
          <w:lang w:val="ru-RU"/>
        </w:rPr>
        <w:t xml:space="preserve">ориентации </w:t>
      </w:r>
      <w:r w:rsidR="00720BCB" w:rsidRPr="006033E0">
        <w:rPr>
          <w:highlight w:val="cyan"/>
          <w:lang w:val="ru-RU"/>
        </w:rPr>
        <w:t>сфер деятельности из-за сравнительно медленно</w:t>
      </w:r>
      <w:r w:rsidR="00720BCB">
        <w:rPr>
          <w:highlight w:val="cyan"/>
          <w:lang w:val="ru-RU"/>
        </w:rPr>
        <w:t>й процедуры</w:t>
      </w:r>
      <w:r w:rsidR="00720BCB" w:rsidRPr="006033E0">
        <w:rPr>
          <w:highlight w:val="cyan"/>
          <w:lang w:val="ru-RU"/>
        </w:rPr>
        <w:t xml:space="preserve"> измен</w:t>
      </w:r>
      <w:r w:rsidR="00720BCB">
        <w:rPr>
          <w:highlight w:val="cyan"/>
          <w:lang w:val="ru-RU"/>
        </w:rPr>
        <w:t>ения</w:t>
      </w:r>
      <w:r w:rsidR="00720BCB" w:rsidRPr="006033E0">
        <w:rPr>
          <w:highlight w:val="cyan"/>
          <w:lang w:val="ru-RU"/>
        </w:rPr>
        <w:t xml:space="preserve"> мандата (Устава и Конвенции МСЭ) и неотъемлемых свойств международной организации</w:t>
      </w:r>
      <w:r w:rsidRPr="006033E0">
        <w:rPr>
          <w:highlight w:val="cyan"/>
          <w:lang w:val="ru-RU"/>
        </w:rPr>
        <w:t>]</w:t>
      </w:r>
    </w:p>
    <w:p w14:paraId="730C61CC" w14:textId="06F3F086" w:rsidR="00542135" w:rsidRPr="001D07C2" w:rsidRDefault="00542135" w:rsidP="00542135">
      <w:pPr>
        <w:pStyle w:val="enumlev1"/>
        <w:rPr>
          <w:lang w:val="ru-RU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="00412309" w:rsidRPr="006033E0">
        <w:rPr>
          <w:lang w:val="ru-RU"/>
        </w:rPr>
        <w:t xml:space="preserve">Относительная обособленность региональных и зональных отделений от </w:t>
      </w:r>
      <w:r w:rsidR="00B51AFE">
        <w:rPr>
          <w:lang w:val="ru-RU"/>
        </w:rPr>
        <w:t xml:space="preserve">основного направления </w:t>
      </w:r>
      <w:r w:rsidR="00412309" w:rsidRPr="006033E0">
        <w:rPr>
          <w:lang w:val="ru-RU"/>
        </w:rPr>
        <w:t>деятельности</w:t>
      </w:r>
    </w:p>
    <w:p w14:paraId="3D10BA55" w14:textId="370AE9F0" w:rsidR="00542135" w:rsidRPr="006033E0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lastRenderedPageBreak/>
        <w:t>–</w:t>
      </w:r>
      <w:r w:rsidRPr="006033E0">
        <w:rPr>
          <w:lang w:val="ru-RU" w:eastAsia="en-GB"/>
        </w:rPr>
        <w:tab/>
      </w:r>
      <w:r w:rsidR="00B51AFE" w:rsidRPr="006033E0">
        <w:rPr>
          <w:lang w:val="ru-RU" w:eastAsia="en-GB"/>
        </w:rPr>
        <w:t>Нечеткость мандатов региональных и зональных отделений, приводящая к неэффективности оказания услуг членам и предоставления преимуществ заинтересованным сторонам</w:t>
      </w:r>
    </w:p>
    <w:p w14:paraId="45C92605" w14:textId="7E73FA40" w:rsidR="00542135" w:rsidRPr="00DD0D64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="00B51AFE" w:rsidRPr="006033E0">
        <w:rPr>
          <w:lang w:val="ru-RU" w:eastAsia="en-GB"/>
        </w:rPr>
        <w:t>Существенное сокращение доходной части при дополнительных требованиях в расходной части</w:t>
      </w:r>
    </w:p>
    <w:p w14:paraId="50C4712C" w14:textId="607C7A8E" w:rsidR="00542135" w:rsidRPr="006033E0" w:rsidRDefault="00542135" w:rsidP="00542135">
      <w:pPr>
        <w:pStyle w:val="enumlev1"/>
        <w:rPr>
          <w:lang w:val="ru-RU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Pr="006033E0">
        <w:rPr>
          <w:highlight w:val="cyan"/>
          <w:lang w:val="ru-RU" w:eastAsia="en-GB"/>
        </w:rPr>
        <w:t>[</w:t>
      </w:r>
      <w:r w:rsidR="00B51AFE" w:rsidRPr="006033E0">
        <w:rPr>
          <w:highlight w:val="cyan"/>
          <w:lang w:val="ru-RU" w:eastAsia="en-GB"/>
        </w:rPr>
        <w:t>Существующая бизнес-модель мероприятий Telecom не обоснована в финансовом отношении, и предлагаемые мероприятиями преимущества обладают явными признаками слабости</w:t>
      </w:r>
      <w:r w:rsidR="00412309" w:rsidRPr="006033E0">
        <w:rPr>
          <w:highlight w:val="cyan"/>
          <w:lang w:val="ru-RU"/>
        </w:rPr>
        <w:t>]</w:t>
      </w:r>
    </w:p>
    <w:p w14:paraId="1B367948" w14:textId="13D2E593" w:rsidR="00542135" w:rsidRPr="00030A4F" w:rsidRDefault="00B51AFE" w:rsidP="00542135">
      <w:pPr>
        <w:pStyle w:val="SimpleHeading"/>
        <w:shd w:val="clear" w:color="auto" w:fill="DDD9C3" w:themeFill="background2" w:themeFillShade="E6"/>
        <w:rPr>
          <w:sz w:val="22"/>
          <w:lang w:val="ru-RU"/>
        </w:rPr>
      </w:pPr>
      <w:r w:rsidRPr="00030A4F">
        <w:rPr>
          <w:sz w:val="22"/>
          <w:lang w:val="ru-RU"/>
        </w:rPr>
        <w:t>Возможности</w:t>
      </w:r>
    </w:p>
    <w:p w14:paraId="13D77FE6" w14:textId="709EDEBF" w:rsidR="00542135" w:rsidRPr="00B51AFE" w:rsidRDefault="00542135" w:rsidP="00542135">
      <w:pPr>
        <w:pStyle w:val="enumlev1"/>
        <w:rPr>
          <w:lang w:val="ru-RU" w:eastAsia="en-GB"/>
        </w:rPr>
      </w:pPr>
      <w:r w:rsidRPr="00B51AFE">
        <w:rPr>
          <w:lang w:val="ru-RU" w:eastAsia="en-GB"/>
        </w:rPr>
        <w:t>–</w:t>
      </w:r>
      <w:r w:rsidRPr="00B51AFE">
        <w:rPr>
          <w:lang w:val="ru-RU" w:eastAsia="en-GB"/>
        </w:rPr>
        <w:tab/>
      </w:r>
      <w:r w:rsidR="00B51AFE">
        <w:rPr>
          <w:lang w:val="ru-RU" w:eastAsia="en-GB"/>
        </w:rPr>
        <w:t>Увеличение вклада электросвязи и ИКТ в устойчивое развитие, расширение роли МСЭ в достижении ЦУР</w:t>
      </w:r>
    </w:p>
    <w:p w14:paraId="4D524BA2" w14:textId="158D4219" w:rsidR="00542135" w:rsidRPr="00B51AFE" w:rsidRDefault="00542135" w:rsidP="00542135">
      <w:pPr>
        <w:pStyle w:val="enumlev1"/>
        <w:rPr>
          <w:lang w:val="ru-RU" w:eastAsia="en-GB"/>
        </w:rPr>
      </w:pPr>
      <w:r w:rsidRPr="00B51AFE">
        <w:rPr>
          <w:lang w:val="ru-RU" w:eastAsia="en-GB"/>
        </w:rPr>
        <w:t>–</w:t>
      </w:r>
      <w:r w:rsidRPr="00B51AFE">
        <w:rPr>
          <w:lang w:val="ru-RU" w:eastAsia="en-GB"/>
        </w:rPr>
        <w:tab/>
      </w:r>
      <w:r w:rsidR="00B51AFE">
        <w:rPr>
          <w:lang w:val="ru-RU" w:eastAsia="en-GB"/>
        </w:rPr>
        <w:t>Ускорение цифровизации и цифровой трансформации под воздействием пандемии COVID</w:t>
      </w:r>
      <w:r w:rsidR="00B51AFE">
        <w:rPr>
          <w:lang w:val="ru-RU" w:eastAsia="en-GB"/>
        </w:rPr>
        <w:noBreakHyphen/>
        <w:t>19, увеличение значимости программ и платформы МСЭ</w:t>
      </w:r>
    </w:p>
    <w:p w14:paraId="692C5EB7" w14:textId="4B4D095A" w:rsidR="00542135" w:rsidRPr="00B51AFE" w:rsidRDefault="00542135" w:rsidP="00542135">
      <w:pPr>
        <w:pStyle w:val="enumlev1"/>
        <w:rPr>
          <w:lang w:val="ru-RU" w:eastAsia="en-GB"/>
        </w:rPr>
      </w:pPr>
      <w:r w:rsidRPr="00B51AFE">
        <w:rPr>
          <w:lang w:val="ru-RU" w:eastAsia="en-GB"/>
        </w:rPr>
        <w:t>–</w:t>
      </w:r>
      <w:r w:rsidRPr="00B51AFE">
        <w:rPr>
          <w:lang w:val="ru-RU" w:eastAsia="en-GB"/>
        </w:rPr>
        <w:tab/>
      </w:r>
      <w:r w:rsidR="00B51AFE">
        <w:rPr>
          <w:lang w:val="ru-RU" w:eastAsia="en-GB"/>
        </w:rPr>
        <w:t>Укрепление взаимодействия с новыми технологиями и группами заинтересованных сторон, таких как молодежь, женщины и маргинализированные сообщества, для получения разнообразных мнений по проблемам и перспективам цифровизации</w:t>
      </w:r>
    </w:p>
    <w:p w14:paraId="663A7CA7" w14:textId="4946B3BE" w:rsidR="00542135" w:rsidRPr="00D77D95" w:rsidRDefault="00542135" w:rsidP="00542135">
      <w:pPr>
        <w:pStyle w:val="enumlev1"/>
        <w:rPr>
          <w:lang w:val="ru-RU" w:eastAsia="en-GB"/>
        </w:rPr>
      </w:pPr>
      <w:r w:rsidRPr="00D77D95">
        <w:rPr>
          <w:lang w:val="ru-RU" w:eastAsia="en-GB"/>
        </w:rPr>
        <w:t>–</w:t>
      </w:r>
      <w:r w:rsidRPr="00D77D95">
        <w:rPr>
          <w:lang w:val="ru-RU" w:eastAsia="en-GB"/>
        </w:rPr>
        <w:tab/>
      </w:r>
      <w:r w:rsidR="00D77D95">
        <w:rPr>
          <w:lang w:val="ru-RU" w:eastAsia="en-GB"/>
        </w:rPr>
        <w:t>Возможности роста членского состава и партнерств при стремительном развитии новых компаний и организаций в области электросвязи/ИКТ в связи с цифровой трансформацией</w:t>
      </w:r>
    </w:p>
    <w:p w14:paraId="0ED04F6D" w14:textId="3FE3156B" w:rsidR="00542135" w:rsidRPr="00D77D95" w:rsidRDefault="00542135" w:rsidP="00542135">
      <w:pPr>
        <w:pStyle w:val="enumlev1"/>
        <w:rPr>
          <w:lang w:val="ru-RU" w:eastAsia="en-GB"/>
        </w:rPr>
      </w:pPr>
      <w:r w:rsidRPr="00D77D95">
        <w:rPr>
          <w:lang w:val="ru-RU" w:eastAsia="en-GB"/>
        </w:rPr>
        <w:t>–</w:t>
      </w:r>
      <w:r w:rsidRPr="00D77D95">
        <w:rPr>
          <w:lang w:val="ru-RU" w:eastAsia="en-GB"/>
        </w:rPr>
        <w:tab/>
      </w:r>
      <w:r w:rsidR="00920CF6" w:rsidRPr="006033E0">
        <w:rPr>
          <w:lang w:val="ru-RU" w:eastAsia="en-GB"/>
        </w:rPr>
        <w:t>Расширение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цифрового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программирования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в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рамках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системы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ООН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в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целом</w:t>
      </w:r>
      <w:r w:rsidR="00920CF6" w:rsidRPr="00D77D95">
        <w:rPr>
          <w:lang w:val="ru-RU" w:eastAsia="en-GB"/>
        </w:rPr>
        <w:t xml:space="preserve">, </w:t>
      </w:r>
      <w:r w:rsidR="00920CF6" w:rsidRPr="006033E0">
        <w:rPr>
          <w:lang w:val="ru-RU" w:eastAsia="en-GB"/>
        </w:rPr>
        <w:t>создание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для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МСЭ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возможности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использования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своего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уникального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специального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опыта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и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знаний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и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занятия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положения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ведущего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катализатора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в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области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электросвязи</w:t>
      </w:r>
      <w:r w:rsidR="00920CF6" w:rsidRPr="00D77D95">
        <w:rPr>
          <w:lang w:val="ru-RU" w:eastAsia="en-GB"/>
        </w:rPr>
        <w:t>/</w:t>
      </w:r>
      <w:r w:rsidR="00920CF6" w:rsidRPr="006033E0">
        <w:rPr>
          <w:lang w:val="ru-RU" w:eastAsia="en-GB"/>
        </w:rPr>
        <w:t>ИКТ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для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деятельности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других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учреждений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системы</w:t>
      </w:r>
      <w:r w:rsidR="00920CF6" w:rsidRPr="00D77D95">
        <w:rPr>
          <w:lang w:val="ru-RU" w:eastAsia="en-GB"/>
        </w:rPr>
        <w:t xml:space="preserve"> </w:t>
      </w:r>
      <w:r w:rsidR="00920CF6" w:rsidRPr="006033E0">
        <w:rPr>
          <w:lang w:val="ru-RU" w:eastAsia="en-GB"/>
        </w:rPr>
        <w:t>ООН</w:t>
      </w:r>
      <w:r w:rsidRPr="00D77D95">
        <w:rPr>
          <w:lang w:val="ru-RU" w:eastAsia="en-GB"/>
        </w:rPr>
        <w:t xml:space="preserve">, </w:t>
      </w:r>
      <w:r w:rsidR="00D77D95">
        <w:rPr>
          <w:lang w:val="ru-RU" w:eastAsia="en-GB"/>
        </w:rPr>
        <w:t xml:space="preserve">включая </w:t>
      </w:r>
      <w:r w:rsidR="00D77D95" w:rsidRPr="00D77D95">
        <w:rPr>
          <w:color w:val="000000"/>
          <w:lang w:val="ru-RU"/>
        </w:rPr>
        <w:t>изменения, касающиеся повестки дня ООН в области цифрового сотрудничества и соответствующей Дорожной карты и доклада Генерального секретаря ООН "Наша общая повестка дня", которые открывают ряд возможностей для формирования совместных партнерств с различными организациями</w:t>
      </w:r>
    </w:p>
    <w:p w14:paraId="505A3E99" w14:textId="77777777" w:rsidR="00412309" w:rsidRPr="006033E0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="00412309" w:rsidRPr="006033E0">
        <w:rPr>
          <w:lang w:val="ru-RU" w:eastAsia="en-GB"/>
        </w:rPr>
        <w:t>Использование конкурентных преимуществ МСЭ, в том числе его продуктов и услуг, для повышения доходов Союза, или разработка дополнительных новых финансовых механизмов.</w:t>
      </w:r>
    </w:p>
    <w:p w14:paraId="1FD601F5" w14:textId="6DF4AE5C" w:rsidR="00542135" w:rsidRPr="00D77D95" w:rsidRDefault="00542135" w:rsidP="00542135">
      <w:pPr>
        <w:pStyle w:val="enumlev1"/>
        <w:rPr>
          <w:lang w:val="ru-RU" w:eastAsia="en-GB"/>
        </w:rPr>
      </w:pPr>
      <w:r w:rsidRPr="00D77D95">
        <w:rPr>
          <w:lang w:val="ru-RU" w:eastAsia="en-GB"/>
        </w:rPr>
        <w:t>–</w:t>
      </w:r>
      <w:r w:rsidRPr="00D77D95">
        <w:rPr>
          <w:lang w:val="ru-RU" w:eastAsia="en-GB"/>
        </w:rPr>
        <w:tab/>
      </w:r>
      <w:r w:rsidR="00D77D95">
        <w:rPr>
          <w:lang w:val="ru-RU" w:eastAsia="en-GB"/>
        </w:rPr>
        <w:t>Более целенаправленное использование регионального присутствия МСЭ может улучшить составление программ и достижение результатов</w:t>
      </w:r>
    </w:p>
    <w:p w14:paraId="111C2E22" w14:textId="1853522A" w:rsidR="00542135" w:rsidRPr="00030A4F" w:rsidRDefault="00D77D95" w:rsidP="00542135">
      <w:pPr>
        <w:pStyle w:val="SimpleHeading"/>
        <w:shd w:val="clear" w:color="auto" w:fill="DDD9C3" w:themeFill="background2" w:themeFillShade="E6"/>
        <w:rPr>
          <w:sz w:val="22"/>
          <w:lang w:val="ru-RU"/>
        </w:rPr>
      </w:pPr>
      <w:r w:rsidRPr="00030A4F">
        <w:rPr>
          <w:sz w:val="22"/>
          <w:lang w:val="ru-RU"/>
        </w:rPr>
        <w:t>Угрозы</w:t>
      </w:r>
    </w:p>
    <w:p w14:paraId="012276BE" w14:textId="7165A8DE" w:rsidR="00542135" w:rsidRPr="00D77D95" w:rsidRDefault="00542135" w:rsidP="00542135">
      <w:pPr>
        <w:pStyle w:val="enumlev1"/>
        <w:rPr>
          <w:lang w:val="ru-RU" w:eastAsia="en-GB"/>
        </w:rPr>
      </w:pPr>
      <w:r w:rsidRPr="00D77D95">
        <w:rPr>
          <w:lang w:val="ru-RU" w:eastAsia="en-GB"/>
        </w:rPr>
        <w:t>–</w:t>
      </w:r>
      <w:r w:rsidRPr="00D77D95">
        <w:rPr>
          <w:lang w:val="ru-RU" w:eastAsia="en-GB"/>
        </w:rPr>
        <w:tab/>
      </w:r>
      <w:r w:rsidR="00D77D95">
        <w:rPr>
          <w:lang w:val="ru-RU" w:eastAsia="en-GB"/>
        </w:rPr>
        <w:t>Обстановка в области электросвязи/ИКТ и ее развитие могут меняться слишком быстро, чтобы МСЭ мог эффективно адаптировать составление своих программ и свой потенциал и сохранять предлагаемые стоимостные преимущества</w:t>
      </w:r>
    </w:p>
    <w:p w14:paraId="223206D4" w14:textId="33C5C91B" w:rsidR="00542135" w:rsidRPr="00D77D95" w:rsidRDefault="00542135" w:rsidP="00542135">
      <w:pPr>
        <w:pStyle w:val="enumlev1"/>
        <w:rPr>
          <w:lang w:val="ru-RU" w:eastAsia="en-GB"/>
        </w:rPr>
      </w:pPr>
      <w:r w:rsidRPr="00D77D95">
        <w:rPr>
          <w:lang w:val="ru-RU" w:eastAsia="en-GB"/>
        </w:rPr>
        <w:t>–</w:t>
      </w:r>
      <w:r w:rsidRPr="00D77D95">
        <w:rPr>
          <w:lang w:val="ru-RU" w:eastAsia="en-GB"/>
        </w:rPr>
        <w:tab/>
      </w:r>
      <w:r w:rsidR="00D77D95">
        <w:rPr>
          <w:lang w:val="ru-RU" w:eastAsia="en-GB"/>
        </w:rPr>
        <w:t xml:space="preserve">Вызванные пандемией </w:t>
      </w:r>
      <w:r w:rsidR="00D77D95">
        <w:rPr>
          <w:lang w:val="en-US" w:eastAsia="en-GB"/>
        </w:rPr>
        <w:t>COVID</w:t>
      </w:r>
      <w:r w:rsidR="00D77D95" w:rsidRPr="00D77D95">
        <w:rPr>
          <w:lang w:val="ru-RU" w:eastAsia="en-GB"/>
        </w:rPr>
        <w:t xml:space="preserve">-19 </w:t>
      </w:r>
      <w:r w:rsidR="00D77D95">
        <w:rPr>
          <w:lang w:val="ru-RU" w:eastAsia="en-GB"/>
        </w:rPr>
        <w:t>глобальное замедление экономического развития и угрозы сильному, сбалансированному и устойчивому росту могут ограничить ресурсы МСЭ и его способность достигать своих стратегических целей</w:t>
      </w:r>
    </w:p>
    <w:p w14:paraId="743CC882" w14:textId="49E886C1" w:rsidR="00542135" w:rsidRPr="00D77D95" w:rsidRDefault="00542135" w:rsidP="00542135">
      <w:pPr>
        <w:pStyle w:val="enumlev1"/>
        <w:rPr>
          <w:lang w:val="ru-RU" w:eastAsia="en-GB"/>
        </w:rPr>
      </w:pPr>
      <w:r w:rsidRPr="00D77D95">
        <w:rPr>
          <w:lang w:val="ru-RU" w:eastAsia="en-GB"/>
        </w:rPr>
        <w:t>–</w:t>
      </w:r>
      <w:r w:rsidRPr="00D77D95">
        <w:rPr>
          <w:lang w:val="ru-RU" w:eastAsia="en-GB"/>
        </w:rPr>
        <w:tab/>
      </w:r>
      <w:r w:rsidR="00D77D95">
        <w:rPr>
          <w:lang w:val="ru-RU" w:eastAsia="en-GB"/>
        </w:rPr>
        <w:t>В стремительно меняющейся обстановке Государства-Члены, лидеры отрасли, другие учреждения системы ООН и международные организации могут воспользоваться большей долей новых возможностей регулирования в рамках мандата, установления стандартов и финансирования, что может снизить значение некоторых видов деятельности МСЭ</w:t>
      </w:r>
    </w:p>
    <w:p w14:paraId="5AE5123B" w14:textId="0B8BAF1D" w:rsidR="00542135" w:rsidRPr="00D77D95" w:rsidRDefault="00542135" w:rsidP="00542135">
      <w:pPr>
        <w:pStyle w:val="enumlev1"/>
        <w:rPr>
          <w:lang w:val="ru-RU" w:eastAsia="en-GB"/>
        </w:rPr>
      </w:pPr>
      <w:r w:rsidRPr="00D77D95">
        <w:rPr>
          <w:lang w:val="ru-RU" w:eastAsia="en-GB"/>
        </w:rPr>
        <w:t>–</w:t>
      </w:r>
      <w:r w:rsidRPr="00D77D95">
        <w:rPr>
          <w:lang w:val="ru-RU" w:eastAsia="en-GB"/>
        </w:rPr>
        <w:tab/>
      </w:r>
      <w:r w:rsidR="00D77D95">
        <w:rPr>
          <w:lang w:val="ru-RU" w:eastAsia="en-GB"/>
        </w:rPr>
        <w:t>Разнообразные указания по конкретной сфере деятельности МСЭ приводят к распылению ресурсов, что создает риск снижения воздействия деятельности МСЭ</w:t>
      </w:r>
    </w:p>
    <w:p w14:paraId="20F9525A" w14:textId="3D66A168" w:rsidR="00542135" w:rsidRPr="006033E0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="00412309" w:rsidRPr="006033E0">
        <w:rPr>
          <w:lang w:val="ru-RU" w:eastAsia="en-GB"/>
        </w:rPr>
        <w:t>Большую обеспокоенность вызывает способность конкурировать и сохранять актуальность на международном и региональном уровнях</w:t>
      </w:r>
    </w:p>
    <w:p w14:paraId="17D91646" w14:textId="42547704" w:rsidR="00542135" w:rsidRPr="006033E0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Pr="006033E0">
        <w:rPr>
          <w:highlight w:val="cyan"/>
          <w:lang w:val="ru-RU" w:eastAsia="en-GB"/>
        </w:rPr>
        <w:t>[</w:t>
      </w:r>
      <w:r w:rsidR="00412309" w:rsidRPr="00412309">
        <w:rPr>
          <w:highlight w:val="cyan"/>
          <w:lang w:val="ru-RU" w:eastAsia="en-GB"/>
        </w:rPr>
        <w:t>Другие организации системы ООН расширяют свое участие в областях цифрового сотрудничества и ИКТ</w:t>
      </w:r>
      <w:r w:rsidRPr="006033E0">
        <w:rPr>
          <w:highlight w:val="cyan"/>
          <w:lang w:val="ru-RU" w:eastAsia="en-GB"/>
        </w:rPr>
        <w:t>]</w:t>
      </w:r>
    </w:p>
    <w:p w14:paraId="7E382B28" w14:textId="338E984F" w:rsidR="00542135" w:rsidRPr="006033E0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lastRenderedPageBreak/>
        <w:t>–</w:t>
      </w:r>
      <w:r w:rsidRPr="006033E0">
        <w:rPr>
          <w:lang w:val="ru-RU" w:eastAsia="en-GB"/>
        </w:rPr>
        <w:tab/>
      </w:r>
      <w:r w:rsidR="00412309" w:rsidRPr="006033E0">
        <w:rPr>
          <w:lang w:val="ru-RU" w:eastAsia="en-GB"/>
        </w:rPr>
        <w:t>Проблемы, связанные с тем, где они могут применить потенциал, который может превышать потенциал МСЭ на региональном уровне</w:t>
      </w:r>
    </w:p>
    <w:p w14:paraId="4BDC926B" w14:textId="5A2348ED" w:rsidR="00542135" w:rsidRPr="006033E0" w:rsidRDefault="00542135" w:rsidP="00542135">
      <w:pPr>
        <w:pStyle w:val="enumlev1"/>
        <w:rPr>
          <w:lang w:val="ru-RU" w:eastAsia="en-GB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="00412309" w:rsidRPr="006033E0">
        <w:rPr>
          <w:lang w:val="ru-RU" w:eastAsia="en-GB"/>
        </w:rPr>
        <w:t>Низкий уровень участия ООН в целом, координации и сотрудничества в совместном стратегическом планировании</w:t>
      </w:r>
    </w:p>
    <w:p w14:paraId="67E9FA7F" w14:textId="16B186D7" w:rsidR="00542135" w:rsidRPr="006033E0" w:rsidRDefault="00542135" w:rsidP="00542135">
      <w:pPr>
        <w:pStyle w:val="enumlev1"/>
        <w:rPr>
          <w:lang w:val="ru-RU"/>
        </w:rPr>
      </w:pPr>
      <w:r w:rsidRPr="006033E0">
        <w:rPr>
          <w:lang w:val="ru-RU" w:eastAsia="en-GB"/>
        </w:rPr>
        <w:t>–</w:t>
      </w:r>
      <w:r w:rsidRPr="006033E0">
        <w:rPr>
          <w:lang w:val="ru-RU" w:eastAsia="en-GB"/>
        </w:rPr>
        <w:tab/>
      </w:r>
      <w:r w:rsidR="00412309" w:rsidRPr="006033E0">
        <w:rPr>
          <w:lang w:val="ru-RU" w:eastAsia="en-GB"/>
        </w:rPr>
        <w:t>Недостаточное финансирование – риск несбалансированности Финансового плана</w:t>
      </w:r>
    </w:p>
    <w:p w14:paraId="59E6952D" w14:textId="77777777" w:rsidR="00542135" w:rsidRPr="006033E0" w:rsidRDefault="00542135" w:rsidP="00920CF6">
      <w:pPr>
        <w:pStyle w:val="enumlev1"/>
        <w:spacing w:before="720"/>
        <w:jc w:val="center"/>
        <w:rPr>
          <w:lang w:val="ru-RU"/>
        </w:rPr>
      </w:pPr>
      <w:r w:rsidRPr="006033E0">
        <w:rPr>
          <w:lang w:val="ru-RU"/>
        </w:rPr>
        <w:t>______________</w:t>
      </w:r>
    </w:p>
    <w:sectPr w:rsidR="00542135" w:rsidRPr="006033E0" w:rsidSect="00B42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6432" w14:textId="77777777" w:rsidR="00E80B6B" w:rsidRDefault="00E80B6B">
      <w:r>
        <w:separator/>
      </w:r>
    </w:p>
  </w:endnote>
  <w:endnote w:type="continuationSeparator" w:id="0">
    <w:p w14:paraId="4EC05534" w14:textId="77777777" w:rsidR="00E80B6B" w:rsidRDefault="00E8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4665" w14:textId="77777777" w:rsidR="004608CB" w:rsidRDefault="00460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78B62EB7" w:rsidR="00E0307A" w:rsidRPr="00756434" w:rsidRDefault="00375DFF" w:rsidP="00756434">
    <w:pPr>
      <w:pStyle w:val="Footer"/>
      <w:rPr>
        <w:sz w:val="18"/>
        <w:szCs w:val="18"/>
        <w:lang w:val="fr-CH"/>
      </w:rPr>
    </w:pPr>
    <w:r w:rsidRPr="004608CB">
      <w:rPr>
        <w:color w:val="F2F2F2" w:themeColor="background1" w:themeShade="F2"/>
        <w:lang w:val="en-GB"/>
      </w:rPr>
      <w:fldChar w:fldCharType="begin"/>
    </w:r>
    <w:r w:rsidRPr="004608CB">
      <w:rPr>
        <w:color w:val="F2F2F2" w:themeColor="background1" w:themeShade="F2"/>
        <w:lang w:val="fr-CH"/>
      </w:rPr>
      <w:instrText xml:space="preserve"> FILENAME \p  \* MERGEFORMAT </w:instrText>
    </w:r>
    <w:r w:rsidRPr="004608CB">
      <w:rPr>
        <w:color w:val="F2F2F2" w:themeColor="background1" w:themeShade="F2"/>
        <w:lang w:val="en-GB"/>
      </w:rPr>
      <w:fldChar w:fldCharType="separate"/>
    </w:r>
    <w:r w:rsidRPr="004608CB">
      <w:rPr>
        <w:color w:val="F2F2F2" w:themeColor="background1" w:themeShade="F2"/>
        <w:lang w:val="fr-CH"/>
      </w:rPr>
      <w:t>P:\SG\CONSEIL\CWG-SFP\CWG-SFP4\000\002R.docx</w:t>
    </w:r>
    <w:r w:rsidRPr="004608CB">
      <w:rPr>
        <w:color w:val="F2F2F2" w:themeColor="background1" w:themeShade="F2"/>
      </w:rPr>
      <w:fldChar w:fldCharType="end"/>
    </w:r>
    <w:r w:rsidRPr="004608CB">
      <w:rPr>
        <w:color w:val="F2F2F2" w:themeColor="background1" w:themeShade="F2"/>
        <w:lang w:val="fr-CH"/>
      </w:rPr>
      <w:t xml:space="preserve"> (</w:t>
    </w:r>
    <w:r w:rsidRPr="004608CB">
      <w:rPr>
        <w:color w:val="F2F2F2" w:themeColor="background1" w:themeShade="F2"/>
      </w:rPr>
      <w:t>502292</w:t>
    </w:r>
    <w:r w:rsidRPr="004608CB">
      <w:rPr>
        <w:color w:val="F2F2F2" w:themeColor="background1" w:themeShade="F2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B10" w14:textId="77777777" w:rsidR="00E80B6B" w:rsidRDefault="00E80B6B">
      <w:r>
        <w:t>____________________</w:t>
      </w:r>
    </w:p>
  </w:footnote>
  <w:footnote w:type="continuationSeparator" w:id="0">
    <w:p w14:paraId="7CA02F56" w14:textId="77777777" w:rsidR="00E80B6B" w:rsidRDefault="00E80B6B">
      <w:r>
        <w:continuationSeparator/>
      </w:r>
    </w:p>
  </w:footnote>
  <w:footnote w:id="1">
    <w:p w14:paraId="4F3DF006" w14:textId="0C276A6B" w:rsidR="00375DFF" w:rsidRPr="00A0767C" w:rsidRDefault="00375DFF" w:rsidP="00375DFF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1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>, июнь 2020 года (</w:t>
      </w:r>
      <w:hyperlink r:id="rId2" w:history="1">
        <w:r w:rsidRPr="00A0767C">
          <w:rPr>
            <w:rStyle w:val="Hyperlink"/>
            <w:lang w:val="ru-RU"/>
          </w:rPr>
          <w:t>https://undocs.org/A/74/821</w:t>
        </w:r>
      </w:hyperlink>
      <w:r w:rsidRPr="00A0767C">
        <w:rPr>
          <w:lang w:val="ru-RU"/>
        </w:rPr>
        <w:t>).</w:t>
      </w:r>
    </w:p>
  </w:footnote>
  <w:footnote w:id="2">
    <w:p w14:paraId="162DF51E" w14:textId="77777777" w:rsidR="00375DFF" w:rsidRPr="004E3DDB" w:rsidRDefault="00375DFF" w:rsidP="00375DFF">
      <w:pPr>
        <w:pStyle w:val="FootnoteText"/>
        <w:ind w:left="255" w:hanging="255"/>
      </w:pPr>
      <w:r w:rsidRPr="00A0767C">
        <w:rPr>
          <w:rStyle w:val="FootnoteReference"/>
          <w:lang w:val="ru-RU"/>
        </w:rPr>
        <w:footnoteRef/>
      </w:r>
      <w:r w:rsidRPr="004E3DDB">
        <w:rPr>
          <w:sz w:val="18"/>
          <w:szCs w:val="18"/>
        </w:rPr>
        <w:tab/>
      </w:r>
      <w:hyperlink r:id="rId3" w:history="1">
        <w:r w:rsidRPr="00307498">
          <w:rPr>
            <w:rStyle w:val="Hyperlink"/>
          </w:rPr>
          <w:t>A</w:t>
        </w:r>
        <w:r w:rsidRPr="004E3DDB">
          <w:rPr>
            <w:rStyle w:val="Hyperlink"/>
          </w:rPr>
          <w:t>/</w:t>
        </w:r>
        <w:r w:rsidRPr="00307498">
          <w:rPr>
            <w:rStyle w:val="Hyperlink"/>
          </w:rPr>
          <w:t>RES</w:t>
        </w:r>
        <w:r w:rsidRPr="004E3DDB">
          <w:rPr>
            <w:rStyle w:val="Hyperlink"/>
          </w:rPr>
          <w:t xml:space="preserve">/75/1 </w:t>
        </w:r>
        <w:r>
          <w:rPr>
            <w:rStyle w:val="Hyperlink"/>
            <w:lang w:val="en-US"/>
          </w:rPr>
          <w:t>−</w:t>
        </w:r>
        <w:r w:rsidRPr="004E3DDB">
          <w:rPr>
            <w:rStyle w:val="Hyperlink"/>
          </w:rPr>
          <w:t xml:space="preserve"> </w:t>
        </w:r>
        <w:r w:rsidRPr="00307498">
          <w:rPr>
            <w:rStyle w:val="Hyperlink"/>
          </w:rPr>
          <w:t>E</w:t>
        </w:r>
        <w:r w:rsidRPr="004E3DDB">
          <w:rPr>
            <w:rStyle w:val="Hyperlink"/>
          </w:rPr>
          <w:t xml:space="preserve"> </w:t>
        </w:r>
        <w:r>
          <w:rPr>
            <w:rStyle w:val="Hyperlink"/>
            <w:lang w:val="en-US"/>
          </w:rPr>
          <w:t>−</w:t>
        </w:r>
        <w:r w:rsidRPr="004E3DDB">
          <w:rPr>
            <w:rStyle w:val="Hyperlink"/>
          </w:rPr>
          <w:t xml:space="preserve"> </w:t>
        </w:r>
        <w:r w:rsidRPr="00307498">
          <w:rPr>
            <w:rStyle w:val="Hyperlink"/>
          </w:rPr>
          <w:t>A</w:t>
        </w:r>
        <w:r w:rsidRPr="004E3DDB">
          <w:rPr>
            <w:rStyle w:val="Hyperlink"/>
          </w:rPr>
          <w:t>/</w:t>
        </w:r>
        <w:r w:rsidRPr="00307498">
          <w:rPr>
            <w:rStyle w:val="Hyperlink"/>
          </w:rPr>
          <w:t>RES</w:t>
        </w:r>
        <w:r w:rsidRPr="004E3DDB">
          <w:rPr>
            <w:rStyle w:val="Hyperlink"/>
          </w:rPr>
          <w:t xml:space="preserve">/75/1 </w:t>
        </w:r>
        <w:r>
          <w:rPr>
            <w:rStyle w:val="Hyperlink"/>
            <w:lang w:val="en-US"/>
          </w:rPr>
          <w:t xml:space="preserve">− </w:t>
        </w:r>
        <w:r w:rsidRPr="00307498">
          <w:rPr>
            <w:rStyle w:val="Hyperlink"/>
          </w:rPr>
          <w:t>Desktop</w:t>
        </w:r>
        <w:r w:rsidRPr="004E3DDB">
          <w:rPr>
            <w:rStyle w:val="Hyperlink"/>
          </w:rPr>
          <w:t xml:space="preserve"> (</w:t>
        </w:r>
        <w:r w:rsidRPr="00307498">
          <w:rPr>
            <w:rStyle w:val="Hyperlink"/>
          </w:rPr>
          <w:t>undocs</w:t>
        </w:r>
        <w:r w:rsidRPr="004E3DDB">
          <w:rPr>
            <w:rStyle w:val="Hyperlink"/>
          </w:rPr>
          <w:t>.</w:t>
        </w:r>
        <w:r w:rsidRPr="00307498">
          <w:rPr>
            <w:rStyle w:val="Hyperlink"/>
          </w:rPr>
          <w:t>org</w:t>
        </w:r>
        <w:r w:rsidRPr="004E3DDB">
          <w:rPr>
            <w:rStyle w:val="Hyperlink"/>
          </w:rPr>
          <w:t>)</w:t>
        </w:r>
      </w:hyperlink>
      <w:r w:rsidRPr="004E3DDB">
        <w:t>.</w:t>
      </w:r>
    </w:p>
  </w:footnote>
  <w:footnote w:id="3">
    <w:p w14:paraId="7C2138B1" w14:textId="77777777" w:rsidR="00375DFF" w:rsidRPr="00A0767C" w:rsidRDefault="00375DFF" w:rsidP="00375DFF">
      <w:pPr>
        <w:pStyle w:val="FootnoteText"/>
        <w:ind w:left="255" w:hanging="255"/>
        <w:rPr>
          <w:lang w:val="ru-RU"/>
        </w:rPr>
      </w:pPr>
      <w:r w:rsidRPr="00A0767C">
        <w:rPr>
          <w:rStyle w:val="FootnoteReference"/>
          <w:lang w:val="ru-RU"/>
        </w:rPr>
        <w:footnoteRef/>
      </w:r>
      <w:r w:rsidRPr="00A0767C">
        <w:rPr>
          <w:sz w:val="18"/>
          <w:szCs w:val="18"/>
          <w:lang w:val="ru-RU"/>
        </w:rPr>
        <w:tab/>
      </w:r>
      <w:hyperlink r:id="rId4" w:history="1">
        <w:r w:rsidRPr="00A0767C">
          <w:rPr>
            <w:rStyle w:val="Hyperlink"/>
            <w:lang w:val="ru-RU"/>
          </w:rPr>
          <w:t>Организация Объединенных Наций</w:t>
        </w:r>
      </w:hyperlink>
      <w:r w:rsidRPr="00A0767C">
        <w:rPr>
          <w:lang w:val="ru-RU"/>
        </w:rPr>
        <w:t xml:space="preserve">, </w:t>
      </w:r>
      <w:r>
        <w:rPr>
          <w:lang w:val="ru-RU"/>
        </w:rPr>
        <w:t>сентябрь</w:t>
      </w:r>
      <w:r w:rsidRPr="00A0767C">
        <w:rPr>
          <w:lang w:val="ru-RU"/>
        </w:rPr>
        <w:t xml:space="preserve"> 2021</w:t>
      </w:r>
      <w:r>
        <w:rPr>
          <w:lang w:val="ru-RU"/>
        </w:rPr>
        <w:t xml:space="preserve"> года</w:t>
      </w:r>
      <w:r w:rsidRPr="00A0767C">
        <w:rPr>
          <w:lang w:val="ru-RU"/>
        </w:rPr>
        <w:t>.</w:t>
      </w:r>
    </w:p>
  </w:footnote>
  <w:footnote w:id="4">
    <w:p w14:paraId="2188D25E" w14:textId="77777777" w:rsidR="00375DFF" w:rsidRPr="00A77A65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unsdg</w:instrText>
      </w:r>
      <w:r w:rsidR="004608CB" w:rsidRPr="004608CB">
        <w:rPr>
          <w:lang w:val="ru-RU"/>
        </w:rPr>
        <w:instrText>.</w:instrText>
      </w:r>
      <w:r w:rsidR="004608CB">
        <w:instrText>un</w:instrText>
      </w:r>
      <w:r w:rsidR="004608CB" w:rsidRPr="004608CB">
        <w:rPr>
          <w:lang w:val="ru-RU"/>
        </w:rPr>
        <w:instrText>.</w:instrText>
      </w:r>
      <w:r w:rsidR="004608CB">
        <w:instrText>org</w:instrText>
      </w:r>
      <w:r w:rsidR="004608CB" w:rsidRPr="004608CB">
        <w:rPr>
          <w:lang w:val="ru-RU"/>
        </w:rPr>
        <w:instrText>/2030-</w:instrText>
      </w:r>
      <w:r w:rsidR="004608CB">
        <w:instrText>agenda</w:instrText>
      </w:r>
      <w:r w:rsidR="004608CB" w:rsidRPr="004608CB">
        <w:rPr>
          <w:lang w:val="ru-RU"/>
        </w:rPr>
        <w:instrText>/</w:instrText>
      </w:r>
      <w:r w:rsidR="004608CB">
        <w:instrText>cooperation</w:instrText>
      </w:r>
      <w:r w:rsidR="004608CB" w:rsidRPr="004608CB">
        <w:rPr>
          <w:lang w:val="ru-RU"/>
        </w:rPr>
        <w:instrText>-</w:instrText>
      </w:r>
      <w:r w:rsidR="004608CB">
        <w:instrText>framework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 w:rsidRPr="00911ED6">
        <w:rPr>
          <w:rStyle w:val="Hyperlink"/>
        </w:rPr>
        <w:t>UNSG</w:t>
      </w:r>
      <w:r w:rsidR="004608CB">
        <w:rPr>
          <w:rStyle w:val="Hyperlink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2019 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5">
    <w:p w14:paraId="18FB2190" w14:textId="77777777" w:rsidR="00375DFF" w:rsidRPr="00A77A65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undocs</w:instrText>
      </w:r>
      <w:r w:rsidR="004608CB" w:rsidRPr="004608CB">
        <w:rPr>
          <w:lang w:val="ru-RU"/>
        </w:rPr>
        <w:instrText>.</w:instrText>
      </w:r>
      <w:r w:rsidR="004608CB">
        <w:instrText>org</w:instrText>
      </w:r>
      <w:r w:rsidR="004608CB" w:rsidRPr="004608CB">
        <w:rPr>
          <w:lang w:val="ru-RU"/>
        </w:rPr>
        <w:instrText>/</w:instrText>
      </w:r>
      <w:r w:rsidR="004608CB">
        <w:instrText>en</w:instrText>
      </w:r>
      <w:r w:rsidR="004608CB" w:rsidRPr="004608CB">
        <w:rPr>
          <w:lang w:val="ru-RU"/>
        </w:rPr>
        <w:instrText>/</w:instrText>
      </w:r>
      <w:r w:rsidR="004608CB">
        <w:instrText>A</w:instrText>
      </w:r>
      <w:r w:rsidR="004608CB" w:rsidRPr="004608CB">
        <w:rPr>
          <w:lang w:val="ru-RU"/>
        </w:rPr>
        <w:instrText>/</w:instrText>
      </w:r>
      <w:r w:rsidR="004608CB">
        <w:instrText>RES</w:instrText>
      </w:r>
      <w:r w:rsidR="004608CB" w:rsidRPr="004608CB">
        <w:rPr>
          <w:lang w:val="ru-RU"/>
        </w:rPr>
        <w:instrText xml:space="preserve">/71/243" </w:instrText>
      </w:r>
      <w:r w:rsidR="004608CB">
        <w:fldChar w:fldCharType="separate"/>
      </w:r>
      <w:r>
        <w:rPr>
          <w:rStyle w:val="Hyperlink"/>
          <w:lang w:val="ru-RU"/>
        </w:rPr>
        <w:t>ООН</w:t>
      </w:r>
      <w:r w:rsidR="004608CB">
        <w:rPr>
          <w:rStyle w:val="Hyperlink"/>
          <w:lang w:val="ru-RU"/>
        </w:rPr>
        <w:fldChar w:fldCharType="end"/>
      </w:r>
      <w:r w:rsidRPr="00A77A65">
        <w:rPr>
          <w:lang w:val="ru-RU"/>
        </w:rPr>
        <w:t xml:space="preserve">, 1 </w:t>
      </w:r>
      <w:r>
        <w:rPr>
          <w:lang w:val="ru-RU"/>
        </w:rPr>
        <w:t>февраля</w:t>
      </w:r>
      <w:r w:rsidRPr="00A77A65">
        <w:rPr>
          <w:lang w:val="ru-RU"/>
        </w:rPr>
        <w:t xml:space="preserve"> 2017</w:t>
      </w:r>
      <w:r w:rsidRPr="00750DF4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6">
    <w:p w14:paraId="75435ABD" w14:textId="77777777" w:rsidR="00375DFF" w:rsidRPr="009137DF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sz w:val="18"/>
          <w:szCs w:val="18"/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.</w:instrText>
      </w:r>
      <w:r w:rsidR="004608CB">
        <w:instrText>itu</w:instrText>
      </w:r>
      <w:r w:rsidR="004608CB" w:rsidRPr="004608CB">
        <w:rPr>
          <w:lang w:val="ru-RU"/>
        </w:rPr>
        <w:instrText>.</w:instrText>
      </w:r>
      <w:r w:rsidR="004608CB">
        <w:instrText>int</w:instrText>
      </w:r>
      <w:r w:rsidR="004608CB" w:rsidRPr="004608CB">
        <w:rPr>
          <w:lang w:val="ru-RU"/>
        </w:rPr>
        <w:instrText>/</w:instrText>
      </w:r>
      <w:r w:rsidR="004608CB">
        <w:instrText>pub</w:instrText>
      </w:r>
      <w:r w:rsidR="004608CB" w:rsidRPr="004608CB">
        <w:rPr>
          <w:lang w:val="ru-RU"/>
        </w:rPr>
        <w:instrText>/</w:instrText>
      </w:r>
      <w:r w:rsidR="004608CB">
        <w:instrText>D</w:instrText>
      </w:r>
      <w:r w:rsidR="004608CB" w:rsidRPr="004608CB">
        <w:rPr>
          <w:lang w:val="ru-RU"/>
        </w:rPr>
        <w:instrText>-</w:instrText>
      </w:r>
      <w:r w:rsidR="004608CB">
        <w:instrText>PREF</w:instrText>
      </w:r>
      <w:r w:rsidR="004608CB" w:rsidRPr="004608CB">
        <w:rPr>
          <w:lang w:val="ru-RU"/>
        </w:rPr>
        <w:instrText>-</w:instrText>
      </w:r>
      <w:r w:rsidR="004608CB">
        <w:instrText>EF</w:instrText>
      </w:r>
      <w:r w:rsidR="004608CB" w:rsidRPr="004608CB">
        <w:rPr>
          <w:lang w:val="ru-RU"/>
        </w:rPr>
        <w:instrText>.</w:instrText>
      </w:r>
      <w:r w:rsidR="004608CB">
        <w:instrText>COV</w:instrText>
      </w:r>
      <w:r w:rsidR="004608CB" w:rsidRPr="004608CB">
        <w:rPr>
          <w:lang w:val="ru-RU"/>
        </w:rPr>
        <w:instrText>_</w:instrText>
      </w:r>
      <w:r w:rsidR="004608CB">
        <w:instrText>ECO</w:instrText>
      </w:r>
      <w:r w:rsidR="004608CB" w:rsidRPr="004608CB">
        <w:rPr>
          <w:lang w:val="ru-RU"/>
        </w:rPr>
        <w:instrText>_</w:instrText>
      </w:r>
      <w:r w:rsidR="004608CB">
        <w:instrText>IMPACT</w:instrText>
      </w:r>
      <w:r w:rsidR="004608CB" w:rsidRPr="004608CB">
        <w:rPr>
          <w:lang w:val="ru-RU"/>
        </w:rPr>
        <w:instrText>_</w:instrText>
      </w:r>
      <w:r w:rsidR="004608CB">
        <w:instrText>B</w:instrText>
      </w:r>
      <w:r w:rsidR="004608CB" w:rsidRPr="004608CB">
        <w:rPr>
          <w:lang w:val="ru-RU"/>
        </w:rPr>
        <w:instrText xml:space="preserve">-2021" </w:instrText>
      </w:r>
      <w:r w:rsidR="004608CB">
        <w:fldChar w:fldCharType="separate"/>
      </w:r>
      <w:r>
        <w:rPr>
          <w:rStyle w:val="Hyperlink"/>
          <w:lang w:val="ru-RU"/>
        </w:rPr>
        <w:t>Публикация МСЭ</w:t>
      </w:r>
      <w:r w:rsidR="004608CB">
        <w:rPr>
          <w:rStyle w:val="Hyperlink"/>
          <w:lang w:val="ru-RU"/>
        </w:rPr>
        <w:fldChar w:fldCharType="end"/>
      </w:r>
      <w:r w:rsidRPr="009137DF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>
        <w:rPr>
          <w:lang w:val="ru-RU"/>
        </w:rPr>
        <w:t> года</w:t>
      </w:r>
      <w:r w:rsidRPr="009137DF">
        <w:rPr>
          <w:lang w:val="ru-RU"/>
        </w:rPr>
        <w:t>.</w:t>
      </w:r>
    </w:p>
  </w:footnote>
  <w:footnote w:id="7">
    <w:p w14:paraId="33FD052A" w14:textId="77777777" w:rsidR="00375DFF" w:rsidRPr="00A77A65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.</w:instrText>
      </w:r>
      <w:r w:rsidR="004608CB">
        <w:instrText>ericsson</w:instrText>
      </w:r>
      <w:r w:rsidR="004608CB" w:rsidRPr="004608CB">
        <w:rPr>
          <w:lang w:val="ru-RU"/>
        </w:rPr>
        <w:instrText>.</w:instrText>
      </w:r>
      <w:r w:rsidR="004608CB">
        <w:instrText>com</w:instrText>
      </w:r>
      <w:r w:rsidR="004608CB" w:rsidRPr="004608CB">
        <w:rPr>
          <w:lang w:val="ru-RU"/>
        </w:rPr>
        <w:instrText>/</w:instrText>
      </w:r>
      <w:r w:rsidR="004608CB">
        <w:instrText>en</w:instrText>
      </w:r>
      <w:r w:rsidR="004608CB" w:rsidRPr="004608CB">
        <w:rPr>
          <w:lang w:val="ru-RU"/>
        </w:rPr>
        <w:instrText>/</w:instrText>
      </w:r>
      <w:r w:rsidR="004608CB">
        <w:instrText>blog</w:instrText>
      </w:r>
      <w:r w:rsidR="004608CB" w:rsidRPr="004608CB">
        <w:rPr>
          <w:lang w:val="ru-RU"/>
        </w:rPr>
        <w:instrText>/2020/4/</w:instrText>
      </w:r>
      <w:r w:rsidR="004608CB">
        <w:instrText>networks</w:instrText>
      </w:r>
      <w:r w:rsidR="004608CB" w:rsidRPr="004608CB">
        <w:rPr>
          <w:lang w:val="ru-RU"/>
        </w:rPr>
        <w:instrText>-</w:instrText>
      </w:r>
      <w:r w:rsidR="004608CB">
        <w:instrText>adapting</w:instrText>
      </w:r>
      <w:r w:rsidR="004608CB" w:rsidRPr="004608CB">
        <w:rPr>
          <w:lang w:val="ru-RU"/>
        </w:rPr>
        <w:instrText>-</w:instrText>
      </w:r>
      <w:r w:rsidR="004608CB">
        <w:instrText>d</w:instrText>
      </w:r>
      <w:r w:rsidR="004608CB">
        <w:instrText>ata</w:instrText>
      </w:r>
      <w:r w:rsidR="004608CB" w:rsidRPr="004608CB">
        <w:rPr>
          <w:lang w:val="ru-RU"/>
        </w:rPr>
        <w:instrText>-</w:instrText>
      </w:r>
      <w:r w:rsidR="004608CB">
        <w:instrText>traffic</w:instrText>
      </w:r>
      <w:r w:rsidR="004608CB" w:rsidRPr="004608CB">
        <w:rPr>
          <w:lang w:val="ru-RU"/>
        </w:rPr>
        <w:instrText>-</w:instrText>
      </w:r>
      <w:r w:rsidR="004608CB">
        <w:instrText>new</w:instrText>
      </w:r>
      <w:r w:rsidR="004608CB" w:rsidRPr="004608CB">
        <w:rPr>
          <w:lang w:val="ru-RU"/>
        </w:rPr>
        <w:instrText>-</w:instrText>
      </w:r>
      <w:r w:rsidR="004608CB">
        <w:instrText>normal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 w:rsidRPr="00911ED6">
        <w:rPr>
          <w:rStyle w:val="Hyperlink"/>
        </w:rPr>
        <w:t>Ericsson</w:t>
      </w:r>
      <w:r w:rsidR="004608CB">
        <w:rPr>
          <w:rStyle w:val="Hyperlink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апрель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8">
    <w:p w14:paraId="0CBBE385" w14:textId="77777777" w:rsidR="00375DFF" w:rsidRPr="00A77A65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data</w:instrText>
      </w:r>
      <w:r w:rsidR="004608CB" w:rsidRPr="004608CB">
        <w:rPr>
          <w:lang w:val="ru-RU"/>
        </w:rPr>
        <w:instrText>.</w:instrText>
      </w:r>
      <w:r w:rsidR="004608CB">
        <w:instrText>gsmaintelligence</w:instrText>
      </w:r>
      <w:r w:rsidR="004608CB" w:rsidRPr="004608CB">
        <w:rPr>
          <w:lang w:val="ru-RU"/>
        </w:rPr>
        <w:instrText>.</w:instrText>
      </w:r>
      <w:r w:rsidR="004608CB">
        <w:instrText>com</w:instrText>
      </w:r>
      <w:r w:rsidR="004608CB" w:rsidRPr="004608CB">
        <w:rPr>
          <w:lang w:val="ru-RU"/>
        </w:rPr>
        <w:instrText>/</w:instrText>
      </w:r>
      <w:r w:rsidR="004608CB">
        <w:instrText>api</w:instrText>
      </w:r>
      <w:r w:rsidR="004608CB" w:rsidRPr="004608CB">
        <w:rPr>
          <w:lang w:val="ru-RU"/>
        </w:rPr>
        <w:instrText>-</w:instrText>
      </w:r>
      <w:r w:rsidR="004608CB">
        <w:instrText>web</w:instrText>
      </w:r>
      <w:r w:rsidR="004608CB" w:rsidRPr="004608CB">
        <w:rPr>
          <w:lang w:val="ru-RU"/>
        </w:rPr>
        <w:instrText>/</w:instrText>
      </w:r>
      <w:r w:rsidR="004608CB">
        <w:instrText>v</w:instrText>
      </w:r>
      <w:r w:rsidR="004608CB" w:rsidRPr="004608CB">
        <w:rPr>
          <w:lang w:val="ru-RU"/>
        </w:rPr>
        <w:instrText>2/</w:instrText>
      </w:r>
      <w:r w:rsidR="004608CB">
        <w:instrText>research</w:instrText>
      </w:r>
      <w:r w:rsidR="004608CB" w:rsidRPr="004608CB">
        <w:rPr>
          <w:lang w:val="ru-RU"/>
        </w:rPr>
        <w:instrText>-</w:instrText>
      </w:r>
      <w:r w:rsidR="004608CB">
        <w:instrText>file</w:instrText>
      </w:r>
      <w:r w:rsidR="004608CB" w:rsidRPr="004608CB">
        <w:rPr>
          <w:lang w:val="ru-RU"/>
        </w:rPr>
        <w:instrText>-</w:instrText>
      </w:r>
      <w:r w:rsidR="004608CB">
        <w:instrText>download</w:instrText>
      </w:r>
      <w:r w:rsidR="004608CB" w:rsidRPr="004608CB">
        <w:rPr>
          <w:lang w:val="ru-RU"/>
        </w:rPr>
        <w:instrText>?</w:instrText>
      </w:r>
      <w:r w:rsidR="004608CB">
        <w:instrText>id</w:instrText>
      </w:r>
      <w:r w:rsidR="004608CB" w:rsidRPr="004608CB">
        <w:rPr>
          <w:lang w:val="ru-RU"/>
        </w:rPr>
        <w:instrText>=58621970&amp;</w:instrText>
      </w:r>
      <w:r w:rsidR="004608CB">
        <w:instrText>file</w:instrText>
      </w:r>
      <w:r w:rsidR="004608CB" w:rsidRPr="004608CB">
        <w:rPr>
          <w:lang w:val="ru-RU"/>
        </w:rPr>
        <w:instrText>=141220-</w:instrText>
      </w:r>
      <w:r w:rsidR="004608CB">
        <w:instrText>Global</w:instrText>
      </w:r>
      <w:r w:rsidR="004608CB" w:rsidRPr="004608CB">
        <w:rPr>
          <w:lang w:val="ru-RU"/>
        </w:rPr>
        <w:instrText>-</w:instrText>
      </w:r>
      <w:r w:rsidR="004608CB">
        <w:instrText>Mobile</w:instrText>
      </w:r>
      <w:r w:rsidR="004608CB" w:rsidRPr="004608CB">
        <w:rPr>
          <w:lang w:val="ru-RU"/>
        </w:rPr>
        <w:instrText>-</w:instrText>
      </w:r>
      <w:r w:rsidR="004608CB">
        <w:instrText>Trends</w:instrText>
      </w:r>
      <w:r w:rsidR="004608CB" w:rsidRPr="004608CB">
        <w:rPr>
          <w:lang w:val="ru-RU"/>
        </w:rPr>
        <w:instrText>.</w:instrText>
      </w:r>
      <w:r w:rsidR="004608CB">
        <w:instrText>pdf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 w:rsidRPr="00911ED6">
        <w:rPr>
          <w:rStyle w:val="Hyperlink"/>
          <w:lang w:val="en-US"/>
        </w:rPr>
        <w:t>GSMA</w:t>
      </w:r>
      <w:r w:rsidRPr="00A77A65">
        <w:rPr>
          <w:rStyle w:val="Hyperlink"/>
          <w:lang w:val="ru-RU"/>
        </w:rPr>
        <w:t xml:space="preserve"> </w:t>
      </w:r>
      <w:r w:rsidRPr="00911ED6">
        <w:rPr>
          <w:rStyle w:val="Hyperlink"/>
          <w:lang w:val="en-US"/>
        </w:rPr>
        <w:t>Intelligence</w:t>
      </w:r>
      <w:r w:rsidR="004608CB">
        <w:rPr>
          <w:rStyle w:val="Hyperlink"/>
          <w:lang w:val="en-US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9">
    <w:p w14:paraId="1F140ED4" w14:textId="77777777" w:rsidR="00375DFF" w:rsidRPr="00A77A65" w:rsidRDefault="00375DFF" w:rsidP="00375DFF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sz w:val="18"/>
          <w:szCs w:val="18"/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2.</w:instrText>
      </w:r>
      <w:r w:rsidR="004608CB">
        <w:instrText>deloitte</w:instrText>
      </w:r>
      <w:r w:rsidR="004608CB" w:rsidRPr="004608CB">
        <w:rPr>
          <w:lang w:val="ru-RU"/>
        </w:rPr>
        <w:instrText>.</w:instrText>
      </w:r>
      <w:r w:rsidR="004608CB">
        <w:instrText>com</w:instrText>
      </w:r>
      <w:r w:rsidR="004608CB" w:rsidRPr="004608CB">
        <w:rPr>
          <w:lang w:val="ru-RU"/>
        </w:rPr>
        <w:instrText>/</w:instrText>
      </w:r>
      <w:r w:rsidR="004608CB">
        <w:instrText>content</w:instrText>
      </w:r>
      <w:r w:rsidR="004608CB" w:rsidRPr="004608CB">
        <w:rPr>
          <w:lang w:val="ru-RU"/>
        </w:rPr>
        <w:instrText>/</w:instrText>
      </w:r>
      <w:r w:rsidR="004608CB">
        <w:instrText>dam</w:instrText>
      </w:r>
      <w:r w:rsidR="004608CB" w:rsidRPr="004608CB">
        <w:rPr>
          <w:lang w:val="ru-RU"/>
        </w:rPr>
        <w:instrText>/</w:instrText>
      </w:r>
      <w:r w:rsidR="004608CB">
        <w:instrText>insights</w:instrText>
      </w:r>
      <w:r w:rsidR="004608CB" w:rsidRPr="004608CB">
        <w:rPr>
          <w:lang w:val="ru-RU"/>
        </w:rPr>
        <w:instrText>/</w:instrText>
      </w:r>
      <w:r w:rsidR="004608CB">
        <w:instrText>articles</w:instrText>
      </w:r>
      <w:r w:rsidR="004608CB" w:rsidRPr="004608CB">
        <w:rPr>
          <w:lang w:val="ru-RU"/>
        </w:rPr>
        <w:instrText>/</w:instrText>
      </w:r>
      <w:r w:rsidR="004608CB">
        <w:instrText>US</w:instrText>
      </w:r>
      <w:r w:rsidR="004608CB" w:rsidRPr="004608CB">
        <w:rPr>
          <w:lang w:val="ru-RU"/>
        </w:rPr>
        <w:instrText>93838_</w:instrText>
      </w:r>
      <w:r w:rsidR="004608CB">
        <w:instrText>TMT</w:instrText>
      </w:r>
      <w:r w:rsidR="004608CB" w:rsidRPr="004608CB">
        <w:rPr>
          <w:lang w:val="ru-RU"/>
        </w:rPr>
        <w:instrText>_</w:instrText>
      </w:r>
      <w:r w:rsidR="004608CB">
        <w:instrText>Predictions</w:instrText>
      </w:r>
      <w:r w:rsidR="004608CB" w:rsidRPr="004608CB">
        <w:rPr>
          <w:lang w:val="ru-RU"/>
        </w:rPr>
        <w:instrText>_2021/93838_</w:instrText>
      </w:r>
      <w:r w:rsidR="004608CB">
        <w:instrText>TMT</w:instrText>
      </w:r>
      <w:r w:rsidR="004608CB" w:rsidRPr="004608CB">
        <w:rPr>
          <w:lang w:val="ru-RU"/>
        </w:rPr>
        <w:instrText>-</w:instrText>
      </w:r>
      <w:r w:rsidR="004608CB">
        <w:instrText>predictions</w:instrText>
      </w:r>
      <w:r w:rsidR="004608CB" w:rsidRPr="004608CB">
        <w:rPr>
          <w:lang w:val="ru-RU"/>
        </w:rPr>
        <w:instrText>-2021-</w:instrText>
      </w:r>
      <w:r w:rsidR="004608CB">
        <w:instrText>infographic</w:instrText>
      </w:r>
      <w:r w:rsidR="004608CB" w:rsidRPr="004608CB">
        <w:rPr>
          <w:lang w:val="ru-RU"/>
        </w:rPr>
        <w:instrText>.</w:instrText>
      </w:r>
      <w:r w:rsidR="004608CB">
        <w:instrText>pdf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 w:rsidRPr="00911ED6">
        <w:rPr>
          <w:rStyle w:val="Hyperlink"/>
          <w:lang w:val="en-US"/>
        </w:rPr>
        <w:t>Deloitte</w:t>
      </w:r>
      <w:r w:rsidR="004608CB">
        <w:rPr>
          <w:rStyle w:val="Hyperlink"/>
          <w:lang w:val="en-US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декабрь</w:t>
      </w:r>
      <w:r w:rsidRPr="00A77A65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0">
    <w:p w14:paraId="5F89A69E" w14:textId="77777777" w:rsidR="00375DFF" w:rsidRPr="00A77A65" w:rsidRDefault="00375DFF" w:rsidP="00375DFF">
      <w:pPr>
        <w:pStyle w:val="FootnoteText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A77A65">
        <w:rPr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.</w:instrText>
      </w:r>
      <w:r w:rsidR="004608CB">
        <w:instrText>mckinsey</w:instrText>
      </w:r>
      <w:r w:rsidR="004608CB" w:rsidRPr="004608CB">
        <w:rPr>
          <w:lang w:val="ru-RU"/>
        </w:rPr>
        <w:instrText>.</w:instrText>
      </w:r>
      <w:r w:rsidR="004608CB">
        <w:instrText>com</w:instrText>
      </w:r>
      <w:r w:rsidR="004608CB" w:rsidRPr="004608CB">
        <w:rPr>
          <w:lang w:val="ru-RU"/>
        </w:rPr>
        <w:instrText>/</w:instrText>
      </w:r>
      <w:r w:rsidR="004608CB">
        <w:instrText>business</w:instrText>
      </w:r>
      <w:r w:rsidR="004608CB" w:rsidRPr="004608CB">
        <w:rPr>
          <w:lang w:val="ru-RU"/>
        </w:rPr>
        <w:instrText>-</w:instrText>
      </w:r>
      <w:r w:rsidR="004608CB">
        <w:instrText>functions</w:instrText>
      </w:r>
      <w:r w:rsidR="004608CB" w:rsidRPr="004608CB">
        <w:rPr>
          <w:lang w:val="ru-RU"/>
        </w:rPr>
        <w:instrText>/</w:instrText>
      </w:r>
      <w:r w:rsidR="004608CB">
        <w:instrText>mckinsey</w:instrText>
      </w:r>
      <w:r w:rsidR="004608CB" w:rsidRPr="004608CB">
        <w:rPr>
          <w:lang w:val="ru-RU"/>
        </w:rPr>
        <w:instrText>-</w:instrText>
      </w:r>
      <w:r w:rsidR="004608CB">
        <w:instrText>digital</w:instrText>
      </w:r>
      <w:r w:rsidR="004608CB" w:rsidRPr="004608CB">
        <w:rPr>
          <w:lang w:val="ru-RU"/>
        </w:rPr>
        <w:instrText>/</w:instrText>
      </w:r>
      <w:r w:rsidR="004608CB">
        <w:instrText>our</w:instrText>
      </w:r>
      <w:r w:rsidR="004608CB" w:rsidRPr="004608CB">
        <w:rPr>
          <w:lang w:val="ru-RU"/>
        </w:rPr>
        <w:instrText>-</w:instrText>
      </w:r>
      <w:r w:rsidR="004608CB">
        <w:instrText>insi</w:instrText>
      </w:r>
      <w:r w:rsidR="004608CB">
        <w:instrText>ghts</w:instrText>
      </w:r>
      <w:r w:rsidR="004608CB" w:rsidRPr="004608CB">
        <w:rPr>
          <w:lang w:val="ru-RU"/>
        </w:rPr>
        <w:instrText>/</w:instrText>
      </w:r>
      <w:r w:rsidR="004608CB">
        <w:instrText>the</w:instrText>
      </w:r>
      <w:r w:rsidR="004608CB" w:rsidRPr="004608CB">
        <w:rPr>
          <w:lang w:val="ru-RU"/>
        </w:rPr>
        <w:instrText>-</w:instrText>
      </w:r>
      <w:r w:rsidR="004608CB">
        <w:instrText>top</w:instrText>
      </w:r>
      <w:r w:rsidR="004608CB" w:rsidRPr="004608CB">
        <w:rPr>
          <w:lang w:val="ru-RU"/>
        </w:rPr>
        <w:instrText>-</w:instrText>
      </w:r>
      <w:r w:rsidR="004608CB">
        <w:instrText>trends</w:instrText>
      </w:r>
      <w:r w:rsidR="004608CB" w:rsidRPr="004608CB">
        <w:rPr>
          <w:lang w:val="ru-RU"/>
        </w:rPr>
        <w:instrText>-</w:instrText>
      </w:r>
      <w:r w:rsidR="004608CB">
        <w:instrText>in</w:instrText>
      </w:r>
      <w:r w:rsidR="004608CB" w:rsidRPr="004608CB">
        <w:rPr>
          <w:lang w:val="ru-RU"/>
        </w:rPr>
        <w:instrText>-</w:instrText>
      </w:r>
      <w:r w:rsidR="004608CB">
        <w:instrText>tech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 w:rsidRPr="00911ED6">
        <w:rPr>
          <w:rStyle w:val="Hyperlink"/>
          <w:lang w:val="en-US"/>
        </w:rPr>
        <w:t>McKinsey</w:t>
      </w:r>
      <w:r w:rsidR="004608CB">
        <w:rPr>
          <w:rStyle w:val="Hyperlink"/>
          <w:lang w:val="en-US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1">
    <w:p w14:paraId="3EC9DFCE" w14:textId="77777777" w:rsidR="00375DFF" w:rsidRPr="009137DF" w:rsidRDefault="00375DFF" w:rsidP="00375DFF">
      <w:pPr>
        <w:pStyle w:val="FootnoteText"/>
        <w:ind w:left="255" w:hanging="255"/>
        <w:rPr>
          <w:b/>
          <w:lang w:val="ru-RU"/>
        </w:rPr>
      </w:pPr>
      <w:r w:rsidRPr="001124E7">
        <w:rPr>
          <w:rStyle w:val="FootnoteReference"/>
          <w:szCs w:val="16"/>
        </w:rPr>
        <w:footnoteRef/>
      </w:r>
      <w:r w:rsidRPr="009137DF">
        <w:rPr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.</w:instrText>
      </w:r>
      <w:r w:rsidR="004608CB">
        <w:instrText>itu</w:instrText>
      </w:r>
      <w:r w:rsidR="004608CB" w:rsidRPr="004608CB">
        <w:rPr>
          <w:lang w:val="ru-RU"/>
        </w:rPr>
        <w:instrText>.</w:instrText>
      </w:r>
      <w:r w:rsidR="004608CB">
        <w:instrText>int</w:instrText>
      </w:r>
      <w:r w:rsidR="004608CB" w:rsidRPr="004608CB">
        <w:rPr>
          <w:lang w:val="ru-RU"/>
        </w:rPr>
        <w:instrText>/</w:instrText>
      </w:r>
      <w:r w:rsidR="004608CB">
        <w:instrText>pub</w:instrText>
      </w:r>
      <w:r w:rsidR="004608CB" w:rsidRPr="004608CB">
        <w:rPr>
          <w:lang w:val="ru-RU"/>
        </w:rPr>
        <w:instrText>/</w:instrText>
      </w:r>
      <w:r w:rsidR="004608CB">
        <w:instrText>D</w:instrText>
      </w:r>
      <w:r w:rsidR="004608CB" w:rsidRPr="004608CB">
        <w:rPr>
          <w:lang w:val="ru-RU"/>
        </w:rPr>
        <w:instrText>-</w:instrText>
      </w:r>
      <w:r w:rsidR="004608CB">
        <w:instrText>PREF</w:instrText>
      </w:r>
      <w:r w:rsidR="004608CB" w:rsidRPr="004608CB">
        <w:rPr>
          <w:lang w:val="ru-RU"/>
        </w:rPr>
        <w:instrText>-</w:instrText>
      </w:r>
      <w:r w:rsidR="004608CB">
        <w:instrText>EF</w:instrText>
      </w:r>
      <w:r w:rsidR="004608CB" w:rsidRPr="004608CB">
        <w:rPr>
          <w:lang w:val="ru-RU"/>
        </w:rPr>
        <w:instrText>.</w:instrText>
      </w:r>
      <w:r w:rsidR="004608CB">
        <w:instrText>COV</w:instrText>
      </w:r>
      <w:r w:rsidR="004608CB" w:rsidRPr="004608CB">
        <w:rPr>
          <w:lang w:val="ru-RU"/>
        </w:rPr>
        <w:instrText>_</w:instrText>
      </w:r>
      <w:r w:rsidR="004608CB">
        <w:instrText>ECO</w:instrText>
      </w:r>
      <w:r w:rsidR="004608CB" w:rsidRPr="004608CB">
        <w:rPr>
          <w:lang w:val="ru-RU"/>
        </w:rPr>
        <w:instrText>_</w:instrText>
      </w:r>
      <w:r w:rsidR="004608CB">
        <w:instrText>IMPACT</w:instrText>
      </w:r>
      <w:r w:rsidR="004608CB" w:rsidRPr="004608CB">
        <w:rPr>
          <w:lang w:val="ru-RU"/>
        </w:rPr>
        <w:instrText>_</w:instrText>
      </w:r>
      <w:r w:rsidR="004608CB">
        <w:instrText>B</w:instrText>
      </w:r>
      <w:r w:rsidR="004608CB" w:rsidRPr="004608CB">
        <w:rPr>
          <w:lang w:val="ru-RU"/>
        </w:rPr>
        <w:instrText xml:space="preserve">-2021" </w:instrText>
      </w:r>
      <w:r w:rsidR="004608CB">
        <w:fldChar w:fldCharType="separate"/>
      </w:r>
      <w:r>
        <w:rPr>
          <w:rStyle w:val="Hyperlink"/>
          <w:lang w:val="ru-RU"/>
        </w:rPr>
        <w:t>Публикация МСЭ</w:t>
      </w:r>
      <w:r w:rsidR="004608CB">
        <w:rPr>
          <w:rStyle w:val="Hyperlink"/>
          <w:lang w:val="ru-RU"/>
        </w:rPr>
        <w:fldChar w:fldCharType="end"/>
      </w:r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9137DF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9137DF">
        <w:rPr>
          <w:lang w:val="ru-RU"/>
        </w:rPr>
        <w:t>.</w:t>
      </w:r>
    </w:p>
  </w:footnote>
  <w:footnote w:id="12">
    <w:p w14:paraId="17B83E75" w14:textId="6DAE20E8" w:rsidR="00542135" w:rsidRPr="00BC6F89" w:rsidRDefault="00542135" w:rsidP="0054213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80226">
        <w:rPr>
          <w:lang w:val="ru-RU"/>
        </w:rPr>
        <w:t xml:space="preserve"> </w:t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.</w:instrText>
      </w:r>
      <w:r w:rsidR="004608CB">
        <w:instrText>itu</w:instrText>
      </w:r>
      <w:r w:rsidR="004608CB" w:rsidRPr="004608CB">
        <w:rPr>
          <w:lang w:val="ru-RU"/>
        </w:rPr>
        <w:instrText>.</w:instrText>
      </w:r>
      <w:r w:rsidR="004608CB">
        <w:instrText>int</w:instrText>
      </w:r>
      <w:r w:rsidR="004608CB" w:rsidRPr="004608CB">
        <w:rPr>
          <w:lang w:val="ru-RU"/>
        </w:rPr>
        <w:instrText>/</w:instrText>
      </w:r>
      <w:r w:rsidR="004608CB">
        <w:instrText>itu</w:instrText>
      </w:r>
      <w:r w:rsidR="004608CB" w:rsidRPr="004608CB">
        <w:rPr>
          <w:lang w:val="ru-RU"/>
        </w:rPr>
        <w:instrText>-</w:instrText>
      </w:r>
      <w:r w:rsidR="004608CB">
        <w:instrText>d</w:instrText>
      </w:r>
      <w:r w:rsidR="004608CB" w:rsidRPr="004608CB">
        <w:rPr>
          <w:lang w:val="ru-RU"/>
        </w:rPr>
        <w:instrText>/</w:instrText>
      </w:r>
      <w:r w:rsidR="004608CB">
        <w:instrText>reports</w:instrText>
      </w:r>
      <w:r w:rsidR="004608CB" w:rsidRPr="004608CB">
        <w:rPr>
          <w:lang w:val="ru-RU"/>
        </w:rPr>
        <w:instrText>/</w:instrText>
      </w:r>
      <w:r w:rsidR="004608CB">
        <w:instrText>statistics</w:instrText>
      </w:r>
      <w:r w:rsidR="004608CB" w:rsidRPr="004608CB">
        <w:rPr>
          <w:lang w:val="ru-RU"/>
        </w:rPr>
        <w:instrText>/</w:instrText>
      </w:r>
      <w:r w:rsidR="004608CB">
        <w:instrText>connectivity</w:instrText>
      </w:r>
      <w:r w:rsidR="004608CB" w:rsidRPr="004608CB">
        <w:rPr>
          <w:lang w:val="ru-RU"/>
        </w:rPr>
        <w:instrText>-</w:instrText>
      </w:r>
      <w:r w:rsidR="004608CB">
        <w:instrText>in</w:instrText>
      </w:r>
      <w:r w:rsidR="004608CB" w:rsidRPr="004608CB">
        <w:rPr>
          <w:lang w:val="ru-RU"/>
        </w:rPr>
        <w:instrText>-</w:instrText>
      </w:r>
      <w:r w:rsidR="004608CB">
        <w:instrText>the</w:instrText>
      </w:r>
      <w:r w:rsidR="004608CB" w:rsidRPr="004608CB">
        <w:rPr>
          <w:lang w:val="ru-RU"/>
        </w:rPr>
        <w:instrText>-</w:instrText>
      </w:r>
      <w:r w:rsidR="004608CB">
        <w:instrText>least</w:instrText>
      </w:r>
      <w:r w:rsidR="004608CB" w:rsidRPr="004608CB">
        <w:rPr>
          <w:lang w:val="ru-RU"/>
        </w:rPr>
        <w:instrText>-</w:instrText>
      </w:r>
      <w:r w:rsidR="004608CB">
        <w:instrText>developed</w:instrText>
      </w:r>
      <w:r w:rsidR="004608CB" w:rsidRPr="004608CB">
        <w:rPr>
          <w:lang w:val="ru-RU"/>
        </w:rPr>
        <w:instrText>-</w:instrText>
      </w:r>
      <w:r w:rsidR="004608CB">
        <w:instrText>countries</w:instrText>
      </w:r>
      <w:r w:rsidR="004608CB" w:rsidRPr="004608CB">
        <w:rPr>
          <w:lang w:val="ru-RU"/>
        </w:rPr>
        <w:instrText>-</w:instrText>
      </w:r>
      <w:r w:rsidR="004608CB">
        <w:instrText>status</w:instrText>
      </w:r>
      <w:r w:rsidR="004608CB" w:rsidRPr="004608CB">
        <w:rPr>
          <w:lang w:val="ru-RU"/>
        </w:rPr>
        <w:instrText>-</w:instrText>
      </w:r>
      <w:r w:rsidR="004608CB">
        <w:instrText>report</w:instrText>
      </w:r>
      <w:r w:rsidR="004608CB" w:rsidRPr="004608CB">
        <w:rPr>
          <w:lang w:val="ru-RU"/>
        </w:rPr>
        <w:instrText>-2021/%5</w:instrText>
      </w:r>
      <w:r w:rsidR="004608CB">
        <w:instrText>d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 w:rsidR="00BC6F89">
        <w:rPr>
          <w:rStyle w:val="Hyperlink"/>
          <w:sz w:val="18"/>
          <w:szCs w:val="18"/>
          <w:highlight w:val="green"/>
          <w:lang w:val="ru-RU"/>
        </w:rPr>
        <w:t>Публикация МСЭ</w:t>
      </w:r>
      <w:r w:rsidR="004608CB">
        <w:rPr>
          <w:rStyle w:val="Hyperlink"/>
          <w:sz w:val="18"/>
          <w:szCs w:val="18"/>
          <w:highlight w:val="green"/>
          <w:lang w:val="ru-RU"/>
        </w:rPr>
        <w:fldChar w:fldCharType="end"/>
      </w:r>
      <w:r w:rsidRPr="00B80226">
        <w:rPr>
          <w:sz w:val="18"/>
          <w:szCs w:val="18"/>
          <w:highlight w:val="green"/>
          <w:lang w:val="ru-RU"/>
        </w:rPr>
        <w:t>, 2021</w:t>
      </w:r>
      <w:r w:rsidR="00BC6F89">
        <w:rPr>
          <w:sz w:val="18"/>
          <w:szCs w:val="18"/>
          <w:lang w:val="ru-RU"/>
        </w:rPr>
        <w:t> год.</w:t>
      </w:r>
    </w:p>
  </w:footnote>
  <w:footnote w:id="13">
    <w:p w14:paraId="619BA498" w14:textId="77777777" w:rsidR="00375DFF" w:rsidRPr="00B80226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B80226">
        <w:rPr>
          <w:sz w:val="18"/>
          <w:szCs w:val="18"/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data</w:instrText>
      </w:r>
      <w:r w:rsidR="004608CB" w:rsidRPr="004608CB">
        <w:rPr>
          <w:lang w:val="ru-RU"/>
        </w:rPr>
        <w:instrText>.</w:instrText>
      </w:r>
      <w:r w:rsidR="004608CB">
        <w:instrText>gsmaintelligence</w:instrText>
      </w:r>
      <w:r w:rsidR="004608CB" w:rsidRPr="004608CB">
        <w:rPr>
          <w:lang w:val="ru-RU"/>
        </w:rPr>
        <w:instrText>.</w:instrText>
      </w:r>
      <w:r w:rsidR="004608CB">
        <w:instrText>com</w:instrText>
      </w:r>
      <w:r w:rsidR="004608CB" w:rsidRPr="004608CB">
        <w:rPr>
          <w:lang w:val="ru-RU"/>
        </w:rPr>
        <w:instrText>/</w:instrText>
      </w:r>
      <w:r w:rsidR="004608CB">
        <w:instrText>api</w:instrText>
      </w:r>
      <w:r w:rsidR="004608CB" w:rsidRPr="004608CB">
        <w:rPr>
          <w:lang w:val="ru-RU"/>
        </w:rPr>
        <w:instrText>-</w:instrText>
      </w:r>
      <w:r w:rsidR="004608CB">
        <w:instrText>web</w:instrText>
      </w:r>
      <w:r w:rsidR="004608CB" w:rsidRPr="004608CB">
        <w:rPr>
          <w:lang w:val="ru-RU"/>
        </w:rPr>
        <w:instrText>/</w:instrText>
      </w:r>
      <w:r w:rsidR="004608CB">
        <w:instrText>v</w:instrText>
      </w:r>
      <w:r w:rsidR="004608CB" w:rsidRPr="004608CB">
        <w:rPr>
          <w:lang w:val="ru-RU"/>
        </w:rPr>
        <w:instrText>2/</w:instrText>
      </w:r>
      <w:r w:rsidR="004608CB">
        <w:instrText>research</w:instrText>
      </w:r>
      <w:r w:rsidR="004608CB" w:rsidRPr="004608CB">
        <w:rPr>
          <w:lang w:val="ru-RU"/>
        </w:rPr>
        <w:instrText>-</w:instrText>
      </w:r>
      <w:r w:rsidR="004608CB">
        <w:instrText>file</w:instrText>
      </w:r>
      <w:r w:rsidR="004608CB" w:rsidRPr="004608CB">
        <w:rPr>
          <w:lang w:val="ru-RU"/>
        </w:rPr>
        <w:instrText>-</w:instrText>
      </w:r>
      <w:r w:rsidR="004608CB">
        <w:instrText>download</w:instrText>
      </w:r>
      <w:r w:rsidR="004608CB" w:rsidRPr="004608CB">
        <w:rPr>
          <w:lang w:val="ru-RU"/>
        </w:rPr>
        <w:instrText>?</w:instrText>
      </w:r>
      <w:r w:rsidR="004608CB">
        <w:instrText>id</w:instrText>
      </w:r>
      <w:r w:rsidR="004608CB" w:rsidRPr="004608CB">
        <w:rPr>
          <w:lang w:val="ru-RU"/>
        </w:rPr>
        <w:instrText>=58621970&amp;</w:instrText>
      </w:r>
      <w:r w:rsidR="004608CB">
        <w:instrText>file</w:instrText>
      </w:r>
      <w:r w:rsidR="004608CB" w:rsidRPr="004608CB">
        <w:rPr>
          <w:lang w:val="ru-RU"/>
        </w:rPr>
        <w:instrText>=1</w:instrText>
      </w:r>
      <w:r w:rsidR="004608CB" w:rsidRPr="004608CB">
        <w:rPr>
          <w:lang w:val="ru-RU"/>
        </w:rPr>
        <w:instrText>41220-</w:instrText>
      </w:r>
      <w:r w:rsidR="004608CB">
        <w:instrText>Global</w:instrText>
      </w:r>
      <w:r w:rsidR="004608CB" w:rsidRPr="004608CB">
        <w:rPr>
          <w:lang w:val="ru-RU"/>
        </w:rPr>
        <w:instrText>-</w:instrText>
      </w:r>
      <w:r w:rsidR="004608CB">
        <w:instrText>Mobile</w:instrText>
      </w:r>
      <w:r w:rsidR="004608CB" w:rsidRPr="004608CB">
        <w:rPr>
          <w:lang w:val="ru-RU"/>
        </w:rPr>
        <w:instrText>-</w:instrText>
      </w:r>
      <w:r w:rsidR="004608CB">
        <w:instrText>Trends</w:instrText>
      </w:r>
      <w:r w:rsidR="004608CB" w:rsidRPr="004608CB">
        <w:rPr>
          <w:lang w:val="ru-RU"/>
        </w:rPr>
        <w:instrText>.</w:instrText>
      </w:r>
      <w:r w:rsidR="004608CB">
        <w:instrText>pdf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 w:rsidRPr="001124E7">
        <w:rPr>
          <w:rStyle w:val="Hyperlink"/>
          <w:lang w:val="fr-FR"/>
        </w:rPr>
        <w:t>GSMA</w:t>
      </w:r>
      <w:r w:rsidRPr="00B80226">
        <w:rPr>
          <w:rStyle w:val="Hyperlink"/>
          <w:lang w:val="ru-RU"/>
        </w:rPr>
        <w:t xml:space="preserve"> </w:t>
      </w:r>
      <w:r w:rsidRPr="001124E7">
        <w:rPr>
          <w:rStyle w:val="Hyperlink"/>
          <w:lang w:val="fr-FR"/>
        </w:rPr>
        <w:t>Intelligence</w:t>
      </w:r>
      <w:r w:rsidR="004608CB">
        <w:rPr>
          <w:rStyle w:val="Hyperlink"/>
          <w:lang w:val="fr-FR"/>
        </w:rPr>
        <w:fldChar w:fldCharType="end"/>
      </w:r>
      <w:r w:rsidRPr="00B80226">
        <w:rPr>
          <w:lang w:val="ru-RU"/>
        </w:rPr>
        <w:t xml:space="preserve">, </w:t>
      </w:r>
      <w:r>
        <w:rPr>
          <w:lang w:val="ru-RU"/>
        </w:rPr>
        <w:t>декабрь</w:t>
      </w:r>
      <w:r w:rsidRPr="00B80226">
        <w:rPr>
          <w:lang w:val="ru-RU"/>
        </w:rPr>
        <w:t xml:space="preserve"> 2020</w:t>
      </w:r>
      <w:r w:rsidRPr="009137DF">
        <w:t> </w:t>
      </w:r>
      <w:r>
        <w:rPr>
          <w:lang w:val="ru-RU"/>
        </w:rPr>
        <w:t>года</w:t>
      </w:r>
      <w:r w:rsidRPr="00B80226">
        <w:rPr>
          <w:lang w:val="ru-RU"/>
        </w:rPr>
        <w:t>.</w:t>
      </w:r>
    </w:p>
  </w:footnote>
  <w:footnote w:id="14">
    <w:p w14:paraId="2B06555A" w14:textId="77777777" w:rsidR="00375DFF" w:rsidRPr="00A77A65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.</w:instrText>
      </w:r>
      <w:r w:rsidR="004608CB">
        <w:instrText>bcg</w:instrText>
      </w:r>
      <w:r w:rsidR="004608CB" w:rsidRPr="004608CB">
        <w:rPr>
          <w:lang w:val="ru-RU"/>
        </w:rPr>
        <w:instrText>.</w:instrText>
      </w:r>
      <w:r w:rsidR="004608CB">
        <w:instrText>com</w:instrText>
      </w:r>
      <w:r w:rsidR="004608CB" w:rsidRPr="004608CB">
        <w:rPr>
          <w:lang w:val="ru-RU"/>
        </w:rPr>
        <w:instrText>/</w:instrText>
      </w:r>
      <w:r w:rsidR="004608CB">
        <w:instrText>en</w:instrText>
      </w:r>
      <w:r w:rsidR="004608CB" w:rsidRPr="004608CB">
        <w:rPr>
          <w:lang w:val="ru-RU"/>
        </w:rPr>
        <w:instrText>-</w:instrText>
      </w:r>
      <w:r w:rsidR="004608CB">
        <w:instrText>gb</w:instrText>
      </w:r>
      <w:r w:rsidR="004608CB" w:rsidRPr="004608CB">
        <w:rPr>
          <w:lang w:val="ru-RU"/>
        </w:rPr>
        <w:instrText>/</w:instrText>
      </w:r>
      <w:r w:rsidR="004608CB">
        <w:instrText>publications</w:instrText>
      </w:r>
      <w:r w:rsidR="004608CB" w:rsidRPr="004608CB">
        <w:rPr>
          <w:lang w:val="ru-RU"/>
        </w:rPr>
        <w:instrText>/2021/</w:instrText>
      </w:r>
      <w:r w:rsidR="004608CB">
        <w:instrText>building</w:instrText>
      </w:r>
      <w:r w:rsidR="004608CB" w:rsidRPr="004608CB">
        <w:rPr>
          <w:lang w:val="ru-RU"/>
        </w:rPr>
        <w:instrText>-</w:instrText>
      </w:r>
      <w:r w:rsidR="004608CB">
        <w:instrText>sustainable</w:instrText>
      </w:r>
      <w:r w:rsidR="004608CB" w:rsidRPr="004608CB">
        <w:rPr>
          <w:lang w:val="ru-RU"/>
        </w:rPr>
        <w:instrText>-</w:instrText>
      </w:r>
      <w:r w:rsidR="004608CB">
        <w:instrText>telecommunications</w:instrText>
      </w:r>
      <w:r w:rsidR="004608CB" w:rsidRPr="004608CB">
        <w:rPr>
          <w:lang w:val="ru-RU"/>
        </w:rPr>
        <w:instrText>-</w:instrText>
      </w:r>
      <w:r w:rsidR="004608CB">
        <w:instrText>companies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 w:rsidRPr="00A77A65">
        <w:rPr>
          <w:rStyle w:val="Hyperlink"/>
          <w:u w:val="none"/>
          <w:lang w:val="ru-RU"/>
        </w:rPr>
        <w:tab/>
      </w:r>
      <w:r w:rsidRPr="001124E7">
        <w:rPr>
          <w:rStyle w:val="Hyperlink"/>
        </w:rPr>
        <w:t>BCG</w:t>
      </w:r>
      <w:r w:rsidR="004608CB">
        <w:rPr>
          <w:rStyle w:val="Hyperlink"/>
        </w:rPr>
        <w:fldChar w:fldCharType="end"/>
      </w:r>
      <w:r w:rsidRPr="00A77A65">
        <w:rPr>
          <w:lang w:val="ru-RU"/>
        </w:rPr>
        <w:t xml:space="preserve">, </w:t>
      </w:r>
      <w:r>
        <w:rPr>
          <w:lang w:val="ru-RU"/>
        </w:rPr>
        <w:t>июнь</w:t>
      </w:r>
      <w:r w:rsidRPr="00A77A65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A77A65">
        <w:rPr>
          <w:lang w:val="ru-RU"/>
        </w:rPr>
        <w:t>.</w:t>
      </w:r>
    </w:p>
  </w:footnote>
  <w:footnote w:id="15">
    <w:p w14:paraId="2D053A62" w14:textId="77777777" w:rsidR="00375DFF" w:rsidRPr="004E3DDB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  <w:szCs w:val="16"/>
        </w:rPr>
        <w:footnoteRef/>
      </w:r>
      <w:r w:rsidRPr="004E3DDB">
        <w:rPr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.</w:instrText>
      </w:r>
      <w:r w:rsidR="004608CB">
        <w:instrText>itu</w:instrText>
      </w:r>
      <w:r w:rsidR="004608CB" w:rsidRPr="004608CB">
        <w:rPr>
          <w:lang w:val="ru-RU"/>
        </w:rPr>
        <w:instrText>.</w:instrText>
      </w:r>
      <w:r w:rsidR="004608CB">
        <w:instrText>int</w:instrText>
      </w:r>
      <w:r w:rsidR="004608CB" w:rsidRPr="004608CB">
        <w:rPr>
          <w:lang w:val="ru-RU"/>
        </w:rPr>
        <w:instrText>/</w:instrText>
      </w:r>
      <w:r w:rsidR="004608CB">
        <w:instrText>pub</w:instrText>
      </w:r>
      <w:r w:rsidR="004608CB" w:rsidRPr="004608CB">
        <w:rPr>
          <w:lang w:val="ru-RU"/>
        </w:rPr>
        <w:instrText>/</w:instrText>
      </w:r>
      <w:r w:rsidR="004608CB">
        <w:instrText>D</w:instrText>
      </w:r>
      <w:r w:rsidR="004608CB" w:rsidRPr="004608CB">
        <w:rPr>
          <w:lang w:val="ru-RU"/>
        </w:rPr>
        <w:instrText>-</w:instrText>
      </w:r>
      <w:r w:rsidR="004608CB">
        <w:instrText>PREF</w:instrText>
      </w:r>
      <w:r w:rsidR="004608CB" w:rsidRPr="004608CB">
        <w:rPr>
          <w:lang w:val="ru-RU"/>
        </w:rPr>
        <w:instrText>-</w:instrText>
      </w:r>
      <w:r w:rsidR="004608CB">
        <w:instrText>EF</w:instrText>
      </w:r>
      <w:r w:rsidR="004608CB" w:rsidRPr="004608CB">
        <w:rPr>
          <w:lang w:val="ru-RU"/>
        </w:rPr>
        <w:instrText>.</w:instrText>
      </w:r>
      <w:r w:rsidR="004608CB">
        <w:instrText>COV</w:instrText>
      </w:r>
      <w:r w:rsidR="004608CB" w:rsidRPr="004608CB">
        <w:rPr>
          <w:lang w:val="ru-RU"/>
        </w:rPr>
        <w:instrText>_</w:instrText>
      </w:r>
      <w:r w:rsidR="004608CB">
        <w:instrText>ECO</w:instrText>
      </w:r>
      <w:r w:rsidR="004608CB" w:rsidRPr="004608CB">
        <w:rPr>
          <w:lang w:val="ru-RU"/>
        </w:rPr>
        <w:instrText>_</w:instrText>
      </w:r>
      <w:r w:rsidR="004608CB">
        <w:instrText>IMPACT</w:instrText>
      </w:r>
      <w:r w:rsidR="004608CB" w:rsidRPr="004608CB">
        <w:rPr>
          <w:lang w:val="ru-RU"/>
        </w:rPr>
        <w:instrText>_</w:instrText>
      </w:r>
      <w:r w:rsidR="004608CB">
        <w:instrText>B</w:instrText>
      </w:r>
      <w:r w:rsidR="004608CB" w:rsidRPr="004608CB">
        <w:rPr>
          <w:lang w:val="ru-RU"/>
        </w:rPr>
        <w:instrText xml:space="preserve">-2021" </w:instrText>
      </w:r>
      <w:r w:rsidR="004608CB">
        <w:fldChar w:fldCharType="separate"/>
      </w:r>
      <w:r>
        <w:rPr>
          <w:rStyle w:val="Hyperlink"/>
          <w:lang w:val="ru-RU"/>
        </w:rPr>
        <w:t>Публикация</w:t>
      </w:r>
      <w:r w:rsidRPr="004E3DDB">
        <w:rPr>
          <w:rStyle w:val="Hyperlink"/>
          <w:lang w:val="ru-RU"/>
        </w:rPr>
        <w:t xml:space="preserve"> </w:t>
      </w:r>
      <w:r>
        <w:rPr>
          <w:rStyle w:val="Hyperlink"/>
          <w:lang w:val="ru-RU"/>
        </w:rPr>
        <w:t>МСЭ</w:t>
      </w:r>
      <w:r w:rsidR="004608CB">
        <w:rPr>
          <w:rStyle w:val="Hyperlink"/>
          <w:lang w:val="ru-RU"/>
        </w:rPr>
        <w:fldChar w:fldCharType="end"/>
      </w:r>
      <w:r w:rsidRPr="004E3DDB">
        <w:rPr>
          <w:lang w:val="ru-RU"/>
        </w:rPr>
        <w:t xml:space="preserve">, </w:t>
      </w:r>
      <w:r>
        <w:rPr>
          <w:lang w:val="ru-RU"/>
        </w:rPr>
        <w:t>июнь</w:t>
      </w:r>
      <w:r w:rsidRPr="004E3DDB">
        <w:rPr>
          <w:lang w:val="ru-RU"/>
        </w:rPr>
        <w:t xml:space="preserve"> 2021</w:t>
      </w:r>
      <w:r w:rsidRPr="009137DF">
        <w:t> </w:t>
      </w:r>
      <w:r>
        <w:rPr>
          <w:lang w:val="ru-RU"/>
        </w:rPr>
        <w:t>года</w:t>
      </w:r>
      <w:r w:rsidRPr="004E3DDB">
        <w:rPr>
          <w:lang w:val="ru-RU"/>
        </w:rPr>
        <w:t>.</w:t>
      </w:r>
    </w:p>
  </w:footnote>
  <w:footnote w:id="16">
    <w:p w14:paraId="3C9D8F87" w14:textId="77777777" w:rsidR="00375DFF" w:rsidRPr="00564691" w:rsidRDefault="00375DFF" w:rsidP="00375DFF">
      <w:pPr>
        <w:pStyle w:val="FootnoteText"/>
        <w:ind w:left="255" w:hanging="255"/>
        <w:rPr>
          <w:lang w:val="ru-RU"/>
        </w:rPr>
      </w:pPr>
      <w:r w:rsidRPr="001124E7">
        <w:rPr>
          <w:rStyle w:val="FootnoteReference"/>
        </w:rPr>
        <w:footnoteRef/>
      </w:r>
      <w:r w:rsidRPr="00564691">
        <w:rPr>
          <w:lang w:val="ru-RU"/>
        </w:rPr>
        <w:tab/>
      </w:r>
      <w:r w:rsidR="004608CB">
        <w:fldChar w:fldCharType="begin"/>
      </w:r>
      <w:r w:rsidR="004608CB" w:rsidRPr="004608CB">
        <w:rPr>
          <w:lang w:val="ru-RU"/>
        </w:rPr>
        <w:instrText xml:space="preserve"> </w:instrText>
      </w:r>
      <w:r w:rsidR="004608CB">
        <w:instrText>HYPERLINK</w:instrText>
      </w:r>
      <w:r w:rsidR="004608CB" w:rsidRPr="004608CB">
        <w:rPr>
          <w:lang w:val="ru-RU"/>
        </w:rPr>
        <w:instrText xml:space="preserve"> "</w:instrText>
      </w:r>
      <w:r w:rsidR="004608CB">
        <w:instrText>https</w:instrText>
      </w:r>
      <w:r w:rsidR="004608CB" w:rsidRPr="004608CB">
        <w:rPr>
          <w:lang w:val="ru-RU"/>
        </w:rPr>
        <w:instrText>://</w:instrText>
      </w:r>
      <w:r w:rsidR="004608CB">
        <w:instrText>www</w:instrText>
      </w:r>
      <w:r w:rsidR="004608CB" w:rsidRPr="004608CB">
        <w:rPr>
          <w:lang w:val="ru-RU"/>
        </w:rPr>
        <w:instrText>.</w:instrText>
      </w:r>
      <w:r w:rsidR="004608CB">
        <w:instrText>itu</w:instrText>
      </w:r>
      <w:r w:rsidR="004608CB" w:rsidRPr="004608CB">
        <w:rPr>
          <w:lang w:val="ru-RU"/>
        </w:rPr>
        <w:instrText>.</w:instrText>
      </w:r>
      <w:r w:rsidR="004608CB">
        <w:instrText>int</w:instrText>
      </w:r>
      <w:r w:rsidR="004608CB" w:rsidRPr="004608CB">
        <w:rPr>
          <w:lang w:val="ru-RU"/>
        </w:rPr>
        <w:instrText>/</w:instrText>
      </w:r>
      <w:r w:rsidR="004608CB">
        <w:instrText>en</w:instrText>
      </w:r>
      <w:r w:rsidR="004608CB" w:rsidRPr="004608CB">
        <w:rPr>
          <w:lang w:val="ru-RU"/>
        </w:rPr>
        <w:instrText>/</w:instrText>
      </w:r>
      <w:r w:rsidR="004608CB">
        <w:instrText>ITU</w:instrText>
      </w:r>
      <w:r w:rsidR="004608CB" w:rsidRPr="004608CB">
        <w:rPr>
          <w:lang w:val="ru-RU"/>
        </w:rPr>
        <w:instrText>-</w:instrText>
      </w:r>
      <w:r w:rsidR="004608CB">
        <w:instrText>D</w:instrText>
      </w:r>
      <w:r w:rsidR="004608CB" w:rsidRPr="004608CB">
        <w:rPr>
          <w:lang w:val="ru-RU"/>
        </w:rPr>
        <w:instrText>/</w:instrText>
      </w:r>
      <w:r w:rsidR="004608CB">
        <w:instrText>Statistics</w:instrText>
      </w:r>
      <w:r w:rsidR="004608CB" w:rsidRPr="004608CB">
        <w:rPr>
          <w:lang w:val="ru-RU"/>
        </w:rPr>
        <w:instrText>/</w:instrText>
      </w:r>
      <w:r w:rsidR="004608CB">
        <w:instrText>Documents</w:instrText>
      </w:r>
      <w:r w:rsidR="004608CB" w:rsidRPr="004608CB">
        <w:rPr>
          <w:lang w:val="ru-RU"/>
        </w:rPr>
        <w:instrText>/</w:instrText>
      </w:r>
      <w:r w:rsidR="004608CB">
        <w:instrText>facts</w:instrText>
      </w:r>
      <w:r w:rsidR="004608CB" w:rsidRPr="004608CB">
        <w:rPr>
          <w:lang w:val="ru-RU"/>
        </w:rPr>
        <w:instrText>/</w:instrText>
      </w:r>
      <w:r w:rsidR="004608CB">
        <w:instrText>FactsFigures</w:instrText>
      </w:r>
      <w:r w:rsidR="004608CB" w:rsidRPr="004608CB">
        <w:rPr>
          <w:lang w:val="ru-RU"/>
        </w:rPr>
        <w:instrText>2021.</w:instrText>
      </w:r>
      <w:r w:rsidR="004608CB">
        <w:instrText>pdf</w:instrText>
      </w:r>
      <w:r w:rsidR="004608CB" w:rsidRPr="004608CB">
        <w:rPr>
          <w:lang w:val="ru-RU"/>
        </w:rPr>
        <w:instrText xml:space="preserve">" </w:instrText>
      </w:r>
      <w:r w:rsidR="004608CB">
        <w:fldChar w:fldCharType="separate"/>
      </w:r>
      <w:r>
        <w:rPr>
          <w:rStyle w:val="Hyperlink"/>
          <w:lang w:val="ru-RU"/>
        </w:rPr>
        <w:t>Публикация</w:t>
      </w:r>
      <w:r w:rsidRPr="00564691">
        <w:rPr>
          <w:rStyle w:val="Hyperlink"/>
          <w:lang w:val="ru-RU"/>
        </w:rPr>
        <w:t xml:space="preserve"> </w:t>
      </w:r>
      <w:r>
        <w:rPr>
          <w:rStyle w:val="Hyperlink"/>
          <w:lang w:val="ru-RU"/>
        </w:rPr>
        <w:t>МСЭ</w:t>
      </w:r>
      <w:r w:rsidR="004608CB">
        <w:rPr>
          <w:rStyle w:val="Hyperlink"/>
          <w:lang w:val="ru-RU"/>
        </w:rPr>
        <w:fldChar w:fldCharType="end"/>
      </w:r>
      <w:r w:rsidRPr="00564691">
        <w:rPr>
          <w:lang w:val="ru-RU"/>
        </w:rPr>
        <w:t xml:space="preserve">, </w:t>
      </w:r>
      <w:r>
        <w:rPr>
          <w:lang w:val="ru-RU"/>
        </w:rPr>
        <w:t>издание</w:t>
      </w:r>
      <w:r w:rsidRPr="00564691">
        <w:rPr>
          <w:lang w:val="ru-RU"/>
        </w:rPr>
        <w:t xml:space="preserve"> 2021</w:t>
      </w:r>
      <w:r w:rsidRPr="00564691">
        <w:t> </w:t>
      </w:r>
      <w:r>
        <w:rPr>
          <w:lang w:val="ru-RU"/>
        </w:rPr>
        <w:t>года</w:t>
      </w:r>
      <w:r w:rsidRPr="00564691">
        <w:rPr>
          <w:lang w:val="ru-RU"/>
        </w:rPr>
        <w:t xml:space="preserve"> – </w:t>
      </w:r>
      <w:r w:rsidRPr="00564691">
        <w:rPr>
          <w:color w:val="000000"/>
          <w:lang w:val="ru-RU"/>
        </w:rPr>
        <w:t>Измерение цифрового развития – факты и цифры</w:t>
      </w:r>
      <w:r w:rsidRPr="00564691">
        <w:rPr>
          <w:lang w:val="ru-RU"/>
        </w:rPr>
        <w:t xml:space="preserve">, </w:t>
      </w:r>
      <w:r>
        <w:rPr>
          <w:lang w:val="ru-RU"/>
        </w:rPr>
        <w:t>ноябрь</w:t>
      </w:r>
      <w:r w:rsidRPr="00564691">
        <w:rPr>
          <w:lang w:val="ru-RU"/>
        </w:rPr>
        <w:t xml:space="preserve"> 2021</w:t>
      </w:r>
      <w:r>
        <w:rPr>
          <w:lang w:val="ru-RU"/>
        </w:rPr>
        <w:t> года</w:t>
      </w:r>
      <w:r w:rsidRPr="0056469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EBA3" w14:textId="77777777" w:rsidR="004608CB" w:rsidRDefault="00460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2B0C4E57" w:rsidR="00E0307A" w:rsidRPr="007D4E22" w:rsidRDefault="00375DFF" w:rsidP="00BD57B7">
    <w:pPr>
      <w:pStyle w:val="Header"/>
      <w:rPr>
        <w:lang w:val="ru-RU"/>
      </w:rPr>
    </w:pPr>
    <w:r w:rsidRPr="00375DFF">
      <w:rPr>
        <w:lang w:val="en-GB"/>
      </w:rPr>
      <w:fldChar w:fldCharType="begin"/>
    </w:r>
    <w:r w:rsidRPr="00375DFF">
      <w:rPr>
        <w:lang w:val="en-GB"/>
      </w:rPr>
      <w:instrText>PAGE</w:instrText>
    </w:r>
    <w:r w:rsidRPr="00375DFF">
      <w:rPr>
        <w:lang w:val="en-GB"/>
      </w:rPr>
      <w:fldChar w:fldCharType="separate"/>
    </w:r>
    <w:r w:rsidRPr="00375DFF">
      <w:rPr>
        <w:lang w:val="en-GB"/>
      </w:rPr>
      <w:t>2</w:t>
    </w:r>
    <w:r w:rsidRPr="00375DFF">
      <w:fldChar w:fldCharType="end"/>
    </w:r>
    <w:r w:rsidRPr="00375DFF">
      <w:rPr>
        <w:lang w:val="en-GB"/>
      </w:rPr>
      <w:br/>
      <w:t>CWG-SFP-</w:t>
    </w:r>
    <w:r w:rsidRPr="00375DFF">
      <w:rPr>
        <w:lang w:val="ru-RU"/>
      </w:rPr>
      <w:t>4/</w:t>
    </w:r>
    <w:r>
      <w:rPr>
        <w:lang w:val="en-GB"/>
      </w:rPr>
      <w:t>4</w:t>
    </w:r>
    <w:r w:rsidRPr="00375DFF">
      <w:rPr>
        <w:lang w:val="en-GB"/>
      </w:rPr>
      <w:t>-</w:t>
    </w:r>
    <w:r w:rsidRPr="00375DFF">
      <w:rPr>
        <w:lang w:val="fr-CH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02D7" w14:textId="77777777" w:rsidR="004608CB" w:rsidRDefault="00460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574E2319"/>
    <w:multiLevelType w:val="multilevel"/>
    <w:tmpl w:val="AECE9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" w:hanging="1800"/>
      </w:pPr>
      <w:rPr>
        <w:rFonts w:hint="default"/>
      </w:rPr>
    </w:lvl>
  </w:abstractNum>
  <w:abstractNum w:abstractNumId="8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05FB"/>
    <w:multiLevelType w:val="multilevel"/>
    <w:tmpl w:val="D5CA2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30A4F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0F3CA8"/>
    <w:rsid w:val="00115791"/>
    <w:rsid w:val="0014734F"/>
    <w:rsid w:val="00154AAD"/>
    <w:rsid w:val="0015710D"/>
    <w:rsid w:val="00163A32"/>
    <w:rsid w:val="00173318"/>
    <w:rsid w:val="00192B41"/>
    <w:rsid w:val="001B7B09"/>
    <w:rsid w:val="001D07C2"/>
    <w:rsid w:val="001D255C"/>
    <w:rsid w:val="001D3396"/>
    <w:rsid w:val="001E1741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C450E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624D9"/>
    <w:rsid w:val="00375DFF"/>
    <w:rsid w:val="003A72C0"/>
    <w:rsid w:val="003B259B"/>
    <w:rsid w:val="003B6E1C"/>
    <w:rsid w:val="003D66DA"/>
    <w:rsid w:val="003D7317"/>
    <w:rsid w:val="003E78A6"/>
    <w:rsid w:val="003F099E"/>
    <w:rsid w:val="003F163F"/>
    <w:rsid w:val="003F235E"/>
    <w:rsid w:val="004023E0"/>
    <w:rsid w:val="00403DD8"/>
    <w:rsid w:val="00411CC5"/>
    <w:rsid w:val="00412309"/>
    <w:rsid w:val="00415632"/>
    <w:rsid w:val="004179A3"/>
    <w:rsid w:val="00425F00"/>
    <w:rsid w:val="0045686C"/>
    <w:rsid w:val="004608CB"/>
    <w:rsid w:val="00472F91"/>
    <w:rsid w:val="00473C1E"/>
    <w:rsid w:val="004740B2"/>
    <w:rsid w:val="004877E9"/>
    <w:rsid w:val="004918C4"/>
    <w:rsid w:val="004A0E93"/>
    <w:rsid w:val="004A45B5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42135"/>
    <w:rsid w:val="00550E88"/>
    <w:rsid w:val="00552268"/>
    <w:rsid w:val="005654A0"/>
    <w:rsid w:val="00580C49"/>
    <w:rsid w:val="00583073"/>
    <w:rsid w:val="00587397"/>
    <w:rsid w:val="00597216"/>
    <w:rsid w:val="005A64D5"/>
    <w:rsid w:val="005D708E"/>
    <w:rsid w:val="00601994"/>
    <w:rsid w:val="006033E0"/>
    <w:rsid w:val="006077E5"/>
    <w:rsid w:val="00617F2C"/>
    <w:rsid w:val="00625356"/>
    <w:rsid w:val="006264E3"/>
    <w:rsid w:val="00626678"/>
    <w:rsid w:val="00634DBF"/>
    <w:rsid w:val="006369BD"/>
    <w:rsid w:val="00636E91"/>
    <w:rsid w:val="0068458A"/>
    <w:rsid w:val="006A0DC4"/>
    <w:rsid w:val="006B2B95"/>
    <w:rsid w:val="006B5206"/>
    <w:rsid w:val="006C160C"/>
    <w:rsid w:val="006D27D0"/>
    <w:rsid w:val="006D56ED"/>
    <w:rsid w:val="006E082D"/>
    <w:rsid w:val="006E2744"/>
    <w:rsid w:val="006E2D42"/>
    <w:rsid w:val="006F13E8"/>
    <w:rsid w:val="006F779D"/>
    <w:rsid w:val="00703676"/>
    <w:rsid w:val="00707304"/>
    <w:rsid w:val="00714617"/>
    <w:rsid w:val="00715EEB"/>
    <w:rsid w:val="00720BCB"/>
    <w:rsid w:val="00725FDE"/>
    <w:rsid w:val="00732269"/>
    <w:rsid w:val="007451E5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5B51"/>
    <w:rsid w:val="008956FA"/>
    <w:rsid w:val="008A6EE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0CF6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B54C9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87CE4"/>
    <w:rsid w:val="00A94C82"/>
    <w:rsid w:val="00AB531E"/>
    <w:rsid w:val="00AB5545"/>
    <w:rsid w:val="00AC06CE"/>
    <w:rsid w:val="00AC556F"/>
    <w:rsid w:val="00AD4946"/>
    <w:rsid w:val="00AE2C85"/>
    <w:rsid w:val="00AE377C"/>
    <w:rsid w:val="00AF56EE"/>
    <w:rsid w:val="00B12A37"/>
    <w:rsid w:val="00B13C39"/>
    <w:rsid w:val="00B167C3"/>
    <w:rsid w:val="00B23CB8"/>
    <w:rsid w:val="00B273F8"/>
    <w:rsid w:val="00B27D09"/>
    <w:rsid w:val="00B42EDC"/>
    <w:rsid w:val="00B51AFE"/>
    <w:rsid w:val="00B558E6"/>
    <w:rsid w:val="00B609D6"/>
    <w:rsid w:val="00B63EF2"/>
    <w:rsid w:val="00B7579C"/>
    <w:rsid w:val="00B80226"/>
    <w:rsid w:val="00B862CD"/>
    <w:rsid w:val="00B902C9"/>
    <w:rsid w:val="00B936E2"/>
    <w:rsid w:val="00B973D4"/>
    <w:rsid w:val="00BB19FE"/>
    <w:rsid w:val="00BC0D39"/>
    <w:rsid w:val="00BC4690"/>
    <w:rsid w:val="00BC6F89"/>
    <w:rsid w:val="00BC7BC0"/>
    <w:rsid w:val="00BD57B7"/>
    <w:rsid w:val="00BE63E2"/>
    <w:rsid w:val="00BE658A"/>
    <w:rsid w:val="00BE6FA3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67B72"/>
    <w:rsid w:val="00C96AB1"/>
    <w:rsid w:val="00CB156F"/>
    <w:rsid w:val="00CD2009"/>
    <w:rsid w:val="00CF629C"/>
    <w:rsid w:val="00D10A28"/>
    <w:rsid w:val="00D1411E"/>
    <w:rsid w:val="00D16813"/>
    <w:rsid w:val="00D17F88"/>
    <w:rsid w:val="00D2704B"/>
    <w:rsid w:val="00D356D0"/>
    <w:rsid w:val="00D36D92"/>
    <w:rsid w:val="00D402F7"/>
    <w:rsid w:val="00D405CE"/>
    <w:rsid w:val="00D460D2"/>
    <w:rsid w:val="00D712F0"/>
    <w:rsid w:val="00D767C7"/>
    <w:rsid w:val="00D77D95"/>
    <w:rsid w:val="00D77DF3"/>
    <w:rsid w:val="00D92EEA"/>
    <w:rsid w:val="00DA3752"/>
    <w:rsid w:val="00DA5D4E"/>
    <w:rsid w:val="00DB2408"/>
    <w:rsid w:val="00DC359C"/>
    <w:rsid w:val="00DD0D64"/>
    <w:rsid w:val="00DE14AF"/>
    <w:rsid w:val="00DF0C73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1621"/>
    <w:rsid w:val="00F5225B"/>
    <w:rsid w:val="00F5742C"/>
    <w:rsid w:val="00F82A88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8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608CB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608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608CB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4608CB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608CB"/>
    <w:pPr>
      <w:outlineLvl w:val="4"/>
    </w:pPr>
  </w:style>
  <w:style w:type="paragraph" w:styleId="Heading6">
    <w:name w:val="heading 6"/>
    <w:basedOn w:val="Heading4"/>
    <w:next w:val="Normal"/>
    <w:qFormat/>
    <w:rsid w:val="004608CB"/>
    <w:pPr>
      <w:outlineLvl w:val="5"/>
    </w:pPr>
  </w:style>
  <w:style w:type="paragraph" w:styleId="Heading7">
    <w:name w:val="heading 7"/>
    <w:basedOn w:val="Heading6"/>
    <w:next w:val="Normal"/>
    <w:qFormat/>
    <w:rsid w:val="004608CB"/>
    <w:pPr>
      <w:outlineLvl w:val="6"/>
    </w:pPr>
  </w:style>
  <w:style w:type="paragraph" w:styleId="Heading8">
    <w:name w:val="heading 8"/>
    <w:basedOn w:val="Heading6"/>
    <w:next w:val="Normal"/>
    <w:qFormat/>
    <w:rsid w:val="004608CB"/>
    <w:pPr>
      <w:outlineLvl w:val="7"/>
    </w:pPr>
  </w:style>
  <w:style w:type="paragraph" w:styleId="Heading9">
    <w:name w:val="heading 9"/>
    <w:basedOn w:val="Heading6"/>
    <w:next w:val="Normal"/>
    <w:qFormat/>
    <w:rsid w:val="004608CB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608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08CB"/>
  </w:style>
  <w:style w:type="paragraph" w:styleId="TOC8">
    <w:name w:val="toc 8"/>
    <w:basedOn w:val="TOC4"/>
    <w:rsid w:val="004608CB"/>
  </w:style>
  <w:style w:type="paragraph" w:styleId="TOC4">
    <w:name w:val="toc 4"/>
    <w:basedOn w:val="TOC3"/>
    <w:rsid w:val="004608CB"/>
    <w:pPr>
      <w:spacing w:before="80"/>
    </w:pPr>
  </w:style>
  <w:style w:type="paragraph" w:styleId="TOC3">
    <w:name w:val="toc 3"/>
    <w:basedOn w:val="TOC2"/>
    <w:rsid w:val="004608CB"/>
  </w:style>
  <w:style w:type="paragraph" w:styleId="TOC2">
    <w:name w:val="toc 2"/>
    <w:basedOn w:val="TOC1"/>
    <w:rsid w:val="004608CB"/>
    <w:pPr>
      <w:spacing w:before="160"/>
    </w:pPr>
  </w:style>
  <w:style w:type="paragraph" w:styleId="TOC1">
    <w:name w:val="toc 1"/>
    <w:basedOn w:val="Normal"/>
    <w:rsid w:val="004608CB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4608CB"/>
  </w:style>
  <w:style w:type="paragraph" w:styleId="TOC6">
    <w:name w:val="toc 6"/>
    <w:basedOn w:val="TOC4"/>
    <w:rsid w:val="004608CB"/>
  </w:style>
  <w:style w:type="paragraph" w:styleId="TOC5">
    <w:name w:val="toc 5"/>
    <w:basedOn w:val="TOC4"/>
    <w:rsid w:val="004608CB"/>
  </w:style>
  <w:style w:type="paragraph" w:styleId="Index7">
    <w:name w:val="index 7"/>
    <w:basedOn w:val="Normal"/>
    <w:next w:val="Normal"/>
    <w:rsid w:val="004608CB"/>
    <w:pPr>
      <w:ind w:left="1698"/>
    </w:pPr>
  </w:style>
  <w:style w:type="paragraph" w:styleId="Index6">
    <w:name w:val="index 6"/>
    <w:basedOn w:val="Normal"/>
    <w:next w:val="Normal"/>
    <w:rsid w:val="004608CB"/>
    <w:pPr>
      <w:ind w:left="1415"/>
    </w:pPr>
  </w:style>
  <w:style w:type="paragraph" w:styleId="Index5">
    <w:name w:val="index 5"/>
    <w:basedOn w:val="Normal"/>
    <w:next w:val="Normal"/>
    <w:rsid w:val="004608CB"/>
    <w:pPr>
      <w:ind w:left="1132"/>
    </w:pPr>
  </w:style>
  <w:style w:type="paragraph" w:styleId="Index4">
    <w:name w:val="index 4"/>
    <w:basedOn w:val="Normal"/>
    <w:next w:val="Normal"/>
    <w:rsid w:val="004608CB"/>
    <w:pPr>
      <w:ind w:left="849"/>
    </w:pPr>
  </w:style>
  <w:style w:type="paragraph" w:styleId="Index3">
    <w:name w:val="index 3"/>
    <w:basedOn w:val="Normal"/>
    <w:next w:val="Normal"/>
    <w:rsid w:val="004608CB"/>
    <w:pPr>
      <w:ind w:left="566"/>
    </w:pPr>
  </w:style>
  <w:style w:type="paragraph" w:styleId="Index2">
    <w:name w:val="index 2"/>
    <w:basedOn w:val="Normal"/>
    <w:next w:val="Normal"/>
    <w:rsid w:val="004608CB"/>
    <w:pPr>
      <w:ind w:left="283"/>
    </w:pPr>
  </w:style>
  <w:style w:type="paragraph" w:styleId="Index1">
    <w:name w:val="index 1"/>
    <w:basedOn w:val="Normal"/>
    <w:next w:val="Normal"/>
    <w:rsid w:val="004608CB"/>
  </w:style>
  <w:style w:type="character" w:styleId="LineNumber">
    <w:name w:val="line number"/>
    <w:basedOn w:val="DefaultParagraphFont"/>
    <w:rsid w:val="004608CB"/>
  </w:style>
  <w:style w:type="paragraph" w:styleId="IndexHeading">
    <w:name w:val="index heading"/>
    <w:basedOn w:val="Normal"/>
    <w:next w:val="Index1"/>
    <w:rsid w:val="004608CB"/>
  </w:style>
  <w:style w:type="paragraph" w:styleId="Footer">
    <w:name w:val="footer"/>
    <w:basedOn w:val="Normal"/>
    <w:rsid w:val="004608C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4608C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4608C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608CB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4608CB"/>
    <w:pPr>
      <w:ind w:left="794"/>
    </w:pPr>
  </w:style>
  <w:style w:type="paragraph" w:customStyle="1" w:styleId="enumlev1">
    <w:name w:val="enumlev1"/>
    <w:basedOn w:val="Normal"/>
    <w:rsid w:val="004608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608CB"/>
    <w:pPr>
      <w:ind w:left="1191" w:hanging="397"/>
    </w:pPr>
  </w:style>
  <w:style w:type="paragraph" w:customStyle="1" w:styleId="enumlev3">
    <w:name w:val="enumlev3"/>
    <w:basedOn w:val="enumlev2"/>
    <w:rsid w:val="004608CB"/>
    <w:pPr>
      <w:ind w:left="1588"/>
    </w:pPr>
  </w:style>
  <w:style w:type="paragraph" w:customStyle="1" w:styleId="Normalaftertitle">
    <w:name w:val="Normal after title"/>
    <w:basedOn w:val="Normal"/>
    <w:next w:val="Normal"/>
    <w:rsid w:val="004608CB"/>
    <w:pPr>
      <w:spacing w:before="320"/>
    </w:pPr>
  </w:style>
  <w:style w:type="paragraph" w:customStyle="1" w:styleId="Equation">
    <w:name w:val="Equation"/>
    <w:basedOn w:val="Normal"/>
    <w:rsid w:val="004608C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608C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608CB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4608C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4608C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4608C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4608CB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608C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608C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608CB"/>
  </w:style>
  <w:style w:type="paragraph" w:customStyle="1" w:styleId="Data">
    <w:name w:val="Data"/>
    <w:basedOn w:val="Subject"/>
    <w:next w:val="Subject"/>
    <w:rsid w:val="004608CB"/>
  </w:style>
  <w:style w:type="paragraph" w:customStyle="1" w:styleId="Reasons">
    <w:name w:val="Reasons"/>
    <w:basedOn w:val="Normal"/>
    <w:rsid w:val="004608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608CB"/>
    <w:rPr>
      <w:color w:val="0000FF"/>
      <w:u w:val="single"/>
    </w:rPr>
  </w:style>
  <w:style w:type="paragraph" w:customStyle="1" w:styleId="FirstFooter">
    <w:name w:val="FirstFooter"/>
    <w:basedOn w:val="Footer"/>
    <w:rsid w:val="004608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608CB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4608CB"/>
  </w:style>
  <w:style w:type="paragraph" w:customStyle="1" w:styleId="Headingb">
    <w:name w:val="Heading_b"/>
    <w:basedOn w:val="Heading3"/>
    <w:next w:val="Normal"/>
    <w:rsid w:val="004608C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4608C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4608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608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608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608CB"/>
    <w:rPr>
      <w:b/>
    </w:rPr>
  </w:style>
  <w:style w:type="paragraph" w:customStyle="1" w:styleId="dnum">
    <w:name w:val="dnum"/>
    <w:basedOn w:val="Normal"/>
    <w:rsid w:val="004608C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608C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608C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4608C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4608C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4608CB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4608CB"/>
  </w:style>
  <w:style w:type="paragraph" w:customStyle="1" w:styleId="Appendixtitle">
    <w:name w:val="Appendix_title"/>
    <w:basedOn w:val="Annextitle"/>
    <w:next w:val="Appendixref"/>
    <w:rsid w:val="004608CB"/>
  </w:style>
  <w:style w:type="paragraph" w:customStyle="1" w:styleId="Appendixref">
    <w:name w:val="Appendix_ref"/>
    <w:basedOn w:val="Annexref"/>
    <w:next w:val="Normalaftertitle"/>
    <w:rsid w:val="004608CB"/>
  </w:style>
  <w:style w:type="paragraph" w:customStyle="1" w:styleId="Call">
    <w:name w:val="Call"/>
    <w:basedOn w:val="Normal"/>
    <w:next w:val="Normal"/>
    <w:rsid w:val="004608CB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4608CB"/>
    <w:rPr>
      <w:vertAlign w:val="superscript"/>
    </w:rPr>
  </w:style>
  <w:style w:type="paragraph" w:customStyle="1" w:styleId="Equationlegend">
    <w:name w:val="Equation_legend"/>
    <w:basedOn w:val="Normal"/>
    <w:rsid w:val="004608C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608C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608C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608CB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608CB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4608C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4608C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608C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608C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608CB"/>
    <w:pPr>
      <w:spacing w:before="160"/>
    </w:pPr>
    <w:rPr>
      <w:b w:val="0"/>
    </w:rPr>
  </w:style>
  <w:style w:type="character" w:styleId="PageNumber">
    <w:name w:val="page number"/>
    <w:basedOn w:val="DefaultParagraphFont"/>
    <w:rsid w:val="004608C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608CB"/>
  </w:style>
  <w:style w:type="paragraph" w:customStyle="1" w:styleId="Parttitle">
    <w:name w:val="Part_title"/>
    <w:basedOn w:val="Annextitle"/>
    <w:next w:val="Partref"/>
    <w:rsid w:val="004608CB"/>
  </w:style>
  <w:style w:type="paragraph" w:customStyle="1" w:styleId="Partref">
    <w:name w:val="Part_ref"/>
    <w:basedOn w:val="Annexref"/>
    <w:next w:val="Normalaftertitle"/>
    <w:rsid w:val="004608CB"/>
  </w:style>
  <w:style w:type="paragraph" w:customStyle="1" w:styleId="RecNo">
    <w:name w:val="Rec_No"/>
    <w:basedOn w:val="Normal"/>
    <w:next w:val="Rectitle"/>
    <w:rsid w:val="004608C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4608C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608C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608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608CB"/>
  </w:style>
  <w:style w:type="paragraph" w:customStyle="1" w:styleId="QuestionNo">
    <w:name w:val="Question_No"/>
    <w:basedOn w:val="RecNo"/>
    <w:next w:val="Questiontitle"/>
    <w:rsid w:val="004608CB"/>
  </w:style>
  <w:style w:type="paragraph" w:customStyle="1" w:styleId="Questionref">
    <w:name w:val="Question_ref"/>
    <w:basedOn w:val="Recref"/>
    <w:next w:val="Questiondate"/>
    <w:rsid w:val="004608CB"/>
  </w:style>
  <w:style w:type="paragraph" w:customStyle="1" w:styleId="Questiontitle">
    <w:name w:val="Question_title"/>
    <w:basedOn w:val="Rectitle"/>
    <w:next w:val="Questionref"/>
    <w:rsid w:val="004608CB"/>
  </w:style>
  <w:style w:type="paragraph" w:customStyle="1" w:styleId="Reftext">
    <w:name w:val="Ref_text"/>
    <w:basedOn w:val="Normal"/>
    <w:rsid w:val="004608CB"/>
    <w:pPr>
      <w:ind w:left="794" w:hanging="794"/>
    </w:pPr>
  </w:style>
  <w:style w:type="paragraph" w:customStyle="1" w:styleId="Reftitle">
    <w:name w:val="Ref_title"/>
    <w:basedOn w:val="Normal"/>
    <w:next w:val="Reftext"/>
    <w:rsid w:val="004608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608CB"/>
  </w:style>
  <w:style w:type="paragraph" w:customStyle="1" w:styleId="RepNo">
    <w:name w:val="Rep_No"/>
    <w:basedOn w:val="RecNo"/>
    <w:next w:val="Reptitle"/>
    <w:rsid w:val="004608CB"/>
  </w:style>
  <w:style w:type="paragraph" w:customStyle="1" w:styleId="Reptitle">
    <w:name w:val="Rep_title"/>
    <w:basedOn w:val="Rectitle"/>
    <w:next w:val="Repref"/>
    <w:rsid w:val="004608CB"/>
  </w:style>
  <w:style w:type="paragraph" w:customStyle="1" w:styleId="Repref">
    <w:name w:val="Rep_ref"/>
    <w:basedOn w:val="Recref"/>
    <w:next w:val="Repdate"/>
    <w:rsid w:val="004608CB"/>
  </w:style>
  <w:style w:type="paragraph" w:customStyle="1" w:styleId="Resdate">
    <w:name w:val="Res_date"/>
    <w:basedOn w:val="Recdate"/>
    <w:next w:val="Normalaftertitle"/>
    <w:rsid w:val="004608CB"/>
  </w:style>
  <w:style w:type="paragraph" w:customStyle="1" w:styleId="ResNo">
    <w:name w:val="Res_No"/>
    <w:basedOn w:val="RecNo"/>
    <w:next w:val="Restitle"/>
    <w:rsid w:val="004608CB"/>
  </w:style>
  <w:style w:type="paragraph" w:customStyle="1" w:styleId="Restitle">
    <w:name w:val="Res_title"/>
    <w:basedOn w:val="Rectitle"/>
    <w:next w:val="Resref"/>
    <w:rsid w:val="004608CB"/>
  </w:style>
  <w:style w:type="paragraph" w:customStyle="1" w:styleId="Resref">
    <w:name w:val="Res_ref"/>
    <w:basedOn w:val="Recref"/>
    <w:next w:val="Resdate"/>
    <w:rsid w:val="004608CB"/>
  </w:style>
  <w:style w:type="paragraph" w:customStyle="1" w:styleId="SectionNo">
    <w:name w:val="Section_No"/>
    <w:basedOn w:val="AnnexNo"/>
    <w:next w:val="Sectiontitle"/>
    <w:rsid w:val="004608CB"/>
  </w:style>
  <w:style w:type="paragraph" w:customStyle="1" w:styleId="Sectiontitle">
    <w:name w:val="Section_title"/>
    <w:basedOn w:val="Normal"/>
    <w:next w:val="Normalaftertitle"/>
    <w:rsid w:val="004608CB"/>
    <w:rPr>
      <w:sz w:val="26"/>
    </w:rPr>
  </w:style>
  <w:style w:type="paragraph" w:customStyle="1" w:styleId="SpecialFooter">
    <w:name w:val="Special Footer"/>
    <w:basedOn w:val="Footer"/>
    <w:rsid w:val="004608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4608C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608CB"/>
    <w:pPr>
      <w:spacing w:before="120"/>
    </w:pPr>
  </w:style>
  <w:style w:type="paragraph" w:customStyle="1" w:styleId="Tableref">
    <w:name w:val="Table_ref"/>
    <w:basedOn w:val="Normal"/>
    <w:next w:val="Tabletitle"/>
    <w:rsid w:val="004608C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608C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608C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4608CB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4608CB"/>
    <w:rPr>
      <w:b/>
    </w:rPr>
  </w:style>
  <w:style w:type="paragraph" w:customStyle="1" w:styleId="Chaptitle">
    <w:name w:val="Chap_title"/>
    <w:basedOn w:val="Arttitle"/>
    <w:next w:val="Normalaftertitle"/>
    <w:rsid w:val="004608CB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99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  <w:style w:type="paragraph" w:customStyle="1" w:styleId="Numberedpara">
    <w:name w:val="Numbered para"/>
    <w:basedOn w:val="Normal"/>
    <w:qFormat/>
    <w:rsid w:val="00375DFF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ru-RU"/>
    </w:rPr>
  </w:style>
  <w:style w:type="paragraph" w:customStyle="1" w:styleId="SimpleHeading">
    <w:name w:val="Simple Heading"/>
    <w:basedOn w:val="Normal"/>
    <w:qFormat/>
    <w:rsid w:val="00375DFF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4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rsid w:val="00375D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center"/>
      <w:textAlignment w:val="auto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ru-RU"/>
    </w:rPr>
  </w:style>
  <w:style w:type="character" w:customStyle="1" w:styleId="TitleChar">
    <w:name w:val="Title Char"/>
    <w:basedOn w:val="DefaultParagraphFont"/>
    <w:link w:val="Title"/>
    <w:rsid w:val="00375DFF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375DFF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75DFF"/>
    <w:rPr>
      <w:rFonts w:ascii="Calibri" w:hAnsi="Calibri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A/RES/75/1" TargetMode="External"/><Relationship Id="rId2" Type="http://schemas.openxmlformats.org/officeDocument/2006/relationships/hyperlink" Target="https://undocs.org/A/74/821" TargetMode="External"/><Relationship Id="rId1" Type="http://schemas.openxmlformats.org/officeDocument/2006/relationships/hyperlink" Target="https://www.un.org/en/content/digital-cooperation-roadmap/" TargetMode="External"/><Relationship Id="rId4" Type="http://schemas.openxmlformats.org/officeDocument/2006/relationships/hyperlink" Target="https://www.un.org/en/content/common-agenda-repo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1D6D-B7FD-4A64-A8DB-2443778A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10</Pages>
  <Words>3699</Words>
  <Characters>25540</Characters>
  <Application>Microsoft Office Word</Application>
  <DocSecurity>4</DocSecurity>
  <Lines>212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29181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 to the report of the CWG-SFP - Draft annex 2 to Resolution 71: Draft situational analysis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2022-03-15T11:05:00Z</dcterms:created>
  <dcterms:modified xsi:type="dcterms:W3CDTF">2022-03-15T11:05:00Z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