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ED9C" w14:textId="77777777" w:rsidR="00B915C1" w:rsidRPr="00D47CF9" w:rsidRDefault="00B915C1" w:rsidP="00CA20F2">
      <w:pPr>
        <w:spacing w:after="0" w:line="240" w:lineRule="auto"/>
        <w:rPr>
          <w:rFonts w:cs="Arial"/>
          <w:sz w:val="24"/>
          <w:szCs w:val="24"/>
        </w:rPr>
      </w:pPr>
    </w:p>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3E4374D6" w14:textId="77777777" w:rsidTr="00CA20F2">
        <w:trPr>
          <w:cantSplit/>
        </w:trPr>
        <w:tc>
          <w:tcPr>
            <w:tcW w:w="6096" w:type="dxa"/>
            <w:vAlign w:val="center"/>
          </w:tcPr>
          <w:p w14:paraId="39F05024" w14:textId="1AB49449" w:rsidR="005F153A" w:rsidRPr="00D613F6" w:rsidRDefault="000F2E67" w:rsidP="0076620B">
            <w:pPr>
              <w:rPr>
                <w:b/>
                <w:position w:val="6"/>
                <w:sz w:val="26"/>
                <w:szCs w:val="26"/>
              </w:rPr>
            </w:pPr>
            <w:bookmarkStart w:id="0" w:name="dc06"/>
            <w:bookmarkEnd w:id="0"/>
            <w:r w:rsidRPr="000F2E67">
              <w:rPr>
                <w:b/>
                <w:position w:val="6"/>
                <w:sz w:val="30"/>
                <w:szCs w:val="30"/>
              </w:rPr>
              <w:t>Council Working Group on</w:t>
            </w:r>
            <w:r w:rsidR="005B02E4">
              <w:rPr>
                <w:b/>
                <w:position w:val="6"/>
                <w:sz w:val="30"/>
                <w:szCs w:val="30"/>
              </w:rPr>
              <w:t xml:space="preserve"> </w:t>
            </w:r>
            <w:r w:rsidR="00994E08">
              <w:rPr>
                <w:b/>
                <w:position w:val="6"/>
                <w:sz w:val="30"/>
                <w:szCs w:val="30"/>
              </w:rPr>
              <w:t>WSIS</w:t>
            </w:r>
            <w:r w:rsidR="0036762C">
              <w:rPr>
                <w:b/>
                <w:position w:val="6"/>
                <w:sz w:val="30"/>
                <w:szCs w:val="30"/>
              </w:rPr>
              <w:t xml:space="preserve"> and SDG</w:t>
            </w:r>
            <w:r w:rsidR="00994E08">
              <w:rPr>
                <w:b/>
                <w:position w:val="6"/>
                <w:sz w:val="30"/>
                <w:szCs w:val="30"/>
              </w:rPr>
              <w:br/>
            </w:r>
            <w:r w:rsidR="00994E08" w:rsidRPr="00857FF1">
              <w:rPr>
                <w:rFonts w:cstheme="minorHAnsi"/>
                <w:b/>
                <w:spacing w:val="-2"/>
                <w:sz w:val="24"/>
                <w:szCs w:val="24"/>
              </w:rPr>
              <w:t>3</w:t>
            </w:r>
            <w:r w:rsidR="00857FF1" w:rsidRPr="00857FF1">
              <w:rPr>
                <w:rFonts w:cstheme="minorHAnsi"/>
                <w:b/>
                <w:spacing w:val="-2"/>
                <w:sz w:val="24"/>
                <w:szCs w:val="24"/>
              </w:rPr>
              <w:t>8</w:t>
            </w:r>
            <w:r w:rsidR="00CA20F2" w:rsidRPr="00857FF1">
              <w:rPr>
                <w:rFonts w:cstheme="minorHAnsi"/>
                <w:b/>
                <w:spacing w:val="-2"/>
                <w:sz w:val="24"/>
                <w:szCs w:val="24"/>
              </w:rPr>
              <w:t>th</w:t>
            </w:r>
            <w:r w:rsidR="001B506B" w:rsidRPr="00857FF1">
              <w:rPr>
                <w:rFonts w:cstheme="minorHAnsi"/>
                <w:b/>
                <w:spacing w:val="-2"/>
                <w:sz w:val="24"/>
                <w:szCs w:val="24"/>
              </w:rPr>
              <w:t xml:space="preserve"> meeting </w:t>
            </w:r>
            <w:r w:rsidR="001B506B" w:rsidRPr="00857FF1">
              <w:rPr>
                <w:rFonts w:eastAsia="Calibri" w:cstheme="minorHAnsi"/>
                <w:b/>
                <w:color w:val="000000"/>
                <w:spacing w:val="-2"/>
                <w:sz w:val="24"/>
                <w:szCs w:val="24"/>
              </w:rPr>
              <w:t>–</w:t>
            </w:r>
            <w:r w:rsidR="008B2A3D">
              <w:rPr>
                <w:rFonts w:eastAsia="Calibri" w:cstheme="minorHAnsi"/>
                <w:b/>
                <w:color w:val="000000"/>
                <w:spacing w:val="-2"/>
                <w:sz w:val="24"/>
                <w:szCs w:val="24"/>
              </w:rPr>
              <w:t xml:space="preserve"> </w:t>
            </w:r>
            <w:r w:rsidR="007C6E03">
              <w:rPr>
                <w:rFonts w:cstheme="minorHAnsi"/>
                <w:b/>
                <w:spacing w:val="-2"/>
                <w:sz w:val="24"/>
                <w:szCs w:val="24"/>
              </w:rPr>
              <w:t>19-20</w:t>
            </w:r>
            <w:r w:rsidR="004B6FBE" w:rsidRPr="00857FF1">
              <w:rPr>
                <w:rFonts w:cstheme="minorHAnsi"/>
                <w:b/>
                <w:spacing w:val="-2"/>
                <w:sz w:val="24"/>
                <w:szCs w:val="24"/>
              </w:rPr>
              <w:t xml:space="preserve"> </w:t>
            </w:r>
            <w:r w:rsidR="00857FF1" w:rsidRPr="00857FF1">
              <w:rPr>
                <w:rFonts w:cstheme="minorHAnsi"/>
                <w:b/>
                <w:spacing w:val="-2"/>
                <w:sz w:val="24"/>
                <w:szCs w:val="24"/>
              </w:rPr>
              <w:t>January</w:t>
            </w:r>
            <w:r w:rsidR="0076620B" w:rsidRPr="00857FF1">
              <w:rPr>
                <w:rFonts w:cstheme="minorHAnsi"/>
                <w:b/>
                <w:spacing w:val="-2"/>
                <w:sz w:val="24"/>
                <w:szCs w:val="24"/>
              </w:rPr>
              <w:t xml:space="preserve"> 20</w:t>
            </w:r>
            <w:r w:rsidR="000E334D" w:rsidRPr="00857FF1">
              <w:rPr>
                <w:rFonts w:cstheme="minorHAnsi"/>
                <w:b/>
                <w:spacing w:val="-2"/>
                <w:sz w:val="24"/>
                <w:szCs w:val="24"/>
              </w:rPr>
              <w:t>2</w:t>
            </w:r>
            <w:r w:rsidR="00857FF1" w:rsidRPr="00857FF1">
              <w:rPr>
                <w:rFonts w:cstheme="minorHAnsi"/>
                <w:b/>
                <w:spacing w:val="-2"/>
                <w:sz w:val="24"/>
                <w:szCs w:val="24"/>
              </w:rPr>
              <w:t>2</w:t>
            </w:r>
          </w:p>
        </w:tc>
        <w:tc>
          <w:tcPr>
            <w:tcW w:w="4218" w:type="dxa"/>
          </w:tcPr>
          <w:p w14:paraId="533F4B95" w14:textId="77777777" w:rsidR="005F153A" w:rsidRPr="00D613F6" w:rsidRDefault="00CA20F2" w:rsidP="00CA20F2">
            <w:pPr>
              <w:spacing w:before="120" w:line="240" w:lineRule="atLeast"/>
            </w:pPr>
            <w:bookmarkStart w:id="1" w:name="ditulogo"/>
            <w:bookmarkEnd w:id="1"/>
            <w:r>
              <w:rPr>
                <w:noProof/>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055501BD" w14:textId="77777777" w:rsidTr="0036762C">
        <w:trPr>
          <w:cantSplit/>
        </w:trPr>
        <w:tc>
          <w:tcPr>
            <w:tcW w:w="6096" w:type="dxa"/>
            <w:tcBorders>
              <w:top w:val="single" w:sz="12" w:space="0" w:color="auto"/>
            </w:tcBorders>
          </w:tcPr>
          <w:p w14:paraId="3CE60A30" w14:textId="77777777" w:rsidR="005F153A" w:rsidRPr="00D613F6" w:rsidRDefault="005F153A" w:rsidP="00CA20F2">
            <w:pPr>
              <w:snapToGrid w:val="0"/>
              <w:spacing w:after="0" w:line="240" w:lineRule="auto"/>
              <w:rPr>
                <w:b/>
                <w:smallCaps/>
              </w:rPr>
            </w:pPr>
          </w:p>
        </w:tc>
        <w:tc>
          <w:tcPr>
            <w:tcW w:w="4218" w:type="dxa"/>
            <w:tcBorders>
              <w:top w:val="single" w:sz="12" w:space="0" w:color="auto"/>
            </w:tcBorders>
          </w:tcPr>
          <w:p w14:paraId="6021A21C" w14:textId="77777777" w:rsidR="005F153A" w:rsidRPr="00D613F6" w:rsidRDefault="005F153A" w:rsidP="00CA20F2">
            <w:pPr>
              <w:snapToGrid w:val="0"/>
              <w:spacing w:after="0" w:line="240" w:lineRule="auto"/>
              <w:ind w:left="209"/>
              <w:rPr>
                <w:rFonts w:ascii="Verdana" w:hAnsi="Verdana"/>
              </w:rPr>
            </w:pPr>
          </w:p>
        </w:tc>
      </w:tr>
      <w:tr w:rsidR="005F153A" w:rsidRPr="008074CD" w14:paraId="414CFCAF" w14:textId="77777777" w:rsidTr="0036762C">
        <w:trPr>
          <w:cantSplit/>
          <w:trHeight w:val="23"/>
        </w:trPr>
        <w:tc>
          <w:tcPr>
            <w:tcW w:w="6096" w:type="dxa"/>
            <w:vMerge w:val="restart"/>
          </w:tcPr>
          <w:p w14:paraId="293062EA" w14:textId="77777777" w:rsidR="005F153A" w:rsidRPr="00D613F6" w:rsidRDefault="005F153A" w:rsidP="00CA20F2">
            <w:pPr>
              <w:snapToGrid w:val="0"/>
              <w:spacing w:after="0" w:line="240" w:lineRule="auto"/>
              <w:rPr>
                <w:b/>
              </w:rPr>
            </w:pPr>
            <w:bookmarkStart w:id="2" w:name="dmeeting" w:colFirst="0" w:colLast="0"/>
            <w:bookmarkStart w:id="3" w:name="dnum" w:colFirst="1" w:colLast="1"/>
          </w:p>
        </w:tc>
        <w:tc>
          <w:tcPr>
            <w:tcW w:w="4218" w:type="dxa"/>
          </w:tcPr>
          <w:p w14:paraId="404F67C6" w14:textId="7F0E2D6F" w:rsidR="005F153A" w:rsidRPr="00CA20F2" w:rsidRDefault="005F153A" w:rsidP="0076620B">
            <w:pPr>
              <w:snapToGrid w:val="0"/>
              <w:spacing w:after="0" w:line="240" w:lineRule="auto"/>
              <w:ind w:left="57"/>
              <w:rPr>
                <w:rFonts w:cstheme="minorHAnsi"/>
                <w:b/>
                <w:spacing w:val="-4"/>
                <w:sz w:val="24"/>
                <w:szCs w:val="24"/>
                <w:lang w:val="de-CH"/>
              </w:rPr>
            </w:pPr>
            <w:r w:rsidRPr="00CA20F2">
              <w:rPr>
                <w:rFonts w:cstheme="minorHAnsi"/>
                <w:b/>
                <w:spacing w:val="-4"/>
                <w:sz w:val="24"/>
                <w:szCs w:val="24"/>
                <w:lang w:val="de-CH"/>
              </w:rPr>
              <w:t xml:space="preserve">Document </w:t>
            </w:r>
            <w:r w:rsidR="00F45331" w:rsidRPr="00CA20F2">
              <w:rPr>
                <w:rFonts w:cstheme="minorHAnsi"/>
                <w:b/>
                <w:spacing w:val="-4"/>
                <w:sz w:val="24"/>
                <w:szCs w:val="24"/>
                <w:lang w:val="de-CH"/>
              </w:rPr>
              <w:t>C</w:t>
            </w:r>
            <w:r w:rsidRPr="00CA20F2">
              <w:rPr>
                <w:rFonts w:cstheme="minorHAnsi"/>
                <w:b/>
                <w:spacing w:val="-4"/>
                <w:sz w:val="24"/>
                <w:szCs w:val="24"/>
                <w:lang w:val="de-CH"/>
              </w:rPr>
              <w:t>WG-</w:t>
            </w:r>
            <w:r w:rsidR="0036762C" w:rsidRPr="00CA20F2">
              <w:rPr>
                <w:rFonts w:cstheme="minorHAnsi"/>
                <w:b/>
                <w:spacing w:val="-4"/>
                <w:sz w:val="24"/>
                <w:szCs w:val="24"/>
                <w:lang w:val="de-CH"/>
              </w:rPr>
              <w:t>WSIS&amp;SDG-</w:t>
            </w:r>
            <w:r w:rsidR="00994E08" w:rsidRPr="00CA20F2">
              <w:rPr>
                <w:rFonts w:cstheme="minorHAnsi"/>
                <w:b/>
                <w:spacing w:val="-4"/>
                <w:sz w:val="24"/>
                <w:szCs w:val="24"/>
                <w:lang w:val="de-CH"/>
              </w:rPr>
              <w:t>3</w:t>
            </w:r>
            <w:r w:rsidR="00857FF1">
              <w:rPr>
                <w:rFonts w:cstheme="minorHAnsi"/>
                <w:b/>
                <w:spacing w:val="-4"/>
                <w:sz w:val="24"/>
                <w:szCs w:val="24"/>
                <w:lang w:val="de-CH"/>
              </w:rPr>
              <w:t>8</w:t>
            </w:r>
            <w:r w:rsidRPr="00CA20F2">
              <w:rPr>
                <w:rFonts w:cstheme="minorHAnsi"/>
                <w:b/>
                <w:spacing w:val="-4"/>
                <w:sz w:val="24"/>
                <w:szCs w:val="24"/>
                <w:lang w:val="de-CH"/>
              </w:rPr>
              <w:t>/</w:t>
            </w:r>
            <w:r w:rsidR="008F588A">
              <w:rPr>
                <w:rFonts w:cstheme="minorHAnsi"/>
                <w:b/>
                <w:spacing w:val="-4"/>
                <w:sz w:val="24"/>
                <w:szCs w:val="24"/>
                <w:lang w:val="de-CH"/>
              </w:rPr>
              <w:t>12</w:t>
            </w:r>
            <w:r w:rsidR="006B460D" w:rsidRPr="00CA20F2">
              <w:rPr>
                <w:rFonts w:cstheme="minorHAnsi"/>
                <w:b/>
                <w:spacing w:val="-4"/>
                <w:sz w:val="24"/>
                <w:szCs w:val="24"/>
                <w:lang w:val="de-CH"/>
              </w:rPr>
              <w:t>-E</w:t>
            </w:r>
          </w:p>
        </w:tc>
      </w:tr>
      <w:tr w:rsidR="005F153A" w:rsidRPr="00E544AC" w14:paraId="738CA7AF" w14:textId="77777777" w:rsidTr="0036762C">
        <w:trPr>
          <w:cantSplit/>
          <w:trHeight w:val="23"/>
        </w:trPr>
        <w:tc>
          <w:tcPr>
            <w:tcW w:w="6096" w:type="dxa"/>
            <w:vMerge/>
          </w:tcPr>
          <w:p w14:paraId="418692AD" w14:textId="77777777" w:rsidR="005F153A" w:rsidRPr="00D613F6" w:rsidRDefault="005F153A" w:rsidP="00CA20F2">
            <w:pPr>
              <w:snapToGrid w:val="0"/>
              <w:spacing w:after="0" w:line="240" w:lineRule="auto"/>
              <w:rPr>
                <w:b/>
                <w:lang w:val="de-CH"/>
              </w:rPr>
            </w:pPr>
            <w:bookmarkStart w:id="4" w:name="ddate" w:colFirst="1" w:colLast="1"/>
            <w:bookmarkEnd w:id="2"/>
            <w:bookmarkEnd w:id="3"/>
          </w:p>
        </w:tc>
        <w:tc>
          <w:tcPr>
            <w:tcW w:w="4218" w:type="dxa"/>
          </w:tcPr>
          <w:p w14:paraId="62B5CD2A" w14:textId="6768058E" w:rsidR="005F153A" w:rsidRPr="00CA20F2" w:rsidRDefault="007C6E03" w:rsidP="0076620B">
            <w:pPr>
              <w:snapToGrid w:val="0"/>
              <w:spacing w:after="0" w:line="240" w:lineRule="auto"/>
              <w:ind w:left="57"/>
              <w:rPr>
                <w:rFonts w:cstheme="minorHAnsi"/>
                <w:b/>
                <w:sz w:val="24"/>
                <w:szCs w:val="24"/>
              </w:rPr>
            </w:pPr>
            <w:r>
              <w:rPr>
                <w:rFonts w:cstheme="minorHAnsi"/>
                <w:b/>
                <w:sz w:val="24"/>
                <w:szCs w:val="24"/>
              </w:rPr>
              <w:t>1</w:t>
            </w:r>
            <w:r w:rsidR="008074CD">
              <w:rPr>
                <w:rFonts w:cstheme="minorHAnsi"/>
                <w:b/>
                <w:sz w:val="24"/>
                <w:szCs w:val="24"/>
              </w:rPr>
              <w:t>7</w:t>
            </w:r>
            <w:r w:rsidR="00175D3F" w:rsidRPr="008F588A">
              <w:rPr>
                <w:rFonts w:cstheme="minorHAnsi"/>
                <w:b/>
                <w:sz w:val="24"/>
                <w:szCs w:val="24"/>
              </w:rPr>
              <w:t xml:space="preserve"> </w:t>
            </w:r>
            <w:r w:rsidR="00857FF1" w:rsidRPr="008F588A">
              <w:rPr>
                <w:rFonts w:cstheme="minorHAnsi"/>
                <w:b/>
                <w:sz w:val="24"/>
                <w:szCs w:val="24"/>
              </w:rPr>
              <w:t>December</w:t>
            </w:r>
            <w:r w:rsidR="000F2E67" w:rsidRPr="008F588A">
              <w:rPr>
                <w:rFonts w:cstheme="minorHAnsi"/>
                <w:b/>
                <w:sz w:val="24"/>
                <w:szCs w:val="24"/>
              </w:rPr>
              <w:t xml:space="preserve"> 20</w:t>
            </w:r>
            <w:r w:rsidR="000E334D" w:rsidRPr="008F588A">
              <w:rPr>
                <w:rFonts w:cstheme="minorHAnsi"/>
                <w:b/>
                <w:sz w:val="24"/>
                <w:szCs w:val="24"/>
              </w:rPr>
              <w:t>21</w:t>
            </w:r>
          </w:p>
        </w:tc>
      </w:tr>
      <w:tr w:rsidR="005F153A" w:rsidRPr="00E544AC" w14:paraId="1438B3DD" w14:textId="77777777" w:rsidTr="0036762C">
        <w:trPr>
          <w:cantSplit/>
          <w:trHeight w:val="80"/>
        </w:trPr>
        <w:tc>
          <w:tcPr>
            <w:tcW w:w="6096" w:type="dxa"/>
            <w:vMerge/>
          </w:tcPr>
          <w:p w14:paraId="7609E632" w14:textId="77777777" w:rsidR="005F153A" w:rsidRPr="00E544AC" w:rsidRDefault="005F153A" w:rsidP="00CA20F2">
            <w:pPr>
              <w:snapToGrid w:val="0"/>
              <w:spacing w:after="0" w:line="240" w:lineRule="auto"/>
              <w:rPr>
                <w:b/>
              </w:rPr>
            </w:pPr>
            <w:bookmarkStart w:id="5" w:name="dorlang" w:colFirst="1" w:colLast="1"/>
            <w:bookmarkEnd w:id="4"/>
          </w:p>
        </w:tc>
        <w:tc>
          <w:tcPr>
            <w:tcW w:w="4218" w:type="dxa"/>
          </w:tcPr>
          <w:p w14:paraId="74D115A8" w14:textId="77777777" w:rsidR="005F153A" w:rsidRPr="00CA20F2" w:rsidRDefault="005F153A" w:rsidP="00CA20F2">
            <w:pPr>
              <w:snapToGrid w:val="0"/>
              <w:spacing w:after="0" w:line="240" w:lineRule="auto"/>
              <w:ind w:left="57"/>
              <w:rPr>
                <w:rFonts w:cstheme="minorHAnsi"/>
                <w:b/>
                <w:sz w:val="24"/>
                <w:szCs w:val="24"/>
              </w:rPr>
            </w:pPr>
            <w:r w:rsidRPr="00CA20F2">
              <w:rPr>
                <w:rFonts w:cstheme="minorHAnsi"/>
                <w:b/>
                <w:sz w:val="24"/>
                <w:szCs w:val="24"/>
              </w:rPr>
              <w:t>English only</w:t>
            </w:r>
          </w:p>
        </w:tc>
      </w:tr>
      <w:bookmarkEnd w:id="5"/>
      <w:tr w:rsidR="00857FF1" w:rsidRPr="00E544AC" w14:paraId="274ACDD0" w14:textId="77777777" w:rsidTr="00056F6B">
        <w:trPr>
          <w:cantSplit/>
          <w:trHeight w:val="80"/>
        </w:trPr>
        <w:tc>
          <w:tcPr>
            <w:tcW w:w="10314" w:type="dxa"/>
            <w:gridSpan w:val="2"/>
          </w:tcPr>
          <w:p w14:paraId="20E90AAA" w14:textId="6C5BF69E" w:rsidR="00857FF1" w:rsidRPr="008F588A" w:rsidRDefault="008F588A" w:rsidP="008F588A">
            <w:pPr>
              <w:pStyle w:val="Source"/>
              <w:framePr w:hSpace="0" w:wrap="auto" w:hAnchor="text" w:yAlign="inline"/>
            </w:pPr>
            <w:r w:rsidRPr="008F588A">
              <w:t>Contribution by the Secretariat of the ITU/UNESCO Broadband Commission for Sustainable Development</w:t>
            </w:r>
          </w:p>
        </w:tc>
      </w:tr>
      <w:tr w:rsidR="00857FF1" w:rsidRPr="00E544AC" w14:paraId="051AB311" w14:textId="77777777" w:rsidTr="00056F6B">
        <w:trPr>
          <w:cantSplit/>
          <w:trHeight w:val="80"/>
        </w:trPr>
        <w:tc>
          <w:tcPr>
            <w:tcW w:w="10314" w:type="dxa"/>
            <w:gridSpan w:val="2"/>
          </w:tcPr>
          <w:p w14:paraId="7BC664EC" w14:textId="07C8EBA0" w:rsidR="00857FF1" w:rsidRPr="000F2E67" w:rsidRDefault="008F588A" w:rsidP="008F588A">
            <w:pPr>
              <w:pStyle w:val="Title1"/>
              <w:framePr w:hSpace="0" w:wrap="auto" w:hAnchor="text" w:yAlign="inline"/>
            </w:pPr>
            <w:bookmarkStart w:id="6" w:name="_Hlk89963193"/>
            <w:r w:rsidRPr="008F588A">
              <w:t>UPDATES ON THE ACTIVITIES OF THE ITU/UNESCO BROADBAND COMMISSION FOR SUSTAINABLE DEVELOPMENT</w:t>
            </w:r>
            <w:bookmarkEnd w:id="6"/>
          </w:p>
        </w:tc>
      </w:tr>
      <w:tr w:rsidR="00857FF1" w:rsidRPr="00E544AC" w14:paraId="755E6669" w14:textId="77777777" w:rsidTr="00056F6B">
        <w:trPr>
          <w:cantSplit/>
          <w:trHeight w:val="80"/>
        </w:trPr>
        <w:tc>
          <w:tcPr>
            <w:tcW w:w="10314" w:type="dxa"/>
            <w:gridSpan w:val="2"/>
          </w:tcPr>
          <w:p w14:paraId="6C543411" w14:textId="77777777" w:rsidR="00857FF1" w:rsidRDefault="00857FF1" w:rsidP="008F588A">
            <w:pPr>
              <w:pStyle w:val="Title1"/>
              <w:framePr w:hSpace="0" w:wrap="auto" w:hAnchor="text" w:yAlign="inline"/>
            </w:pPr>
          </w:p>
        </w:tc>
      </w:tr>
    </w:tbl>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857FF1" w:rsidRPr="001F57C2" w14:paraId="184840CF" w14:textId="77777777" w:rsidTr="00056F6B">
        <w:trPr>
          <w:trHeight w:val="3372"/>
        </w:trPr>
        <w:tc>
          <w:tcPr>
            <w:tcW w:w="9355" w:type="dxa"/>
            <w:tcBorders>
              <w:top w:val="single" w:sz="12" w:space="0" w:color="auto"/>
              <w:left w:val="single" w:sz="12" w:space="0" w:color="auto"/>
              <w:bottom w:val="single" w:sz="12" w:space="0" w:color="auto"/>
              <w:right w:val="single" w:sz="12" w:space="0" w:color="auto"/>
            </w:tcBorders>
          </w:tcPr>
          <w:p w14:paraId="418BBC43" w14:textId="77777777" w:rsidR="00857FF1" w:rsidRPr="0036762C" w:rsidRDefault="00857FF1" w:rsidP="00617346">
            <w:pPr>
              <w:snapToGrid w:val="0"/>
              <w:spacing w:before="120" w:after="120" w:line="240" w:lineRule="auto"/>
              <w:ind w:left="869" w:hanging="869"/>
              <w:rPr>
                <w:rFonts w:eastAsia="SimSun"/>
                <w:b/>
                <w:bCs/>
                <w:szCs w:val="24"/>
              </w:rPr>
            </w:pPr>
            <w:r w:rsidRPr="0036762C">
              <w:rPr>
                <w:rFonts w:eastAsia="SimSun"/>
                <w:b/>
                <w:bCs/>
                <w:szCs w:val="24"/>
              </w:rPr>
              <w:t>Summary</w:t>
            </w:r>
          </w:p>
          <w:p w14:paraId="28C22265" w14:textId="06A58AA0" w:rsidR="00857FF1" w:rsidRPr="008F588A" w:rsidRDefault="008F588A" w:rsidP="003205CF">
            <w:pPr>
              <w:snapToGrid w:val="0"/>
              <w:spacing w:before="120" w:after="120" w:line="240" w:lineRule="auto"/>
              <w:ind w:right="64"/>
              <w:jc w:val="both"/>
              <w:rPr>
                <w:rFonts w:eastAsia="SimSun"/>
              </w:rPr>
            </w:pPr>
            <w:r w:rsidRPr="005D5C93">
              <w:rPr>
                <w:rFonts w:eastAsia="SimSun"/>
              </w:rPr>
              <w:t>This document highlights the</w:t>
            </w:r>
            <w:r>
              <w:rPr>
                <w:rFonts w:eastAsia="SimSun"/>
              </w:rPr>
              <w:t xml:space="preserve"> work of the Broadband Commission for Sustainable Development in 2021, </w:t>
            </w:r>
            <w:r w:rsidRPr="005D5C93">
              <w:rPr>
                <w:rFonts w:eastAsia="SimSun"/>
              </w:rPr>
              <w:t xml:space="preserve">including </w:t>
            </w:r>
            <w:r>
              <w:rPr>
                <w:rFonts w:eastAsia="SimSun"/>
              </w:rPr>
              <w:t>publications released, the advocacy work and focus areas for 2022</w:t>
            </w:r>
            <w:r w:rsidRPr="005D5C93">
              <w:rPr>
                <w:rFonts w:eastAsia="SimSun"/>
              </w:rPr>
              <w:t>.</w:t>
            </w:r>
          </w:p>
          <w:p w14:paraId="3AAE3E2E" w14:textId="77777777" w:rsidR="00857FF1" w:rsidRPr="0036762C" w:rsidRDefault="00857FF1" w:rsidP="003205CF">
            <w:pPr>
              <w:snapToGrid w:val="0"/>
              <w:spacing w:before="120" w:after="120" w:line="240" w:lineRule="auto"/>
              <w:ind w:left="862" w:hanging="868"/>
              <w:jc w:val="both"/>
              <w:rPr>
                <w:rFonts w:eastAsia="SimSun"/>
                <w:b/>
                <w:bCs/>
                <w:szCs w:val="24"/>
              </w:rPr>
            </w:pPr>
            <w:r w:rsidRPr="0036762C">
              <w:rPr>
                <w:rFonts w:eastAsia="SimSun"/>
                <w:b/>
                <w:bCs/>
                <w:szCs w:val="24"/>
              </w:rPr>
              <w:t>Action required</w:t>
            </w:r>
          </w:p>
          <w:p w14:paraId="6A1871BC" w14:textId="77777777" w:rsidR="008F588A" w:rsidRPr="001527D0" w:rsidRDefault="008F588A" w:rsidP="003205CF">
            <w:pPr>
              <w:snapToGrid w:val="0"/>
              <w:spacing w:before="120" w:after="120" w:line="240" w:lineRule="auto"/>
              <w:ind w:right="64"/>
              <w:jc w:val="both"/>
              <w:rPr>
                <w:rFonts w:ascii="Calibri" w:eastAsia="Calibri" w:hAnsi="Calibri" w:cs="Calibri"/>
                <w:lang w:eastAsia="en-GB"/>
              </w:rPr>
            </w:pPr>
            <w:r w:rsidRPr="003D14CA">
              <w:t xml:space="preserve">Members are requested to note the information </w:t>
            </w:r>
            <w:r>
              <w:t>about the</w:t>
            </w:r>
            <w:r w:rsidRPr="001527D0">
              <w:rPr>
                <w:rFonts w:ascii="Calibri" w:eastAsia="Calibri" w:hAnsi="Calibri" w:cs="Calibri"/>
                <w:lang w:eastAsia="en-GB"/>
              </w:rPr>
              <w:t xml:space="preserve"> ITU/UNESCO Broadband Commission for Sustainable Development, including the recently published reports.</w:t>
            </w:r>
          </w:p>
          <w:p w14:paraId="7B688A64" w14:textId="463736A3" w:rsidR="00617346" w:rsidRPr="0036762C" w:rsidRDefault="00617346" w:rsidP="003205CF">
            <w:pPr>
              <w:snapToGrid w:val="0"/>
              <w:spacing w:before="120" w:after="120" w:line="240" w:lineRule="auto"/>
              <w:ind w:right="64"/>
              <w:jc w:val="both"/>
              <w:rPr>
                <w:rFonts w:eastAsia="SimSun"/>
                <w:szCs w:val="24"/>
              </w:rPr>
            </w:pPr>
            <w:r>
              <w:rPr>
                <w:szCs w:val="24"/>
              </w:rPr>
              <w:t>________________</w:t>
            </w:r>
          </w:p>
          <w:p w14:paraId="56AC7730" w14:textId="77777777" w:rsidR="00857FF1" w:rsidRPr="0036762C" w:rsidRDefault="00857FF1" w:rsidP="003205CF">
            <w:pPr>
              <w:snapToGrid w:val="0"/>
              <w:spacing w:before="120" w:after="120" w:line="240" w:lineRule="auto"/>
              <w:ind w:left="862" w:hanging="868"/>
              <w:jc w:val="both"/>
              <w:rPr>
                <w:rFonts w:eastAsia="SimSun"/>
                <w:b/>
                <w:bCs/>
                <w:szCs w:val="24"/>
              </w:rPr>
            </w:pPr>
            <w:r w:rsidRPr="0036762C">
              <w:rPr>
                <w:rFonts w:eastAsia="SimSun"/>
                <w:b/>
                <w:bCs/>
                <w:szCs w:val="24"/>
              </w:rPr>
              <w:t>References</w:t>
            </w:r>
          </w:p>
          <w:p w14:paraId="0E431F0F" w14:textId="77777777" w:rsidR="008F588A" w:rsidRPr="004E7B75" w:rsidRDefault="008F588A" w:rsidP="003205CF">
            <w:pPr>
              <w:pStyle w:val="ListParagraph"/>
              <w:numPr>
                <w:ilvl w:val="0"/>
                <w:numId w:val="8"/>
              </w:numPr>
              <w:snapToGrid w:val="0"/>
              <w:spacing w:before="120" w:after="120" w:line="240" w:lineRule="auto"/>
              <w:ind w:right="64"/>
              <w:jc w:val="both"/>
              <w:rPr>
                <w:szCs w:val="24"/>
              </w:rPr>
            </w:pPr>
            <w:r w:rsidRPr="004E7B75">
              <w:rPr>
                <w:szCs w:val="24"/>
              </w:rPr>
              <w:t xml:space="preserve">The State of Broadband Report: </w:t>
            </w:r>
            <w:hyperlink r:id="rId13" w:history="1">
              <w:r w:rsidRPr="004E7B75">
                <w:rPr>
                  <w:rStyle w:val="Hyperlink"/>
                  <w:szCs w:val="24"/>
                </w:rPr>
                <w:t>https://broadbandcommission.org/report-type/state-of-broadband-report/</w:t>
              </w:r>
            </w:hyperlink>
          </w:p>
          <w:p w14:paraId="400B4403" w14:textId="77777777" w:rsidR="008F588A" w:rsidRPr="004E7B75" w:rsidRDefault="008F588A" w:rsidP="003205CF">
            <w:pPr>
              <w:pStyle w:val="ListParagraph"/>
              <w:numPr>
                <w:ilvl w:val="0"/>
                <w:numId w:val="8"/>
              </w:numPr>
              <w:snapToGrid w:val="0"/>
              <w:spacing w:before="120" w:after="120" w:line="240" w:lineRule="auto"/>
              <w:ind w:right="64"/>
              <w:jc w:val="both"/>
              <w:rPr>
                <w:szCs w:val="24"/>
              </w:rPr>
            </w:pPr>
            <w:r w:rsidRPr="004E7B75">
              <w:rPr>
                <w:szCs w:val="24"/>
              </w:rPr>
              <w:t xml:space="preserve">Working Group research and outcomes: </w:t>
            </w:r>
            <w:hyperlink r:id="rId14" w:history="1">
              <w:r w:rsidRPr="004E7B75">
                <w:rPr>
                  <w:rStyle w:val="Hyperlink"/>
                  <w:szCs w:val="24"/>
                </w:rPr>
                <w:t>https://broadbandcommission.org/working-groups/</w:t>
              </w:r>
            </w:hyperlink>
          </w:p>
          <w:p w14:paraId="0B3CFE76" w14:textId="77777777" w:rsidR="008F588A" w:rsidRPr="004E7B75" w:rsidRDefault="008F588A" w:rsidP="003205CF">
            <w:pPr>
              <w:pStyle w:val="ListParagraph"/>
              <w:numPr>
                <w:ilvl w:val="0"/>
                <w:numId w:val="8"/>
              </w:numPr>
              <w:snapToGrid w:val="0"/>
              <w:spacing w:before="120" w:after="120" w:line="240" w:lineRule="auto"/>
              <w:ind w:right="64"/>
              <w:rPr>
                <w:szCs w:val="24"/>
              </w:rPr>
            </w:pPr>
            <w:r w:rsidRPr="004E7B75">
              <w:rPr>
                <w:szCs w:val="24"/>
              </w:rPr>
              <w:t>7 Advocacy Targets 2025: Connecting the Other Half</w:t>
            </w:r>
            <w:r>
              <w:rPr>
                <w:szCs w:val="24"/>
              </w:rPr>
              <w:t xml:space="preserve"> </w:t>
            </w:r>
            <w:hyperlink r:id="rId15" w:history="1">
              <w:r w:rsidRPr="00906F7B">
                <w:rPr>
                  <w:rStyle w:val="Hyperlink"/>
                  <w:szCs w:val="24"/>
                </w:rPr>
                <w:t>https://broadbandcommission.org/broadband-targets/</w:t>
              </w:r>
            </w:hyperlink>
          </w:p>
          <w:p w14:paraId="3DFAA067" w14:textId="77777777" w:rsidR="008F588A" w:rsidRDefault="008F588A" w:rsidP="003205CF">
            <w:pPr>
              <w:pStyle w:val="ListParagraph"/>
              <w:numPr>
                <w:ilvl w:val="0"/>
                <w:numId w:val="8"/>
              </w:numPr>
              <w:snapToGrid w:val="0"/>
              <w:spacing w:before="120" w:after="120" w:line="240" w:lineRule="auto"/>
              <w:ind w:right="64"/>
              <w:jc w:val="both"/>
              <w:rPr>
                <w:szCs w:val="24"/>
              </w:rPr>
            </w:pPr>
            <w:r w:rsidRPr="004E7B75">
              <w:rPr>
                <w:szCs w:val="24"/>
              </w:rPr>
              <w:t xml:space="preserve">Universal Connectivity Manifesto 2020 </w:t>
            </w:r>
            <w:hyperlink r:id="rId16" w:history="1">
              <w:r w:rsidRPr="004E7B75">
                <w:rPr>
                  <w:rStyle w:val="Hyperlink"/>
                  <w:szCs w:val="24"/>
                </w:rPr>
                <w:t>https://broadbandcommission.org/manifesto/</w:t>
              </w:r>
            </w:hyperlink>
          </w:p>
          <w:p w14:paraId="52E85759" w14:textId="77777777" w:rsidR="008F588A" w:rsidRPr="004E7B75" w:rsidRDefault="008F588A" w:rsidP="003205CF">
            <w:pPr>
              <w:pStyle w:val="ListParagraph"/>
              <w:numPr>
                <w:ilvl w:val="0"/>
                <w:numId w:val="8"/>
              </w:numPr>
              <w:snapToGrid w:val="0"/>
              <w:spacing w:before="120" w:after="120" w:line="240" w:lineRule="auto"/>
              <w:ind w:right="64"/>
              <w:jc w:val="both"/>
              <w:rPr>
                <w:szCs w:val="24"/>
              </w:rPr>
            </w:pPr>
            <w:r w:rsidRPr="00174FA6">
              <w:rPr>
                <w:szCs w:val="24"/>
              </w:rPr>
              <w:t>The Commission at a Glance</w:t>
            </w:r>
            <w:r>
              <w:rPr>
                <w:szCs w:val="24"/>
              </w:rPr>
              <w:t xml:space="preserve">: </w:t>
            </w:r>
            <w:hyperlink r:id="rId17" w:history="1">
              <w:r w:rsidRPr="00906F7B">
                <w:rPr>
                  <w:rStyle w:val="Hyperlink"/>
                  <w:szCs w:val="24"/>
                </w:rPr>
                <w:t>https://broadbandcommission.org/how-we-operate/</w:t>
              </w:r>
            </w:hyperlink>
            <w:r>
              <w:rPr>
                <w:szCs w:val="24"/>
              </w:rPr>
              <w:t xml:space="preserve"> </w:t>
            </w:r>
          </w:p>
          <w:p w14:paraId="31655A5C" w14:textId="6F864CF4" w:rsidR="00857FF1" w:rsidRPr="0036762C" w:rsidRDefault="00857FF1" w:rsidP="00617346">
            <w:pPr>
              <w:snapToGrid w:val="0"/>
              <w:spacing w:before="120" w:after="120" w:line="240" w:lineRule="auto"/>
              <w:ind w:right="64"/>
              <w:jc w:val="both"/>
              <w:rPr>
                <w:szCs w:val="24"/>
              </w:rPr>
            </w:pPr>
          </w:p>
        </w:tc>
      </w:tr>
    </w:tbl>
    <w:p w14:paraId="37B7D2C9" w14:textId="181DCFD6" w:rsidR="00CC597D" w:rsidRDefault="00CC597D" w:rsidP="00617346">
      <w:pPr>
        <w:spacing w:before="120" w:after="120"/>
        <w:rPr>
          <w:rFonts w:cstheme="majorBidi"/>
          <w:sz w:val="24"/>
          <w:szCs w:val="24"/>
        </w:rPr>
      </w:pPr>
    </w:p>
    <w:p w14:paraId="4ABAF3CC" w14:textId="0127B5A6" w:rsidR="00857FF1" w:rsidRDefault="00857FF1">
      <w:pPr>
        <w:spacing w:after="0" w:line="240" w:lineRule="auto"/>
        <w:rPr>
          <w:rFonts w:cstheme="majorBidi"/>
          <w:sz w:val="24"/>
          <w:szCs w:val="24"/>
        </w:rPr>
      </w:pPr>
      <w:r>
        <w:rPr>
          <w:rFonts w:cstheme="majorBidi"/>
          <w:sz w:val="24"/>
          <w:szCs w:val="24"/>
        </w:rPr>
        <w:br w:type="page"/>
      </w:r>
    </w:p>
    <w:p w14:paraId="2899576D" w14:textId="77777777" w:rsidR="008F588A" w:rsidRPr="008F588A" w:rsidRDefault="008F588A" w:rsidP="008F588A">
      <w:pPr>
        <w:spacing w:after="0" w:line="240" w:lineRule="auto"/>
        <w:jc w:val="center"/>
        <w:rPr>
          <w:rFonts w:cstheme="majorBidi"/>
          <w:b/>
          <w:bCs/>
          <w:sz w:val="24"/>
          <w:szCs w:val="24"/>
        </w:rPr>
      </w:pPr>
      <w:r w:rsidRPr="008F588A">
        <w:rPr>
          <w:b/>
          <w:bCs/>
          <w:lang w:eastAsia="en-GB"/>
        </w:rPr>
        <w:lastRenderedPageBreak/>
        <w:t>UPDATES ON THE ACTIVITIES OF THE ITU/UNESCO BROADBAND COMMISSION FOR SUSTAINABLE DEVELOPMENT 2021</w:t>
      </w:r>
    </w:p>
    <w:p w14:paraId="4319587F" w14:textId="77777777" w:rsidR="008F588A" w:rsidRPr="008F588A" w:rsidRDefault="008F588A" w:rsidP="00950D8C">
      <w:pPr>
        <w:snapToGrid w:val="0"/>
        <w:spacing w:before="360" w:after="120" w:line="240" w:lineRule="auto"/>
        <w:ind w:left="-6"/>
        <w:jc w:val="both"/>
        <w:rPr>
          <w:rFonts w:eastAsia="SimSun"/>
          <w:szCs w:val="24"/>
          <w:lang w:val="en-US"/>
        </w:rPr>
      </w:pPr>
      <w:r w:rsidRPr="008F588A">
        <w:rPr>
          <w:rFonts w:eastAsia="SimSun"/>
          <w:szCs w:val="24"/>
          <w:lang w:val="en-US"/>
        </w:rPr>
        <w:t xml:space="preserve">The Broadband Commission for Sustainable Development was established in 2010 by ITU and UNESCO with the aim of boosting the importance of broadband on the international policy agenda and expanding broadband access in every country as key to accelerating progress towards national and international development targets. Led by H.E. President Paul Kagame of Rwanda and Mr Carlos Slim Helù of Mexico, it is co-chaired by ITU’s Secretary-General, Mr Houlin Zhao, and UNESCO Director-General, Ms Audrey Azoulay. It comprises over 50 Commissioners who represent a cross-cutting group of top CEO and industry leaders, senior policymakers and government representatives, and experts from international agencies, academia and organizations concerned with development. </w:t>
      </w:r>
    </w:p>
    <w:p w14:paraId="3E64D7A7" w14:textId="77777777" w:rsidR="008F588A" w:rsidRPr="008F588A" w:rsidRDefault="008F588A" w:rsidP="003205CF">
      <w:pPr>
        <w:snapToGrid w:val="0"/>
        <w:spacing w:before="120" w:after="120" w:line="240" w:lineRule="auto"/>
        <w:ind w:left="-6"/>
        <w:jc w:val="both"/>
        <w:rPr>
          <w:rFonts w:eastAsia="SimSun"/>
          <w:b/>
          <w:bCs/>
          <w:szCs w:val="24"/>
        </w:rPr>
      </w:pPr>
      <w:r w:rsidRPr="008F588A">
        <w:rPr>
          <w:rFonts w:eastAsia="SimSun"/>
          <w:b/>
          <w:bCs/>
          <w:szCs w:val="24"/>
        </w:rPr>
        <w:t xml:space="preserve">The Advocacy </w:t>
      </w:r>
    </w:p>
    <w:p w14:paraId="3DB20180" w14:textId="77777777" w:rsidR="008F588A" w:rsidRPr="008F588A" w:rsidRDefault="008F588A" w:rsidP="003205CF">
      <w:pPr>
        <w:snapToGrid w:val="0"/>
        <w:spacing w:before="120" w:after="120" w:line="240" w:lineRule="auto"/>
        <w:ind w:left="-6"/>
        <w:jc w:val="both"/>
        <w:rPr>
          <w:rFonts w:eastAsia="SimSun"/>
          <w:szCs w:val="24"/>
          <w:lang w:val="en-US"/>
        </w:rPr>
      </w:pPr>
      <w:r w:rsidRPr="008F588A">
        <w:rPr>
          <w:rFonts w:eastAsia="SimSun"/>
          <w:szCs w:val="24"/>
          <w:lang w:val="en-US"/>
        </w:rPr>
        <w:t>The Commission acts as a UN advocacy engine for the implementation of the UNSG’s Roadmap for Digital Cooperation and leverages the strength of its membership and collective expertise to advocate for meaningful, safe, secure, and sustainable broadband communications services that are reflective of human and children’s rights. Since 2010, more than 30 Working Groups on thematic areas from health to education were established and recommendations were made. The Commission has also been instrumental in launching a number of global initiatives (EQUALS, Giga, etc.).</w:t>
      </w:r>
    </w:p>
    <w:p w14:paraId="70F0718D" w14:textId="77777777" w:rsidR="008F588A" w:rsidRPr="008F588A" w:rsidRDefault="008F588A" w:rsidP="003205CF">
      <w:pPr>
        <w:snapToGrid w:val="0"/>
        <w:spacing w:before="120" w:after="120" w:line="240" w:lineRule="auto"/>
        <w:ind w:left="-6"/>
        <w:jc w:val="both"/>
        <w:rPr>
          <w:rFonts w:eastAsia="SimSun"/>
          <w:szCs w:val="24"/>
          <w:lang w:val="en-US"/>
        </w:rPr>
      </w:pPr>
      <w:r w:rsidRPr="008F588A">
        <w:rPr>
          <w:rFonts w:eastAsia="SimSun"/>
          <w:szCs w:val="24"/>
          <w:lang w:val="en-US"/>
        </w:rPr>
        <w:t xml:space="preserve">The Commission launched in 2020, the </w:t>
      </w:r>
      <w:r w:rsidRPr="008F588A">
        <w:rPr>
          <w:rFonts w:eastAsia="SimSun"/>
          <w:i/>
          <w:iCs/>
          <w:szCs w:val="24"/>
          <w:lang w:val="en-US"/>
        </w:rPr>
        <w:t>Universal Connectivity Manifesto</w:t>
      </w:r>
      <w:r w:rsidRPr="008F588A">
        <w:rPr>
          <w:rFonts w:eastAsia="SimSun"/>
          <w:szCs w:val="24"/>
          <w:lang w:val="en-US"/>
        </w:rPr>
        <w:t xml:space="preserve">, recognizing </w:t>
      </w:r>
      <w:r w:rsidRPr="008F588A">
        <w:rPr>
          <w:rFonts w:eastAsia="SimSun"/>
          <w:b/>
          <w:bCs/>
          <w:szCs w:val="24"/>
          <w:lang w:val="en-US"/>
        </w:rPr>
        <w:t>affordable universal connectivity as a foundational element for meeting the 17 Sustainable Development Goals (SDGs) by 2030.</w:t>
      </w:r>
      <w:r w:rsidRPr="008F588A">
        <w:rPr>
          <w:rFonts w:eastAsia="SimSun"/>
          <w:szCs w:val="24"/>
          <w:lang w:val="en-US"/>
        </w:rPr>
        <w:t xml:space="preserve"> The Manifesto outlines three key steps for achieving these goals: 1) Establishing a baseline for universal digital connectivity., 2) Identifying and supporting public-private financing of universal broadband. 3) Advocating for enabling ICT regulatory environments, capacity building &amp; online safety.</w:t>
      </w:r>
    </w:p>
    <w:p w14:paraId="53411732" w14:textId="77777777" w:rsidR="008F588A" w:rsidRPr="008F588A" w:rsidRDefault="008F588A" w:rsidP="003205CF">
      <w:pPr>
        <w:snapToGrid w:val="0"/>
        <w:spacing w:before="120" w:after="120" w:line="240" w:lineRule="auto"/>
        <w:jc w:val="both"/>
        <w:rPr>
          <w:rFonts w:eastAsia="SimSun"/>
          <w:b/>
          <w:bCs/>
          <w:szCs w:val="24"/>
          <w:lang w:val="en-US"/>
        </w:rPr>
      </w:pPr>
      <w:r w:rsidRPr="008F588A">
        <w:rPr>
          <w:rFonts w:eastAsia="SimSun"/>
          <w:b/>
          <w:bCs/>
          <w:szCs w:val="24"/>
          <w:lang w:val="en-US"/>
        </w:rPr>
        <w:t xml:space="preserve">The State of Broadband Annual Report </w:t>
      </w:r>
    </w:p>
    <w:p w14:paraId="0323C571" w14:textId="77777777" w:rsidR="008F588A" w:rsidRPr="008F588A" w:rsidRDefault="008F588A" w:rsidP="003205CF">
      <w:pPr>
        <w:snapToGrid w:val="0"/>
        <w:spacing w:before="120" w:after="120" w:line="240" w:lineRule="auto"/>
        <w:jc w:val="both"/>
        <w:rPr>
          <w:rFonts w:eastAsia="SimSun"/>
          <w:szCs w:val="24"/>
          <w:lang w:val="en-US"/>
        </w:rPr>
      </w:pPr>
      <w:r w:rsidRPr="008F588A">
        <w:rPr>
          <w:rFonts w:eastAsia="SimSun"/>
          <w:szCs w:val="24"/>
          <w:lang w:val="en-US"/>
        </w:rPr>
        <w:t>Every year, the Commission releases its flagship report, the</w:t>
      </w:r>
      <w:r w:rsidRPr="008F588A">
        <w:rPr>
          <w:rFonts w:eastAsia="SimSun"/>
          <w:b/>
          <w:bCs/>
          <w:szCs w:val="24"/>
          <w:lang w:val="en-US"/>
        </w:rPr>
        <w:t xml:space="preserve"> State of Broadband Report. </w:t>
      </w:r>
      <w:r w:rsidRPr="008F588A">
        <w:rPr>
          <w:rFonts w:eastAsia="SimSun"/>
          <w:szCs w:val="24"/>
          <w:lang w:val="en-US"/>
        </w:rPr>
        <w:t xml:space="preserve">– This collaborative outcome of the Commission details the current state of play of broadband markets, lessons learned from the pandemic, progress on meeting the Broadband Commission’s 2025 targets, and policy recommendations. The 2021 edition of the report called for a concerted, people-centred approach to achieving universal connectivity to close the world’s persistent divide, highlighting also the need for additional investments to advance progress towards universal access. </w:t>
      </w:r>
    </w:p>
    <w:p w14:paraId="0E5A1F39" w14:textId="77777777" w:rsidR="008F588A" w:rsidRPr="008F588A" w:rsidRDefault="008F588A" w:rsidP="003205CF">
      <w:pPr>
        <w:snapToGrid w:val="0"/>
        <w:spacing w:before="120" w:after="120" w:line="240" w:lineRule="auto"/>
        <w:jc w:val="both"/>
        <w:rPr>
          <w:rFonts w:eastAsia="SimSun"/>
          <w:b/>
          <w:bCs/>
          <w:szCs w:val="24"/>
          <w:lang w:val="en-US"/>
        </w:rPr>
      </w:pPr>
      <w:r w:rsidRPr="008F588A">
        <w:rPr>
          <w:rFonts w:eastAsia="SimSun"/>
          <w:b/>
          <w:bCs/>
          <w:szCs w:val="24"/>
          <w:lang w:val="en-US"/>
        </w:rPr>
        <w:t>The Broadband Commission Working Groups</w:t>
      </w:r>
    </w:p>
    <w:p w14:paraId="326C96C4" w14:textId="77777777" w:rsidR="008F588A" w:rsidRPr="008F588A" w:rsidRDefault="008F588A" w:rsidP="003205CF">
      <w:pPr>
        <w:snapToGrid w:val="0"/>
        <w:spacing w:before="120" w:after="120" w:line="240" w:lineRule="auto"/>
        <w:ind w:left="-6"/>
        <w:jc w:val="both"/>
        <w:rPr>
          <w:rFonts w:eastAsia="SimSun"/>
          <w:szCs w:val="24"/>
          <w:lang w:val="en-US"/>
        </w:rPr>
      </w:pPr>
      <w:r w:rsidRPr="008F588A">
        <w:rPr>
          <w:rFonts w:eastAsia="SimSun"/>
          <w:szCs w:val="24"/>
          <w:lang w:val="en-US"/>
        </w:rPr>
        <w:t xml:space="preserve">Three Working Groups (WG) concluded their work and published their outcomes in 2021. The </w:t>
      </w:r>
      <w:r w:rsidRPr="008F588A">
        <w:rPr>
          <w:rFonts w:eastAsia="SimSun"/>
          <w:b/>
          <w:bCs/>
          <w:szCs w:val="24"/>
          <w:lang w:val="en-US"/>
        </w:rPr>
        <w:t>WG on Digital Learning</w:t>
      </w:r>
      <w:r w:rsidRPr="008F588A">
        <w:rPr>
          <w:rFonts w:eastAsia="SimSun"/>
          <w:szCs w:val="24"/>
          <w:lang w:val="en-US"/>
        </w:rPr>
        <w:t xml:space="preserve"> introduced factors to make hybrid learning a viable option for students, requiring: deliberate planning, informed decision-making and substantial investment. </w:t>
      </w:r>
    </w:p>
    <w:p w14:paraId="0AE0AB82" w14:textId="77777777" w:rsidR="008F588A" w:rsidRPr="008F588A" w:rsidRDefault="008F588A" w:rsidP="003205CF">
      <w:pPr>
        <w:snapToGrid w:val="0"/>
        <w:spacing w:before="120" w:after="120" w:line="240" w:lineRule="auto"/>
        <w:ind w:left="-6"/>
        <w:jc w:val="both"/>
        <w:rPr>
          <w:rFonts w:eastAsia="SimSun"/>
          <w:szCs w:val="24"/>
        </w:rPr>
      </w:pPr>
      <w:r w:rsidRPr="008F588A">
        <w:rPr>
          <w:rFonts w:eastAsia="SimSun"/>
          <w:szCs w:val="24"/>
          <w:lang w:val="en-US"/>
        </w:rPr>
        <w:t xml:space="preserve">The </w:t>
      </w:r>
      <w:r w:rsidRPr="008F588A">
        <w:rPr>
          <w:rFonts w:eastAsia="SimSun"/>
          <w:b/>
          <w:bCs/>
          <w:szCs w:val="24"/>
          <w:lang w:val="en-US"/>
        </w:rPr>
        <w:t>WG on 21</w:t>
      </w:r>
      <w:r w:rsidRPr="008F588A">
        <w:rPr>
          <w:rFonts w:eastAsia="SimSun"/>
          <w:b/>
          <w:bCs/>
          <w:szCs w:val="24"/>
          <w:vertAlign w:val="superscript"/>
          <w:lang w:val="en-US"/>
        </w:rPr>
        <w:t>st</w:t>
      </w:r>
      <w:r w:rsidRPr="008F588A">
        <w:rPr>
          <w:rFonts w:eastAsia="SimSun"/>
          <w:b/>
          <w:bCs/>
          <w:szCs w:val="24"/>
          <w:lang w:val="en-US"/>
        </w:rPr>
        <w:t xml:space="preserve"> Century Financing Models</w:t>
      </w:r>
      <w:r w:rsidRPr="008F588A">
        <w:rPr>
          <w:rFonts w:eastAsia="SimSun"/>
          <w:szCs w:val="24"/>
          <w:lang w:val="en-US"/>
        </w:rPr>
        <w:t>, with its Executive Summary and WG Report, presented recommendations for universal connectivity including:</w:t>
      </w:r>
      <w:r w:rsidRPr="008F588A">
        <w:rPr>
          <w:rFonts w:eastAsia="SimSun"/>
          <w:szCs w:val="24"/>
        </w:rPr>
        <w:t xml:space="preserve"> </w:t>
      </w:r>
    </w:p>
    <w:p w14:paraId="68204695" w14:textId="77777777" w:rsidR="008F588A" w:rsidRPr="008F588A" w:rsidRDefault="008F588A" w:rsidP="003205CF">
      <w:pPr>
        <w:numPr>
          <w:ilvl w:val="0"/>
          <w:numId w:val="9"/>
        </w:numPr>
        <w:snapToGrid w:val="0"/>
        <w:spacing w:before="120" w:after="120" w:line="240" w:lineRule="auto"/>
        <w:jc w:val="both"/>
        <w:rPr>
          <w:rFonts w:eastAsia="SimSun"/>
          <w:szCs w:val="24"/>
        </w:rPr>
      </w:pPr>
      <w:r w:rsidRPr="008F588A">
        <w:rPr>
          <w:rFonts w:eastAsia="SimSun"/>
          <w:szCs w:val="24"/>
          <w:lang w:val="en-US"/>
        </w:rPr>
        <w:t>widening the base of contributors;</w:t>
      </w:r>
      <w:r w:rsidRPr="008F588A">
        <w:rPr>
          <w:rFonts w:eastAsia="SimSun"/>
          <w:szCs w:val="24"/>
        </w:rPr>
        <w:t xml:space="preserve"> </w:t>
      </w:r>
    </w:p>
    <w:p w14:paraId="3940B059" w14:textId="77777777" w:rsidR="008F588A" w:rsidRPr="008F588A" w:rsidRDefault="008F588A" w:rsidP="003205CF">
      <w:pPr>
        <w:numPr>
          <w:ilvl w:val="0"/>
          <w:numId w:val="9"/>
        </w:numPr>
        <w:snapToGrid w:val="0"/>
        <w:spacing w:before="120" w:after="120" w:line="240" w:lineRule="auto"/>
        <w:jc w:val="both"/>
        <w:rPr>
          <w:rFonts w:eastAsia="SimSun"/>
          <w:szCs w:val="24"/>
        </w:rPr>
      </w:pPr>
      <w:r w:rsidRPr="008F588A">
        <w:rPr>
          <w:rFonts w:eastAsia="SimSun"/>
          <w:szCs w:val="24"/>
          <w:lang w:val="en-US"/>
        </w:rPr>
        <w:t>earmarking proceeds from ICT sector participants</w:t>
      </w:r>
      <w:r w:rsidRPr="008F588A">
        <w:rPr>
          <w:rFonts w:eastAsia="SimSun"/>
          <w:szCs w:val="24"/>
        </w:rPr>
        <w:t xml:space="preserve">; </w:t>
      </w:r>
    </w:p>
    <w:p w14:paraId="01BA2798" w14:textId="77777777" w:rsidR="008F588A" w:rsidRPr="008F588A" w:rsidRDefault="008F588A" w:rsidP="003205CF">
      <w:pPr>
        <w:numPr>
          <w:ilvl w:val="0"/>
          <w:numId w:val="9"/>
        </w:numPr>
        <w:snapToGrid w:val="0"/>
        <w:spacing w:before="120" w:after="120" w:line="240" w:lineRule="auto"/>
        <w:jc w:val="both"/>
        <w:rPr>
          <w:rFonts w:eastAsia="SimSun"/>
          <w:szCs w:val="24"/>
        </w:rPr>
      </w:pPr>
      <w:r w:rsidRPr="008F588A">
        <w:rPr>
          <w:rFonts w:eastAsia="SimSun"/>
          <w:szCs w:val="24"/>
          <w:lang w:val="en-US"/>
        </w:rPr>
        <w:t>reforming Universal Service and Access Funds</w:t>
      </w:r>
      <w:r w:rsidRPr="008F588A">
        <w:rPr>
          <w:rFonts w:eastAsia="SimSun"/>
          <w:szCs w:val="24"/>
        </w:rPr>
        <w:t xml:space="preserve">; </w:t>
      </w:r>
    </w:p>
    <w:p w14:paraId="5D8D9CDA" w14:textId="77777777" w:rsidR="008F588A" w:rsidRPr="008F588A" w:rsidRDefault="008F588A" w:rsidP="003205CF">
      <w:pPr>
        <w:numPr>
          <w:ilvl w:val="0"/>
          <w:numId w:val="9"/>
        </w:numPr>
        <w:snapToGrid w:val="0"/>
        <w:spacing w:before="120" w:after="120" w:line="240" w:lineRule="auto"/>
        <w:jc w:val="both"/>
        <w:rPr>
          <w:rFonts w:eastAsia="SimSun"/>
          <w:szCs w:val="24"/>
        </w:rPr>
      </w:pPr>
      <w:r w:rsidRPr="008F588A">
        <w:rPr>
          <w:rFonts w:eastAsia="SimSun"/>
          <w:szCs w:val="24"/>
        </w:rPr>
        <w:t>c</w:t>
      </w:r>
      <w:r w:rsidRPr="008F588A">
        <w:rPr>
          <w:rFonts w:eastAsia="SimSun"/>
          <w:szCs w:val="24"/>
          <w:lang w:val="en-US"/>
        </w:rPr>
        <w:t>reating an international fund</w:t>
      </w:r>
      <w:r w:rsidRPr="008F588A">
        <w:rPr>
          <w:rFonts w:eastAsia="SimSun"/>
          <w:szCs w:val="24"/>
        </w:rPr>
        <w:t xml:space="preserve">. </w:t>
      </w:r>
    </w:p>
    <w:p w14:paraId="1CC73E9A" w14:textId="77777777" w:rsidR="008F588A" w:rsidRPr="008F588A" w:rsidRDefault="008F588A" w:rsidP="003205CF">
      <w:pPr>
        <w:snapToGrid w:val="0"/>
        <w:spacing w:before="120" w:after="120" w:line="240" w:lineRule="auto"/>
        <w:ind w:left="-6"/>
        <w:jc w:val="both"/>
        <w:rPr>
          <w:rFonts w:eastAsia="SimSun"/>
          <w:szCs w:val="24"/>
          <w:lang w:val="en-US"/>
        </w:rPr>
      </w:pPr>
      <w:r w:rsidRPr="008F588A">
        <w:rPr>
          <w:rFonts w:eastAsia="SimSun"/>
          <w:szCs w:val="24"/>
        </w:rPr>
        <w:t xml:space="preserve">The </w:t>
      </w:r>
      <w:r w:rsidRPr="008F588A">
        <w:rPr>
          <w:rFonts w:eastAsia="SimSun"/>
          <w:b/>
          <w:bCs/>
          <w:szCs w:val="24"/>
        </w:rPr>
        <w:t>WG on Epidemic Management</w:t>
      </w:r>
      <w:r w:rsidRPr="008F588A">
        <w:rPr>
          <w:rFonts w:eastAsia="SimSun"/>
          <w:szCs w:val="24"/>
        </w:rPr>
        <w:t>, in its Executive Summary, provided status of the COVID-19 outbreak, the need for a framework for responding to future pandemics and country case studies.</w:t>
      </w:r>
    </w:p>
    <w:p w14:paraId="22B9578A" w14:textId="77777777" w:rsidR="008F588A" w:rsidRPr="008F588A" w:rsidRDefault="008F588A" w:rsidP="003205CF">
      <w:pPr>
        <w:snapToGrid w:val="0"/>
        <w:spacing w:before="120" w:after="120" w:line="240" w:lineRule="auto"/>
        <w:jc w:val="both"/>
        <w:rPr>
          <w:rFonts w:eastAsia="SimSun"/>
          <w:szCs w:val="24"/>
        </w:rPr>
      </w:pPr>
      <w:r w:rsidRPr="008F588A">
        <w:rPr>
          <w:rFonts w:eastAsia="SimSun"/>
          <w:szCs w:val="24"/>
        </w:rPr>
        <w:t>Newly launched Working Groups will tackle in the coming year the following issues: Virtual Health and Care; Smartphone Access; AI Capacity Building; Data for Learning.</w:t>
      </w:r>
    </w:p>
    <w:p w14:paraId="3B600873" w14:textId="77777777" w:rsidR="008F588A" w:rsidRPr="008F588A" w:rsidRDefault="008F588A" w:rsidP="003205CF">
      <w:pPr>
        <w:snapToGrid w:val="0"/>
        <w:spacing w:before="120" w:after="120" w:line="240" w:lineRule="auto"/>
        <w:jc w:val="both"/>
        <w:rPr>
          <w:rFonts w:eastAsia="SimSun"/>
          <w:b/>
          <w:bCs/>
          <w:szCs w:val="24"/>
          <w:lang w:val="en-US"/>
        </w:rPr>
      </w:pPr>
      <w:r w:rsidRPr="008F588A">
        <w:rPr>
          <w:rFonts w:eastAsia="SimSun"/>
          <w:b/>
          <w:bCs/>
          <w:szCs w:val="24"/>
          <w:lang w:val="en-US"/>
        </w:rPr>
        <w:t xml:space="preserve">The Broadband Commission’s recommendations in Action  </w:t>
      </w:r>
    </w:p>
    <w:p w14:paraId="6E30E9E8" w14:textId="77777777" w:rsidR="008F588A" w:rsidRPr="008F588A" w:rsidRDefault="008F588A" w:rsidP="003205CF">
      <w:pPr>
        <w:spacing w:before="120" w:after="120" w:line="240" w:lineRule="auto"/>
        <w:jc w:val="both"/>
      </w:pPr>
      <w:r w:rsidRPr="008F588A">
        <w:lastRenderedPageBreak/>
        <w:t xml:space="preserve">ITU, as the UN specialized agency for ICTs, was instrumental in the establishment of the Broadband Commission just over a decade ago and stay at the helm of Commission with the ITU Secretary-General role as the Co-Vice Chair. The recommendations of the Commission as well as its </w:t>
      </w:r>
      <w:r w:rsidRPr="008F588A">
        <w:rPr>
          <w:b/>
          <w:bCs/>
        </w:rPr>
        <w:t>7 Broadband Advocacy Targets</w:t>
      </w:r>
      <w:r w:rsidRPr="008F588A">
        <w:t xml:space="preserve"> 2025 have been reflected in ITU’s work, activities, and conferences throughout the ITU sectors. </w:t>
      </w:r>
    </w:p>
    <w:p w14:paraId="658A6A15" w14:textId="77777777" w:rsidR="008F588A" w:rsidRPr="008F588A" w:rsidRDefault="008F588A" w:rsidP="003205CF">
      <w:pPr>
        <w:spacing w:before="120" w:after="120" w:line="240" w:lineRule="auto"/>
        <w:jc w:val="both"/>
      </w:pPr>
      <w:r w:rsidRPr="008F588A">
        <w:t>The ITU strategic framework including</w:t>
      </w:r>
      <w:r w:rsidRPr="008F588A">
        <w:rPr>
          <w:b/>
          <w:bCs/>
        </w:rPr>
        <w:t xml:space="preserve"> </w:t>
      </w:r>
      <w:r w:rsidRPr="008F588A">
        <w:t xml:space="preserve">ITU Connect 2030 Agenda and ITU Strategic Plan aligns with priorities set by the Commission. </w:t>
      </w:r>
    </w:p>
    <w:p w14:paraId="511C1A3A" w14:textId="77777777" w:rsidR="008F588A" w:rsidRPr="008F588A" w:rsidRDefault="008F588A" w:rsidP="003205CF">
      <w:pPr>
        <w:spacing w:before="120" w:after="120" w:line="240" w:lineRule="auto"/>
        <w:jc w:val="both"/>
      </w:pPr>
      <w:r w:rsidRPr="008F588A">
        <w:t xml:space="preserve">Of the Commission’s 7 Advocacy Targets, ITU is monitoring the ones related to policy, connectivity, affordability, and gender digital divide in its publications including the ITU Facts and Figures. </w:t>
      </w:r>
    </w:p>
    <w:p w14:paraId="3E271689" w14:textId="77777777" w:rsidR="008F588A" w:rsidRPr="008F588A" w:rsidRDefault="008F588A" w:rsidP="003205CF">
      <w:pPr>
        <w:adjustRightInd w:val="0"/>
        <w:snapToGrid w:val="0"/>
        <w:spacing w:before="120" w:after="120" w:line="240" w:lineRule="auto"/>
        <w:jc w:val="both"/>
        <w:rPr>
          <w:rFonts w:ascii="Avenir Next" w:hAnsi="Avenir Next"/>
        </w:rPr>
      </w:pPr>
      <w:r w:rsidRPr="008F588A">
        <w:rPr>
          <w:rFonts w:ascii="Avenir Next" w:hAnsi="Avenir Next"/>
        </w:rPr>
        <w:t>In terms of connectivity, new data released by ITU (Facts and Figures 2021) show that 4.9 billion people used the internet in 2021. In terms of affordability 39 of the 43 LDCs are still far from reaching the Commission’s target of 2% of monthly GNI for an entry-level broadband package. On the policy side, more than 160 countries adopted some kind of national broadband strategy. Several countries are in the process of adopting one and others having plans that have expired and or moving towards more specific strategies such as ones addressing AI or IoT. This is an increase from 102 countries in 2010.</w:t>
      </w:r>
    </w:p>
    <w:p w14:paraId="7C985C15" w14:textId="77777777" w:rsidR="008F588A" w:rsidRPr="008F588A" w:rsidRDefault="008F588A" w:rsidP="003205CF">
      <w:pPr>
        <w:adjustRightInd w:val="0"/>
        <w:snapToGrid w:val="0"/>
        <w:spacing w:before="120" w:after="120" w:line="240" w:lineRule="auto"/>
        <w:jc w:val="both"/>
        <w:rPr>
          <w:rFonts w:ascii="Avenir Next" w:hAnsi="Avenir Next"/>
        </w:rPr>
      </w:pPr>
      <w:r w:rsidRPr="008F588A">
        <w:rPr>
          <w:rFonts w:ascii="Avenir Next" w:hAnsi="Avenir Next"/>
        </w:rPr>
        <w:t xml:space="preserve">The Broadband Commission has issued a number of calls to action and high-level Open Letters directed at Heads of State, key G20 decision-makers, the United Nations and the ITU Member States (i.e. Plenipotentiary Conference). </w:t>
      </w:r>
    </w:p>
    <w:p w14:paraId="7C119B6B" w14:textId="77777777" w:rsidR="008F588A" w:rsidRPr="008F588A" w:rsidRDefault="008F588A" w:rsidP="003205CF">
      <w:pPr>
        <w:adjustRightInd w:val="0"/>
        <w:snapToGrid w:val="0"/>
        <w:spacing w:before="120" w:after="120" w:line="240" w:lineRule="auto"/>
        <w:jc w:val="both"/>
        <w:rPr>
          <w:rFonts w:ascii="Avenir Next" w:hAnsi="Avenir Next"/>
        </w:rPr>
      </w:pPr>
      <w:r w:rsidRPr="008F588A">
        <w:rPr>
          <w:rFonts w:ascii="Avenir Next" w:hAnsi="Avenir Next"/>
        </w:rPr>
        <w:t>The Commission has also been instrumental in launching global initiatives with the ITU’s leadership role such as:</w:t>
      </w:r>
    </w:p>
    <w:p w14:paraId="4A845992" w14:textId="77777777" w:rsidR="008F588A" w:rsidRPr="008F588A" w:rsidRDefault="008F588A" w:rsidP="003205CF">
      <w:pPr>
        <w:adjustRightInd w:val="0"/>
        <w:snapToGrid w:val="0"/>
        <w:spacing w:before="120" w:after="120" w:line="240" w:lineRule="auto"/>
        <w:ind w:left="709"/>
        <w:jc w:val="both"/>
        <w:rPr>
          <w:rFonts w:ascii="Avenir Next" w:hAnsi="Avenir Next"/>
        </w:rPr>
      </w:pPr>
      <w:r w:rsidRPr="008F588A">
        <w:rPr>
          <w:rFonts w:ascii="Avenir Next" w:hAnsi="Avenir Next"/>
        </w:rPr>
        <w:t>1) “EQUALS”, the ITU, ITC, GSMA and UN Women Global Partnership for Gender Equality in the Digital Age;</w:t>
      </w:r>
    </w:p>
    <w:p w14:paraId="526D2010" w14:textId="77777777" w:rsidR="008F588A" w:rsidRPr="008F588A" w:rsidRDefault="008F588A" w:rsidP="003205CF">
      <w:pPr>
        <w:adjustRightInd w:val="0"/>
        <w:snapToGrid w:val="0"/>
        <w:spacing w:before="120" w:after="120" w:line="240" w:lineRule="auto"/>
        <w:ind w:left="709"/>
        <w:rPr>
          <w:rFonts w:ascii="Avenir Next" w:hAnsi="Avenir Next"/>
        </w:rPr>
      </w:pPr>
      <w:r w:rsidRPr="008F588A">
        <w:rPr>
          <w:rFonts w:ascii="Avenir Next" w:hAnsi="Avenir Next"/>
        </w:rPr>
        <w:t>2) “GIGA” the ITU and UNICEF Global Initiative to Connect Every School to Internet by 2030</w:t>
      </w:r>
    </w:p>
    <w:p w14:paraId="3F73E07A" w14:textId="77777777" w:rsidR="008F588A" w:rsidRPr="008F588A" w:rsidRDefault="008F588A" w:rsidP="003205CF">
      <w:pPr>
        <w:adjustRightInd w:val="0"/>
        <w:snapToGrid w:val="0"/>
        <w:spacing w:before="120" w:after="120" w:line="240" w:lineRule="auto"/>
        <w:ind w:left="709"/>
        <w:rPr>
          <w:rFonts w:ascii="Avenir Next" w:hAnsi="Avenir Next"/>
        </w:rPr>
      </w:pPr>
      <w:r w:rsidRPr="008F588A">
        <w:rPr>
          <w:rFonts w:ascii="Avenir Next" w:hAnsi="Avenir Next"/>
        </w:rPr>
        <w:t>3) Child Online Safety Universal Declaration featuring ITU Child Online Protection Guidelines</w:t>
      </w:r>
    </w:p>
    <w:p w14:paraId="0913D0D8" w14:textId="77777777" w:rsidR="003205CF" w:rsidRPr="003205CF" w:rsidRDefault="003205CF" w:rsidP="003205CF">
      <w:pPr>
        <w:spacing w:before="840"/>
        <w:jc w:val="center"/>
        <w:rPr>
          <w:rFonts w:cstheme="minorHAnsi"/>
          <w:lang w:val="fr-FR"/>
        </w:rPr>
      </w:pPr>
      <w:r w:rsidRPr="003205CF">
        <w:rPr>
          <w:rFonts w:cstheme="minorHAnsi"/>
          <w:lang w:val="fr-FR"/>
        </w:rPr>
        <w:t>_______________</w:t>
      </w:r>
    </w:p>
    <w:sectPr w:rsidR="003205CF" w:rsidRPr="003205CF" w:rsidSect="00857FF1">
      <w:headerReference w:type="default" r:id="rId18"/>
      <w:footerReference w:type="first" r:id="rId19"/>
      <w:pgSz w:w="11901" w:h="16840" w:code="9"/>
      <w:pgMar w:top="1418" w:right="1077" w:bottom="851" w:left="1077"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53F6" w14:textId="77777777" w:rsidR="00655BE6" w:rsidRDefault="00655BE6">
      <w:r>
        <w:separator/>
      </w:r>
    </w:p>
  </w:endnote>
  <w:endnote w:type="continuationSeparator" w:id="0">
    <w:p w14:paraId="04354392" w14:textId="77777777" w:rsidR="00655BE6" w:rsidRDefault="00655BE6">
      <w:r>
        <w:continuationSeparator/>
      </w:r>
    </w:p>
  </w:endnote>
  <w:endnote w:type="continuationNotice" w:id="1">
    <w:p w14:paraId="369D70DE" w14:textId="77777777" w:rsidR="00655BE6" w:rsidRDefault="00655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venir Next">
    <w:altName w:val="Calibri"/>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5571EF0F" w:rsidR="0036762C" w:rsidRDefault="0036762C" w:rsidP="00D47CF9">
    <w:pPr>
      <w:spacing w:before="120"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D315A" w14:textId="77777777" w:rsidR="00655BE6" w:rsidRDefault="00655BE6">
      <w:r>
        <w:separator/>
      </w:r>
    </w:p>
  </w:footnote>
  <w:footnote w:type="continuationSeparator" w:id="0">
    <w:p w14:paraId="27DC91FF" w14:textId="77777777" w:rsidR="00655BE6" w:rsidRDefault="00655BE6">
      <w:r>
        <w:continuationSeparator/>
      </w:r>
    </w:p>
  </w:footnote>
  <w:footnote w:type="continuationNotice" w:id="1">
    <w:p w14:paraId="5F1F32D7" w14:textId="77777777" w:rsidR="00655BE6" w:rsidRDefault="00655B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2B472089" w:rsidR="004B6FBE" w:rsidRDefault="0036762C" w:rsidP="00857FF1">
    <w:pPr>
      <w:pStyle w:val="Header"/>
      <w:spacing w:after="120"/>
      <w:rPr>
        <w:noProof/>
      </w:rPr>
    </w:pPr>
    <w:r>
      <w:fldChar w:fldCharType="begin"/>
    </w:r>
    <w:r>
      <w:instrText xml:space="preserve"> PAGE   \* MERGEFORMAT </w:instrText>
    </w:r>
    <w:r>
      <w:fldChar w:fldCharType="separate"/>
    </w:r>
    <w:r w:rsidR="003B0E70">
      <w:rPr>
        <w:noProof/>
      </w:rPr>
      <w:t>2</w:t>
    </w:r>
    <w:r>
      <w:rPr>
        <w:noProof/>
      </w:rPr>
      <w:fldChar w:fldCharType="end"/>
    </w:r>
    <w:r w:rsidR="00857FF1">
      <w:rPr>
        <w:noProof/>
      </w:rPr>
      <w:br/>
      <w:t>CWG-WSIS&amp;SDG-38/</w:t>
    </w:r>
    <w:r w:rsidR="003205CF">
      <w:rPr>
        <w:noProof/>
      </w:rPr>
      <w:t>12</w:t>
    </w:r>
    <w:r w:rsidR="00857FF1">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A324FD7"/>
    <w:multiLevelType w:val="hybridMultilevel"/>
    <w:tmpl w:val="29E2400C"/>
    <w:lvl w:ilvl="0" w:tplc="73366FAA">
      <w:start w:val="1"/>
      <w:numFmt w:val="lowerLetter"/>
      <w:lvlText w:val="%1)"/>
      <w:lvlJc w:val="left"/>
      <w:pPr>
        <w:ind w:left="794" w:hanging="43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94323"/>
    <w:multiLevelType w:val="hybridMultilevel"/>
    <w:tmpl w:val="98D00B94"/>
    <w:lvl w:ilvl="0" w:tplc="476081AE">
      <w:start w:val="1"/>
      <w:numFmt w:val="bullet"/>
      <w:lvlText w:val="o"/>
      <w:lvlJc w:val="left"/>
      <w:pPr>
        <w:ind w:left="851" w:hanging="494"/>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50A92778"/>
    <w:multiLevelType w:val="hybridMultilevel"/>
    <w:tmpl w:val="E5CC4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726AAB"/>
    <w:multiLevelType w:val="hybridMultilevel"/>
    <w:tmpl w:val="C596C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C310E9"/>
    <w:multiLevelType w:val="hybridMultilevel"/>
    <w:tmpl w:val="C1CC51CE"/>
    <w:lvl w:ilvl="0" w:tplc="05E8FC6E">
      <w:start w:val="1"/>
      <w:numFmt w:val="bullet"/>
      <w:lvlText w:val="o"/>
      <w:lvlJc w:val="left"/>
      <w:pPr>
        <w:ind w:left="794" w:hanging="437"/>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6BD23589"/>
    <w:multiLevelType w:val="hybridMultilevel"/>
    <w:tmpl w:val="582C2998"/>
    <w:lvl w:ilvl="0" w:tplc="C4EAD058">
      <w:start w:val="1"/>
      <w:numFmt w:val="lowerRoman"/>
      <w:lvlText w:val="%1."/>
      <w:lvlJc w:val="right"/>
      <w:pPr>
        <w:ind w:left="794" w:hanging="434"/>
      </w:pPr>
      <w:rPr>
        <w:rFonts w:hint="default"/>
      </w:rPr>
    </w:lvl>
    <w:lvl w:ilvl="1" w:tplc="0409001B">
      <w:start w:val="1"/>
      <w:numFmt w:val="lowerRoman"/>
      <w:lvlText w:val="%2."/>
      <w:lvlJc w:val="right"/>
      <w:pPr>
        <w:ind w:left="1440" w:hanging="360"/>
      </w:pPr>
    </w:lvl>
    <w:lvl w:ilvl="2" w:tplc="CE3EC23A">
      <w:start w:val="1"/>
      <w:numFmt w:val="lowerRoman"/>
      <w:lvlText w:val="%3."/>
      <w:lvlJc w:val="right"/>
      <w:pPr>
        <w:ind w:left="794" w:hanging="437"/>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5976EF1"/>
    <w:multiLevelType w:val="hybridMultilevel"/>
    <w:tmpl w:val="B70E485C"/>
    <w:lvl w:ilvl="0" w:tplc="20000003">
      <w:start w:val="1"/>
      <w:numFmt w:val="bullet"/>
      <w:lvlText w:val="o"/>
      <w:lvlJc w:val="left"/>
      <w:pPr>
        <w:ind w:left="1157" w:hanging="800"/>
      </w:pPr>
      <w:rPr>
        <w:rFonts w:ascii="Courier New" w:hAnsi="Courier New" w:cs="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6"/>
  </w:num>
  <w:num w:numId="3">
    <w:abstractNumId w:val="7"/>
  </w:num>
  <w:num w:numId="4">
    <w:abstractNumId w:val="1"/>
  </w:num>
  <w:num w:numId="5">
    <w:abstractNumId w:val="2"/>
  </w:num>
  <w:num w:numId="6">
    <w:abstractNumId w:val="5"/>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F7F"/>
    <w:rsid w:val="00010C32"/>
    <w:rsid w:val="00010F48"/>
    <w:rsid w:val="000147CA"/>
    <w:rsid w:val="00015FB1"/>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86FC8"/>
    <w:rsid w:val="000929FF"/>
    <w:rsid w:val="00093ACA"/>
    <w:rsid w:val="000A1688"/>
    <w:rsid w:val="000A5071"/>
    <w:rsid w:val="000B4C95"/>
    <w:rsid w:val="000C20DC"/>
    <w:rsid w:val="000C2A2E"/>
    <w:rsid w:val="000C2C28"/>
    <w:rsid w:val="000C4839"/>
    <w:rsid w:val="000D1EC9"/>
    <w:rsid w:val="000D746E"/>
    <w:rsid w:val="000E0B2E"/>
    <w:rsid w:val="000E334D"/>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75D3F"/>
    <w:rsid w:val="001778D9"/>
    <w:rsid w:val="00193826"/>
    <w:rsid w:val="00194AC8"/>
    <w:rsid w:val="001962CD"/>
    <w:rsid w:val="001A1E52"/>
    <w:rsid w:val="001A43BB"/>
    <w:rsid w:val="001B0D22"/>
    <w:rsid w:val="001B17B9"/>
    <w:rsid w:val="001B3FBE"/>
    <w:rsid w:val="001B506B"/>
    <w:rsid w:val="001B5EDA"/>
    <w:rsid w:val="001B776D"/>
    <w:rsid w:val="001B7A37"/>
    <w:rsid w:val="001C154A"/>
    <w:rsid w:val="001C230E"/>
    <w:rsid w:val="001C2863"/>
    <w:rsid w:val="001C36A8"/>
    <w:rsid w:val="001C4440"/>
    <w:rsid w:val="001C533D"/>
    <w:rsid w:val="001D16E1"/>
    <w:rsid w:val="001D27FE"/>
    <w:rsid w:val="001D6882"/>
    <w:rsid w:val="001D69BE"/>
    <w:rsid w:val="001D6BE4"/>
    <w:rsid w:val="001E4BD2"/>
    <w:rsid w:val="001E56AD"/>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3660"/>
    <w:rsid w:val="003149DC"/>
    <w:rsid w:val="00315C60"/>
    <w:rsid w:val="0031621F"/>
    <w:rsid w:val="003205CF"/>
    <w:rsid w:val="00332B82"/>
    <w:rsid w:val="003341A5"/>
    <w:rsid w:val="00335193"/>
    <w:rsid w:val="00342898"/>
    <w:rsid w:val="00344CAA"/>
    <w:rsid w:val="00344DC5"/>
    <w:rsid w:val="0034736F"/>
    <w:rsid w:val="00347E04"/>
    <w:rsid w:val="003573BA"/>
    <w:rsid w:val="00366DC6"/>
    <w:rsid w:val="0036762C"/>
    <w:rsid w:val="00374C2C"/>
    <w:rsid w:val="0037552B"/>
    <w:rsid w:val="0038108B"/>
    <w:rsid w:val="003834F8"/>
    <w:rsid w:val="00383935"/>
    <w:rsid w:val="0038562C"/>
    <w:rsid w:val="00390067"/>
    <w:rsid w:val="00391655"/>
    <w:rsid w:val="003917D7"/>
    <w:rsid w:val="00394C20"/>
    <w:rsid w:val="003A4FC0"/>
    <w:rsid w:val="003B0E7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B6FBE"/>
    <w:rsid w:val="004C1A8E"/>
    <w:rsid w:val="004C4DBE"/>
    <w:rsid w:val="004C53CF"/>
    <w:rsid w:val="004C72E3"/>
    <w:rsid w:val="004D1794"/>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02E4"/>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17346"/>
    <w:rsid w:val="006204DB"/>
    <w:rsid w:val="00623E67"/>
    <w:rsid w:val="00624887"/>
    <w:rsid w:val="00626262"/>
    <w:rsid w:val="00630805"/>
    <w:rsid w:val="00635161"/>
    <w:rsid w:val="006367B6"/>
    <w:rsid w:val="006377C7"/>
    <w:rsid w:val="0064055B"/>
    <w:rsid w:val="00642B5B"/>
    <w:rsid w:val="006463AB"/>
    <w:rsid w:val="006477FD"/>
    <w:rsid w:val="00655BE6"/>
    <w:rsid w:val="00656B2D"/>
    <w:rsid w:val="00661E22"/>
    <w:rsid w:val="00665F5E"/>
    <w:rsid w:val="0066704D"/>
    <w:rsid w:val="00671D68"/>
    <w:rsid w:val="006720AA"/>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059A"/>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50401"/>
    <w:rsid w:val="0076010E"/>
    <w:rsid w:val="00764696"/>
    <w:rsid w:val="0076620B"/>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6E03"/>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074CD"/>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49BB"/>
    <w:rsid w:val="0084622B"/>
    <w:rsid w:val="00853371"/>
    <w:rsid w:val="008543CD"/>
    <w:rsid w:val="00857FF1"/>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A3D"/>
    <w:rsid w:val="008B2C85"/>
    <w:rsid w:val="008B56C2"/>
    <w:rsid w:val="008C173B"/>
    <w:rsid w:val="008C2C8E"/>
    <w:rsid w:val="008D18C5"/>
    <w:rsid w:val="008D1B8D"/>
    <w:rsid w:val="008D1DB1"/>
    <w:rsid w:val="008D45D6"/>
    <w:rsid w:val="008E27E9"/>
    <w:rsid w:val="008E28FB"/>
    <w:rsid w:val="008E3915"/>
    <w:rsid w:val="008E74F8"/>
    <w:rsid w:val="008F0348"/>
    <w:rsid w:val="008F588A"/>
    <w:rsid w:val="00902E96"/>
    <w:rsid w:val="009039E6"/>
    <w:rsid w:val="0090735D"/>
    <w:rsid w:val="00907F6E"/>
    <w:rsid w:val="00911D35"/>
    <w:rsid w:val="00911D37"/>
    <w:rsid w:val="0091462A"/>
    <w:rsid w:val="009152F8"/>
    <w:rsid w:val="009158E2"/>
    <w:rsid w:val="0091691F"/>
    <w:rsid w:val="009208B2"/>
    <w:rsid w:val="00921BD2"/>
    <w:rsid w:val="009325E5"/>
    <w:rsid w:val="00932DC2"/>
    <w:rsid w:val="00933184"/>
    <w:rsid w:val="00941F8F"/>
    <w:rsid w:val="009468B8"/>
    <w:rsid w:val="00946B12"/>
    <w:rsid w:val="00946D2C"/>
    <w:rsid w:val="00950D8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94E08"/>
    <w:rsid w:val="009A0436"/>
    <w:rsid w:val="009A5599"/>
    <w:rsid w:val="009A68D0"/>
    <w:rsid w:val="009A7E6E"/>
    <w:rsid w:val="009B2CB2"/>
    <w:rsid w:val="009B7A6D"/>
    <w:rsid w:val="009C38EC"/>
    <w:rsid w:val="009C53AB"/>
    <w:rsid w:val="009C7808"/>
    <w:rsid w:val="009D06FA"/>
    <w:rsid w:val="009D6205"/>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1811"/>
    <w:rsid w:val="00AE72AF"/>
    <w:rsid w:val="00AF2C12"/>
    <w:rsid w:val="00AF50A8"/>
    <w:rsid w:val="00B012E8"/>
    <w:rsid w:val="00B02AB0"/>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5F5E"/>
    <w:rsid w:val="00BB611D"/>
    <w:rsid w:val="00BC1480"/>
    <w:rsid w:val="00BC30E9"/>
    <w:rsid w:val="00BC4228"/>
    <w:rsid w:val="00BD6AF4"/>
    <w:rsid w:val="00BD6DF5"/>
    <w:rsid w:val="00BE175D"/>
    <w:rsid w:val="00BE2648"/>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0F2"/>
    <w:rsid w:val="00CA2A06"/>
    <w:rsid w:val="00CA3CB2"/>
    <w:rsid w:val="00CA3F8B"/>
    <w:rsid w:val="00CA5798"/>
    <w:rsid w:val="00CA59F0"/>
    <w:rsid w:val="00CB0190"/>
    <w:rsid w:val="00CB0AAF"/>
    <w:rsid w:val="00CB5E62"/>
    <w:rsid w:val="00CB6567"/>
    <w:rsid w:val="00CB7672"/>
    <w:rsid w:val="00CB7CCD"/>
    <w:rsid w:val="00CC0448"/>
    <w:rsid w:val="00CC2C8B"/>
    <w:rsid w:val="00CC597D"/>
    <w:rsid w:val="00CD01A7"/>
    <w:rsid w:val="00CD04E4"/>
    <w:rsid w:val="00CD098D"/>
    <w:rsid w:val="00CD6E42"/>
    <w:rsid w:val="00CE036F"/>
    <w:rsid w:val="00CE6DF3"/>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47CF9"/>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D38"/>
    <w:rsid w:val="00E023F8"/>
    <w:rsid w:val="00E02AF4"/>
    <w:rsid w:val="00E04BBC"/>
    <w:rsid w:val="00E0648E"/>
    <w:rsid w:val="00E06E45"/>
    <w:rsid w:val="00E1258E"/>
    <w:rsid w:val="00E1668A"/>
    <w:rsid w:val="00E2007F"/>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D3A2F"/>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1532"/>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00FF54E3"/>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C7495F7"/>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74CD"/>
    <w:pPr>
      <w:spacing w:after="160" w:line="259" w:lineRule="auto"/>
    </w:pPr>
    <w:rPr>
      <w:rFonts w:asciiTheme="minorHAnsi" w:eastAsiaTheme="minorEastAsia" w:hAnsiTheme="minorHAnsi" w:cstheme="minorBidi"/>
      <w:sz w:val="22"/>
      <w:szCs w:val="22"/>
      <w:lang w:val="en-GB" w:eastAsia="zh-CN"/>
    </w:rPr>
  </w:style>
  <w:style w:type="paragraph" w:styleId="Heading1">
    <w:name w:val="heading 1"/>
    <w:basedOn w:val="Normal"/>
    <w:next w:val="Normal"/>
    <w:link w:val="Heading1Char"/>
    <w:qFormat/>
    <w:rsid w:val="00015FB1"/>
    <w:pPr>
      <w:keepNext/>
      <w:keepLines/>
      <w:spacing w:before="480"/>
      <w:ind w:left="567" w:hanging="567"/>
      <w:outlineLvl w:val="0"/>
    </w:pPr>
    <w:rPr>
      <w:b/>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8074C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074CD"/>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rsid w:val="00015FB1"/>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8F588A"/>
    <w:pPr>
      <w:framePr w:hSpace="181" w:wrap="around" w:hAnchor="margin" w:y="-674"/>
      <w:spacing w:before="720" w:after="120" w:line="240" w:lineRule="auto"/>
      <w:jc w:val="center"/>
    </w:pPr>
    <w:rPr>
      <w:b/>
      <w:sz w:val="28"/>
      <w:szCs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basedOn w:val="DefaultParagraphFont"/>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framePr w:wrap="around"/>
      <w:spacing w:before="240"/>
    </w:pPr>
    <w:rPr>
      <w:b w:val="0"/>
      <w:caps/>
    </w:rPr>
  </w:style>
  <w:style w:type="paragraph" w:customStyle="1" w:styleId="Title2">
    <w:name w:val="Title 2"/>
    <w:basedOn w:val="Source"/>
    <w:next w:val="Title3"/>
    <w:rsid w:val="00015FB1"/>
    <w:pPr>
      <w:framePr w:wrap="around"/>
      <w:spacing w:before="240"/>
    </w:pPr>
    <w:rPr>
      <w:b w:val="0"/>
      <w:caps/>
    </w:rPr>
  </w:style>
  <w:style w:type="paragraph" w:customStyle="1" w:styleId="Title3">
    <w:name w:val="Title 3"/>
    <w:basedOn w:val="Title2"/>
    <w:next w:val="Normalaftertitle"/>
    <w:rsid w:val="00015FB1"/>
    <w:pPr>
      <w:framePr w:wrap="around"/>
    </w:pPr>
    <w:rPr>
      <w:caps w:val="0"/>
    </w:rPr>
  </w:style>
  <w:style w:type="paragraph" w:customStyle="1" w:styleId="Title4">
    <w:name w:val="Title 4"/>
    <w:basedOn w:val="Title3"/>
    <w:next w:val="Heading1"/>
    <w:rsid w:val="00015FB1"/>
    <w:pPr>
      <w:framePr w:wrap="around"/>
    </w:pPr>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styleId="UnresolvedMention">
    <w:name w:val="Unresolved Mention"/>
    <w:basedOn w:val="DefaultParagraphFont"/>
    <w:uiPriority w:val="99"/>
    <w:semiHidden/>
    <w:unhideWhenUsed/>
    <w:rsid w:val="009D6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roadbandcommission.org/report-type/state-of-broadband-repor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broadbandcommission.org/how-we-operate/" TargetMode="External"/><Relationship Id="rId2" Type="http://schemas.openxmlformats.org/officeDocument/2006/relationships/customXml" Target="../customXml/item2.xml"/><Relationship Id="rId16" Type="http://schemas.openxmlformats.org/officeDocument/2006/relationships/hyperlink" Target="https://broadbandcommission.org/manifest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broadbandcommission.org/broadband-target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roadbandcommission.org/working-group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BB7ADF-EB5F-4537-943F-279F722AEB45}">
  <ds:schemaRefs>
    <ds:schemaRef ds:uri="http://schemas.microsoft.com/office/infopath/2007/PartnerControls"/>
    <ds:schemaRef ds:uri="http://purl.org/dc/elements/1.1/"/>
    <ds:schemaRef ds:uri="http://purl.org/dc/terms/"/>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customXml/itemProps4.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customXml/itemProps5.xml><?xml version="1.0" encoding="utf-8"?>
<ds:datastoreItem xmlns:ds="http://schemas.openxmlformats.org/officeDocument/2006/customXml" ds:itemID="{D4953B8A-51B0-421C-9219-ED12AB0ADF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939</Words>
  <Characters>6158</Characters>
  <Application>Microsoft Office Word</Application>
  <DocSecurity>0</DocSecurity>
  <Lines>51</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Updates on the activities of the ITU/UNESCO Broadband Commission for Sustainable Development</vt:lpstr>
      <vt:lpstr>ITU Normal.dot</vt:lpstr>
    </vt:vector>
  </TitlesOfParts>
  <Company>ITU</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Updates on the activities of the ITU/UNESCO Broadband Commission for Sustainable Development</dc:title>
  <dc:subject>Council Working Group on WSIS&amp;SDG</dc:subject>
  <dc:creator>Brouard, Ricarda</dc:creator>
  <cp:keywords>CWG-WSIS&amp;SDG</cp:keywords>
  <cp:lastModifiedBy>Kun Xue</cp:lastModifiedBy>
  <cp:revision>5</cp:revision>
  <cp:lastPrinted>2021-08-23T14:13:00Z</cp:lastPrinted>
  <dcterms:created xsi:type="dcterms:W3CDTF">2021-12-09T16:25:00Z</dcterms:created>
  <dcterms:modified xsi:type="dcterms:W3CDTF">2021-12-20T09:41:00Z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