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A70A8" w:rsidRPr="00F32148" w14:paraId="23998FCF" w14:textId="77777777">
        <w:trPr>
          <w:cantSplit/>
        </w:trPr>
        <w:tc>
          <w:tcPr>
            <w:tcW w:w="6911" w:type="dxa"/>
          </w:tcPr>
          <w:p w14:paraId="39DF8D75" w14:textId="77777777" w:rsidR="00CA70A8" w:rsidRPr="00F32148" w:rsidRDefault="00CA70A8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3214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  <w:vMerge w:val="restart"/>
          </w:tcPr>
          <w:p w14:paraId="50428949" w14:textId="77777777" w:rsidR="00CA70A8" w:rsidRPr="00F32148" w:rsidRDefault="00CA70A8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32148">
              <w:rPr>
                <w:noProof/>
                <w:lang w:val="ru-RU" w:eastAsia="ru-RU"/>
              </w:rPr>
              <w:drawing>
                <wp:inline distT="0" distB="0" distL="0" distR="0" wp14:anchorId="4A34F874" wp14:editId="54FB6892">
                  <wp:extent cx="738430" cy="779228"/>
                  <wp:effectExtent l="0" t="0" r="508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76" cy="8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0A8" w:rsidRPr="00F32148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474E4E80" w:rsidR="00CA70A8" w:rsidRPr="00F32148" w:rsidRDefault="00D058D4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32148">
              <w:rPr>
                <w:rFonts w:eastAsia="Calibri" w:cs="Calibri"/>
                <w:b/>
                <w:color w:val="000000"/>
                <w:szCs w:val="24"/>
                <w:lang w:val="ru-RU"/>
              </w:rPr>
              <w:t>Шес</w:t>
            </w:r>
            <w:r w:rsidR="00CA70A8" w:rsidRPr="00F32148">
              <w:rPr>
                <w:rFonts w:eastAsia="Calibri" w:cs="Calibri"/>
                <w:b/>
                <w:color w:val="000000"/>
                <w:szCs w:val="24"/>
                <w:lang w:val="ru-RU"/>
              </w:rPr>
              <w:t>тое</w:t>
            </w:r>
            <w:r w:rsidR="00CA70A8"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</w:t>
            </w:r>
            <w:r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– 17</w:t>
            </w:r>
            <w:r w:rsidR="00881709"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</w:t>
            </w:r>
            <w:r w:rsidR="00CA70A8"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CA70A8"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A70A8" w:rsidRPr="00F32148">
              <w:rPr>
                <w:b/>
                <w:bCs/>
                <w:szCs w:val="22"/>
                <w:lang w:val="ru-RU"/>
              </w:rPr>
              <w:t>я</w:t>
            </w:r>
            <w:r w:rsidRPr="00F32148">
              <w:rPr>
                <w:b/>
                <w:bCs/>
                <w:szCs w:val="22"/>
                <w:lang w:val="ru-RU"/>
              </w:rPr>
              <w:t>нва</w:t>
            </w:r>
            <w:r w:rsidR="00CA70A8" w:rsidRPr="00F32148">
              <w:rPr>
                <w:b/>
                <w:bCs/>
                <w:szCs w:val="22"/>
                <w:lang w:val="ru-RU"/>
              </w:rPr>
              <w:t>ря</w:t>
            </w:r>
            <w:r w:rsidR="00CA70A8"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202</w:t>
            </w:r>
            <w:r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="00CA70A8" w:rsidRPr="00F32148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vMerge/>
            <w:tcBorders>
              <w:bottom w:val="single" w:sz="12" w:space="0" w:color="auto"/>
            </w:tcBorders>
          </w:tcPr>
          <w:p w14:paraId="7F878373" w14:textId="77777777" w:rsidR="00CA70A8" w:rsidRPr="00F32148" w:rsidRDefault="00CA70A8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32148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F3214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F3214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32148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F3214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29619DE8" w:rsidR="00BC7BC0" w:rsidRPr="00F32148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32148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F32148">
              <w:rPr>
                <w:b/>
                <w:bCs/>
                <w:szCs w:val="22"/>
                <w:lang w:val="ru-RU"/>
              </w:rPr>
              <w:t>-</w:t>
            </w:r>
            <w:r w:rsidR="00D058D4" w:rsidRPr="00F32148">
              <w:rPr>
                <w:b/>
                <w:bCs/>
                <w:szCs w:val="22"/>
                <w:lang w:val="ru-RU"/>
              </w:rPr>
              <w:t>6</w:t>
            </w:r>
            <w:r w:rsidRPr="00F32148">
              <w:rPr>
                <w:b/>
                <w:bCs/>
                <w:szCs w:val="22"/>
                <w:lang w:val="ru-RU"/>
              </w:rPr>
              <w:t>/</w:t>
            </w:r>
            <w:r w:rsidR="00DB0011" w:rsidRPr="00F32148">
              <w:rPr>
                <w:b/>
                <w:bCs/>
                <w:szCs w:val="22"/>
                <w:lang w:val="ru-RU"/>
              </w:rPr>
              <w:t>3</w:t>
            </w:r>
            <w:r w:rsidRPr="00F3214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32148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F3214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5BEC6F37" w:rsidR="00BC7BC0" w:rsidRPr="00F32148" w:rsidRDefault="00DB0011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2148">
              <w:rPr>
                <w:b/>
                <w:bCs/>
                <w:szCs w:val="22"/>
                <w:lang w:val="ru-RU"/>
              </w:rPr>
              <w:t>3 января 2022</w:t>
            </w:r>
            <w:r w:rsidR="00BC7BC0" w:rsidRPr="00F3214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32148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F3214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F3214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214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B0011" w:rsidRPr="0029640F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0A306498" w:rsidR="00DB0011" w:rsidRPr="00F32148" w:rsidRDefault="00487E4E" w:rsidP="00DB0011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F32148">
              <w:rPr>
                <w:lang w:val="ru-RU"/>
              </w:rPr>
              <w:t xml:space="preserve">Вклад Австрии, Чешской Республики, Латвии, Румынии, Нидерландов, </w:t>
            </w:r>
            <w:r w:rsidRPr="00F32148">
              <w:rPr>
                <w:lang w:val="ru-RU"/>
              </w:rPr>
              <w:br/>
              <w:t>Испании, Швеции и Соединенного Королевства</w:t>
            </w:r>
          </w:p>
        </w:tc>
      </w:tr>
      <w:bookmarkEnd w:id="1"/>
      <w:tr w:rsidR="00DB0011" w:rsidRPr="00F32148" w14:paraId="7D00FA9F" w14:textId="77777777">
        <w:trPr>
          <w:cantSplit/>
        </w:trPr>
        <w:tc>
          <w:tcPr>
            <w:tcW w:w="10031" w:type="dxa"/>
            <w:gridSpan w:val="2"/>
          </w:tcPr>
          <w:p w14:paraId="7011FC17" w14:textId="20166686" w:rsidR="00DB0011" w:rsidRPr="00F32148" w:rsidRDefault="001E37D4" w:rsidP="00DB0011">
            <w:pPr>
              <w:pStyle w:val="Title1"/>
              <w:rPr>
                <w:lang w:val="ru-RU"/>
              </w:rPr>
            </w:pPr>
            <w:r w:rsidRPr="00F32148">
              <w:rPr>
                <w:lang w:val="ru-RU"/>
              </w:rPr>
              <w:t>ОТЧЕТ ГЭ-РМЭ СОВЕТУ</w:t>
            </w:r>
          </w:p>
        </w:tc>
      </w:tr>
      <w:tr w:rsidR="00F313F5" w:rsidRPr="00F32148" w14:paraId="79CDF939" w14:textId="77777777">
        <w:trPr>
          <w:cantSplit/>
        </w:trPr>
        <w:tc>
          <w:tcPr>
            <w:tcW w:w="10031" w:type="dxa"/>
            <w:gridSpan w:val="2"/>
          </w:tcPr>
          <w:p w14:paraId="583163C9" w14:textId="209BF788" w:rsidR="00F313F5" w:rsidRPr="00F32148" w:rsidRDefault="00F313F5" w:rsidP="00F313F5">
            <w:pPr>
              <w:jc w:val="center"/>
              <w:rPr>
                <w:b/>
                <w:bCs/>
                <w:lang w:val="ru-RU"/>
              </w:rPr>
            </w:pPr>
            <w:bookmarkStart w:id="2" w:name="dtitle3" w:colFirst="0" w:colLast="0"/>
          </w:p>
        </w:tc>
      </w:tr>
    </w:tbl>
    <w:bookmarkEnd w:id="2"/>
    <w:p w14:paraId="404E9D4A" w14:textId="22C6DB98" w:rsidR="00DB0011" w:rsidRPr="00F32148" w:rsidRDefault="00D95765" w:rsidP="001E37D4">
      <w:pPr>
        <w:spacing w:before="360"/>
        <w:rPr>
          <w:szCs w:val="22"/>
          <w:u w:val="single"/>
          <w:lang w:val="ru-RU"/>
        </w:rPr>
      </w:pPr>
      <w:r w:rsidRPr="00F32148">
        <w:rPr>
          <w:szCs w:val="22"/>
          <w:u w:val="single"/>
          <w:lang w:val="ru-RU"/>
        </w:rPr>
        <w:t>Замечания в отношении отчета ГЭ-РМЭ для Совета</w:t>
      </w:r>
    </w:p>
    <w:p w14:paraId="22F506D6" w14:textId="0ADD96E2" w:rsidR="00DB0011" w:rsidRPr="00F32148" w:rsidRDefault="001E37D4" w:rsidP="00DB0011">
      <w:pPr>
        <w:rPr>
          <w:szCs w:val="22"/>
          <w:lang w:val="ru-RU"/>
        </w:rPr>
      </w:pPr>
      <w:r w:rsidRPr="00F32148">
        <w:rPr>
          <w:lang w:val="ru-RU"/>
        </w:rPr>
        <w:t xml:space="preserve">Мы приветствуем возможность представить вклад для </w:t>
      </w:r>
      <w:r w:rsidR="0066447B" w:rsidRPr="00F32148">
        <w:rPr>
          <w:lang w:val="ru-RU"/>
        </w:rPr>
        <w:t>заключительного</w:t>
      </w:r>
      <w:r w:rsidRPr="00F32148">
        <w:rPr>
          <w:lang w:val="ru-RU"/>
        </w:rPr>
        <w:t xml:space="preserve"> собрания Группы экспертов по</w:t>
      </w:r>
      <w:r w:rsidR="00DA78F4" w:rsidRPr="00F32148">
        <w:rPr>
          <w:lang w:val="ru-RU"/>
        </w:rPr>
        <w:t> </w:t>
      </w:r>
      <w:r w:rsidRPr="00F32148">
        <w:rPr>
          <w:lang w:val="ru-RU"/>
        </w:rPr>
        <w:t>Регламенту международной электросвязи (РМЭ).</w:t>
      </w:r>
    </w:p>
    <w:p w14:paraId="2D1414B6" w14:textId="2A695D23" w:rsidR="00DB0011" w:rsidRPr="00F32148" w:rsidRDefault="00472353" w:rsidP="00DB0011">
      <w:pPr>
        <w:rPr>
          <w:szCs w:val="22"/>
          <w:lang w:val="ru-RU"/>
        </w:rPr>
      </w:pPr>
      <w:r w:rsidRPr="00F32148">
        <w:rPr>
          <w:lang w:val="ru-RU"/>
        </w:rPr>
        <w:t>С удовлетворением отмечаем, что Группа</w:t>
      </w:r>
      <w:r w:rsidR="00DD7352" w:rsidRPr="0029640F">
        <w:rPr>
          <w:lang w:val="ru-RU"/>
        </w:rPr>
        <w:t xml:space="preserve"> </w:t>
      </w:r>
      <w:r w:rsidR="00DD7352">
        <w:rPr>
          <w:lang w:val="ru-RU"/>
        </w:rPr>
        <w:t xml:space="preserve">экспертов </w:t>
      </w:r>
      <w:r w:rsidRPr="00F32148">
        <w:rPr>
          <w:lang w:val="ru-RU"/>
        </w:rPr>
        <w:t xml:space="preserve">подготовит отчет, достоверно и сбалансированно отражающий все мнения. </w:t>
      </w:r>
      <w:r w:rsidR="001E37D4" w:rsidRPr="00F32148">
        <w:rPr>
          <w:lang w:val="ru-RU"/>
        </w:rPr>
        <w:t>Этот будет важно, для того чтобы Совет, а затем и Полномочная конференция могли понять существующие вопросы, области согласия и расхождения во взглядах.</w:t>
      </w:r>
    </w:p>
    <w:p w14:paraId="766B6334" w14:textId="11DB69C9" w:rsidR="00DB0011" w:rsidRPr="00F32148" w:rsidRDefault="0066447B" w:rsidP="00DB0011">
      <w:pPr>
        <w:rPr>
          <w:szCs w:val="22"/>
          <w:lang w:val="ru-RU"/>
        </w:rPr>
      </w:pPr>
      <w:r w:rsidRPr="00F32148">
        <w:rPr>
          <w:lang w:val="ru-RU"/>
        </w:rPr>
        <w:t xml:space="preserve">Мы представляли </w:t>
      </w:r>
      <w:r w:rsidR="0066566B">
        <w:rPr>
          <w:lang w:val="ru-RU"/>
        </w:rPr>
        <w:t>в</w:t>
      </w:r>
      <w:r w:rsidRPr="00F32148">
        <w:rPr>
          <w:lang w:val="ru-RU"/>
        </w:rPr>
        <w:t>клады для</w:t>
      </w:r>
      <w:r w:rsidR="00472353" w:rsidRPr="00F32148">
        <w:rPr>
          <w:lang w:val="ru-RU"/>
        </w:rPr>
        <w:t xml:space="preserve"> обсуждения на</w:t>
      </w:r>
      <w:r w:rsidRPr="00F32148">
        <w:rPr>
          <w:lang w:val="ru-RU"/>
        </w:rPr>
        <w:t xml:space="preserve"> основании</w:t>
      </w:r>
      <w:r w:rsidR="00472353" w:rsidRPr="00F32148">
        <w:rPr>
          <w:lang w:val="ru-RU"/>
        </w:rPr>
        <w:t xml:space="preserve"> фактических данных, полученных в практических условиях. </w:t>
      </w:r>
      <w:r w:rsidRPr="00F32148">
        <w:rPr>
          <w:lang w:val="ru-RU"/>
        </w:rPr>
        <w:t>Полагаем, что п</w:t>
      </w:r>
      <w:r w:rsidR="00472353" w:rsidRPr="00F32148">
        <w:rPr>
          <w:lang w:val="ru-RU"/>
        </w:rPr>
        <w:t>рийти к консенсусу удастся с большей вероятностью, если мы сможем улучшить общее понимание того, применяется ли РМЭ сегодня и каким образом. Рады отметить, что в круге ведения Группы особое внимание уделяется применимости РМЭ и исследованию вопроса о</w:t>
      </w:r>
      <w:r w:rsidR="00DA78F4" w:rsidRPr="00F32148">
        <w:rPr>
          <w:lang w:val="ru-RU"/>
        </w:rPr>
        <w:t> </w:t>
      </w:r>
      <w:r w:rsidR="00472353" w:rsidRPr="00F32148">
        <w:rPr>
          <w:lang w:val="ru-RU"/>
        </w:rPr>
        <w:t>том, сохраняют ли положения договорного уровня достаточную гибкость, для того чтобы учитывать новые тенденции в области электросвязи.</w:t>
      </w:r>
    </w:p>
    <w:p w14:paraId="10C9C0F9" w14:textId="49FA7EC3" w:rsidR="00DB0011" w:rsidRPr="00F32148" w:rsidRDefault="001E37D4" w:rsidP="00DB0011">
      <w:pPr>
        <w:rPr>
          <w:szCs w:val="22"/>
          <w:lang w:val="ru-RU"/>
        </w:rPr>
      </w:pPr>
      <w:r w:rsidRPr="00F32148">
        <w:rPr>
          <w:lang w:val="ru-RU"/>
        </w:rPr>
        <w:t>Наши общие заключения на основании постатейного рассмотрения заключаются в следующем: по каждому положению РМЭ 2012 года существует ряд точек зрения и отсутствует консенсус как в части "применимости положений РМЭ для содействия предоставлению и развитию услуг и сетей международной электросвязи/ИК", так и в части "гибкости положений РМЭ, или отсутствия таковой, для учета новых тенденций в области электросвязи/ИКТ и возникающих вопросов в среде международной электросвязи/ИКТ". Это четко показано в отчетах о работе собраний, в частности в графе "Краткое описание результата" Таблицы для рассмотрения в Приложении к этим отчетам.</w:t>
      </w:r>
    </w:p>
    <w:p w14:paraId="26FCC655" w14:textId="63FF3718" w:rsidR="00DB0011" w:rsidRPr="00F32148" w:rsidRDefault="00D95765" w:rsidP="00DB0011">
      <w:pPr>
        <w:rPr>
          <w:szCs w:val="22"/>
          <w:lang w:val="ru-RU"/>
        </w:rPr>
      </w:pPr>
      <w:r w:rsidRPr="00F32148">
        <w:rPr>
          <w:szCs w:val="22"/>
          <w:lang w:val="ru-RU"/>
        </w:rPr>
        <w:t>Настоящее замечание идентично заключениям предыдущей Группы экспертов:</w:t>
      </w:r>
    </w:p>
    <w:p w14:paraId="74C88F2E" w14:textId="11AA6C2E" w:rsidR="00201165" w:rsidRPr="00F32148" w:rsidRDefault="00201165" w:rsidP="00201165">
      <w:pPr>
        <w:pStyle w:val="enumlev1"/>
        <w:rPr>
          <w:lang w:val="ru-RU"/>
        </w:rPr>
      </w:pPr>
      <w:r w:rsidRPr="00F32148">
        <w:rPr>
          <w:lang w:val="ru-RU"/>
        </w:rPr>
        <w:t>•</w:t>
      </w:r>
      <w:r w:rsidRPr="00F32148">
        <w:rPr>
          <w:lang w:val="ru-RU"/>
        </w:rPr>
        <w:tab/>
        <w:t>Группе не удалось найти каких-либо примеров проблем или практических трудностей, связанных с различиями между текстами 1988 и 2012 годов;</w:t>
      </w:r>
    </w:p>
    <w:p w14:paraId="4D29D48A" w14:textId="77777777" w:rsidR="00201165" w:rsidRPr="00F32148" w:rsidRDefault="00201165" w:rsidP="00201165">
      <w:pPr>
        <w:pStyle w:val="enumlev1"/>
        <w:rPr>
          <w:lang w:val="ru-RU"/>
        </w:rPr>
      </w:pPr>
      <w:r w:rsidRPr="00F32148">
        <w:rPr>
          <w:lang w:val="ru-RU"/>
        </w:rPr>
        <w:t>•</w:t>
      </w:r>
      <w:r w:rsidRPr="00F32148">
        <w:rPr>
          <w:lang w:val="ru-RU"/>
        </w:rPr>
        <w:tab/>
        <w:t>Группа пришла к выводу, что конфликт между текстами 2012 и 1988 годов невозможен, так как с учетом Венской конвенции всегда очевидно, какие положения имеют силу;</w:t>
      </w:r>
    </w:p>
    <w:p w14:paraId="58CBA3A6" w14:textId="77777777" w:rsidR="00201165" w:rsidRPr="00F32148" w:rsidRDefault="00201165" w:rsidP="00201165">
      <w:pPr>
        <w:pStyle w:val="enumlev1"/>
        <w:rPr>
          <w:lang w:val="ru-RU"/>
        </w:rPr>
      </w:pPr>
      <w:r w:rsidRPr="00F32148">
        <w:rPr>
          <w:lang w:val="ru-RU"/>
        </w:rPr>
        <w:t>•</w:t>
      </w:r>
      <w:r w:rsidRPr="00F32148">
        <w:rPr>
          <w:lang w:val="ru-RU"/>
        </w:rPr>
        <w:tab/>
        <w:t>Группа установила, что значительная часть операторов более не используют РМЭ и ведут работу на основе коммерческих соглашений.</w:t>
      </w:r>
    </w:p>
    <w:p w14:paraId="590059A0" w14:textId="5A4C5524" w:rsidR="00DB0011" w:rsidRPr="00F32148" w:rsidRDefault="00D95765" w:rsidP="00DB0011">
      <w:pPr>
        <w:rPr>
          <w:szCs w:val="22"/>
          <w:lang w:val="ru-RU"/>
        </w:rPr>
      </w:pPr>
      <w:r w:rsidRPr="00F32148">
        <w:rPr>
          <w:szCs w:val="22"/>
          <w:lang w:val="ru-RU"/>
        </w:rPr>
        <w:t xml:space="preserve">Что касается статус-кво двух версий договора об РМЭ, </w:t>
      </w:r>
      <w:r w:rsidR="00201165" w:rsidRPr="00F32148">
        <w:rPr>
          <w:lang w:val="ru-RU"/>
        </w:rPr>
        <w:t>мы заметили, что развитие услуг электросвязи после 2012 года продолжается, и существование двух версий РМЭ, по всей видимости, никоим образом не препятствовало этому развитию.</w:t>
      </w:r>
      <w:r w:rsidR="00DB0011" w:rsidRPr="00F32148">
        <w:rPr>
          <w:szCs w:val="22"/>
          <w:lang w:val="ru-RU"/>
        </w:rPr>
        <w:t xml:space="preserve"> </w:t>
      </w:r>
    </w:p>
    <w:p w14:paraId="7D7B3A45" w14:textId="1ADB5DA2" w:rsidR="00DB0011" w:rsidRPr="00F32148" w:rsidRDefault="00472353" w:rsidP="00DB0011">
      <w:pPr>
        <w:rPr>
          <w:szCs w:val="22"/>
          <w:lang w:val="ru-RU"/>
        </w:rPr>
      </w:pPr>
      <w:r w:rsidRPr="00F32148">
        <w:rPr>
          <w:lang w:val="ru-RU"/>
        </w:rPr>
        <w:lastRenderedPageBreak/>
        <w:t>Несмотря на достигнутый прогресс, развивающиеся страны, в частности, по-прежнему сталкиваются с</w:t>
      </w:r>
      <w:r w:rsidR="00DA78F4" w:rsidRPr="00F32148">
        <w:rPr>
          <w:lang w:val="ru-RU"/>
        </w:rPr>
        <w:t> </w:t>
      </w:r>
      <w:r w:rsidRPr="00F32148">
        <w:rPr>
          <w:lang w:val="ru-RU"/>
        </w:rPr>
        <w:t>существенными проблемами в том, что касается инвестиций, приемлемости в ценовом отношении и создания потенциала. Для преодоления цифрового разрыва нам необходимо добиться успеха в этих областях. Мы не убеждены, что новые положения договорного уровня помогут какому-либо государству создать благоприятную среду для привлечения инвестиций.</w:t>
      </w:r>
    </w:p>
    <w:p w14:paraId="7B775F86" w14:textId="16900952" w:rsidR="00DB0011" w:rsidRPr="00F32148" w:rsidRDefault="0066447B" w:rsidP="00DB0011">
      <w:pPr>
        <w:rPr>
          <w:szCs w:val="22"/>
          <w:lang w:val="ru-RU"/>
        </w:rPr>
      </w:pPr>
      <w:r w:rsidRPr="00F32148">
        <w:rPr>
          <w:szCs w:val="22"/>
          <w:lang w:val="ru-RU"/>
        </w:rPr>
        <w:t>Еще одна проблема — это</w:t>
      </w:r>
      <w:r w:rsidR="00D95765" w:rsidRPr="00F32148">
        <w:rPr>
          <w:szCs w:val="22"/>
          <w:lang w:val="ru-RU"/>
        </w:rPr>
        <w:t xml:space="preserve"> неотложная необходимость глобального масштаба, которая заключается в достижении Целей в области устойчивого развития, что требует от многих стран и организаций значительных </w:t>
      </w:r>
      <w:r w:rsidRPr="00F32148">
        <w:rPr>
          <w:szCs w:val="22"/>
          <w:lang w:val="ru-RU"/>
        </w:rPr>
        <w:t>усилий</w:t>
      </w:r>
      <w:r w:rsidR="00D95765" w:rsidRPr="00F32148">
        <w:rPr>
          <w:szCs w:val="22"/>
          <w:lang w:val="ru-RU"/>
        </w:rPr>
        <w:t xml:space="preserve"> и </w:t>
      </w:r>
      <w:r w:rsidRPr="00F32148">
        <w:rPr>
          <w:szCs w:val="22"/>
          <w:lang w:val="ru-RU"/>
        </w:rPr>
        <w:t>у</w:t>
      </w:r>
      <w:r w:rsidR="00D95765" w:rsidRPr="00F32148">
        <w:rPr>
          <w:szCs w:val="22"/>
          <w:lang w:val="ru-RU"/>
        </w:rPr>
        <w:t>деления ресурсов и внимания для их достижения.</w:t>
      </w:r>
    </w:p>
    <w:p w14:paraId="2D989EA1" w14:textId="55C30D7D" w:rsidR="00DB0011" w:rsidRPr="00F32148" w:rsidRDefault="00D95765" w:rsidP="00DB0011">
      <w:pPr>
        <w:rPr>
          <w:szCs w:val="22"/>
          <w:lang w:val="ru-RU"/>
        </w:rPr>
      </w:pPr>
      <w:r w:rsidRPr="00F32148">
        <w:rPr>
          <w:szCs w:val="22"/>
          <w:lang w:val="ru-RU"/>
        </w:rPr>
        <w:t xml:space="preserve">Принимая во внимание эти два момента, мы полагаем, что </w:t>
      </w:r>
      <w:r w:rsidR="00472353" w:rsidRPr="00F32148">
        <w:rPr>
          <w:lang w:val="ru-RU"/>
        </w:rPr>
        <w:t xml:space="preserve">существует опасность, что трата времени на межгосударственные переговоры по выработке нового соглашения лишь отвлечет ресурсы и усилия от важной работы по </w:t>
      </w:r>
      <w:r w:rsidR="0066447B" w:rsidRPr="00F32148">
        <w:rPr>
          <w:lang w:val="ru-RU"/>
        </w:rPr>
        <w:t>развитию</w:t>
      </w:r>
      <w:r w:rsidR="00472353" w:rsidRPr="00F32148">
        <w:rPr>
          <w:lang w:val="ru-RU"/>
        </w:rPr>
        <w:t xml:space="preserve"> потенциала, инфраструктуры и</w:t>
      </w:r>
      <w:r w:rsidR="0066447B" w:rsidRPr="00F32148">
        <w:rPr>
          <w:lang w:val="ru-RU"/>
        </w:rPr>
        <w:t xml:space="preserve"> возможности установления</w:t>
      </w:r>
      <w:r w:rsidR="00472353" w:rsidRPr="00F32148">
        <w:rPr>
          <w:lang w:val="ru-RU"/>
        </w:rPr>
        <w:t xml:space="preserve"> приемлемых в ценовом отношении соединений.</w:t>
      </w:r>
    </w:p>
    <w:p w14:paraId="530A3F35" w14:textId="610AFB58" w:rsidR="00DB0011" w:rsidRPr="00F32148" w:rsidRDefault="00201165" w:rsidP="00DB0011">
      <w:pPr>
        <w:rPr>
          <w:szCs w:val="22"/>
          <w:lang w:val="ru-RU"/>
        </w:rPr>
      </w:pPr>
      <w:r w:rsidRPr="00F32148">
        <w:rPr>
          <w:lang w:val="ru-RU"/>
        </w:rPr>
        <w:t>На наш взгляд, остается неясным, каким образом статичный отраслевой договор с ограниченной практической применимостью может способствовать развитию услуг и сетей международной электросвязи/ИКТ или обеспечивать достаточную гибкость, для того чтобы адаптироваться к новым тенденциям и возникающим проблемам в среде международной электросвязи/ИКТ.</w:t>
      </w:r>
    </w:p>
    <w:p w14:paraId="4B27C159" w14:textId="57F75AF5" w:rsidR="00DB0011" w:rsidRPr="00F32148" w:rsidRDefault="00201165" w:rsidP="00DB0011">
      <w:pPr>
        <w:rPr>
          <w:szCs w:val="22"/>
          <w:lang w:val="ru-RU"/>
        </w:rPr>
      </w:pPr>
      <w:bookmarkStart w:id="3" w:name="lt_pId032"/>
      <w:r w:rsidRPr="00F32148">
        <w:rPr>
          <w:lang w:val="ru-RU"/>
        </w:rPr>
        <w:t>Мы понимаем, что Члены МСЭ придерживаются различных мнений по данному вопросу, что отражено в Таблице для рассмотрения</w:t>
      </w:r>
      <w:r w:rsidR="0066447B" w:rsidRPr="00F32148">
        <w:rPr>
          <w:lang w:val="ru-RU"/>
        </w:rPr>
        <w:t>, которая будет приведена в Приложении к проекту отчета для Совета</w:t>
      </w:r>
      <w:r w:rsidRPr="00F32148">
        <w:rPr>
          <w:lang w:val="ru-RU"/>
        </w:rPr>
        <w:t>.</w:t>
      </w:r>
      <w:bookmarkEnd w:id="3"/>
      <w:r w:rsidRPr="00F32148">
        <w:rPr>
          <w:lang w:val="ru-RU"/>
        </w:rPr>
        <w:t xml:space="preserve"> </w:t>
      </w:r>
      <w:bookmarkStart w:id="4" w:name="lt_pId033"/>
      <w:r w:rsidRPr="00F32148">
        <w:rPr>
          <w:lang w:val="ru-RU"/>
        </w:rPr>
        <w:t>Соответственно, мы полагаем, что по итогам постатейного рассмотрения РМЭ 2012 года можно сделать только одно общее заключение – отсутствует консенсус, как в отношении применимости и гибкости РМЭ в современной среде электросвязи, так и в отношении необходимости пересматривать этого договор.</w:t>
      </w:r>
      <w:bookmarkEnd w:id="4"/>
      <w:r w:rsidRPr="00F32148">
        <w:rPr>
          <w:lang w:val="ru-RU"/>
        </w:rPr>
        <w:t xml:space="preserve"> </w:t>
      </w:r>
      <w:bookmarkStart w:id="5" w:name="lt_pId034"/>
      <w:r w:rsidRPr="00F32148">
        <w:rPr>
          <w:lang w:val="ru-RU"/>
        </w:rPr>
        <w:t>На наш взгляд, маловероятно, что какие-либо дальнейшие дискуссии по данному вопросу приведут к иному результату.</w:t>
      </w:r>
      <w:bookmarkEnd w:id="5"/>
    </w:p>
    <w:p w14:paraId="4F315F27" w14:textId="7A4B2EE6" w:rsidR="00DB0011" w:rsidRPr="00F32148" w:rsidRDefault="00D95765" w:rsidP="00DB0011">
      <w:pPr>
        <w:rPr>
          <w:szCs w:val="22"/>
          <w:lang w:val="ru-RU"/>
        </w:rPr>
      </w:pPr>
      <w:r w:rsidRPr="00F32148">
        <w:rPr>
          <w:szCs w:val="22"/>
          <w:lang w:val="ru-RU"/>
        </w:rPr>
        <w:t xml:space="preserve">Поэтому мы по-прежнему считаем, что расходование ресурсов МСЭ и членов МСЭ на </w:t>
      </w:r>
      <w:r w:rsidR="0066566B">
        <w:rPr>
          <w:szCs w:val="22"/>
          <w:lang w:val="ru-RU"/>
        </w:rPr>
        <w:t>деятельность</w:t>
      </w:r>
      <w:r w:rsidRPr="00F32148">
        <w:rPr>
          <w:szCs w:val="22"/>
          <w:lang w:val="ru-RU"/>
        </w:rPr>
        <w:t xml:space="preserve"> по обсуждению РМЭ или </w:t>
      </w:r>
      <w:r w:rsidR="0066566B">
        <w:rPr>
          <w:szCs w:val="22"/>
          <w:lang w:val="ru-RU"/>
        </w:rPr>
        <w:t xml:space="preserve">деятельность </w:t>
      </w:r>
      <w:r w:rsidRPr="00F32148">
        <w:rPr>
          <w:szCs w:val="22"/>
          <w:lang w:val="ru-RU"/>
        </w:rPr>
        <w:t>по изучению возможности проведения</w:t>
      </w:r>
      <w:r w:rsidR="00DB0011" w:rsidRPr="00F32148">
        <w:rPr>
          <w:szCs w:val="22"/>
          <w:lang w:val="ru-RU"/>
        </w:rPr>
        <w:t xml:space="preserve"> </w:t>
      </w:r>
      <w:r w:rsidR="00DA78F4" w:rsidRPr="00F32148">
        <w:rPr>
          <w:lang w:val="ru-RU"/>
        </w:rPr>
        <w:t xml:space="preserve">еще одной ВКМЭ </w:t>
      </w:r>
      <w:r w:rsidR="0066566B">
        <w:rPr>
          <w:lang w:val="ru-RU"/>
        </w:rPr>
        <w:t>приведет к</w:t>
      </w:r>
      <w:r w:rsidR="00DA78F4" w:rsidRPr="00F32148">
        <w:rPr>
          <w:lang w:val="ru-RU"/>
        </w:rPr>
        <w:t xml:space="preserve"> значительн</w:t>
      </w:r>
      <w:r w:rsidR="0066566B">
        <w:rPr>
          <w:lang w:val="ru-RU"/>
        </w:rPr>
        <w:t>ой</w:t>
      </w:r>
      <w:r w:rsidR="00DA78F4" w:rsidRPr="00F32148">
        <w:rPr>
          <w:lang w:val="ru-RU"/>
        </w:rPr>
        <w:t xml:space="preserve"> неопределенност</w:t>
      </w:r>
      <w:r w:rsidR="0066566B">
        <w:rPr>
          <w:lang w:val="ru-RU"/>
        </w:rPr>
        <w:t>и</w:t>
      </w:r>
      <w:r w:rsidR="00DA78F4" w:rsidRPr="00F32148">
        <w:rPr>
          <w:lang w:val="ru-RU"/>
        </w:rPr>
        <w:t xml:space="preserve"> на многие годы, которая на практике может стать препятствием для необходимых всем инвестициям. Весьма вероятно, что создание третьего варианта РМЭ не приведет к соглашению на основе консенсуса, и это может поставить под угрозу хорошую репутацию МСЭ</w:t>
      </w:r>
      <w:r w:rsidR="00DB0011" w:rsidRPr="00F32148">
        <w:rPr>
          <w:szCs w:val="22"/>
          <w:lang w:val="ru-RU"/>
        </w:rPr>
        <w:t>.</w:t>
      </w:r>
    </w:p>
    <w:p w14:paraId="413DD234" w14:textId="171DE557" w:rsidR="00DB0011" w:rsidRPr="00F32148" w:rsidRDefault="00D95765" w:rsidP="00DB0011">
      <w:pPr>
        <w:rPr>
          <w:szCs w:val="22"/>
          <w:lang w:val="ru-RU"/>
        </w:rPr>
      </w:pPr>
      <w:r w:rsidRPr="00F32148">
        <w:rPr>
          <w:szCs w:val="22"/>
          <w:lang w:val="ru-RU"/>
        </w:rPr>
        <w:t>По нашему мнению, вывод, который следует сделать, заключается в том, что любая дальнейшая работа по данному вопросу не приведет ни к какому другому результату, кроме существующих двух противоположных мнений, и единственные возможные дальнейшие действия – сохранить статус-кво в виде двух версий РМЭ в настоящем виде и воздержаться от любой дальнейшей деятельности в отношении РМЭ.</w:t>
      </w:r>
    </w:p>
    <w:p w14:paraId="6C8D083D" w14:textId="0373241B" w:rsidR="00DB0011" w:rsidRPr="00F32148" w:rsidRDefault="00DB0011" w:rsidP="00DB0011">
      <w:pPr>
        <w:spacing w:before="720"/>
        <w:jc w:val="center"/>
        <w:rPr>
          <w:lang w:val="ru-RU"/>
        </w:rPr>
      </w:pPr>
      <w:r w:rsidRPr="00F32148">
        <w:rPr>
          <w:lang w:val="ru-RU"/>
        </w:rPr>
        <w:t>______________</w:t>
      </w:r>
    </w:p>
    <w:sectPr w:rsidR="00DB0011" w:rsidRPr="00F32148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7C9C" w14:textId="77777777" w:rsidR="00C514F1" w:rsidRDefault="00C514F1">
      <w:r>
        <w:separator/>
      </w:r>
    </w:p>
  </w:endnote>
  <w:endnote w:type="continuationSeparator" w:id="0">
    <w:p w14:paraId="7B8CC976" w14:textId="77777777" w:rsidR="00C514F1" w:rsidRDefault="00C5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FC02" w14:textId="487D7372" w:rsidR="000E568E" w:rsidRPr="0046112D" w:rsidRDefault="00707304" w:rsidP="009B0BAE">
    <w:pPr>
      <w:pStyle w:val="Footer"/>
      <w:rPr>
        <w:color w:val="F2F2F2" w:themeColor="background1" w:themeShade="F2"/>
        <w:sz w:val="18"/>
        <w:szCs w:val="18"/>
        <w:lang w:val="en-US"/>
      </w:rPr>
    </w:pPr>
    <w:r w:rsidRPr="0046112D">
      <w:rPr>
        <w:color w:val="F2F2F2" w:themeColor="background1" w:themeShade="F2"/>
      </w:rPr>
      <w:fldChar w:fldCharType="begin"/>
    </w:r>
    <w:r w:rsidRPr="0046112D">
      <w:rPr>
        <w:color w:val="F2F2F2" w:themeColor="background1" w:themeShade="F2"/>
        <w:lang w:val="en-US"/>
      </w:rPr>
      <w:instrText xml:space="preserve"> FILENAME \p  \* MERGEFORMAT </w:instrText>
    </w:r>
    <w:r w:rsidRPr="0046112D">
      <w:rPr>
        <w:color w:val="F2F2F2" w:themeColor="background1" w:themeShade="F2"/>
      </w:rPr>
      <w:fldChar w:fldCharType="separate"/>
    </w:r>
    <w:r w:rsidR="00DB0011" w:rsidRPr="0046112D">
      <w:rPr>
        <w:color w:val="F2F2F2" w:themeColor="background1" w:themeShade="F2"/>
        <w:lang w:val="en-US"/>
      </w:rPr>
      <w:t>P:\RUS\SG\CONSEIL\EG-ITR\EG-ITR-6\000\003R.docx</w:t>
    </w:r>
    <w:r w:rsidRPr="0046112D">
      <w:rPr>
        <w:color w:val="F2F2F2" w:themeColor="background1" w:themeShade="F2"/>
        <w:lang w:val="en-US"/>
      </w:rPr>
      <w:fldChar w:fldCharType="end"/>
    </w:r>
    <w:r w:rsidR="000E568E" w:rsidRPr="0046112D">
      <w:rPr>
        <w:color w:val="F2F2F2" w:themeColor="background1" w:themeShade="F2"/>
        <w:lang w:val="en-US"/>
      </w:rPr>
      <w:t xml:space="preserve"> (</w:t>
    </w:r>
    <w:r w:rsidR="00DB0011" w:rsidRPr="0046112D">
      <w:rPr>
        <w:color w:val="F2F2F2" w:themeColor="background1" w:themeShade="F2"/>
        <w:lang w:val="ru-RU"/>
      </w:rPr>
      <w:t>500463</w:t>
    </w:r>
    <w:r w:rsidR="000E568E" w:rsidRPr="0046112D">
      <w:rPr>
        <w:color w:val="F2F2F2" w:themeColor="background1" w:themeShade="F2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0AC36BD3" w:rsidR="000E568E" w:rsidRPr="00543287" w:rsidRDefault="00C73AFE" w:rsidP="00DC6CE2">
    <w:pPr>
      <w:pStyle w:val="Footer"/>
      <w:rPr>
        <w:color w:val="F2F2F2" w:themeColor="background1" w:themeShade="F2"/>
        <w:lang w:val="en-US"/>
      </w:rPr>
    </w:pPr>
    <w:r w:rsidRPr="00543287">
      <w:rPr>
        <w:color w:val="F2F2F2" w:themeColor="background1" w:themeShade="F2"/>
        <w:lang w:val="en-US"/>
      </w:rPr>
      <w:fldChar w:fldCharType="begin"/>
    </w:r>
    <w:r w:rsidRPr="00543287">
      <w:rPr>
        <w:color w:val="F2F2F2" w:themeColor="background1" w:themeShade="F2"/>
        <w:lang w:val="en-US"/>
      </w:rPr>
      <w:instrText xml:space="preserve"> FILENAME \p  \* MERGEFORMAT </w:instrText>
    </w:r>
    <w:r w:rsidRPr="00543287">
      <w:rPr>
        <w:color w:val="F2F2F2" w:themeColor="background1" w:themeShade="F2"/>
        <w:lang w:val="en-US"/>
      </w:rPr>
      <w:fldChar w:fldCharType="separate"/>
    </w:r>
    <w:r w:rsidR="00CA70A8" w:rsidRPr="00543287">
      <w:rPr>
        <w:color w:val="F2F2F2" w:themeColor="background1" w:themeShade="F2"/>
        <w:lang w:val="en-US"/>
      </w:rPr>
      <w:t>P:\RUS\SG\CONSEIL\EG-ITR\EG-ITR-5\000\001REV1R.DOCX</w:t>
    </w:r>
    <w:r w:rsidRPr="00543287">
      <w:rPr>
        <w:color w:val="F2F2F2" w:themeColor="background1" w:themeShade="F2"/>
      </w:rPr>
      <w:fldChar w:fldCharType="end"/>
    </w:r>
    <w:r w:rsidR="000E568E" w:rsidRPr="00543287">
      <w:rPr>
        <w:color w:val="F2F2F2" w:themeColor="background1" w:themeShade="F2"/>
        <w:lang w:val="en-US"/>
      </w:rPr>
      <w:t xml:space="preserve"> (</w:t>
    </w:r>
    <w:r w:rsidR="00CA70A8" w:rsidRPr="00543287">
      <w:rPr>
        <w:color w:val="F2F2F2" w:themeColor="background1" w:themeShade="F2"/>
        <w:lang w:val="en-GB"/>
      </w:rPr>
      <w:t>494586</w:t>
    </w:r>
    <w:r w:rsidR="000E568E" w:rsidRPr="00543287">
      <w:rPr>
        <w:color w:val="F2F2F2" w:themeColor="background1" w:themeShade="F2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E4F4" w14:textId="77777777" w:rsidR="00C514F1" w:rsidRDefault="00C514F1">
      <w:r>
        <w:t>____________________</w:t>
      </w:r>
    </w:p>
  </w:footnote>
  <w:footnote w:type="continuationSeparator" w:id="0">
    <w:p w14:paraId="2AA765F8" w14:textId="77777777" w:rsidR="00C514F1" w:rsidRDefault="00C5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2645EC69" w:rsidR="000E568E" w:rsidRDefault="00C73AFE" w:rsidP="008B62B4">
    <w:pPr>
      <w:pStyle w:val="Header"/>
      <w:spacing w:after="480"/>
    </w:pPr>
    <w:r>
      <w:rPr>
        <w:noProof/>
      </w:rPr>
      <w:t>EG-ITRs-</w:t>
    </w:r>
    <w:r w:rsidR="00DB0011">
      <w:rPr>
        <w:noProof/>
        <w:lang w:val="ru-RU"/>
      </w:rPr>
      <w:t>6/3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A2787"/>
    <w:multiLevelType w:val="multilevel"/>
    <w:tmpl w:val="5238B0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155F7"/>
    <w:rsid w:val="0002183E"/>
    <w:rsid w:val="00047CA5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37D4"/>
    <w:rsid w:val="001E6719"/>
    <w:rsid w:val="00201165"/>
    <w:rsid w:val="00225368"/>
    <w:rsid w:val="00227FF0"/>
    <w:rsid w:val="0027716E"/>
    <w:rsid w:val="00291EB6"/>
    <w:rsid w:val="0029640F"/>
    <w:rsid w:val="002D2F57"/>
    <w:rsid w:val="002D48C5"/>
    <w:rsid w:val="002E2183"/>
    <w:rsid w:val="00327D3A"/>
    <w:rsid w:val="00363962"/>
    <w:rsid w:val="003C36CC"/>
    <w:rsid w:val="003C6326"/>
    <w:rsid w:val="003F099E"/>
    <w:rsid w:val="003F235E"/>
    <w:rsid w:val="004023E0"/>
    <w:rsid w:val="00403DD8"/>
    <w:rsid w:val="0043203B"/>
    <w:rsid w:val="0045686C"/>
    <w:rsid w:val="0046112D"/>
    <w:rsid w:val="00472353"/>
    <w:rsid w:val="00487E4E"/>
    <w:rsid w:val="004918C4"/>
    <w:rsid w:val="004A0374"/>
    <w:rsid w:val="004A45B5"/>
    <w:rsid w:val="004B1C30"/>
    <w:rsid w:val="004D0129"/>
    <w:rsid w:val="00543287"/>
    <w:rsid w:val="00570045"/>
    <w:rsid w:val="005A64D5"/>
    <w:rsid w:val="005B101F"/>
    <w:rsid w:val="005D3354"/>
    <w:rsid w:val="00601994"/>
    <w:rsid w:val="0066447B"/>
    <w:rsid w:val="0066566B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A53EF"/>
    <w:rsid w:val="007C4332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81709"/>
    <w:rsid w:val="008B62B4"/>
    <w:rsid w:val="008D2D7B"/>
    <w:rsid w:val="008E0737"/>
    <w:rsid w:val="008F7C2C"/>
    <w:rsid w:val="0090558C"/>
    <w:rsid w:val="00940E96"/>
    <w:rsid w:val="009468FC"/>
    <w:rsid w:val="009B0BAE"/>
    <w:rsid w:val="009C1C89"/>
    <w:rsid w:val="009D62E0"/>
    <w:rsid w:val="009F3448"/>
    <w:rsid w:val="00A37E3C"/>
    <w:rsid w:val="00A62427"/>
    <w:rsid w:val="00A71773"/>
    <w:rsid w:val="00AC6D9B"/>
    <w:rsid w:val="00AE2C85"/>
    <w:rsid w:val="00B01680"/>
    <w:rsid w:val="00B12A37"/>
    <w:rsid w:val="00B63EF2"/>
    <w:rsid w:val="00BC0D39"/>
    <w:rsid w:val="00BC7BC0"/>
    <w:rsid w:val="00BD2837"/>
    <w:rsid w:val="00BD57B7"/>
    <w:rsid w:val="00BE63E2"/>
    <w:rsid w:val="00C05903"/>
    <w:rsid w:val="00C35503"/>
    <w:rsid w:val="00C514F1"/>
    <w:rsid w:val="00C73AFE"/>
    <w:rsid w:val="00C97CAA"/>
    <w:rsid w:val="00CA70A8"/>
    <w:rsid w:val="00CC1EBB"/>
    <w:rsid w:val="00CD2009"/>
    <w:rsid w:val="00CF629C"/>
    <w:rsid w:val="00D058D4"/>
    <w:rsid w:val="00D863F9"/>
    <w:rsid w:val="00D92EEA"/>
    <w:rsid w:val="00D95765"/>
    <w:rsid w:val="00DA5D4E"/>
    <w:rsid w:val="00DA78F4"/>
    <w:rsid w:val="00DB0011"/>
    <w:rsid w:val="00DC6CE2"/>
    <w:rsid w:val="00DD7352"/>
    <w:rsid w:val="00DF41FB"/>
    <w:rsid w:val="00E15FCC"/>
    <w:rsid w:val="00E176BA"/>
    <w:rsid w:val="00E21557"/>
    <w:rsid w:val="00E423EC"/>
    <w:rsid w:val="00E55121"/>
    <w:rsid w:val="00E94730"/>
    <w:rsid w:val="00E94C1E"/>
    <w:rsid w:val="00EB4FCB"/>
    <w:rsid w:val="00EC6BC5"/>
    <w:rsid w:val="00F10FA7"/>
    <w:rsid w:val="00F313F5"/>
    <w:rsid w:val="00F32148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0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  <w:style w:type="paragraph" w:customStyle="1" w:styleId="Normal1">
    <w:name w:val="Normal1"/>
    <w:rsid w:val="00DB0011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2</Pages>
  <Words>717</Words>
  <Characters>4735</Characters>
  <Application>Microsoft Office Word</Application>
  <DocSecurity>4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 of the fifth meeting of EG-ITRs</vt:lpstr>
      <vt:lpstr>Draft agenda of the fifth meeting of EG-ITRs</vt:lpstr>
    </vt:vector>
  </TitlesOfParts>
  <Manager>General Secretariat - Pool</Manager>
  <Company>International Telecommunication Union (ITU)</Company>
  <LinksUpToDate>false</LinksUpToDate>
  <CharactersWithSpaces>5442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Austria, Czech Republic, Latvia, Romania, the Netherlands, Spain, Sweden and the United Kingdom - Report of the EG-ITRs to Council</dc:title>
  <dc:subject>EG-ITRs</dc:subject>
  <dc:creator>Maloletkova, Svetlana</dc:creator>
  <cp:keywords>EG-ITRs</cp:keywords>
  <dc:description/>
  <cp:lastModifiedBy>Xue, Kun</cp:lastModifiedBy>
  <cp:revision>2</cp:revision>
  <cp:lastPrinted>2006-03-28T16:12:00Z</cp:lastPrinted>
  <dcterms:created xsi:type="dcterms:W3CDTF">2022-01-13T09:57:00Z</dcterms:created>
  <dcterms:modified xsi:type="dcterms:W3CDTF">2022-01-13T09:57:00Z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