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973"/>
        <w:gridCol w:w="2699"/>
      </w:tblGrid>
      <w:tr w:rsidR="005A0F49" w:rsidRPr="00AF6B5C" w14:paraId="7134A5E0" w14:textId="77777777" w:rsidTr="00FC1040">
        <w:trPr>
          <w:cantSplit/>
          <w:trHeight w:val="1306"/>
        </w:trPr>
        <w:tc>
          <w:tcPr>
            <w:tcW w:w="6973" w:type="dxa"/>
          </w:tcPr>
          <w:p w14:paraId="2CBFBD9B" w14:textId="286A7248" w:rsidR="005A0F49" w:rsidRPr="00AF6B5C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="009F7731">
              <w:rPr>
                <w:b/>
                <w:bCs/>
                <w:sz w:val="30"/>
                <w:szCs w:val="30"/>
                <w:lang w:bidi="ar-EG"/>
              </w:rPr>
              <w:noBreakHyphen/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ITR)</w:t>
            </w:r>
          </w:p>
          <w:p w14:paraId="52D9B62E" w14:textId="27D9D689" w:rsidR="005A0F49" w:rsidRPr="00A56DA0" w:rsidRDefault="005A0F49" w:rsidP="005A0F49">
            <w:pPr>
              <w:spacing w:before="160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304CB6"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  <w:r w:rsidR="0091312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312B">
              <w:rPr>
                <w:b/>
                <w:bCs/>
                <w:sz w:val="24"/>
                <w:szCs w:val="24"/>
                <w:rtl/>
              </w:rPr>
              <w:t>–</w:t>
            </w: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47219F">
              <w:rPr>
                <w:b/>
                <w:bCs/>
                <w:sz w:val="24"/>
                <w:szCs w:val="24"/>
                <w:lang w:bidi="ar-EG"/>
              </w:rPr>
              <w:t>17</w:t>
            </w:r>
            <w:r w:rsidR="0091312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47219F">
              <w:rPr>
                <w:b/>
                <w:bCs/>
                <w:sz w:val="24"/>
                <w:szCs w:val="24"/>
                <w:lang w:bidi="ar-EG"/>
              </w:rPr>
              <w:t>18</w:t>
            </w:r>
            <w:r w:rsidR="00692B84"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304CB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يناير</w:t>
            </w:r>
            <w:r w:rsidR="00692B84"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91312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2022</w:t>
            </w:r>
          </w:p>
        </w:tc>
        <w:tc>
          <w:tcPr>
            <w:tcW w:w="2699" w:type="dxa"/>
            <w:vAlign w:val="center"/>
          </w:tcPr>
          <w:p w14:paraId="052ED882" w14:textId="77777777" w:rsidR="005A0F49" w:rsidRPr="00AF6B5C" w:rsidRDefault="005A0F49" w:rsidP="00FC1040">
            <w:pPr>
              <w:spacing w:after="12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764A038A" wp14:editId="1076B108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60888AC1" w14:textId="77777777" w:rsidTr="00FC1040">
        <w:trPr>
          <w:cantSplit/>
          <w:trHeight w:val="20"/>
        </w:trPr>
        <w:tc>
          <w:tcPr>
            <w:tcW w:w="6973" w:type="dxa"/>
            <w:tcBorders>
              <w:top w:val="single" w:sz="12" w:space="0" w:color="auto"/>
            </w:tcBorders>
          </w:tcPr>
          <w:p w14:paraId="0BCC7A7D" w14:textId="77777777" w:rsidR="00AF6B5C" w:rsidRPr="00AF6B5C" w:rsidRDefault="00AF6B5C" w:rsidP="00A04F8B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tcBorders>
              <w:top w:val="single" w:sz="12" w:space="0" w:color="auto"/>
            </w:tcBorders>
          </w:tcPr>
          <w:p w14:paraId="3E83C77B" w14:textId="77777777" w:rsidR="00AF6B5C" w:rsidRPr="00AF6B5C" w:rsidRDefault="00AF6B5C" w:rsidP="00A04F8B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AF6B5C" w:rsidRPr="00AF6B5C" w14:paraId="49AA257E" w14:textId="77777777" w:rsidTr="00FC1040">
        <w:trPr>
          <w:cantSplit/>
        </w:trPr>
        <w:tc>
          <w:tcPr>
            <w:tcW w:w="6973" w:type="dxa"/>
            <w:vMerge w:val="restart"/>
          </w:tcPr>
          <w:p w14:paraId="713FFC7B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3EC5E9E1" w14:textId="413E2158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AF6B5C">
              <w:rPr>
                <w:b/>
                <w:bCs/>
                <w:lang w:bidi="ar-EG"/>
              </w:rPr>
              <w:t>EG-ITR-</w:t>
            </w:r>
            <w:r w:rsidR="00FA43D8">
              <w:rPr>
                <w:b/>
                <w:bCs/>
                <w:lang w:bidi="ar-EG"/>
              </w:rPr>
              <w:t>6</w:t>
            </w:r>
            <w:r w:rsidRPr="00AF6B5C">
              <w:rPr>
                <w:b/>
                <w:bCs/>
                <w:lang w:bidi="ar-EG"/>
              </w:rPr>
              <w:t>/</w:t>
            </w:r>
            <w:r w:rsidR="00FA43D8">
              <w:rPr>
                <w:b/>
                <w:bCs/>
                <w:lang w:bidi="ar-EG"/>
              </w:rPr>
              <w:t>7</w:t>
            </w:r>
            <w:r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3D287E43" w14:textId="77777777" w:rsidTr="00FC1040">
        <w:trPr>
          <w:cantSplit/>
        </w:trPr>
        <w:tc>
          <w:tcPr>
            <w:tcW w:w="6973" w:type="dxa"/>
            <w:vMerge/>
          </w:tcPr>
          <w:p w14:paraId="1F6D3AED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3C7A5C02" w14:textId="65B55EF0" w:rsidR="00AF6B5C" w:rsidRPr="00AF6B5C" w:rsidRDefault="00FA43D8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يناير </w:t>
            </w:r>
            <w:r>
              <w:rPr>
                <w:b/>
                <w:bCs/>
                <w:lang w:bidi="ar-EG"/>
              </w:rPr>
              <w:t>2022</w:t>
            </w:r>
          </w:p>
        </w:tc>
      </w:tr>
      <w:tr w:rsidR="00AF6B5C" w:rsidRPr="00AF6B5C" w14:paraId="5633797B" w14:textId="77777777" w:rsidTr="00FC1040">
        <w:trPr>
          <w:cantSplit/>
        </w:trPr>
        <w:tc>
          <w:tcPr>
            <w:tcW w:w="6973" w:type="dxa"/>
            <w:vMerge/>
          </w:tcPr>
          <w:p w14:paraId="55809965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4189955A" w14:textId="1C61D928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b/>
                <w:bCs/>
                <w:rtl/>
                <w:lang w:bidi="ar-EG"/>
              </w:rPr>
              <w:t xml:space="preserve">الأصل: </w:t>
            </w:r>
            <w:r w:rsidR="00976752">
              <w:rPr>
                <w:rFonts w:hint="cs"/>
                <w:b/>
                <w:bCs/>
                <w:rtl/>
                <w:lang w:bidi="ar-EG"/>
              </w:rPr>
              <w:t>بالصينية</w:t>
            </w:r>
          </w:p>
        </w:tc>
      </w:tr>
      <w:tr w:rsidR="00AF6B5C" w:rsidRPr="00AF6B5C" w14:paraId="12DB4D9A" w14:textId="77777777" w:rsidTr="00F03E94">
        <w:trPr>
          <w:cantSplit/>
        </w:trPr>
        <w:tc>
          <w:tcPr>
            <w:tcW w:w="9672" w:type="dxa"/>
            <w:gridSpan w:val="2"/>
          </w:tcPr>
          <w:p w14:paraId="0FC85115" w14:textId="07321FFE" w:rsidR="00AF6B5C" w:rsidRPr="00FA43D8" w:rsidRDefault="008D52D5" w:rsidP="00FA43D8">
            <w:pPr>
              <w:pStyle w:val="Source"/>
            </w:pPr>
            <w:r w:rsidRPr="00FA43D8">
              <w:rPr>
                <w:rFonts w:hint="cs"/>
                <w:rtl/>
              </w:rPr>
              <w:t xml:space="preserve">مساهمة من </w:t>
            </w:r>
            <w:r w:rsidR="00976752" w:rsidRPr="00FA43D8">
              <w:rPr>
                <w:rFonts w:hint="cs"/>
                <w:rtl/>
              </w:rPr>
              <w:t>جمهورية الصين الشعبية</w:t>
            </w:r>
          </w:p>
        </w:tc>
      </w:tr>
      <w:tr w:rsidR="00AF6B5C" w:rsidRPr="00AF6B5C" w14:paraId="6F66E423" w14:textId="77777777" w:rsidTr="00F03E94">
        <w:trPr>
          <w:cantSplit/>
        </w:trPr>
        <w:tc>
          <w:tcPr>
            <w:tcW w:w="9672" w:type="dxa"/>
            <w:gridSpan w:val="2"/>
          </w:tcPr>
          <w:p w14:paraId="023CBE8D" w14:textId="7A07FDFE" w:rsidR="00AF6B5C" w:rsidRPr="00FA43D8" w:rsidRDefault="00976752" w:rsidP="00FA43D8">
            <w:pPr>
              <w:pStyle w:val="Title1"/>
              <w:rPr>
                <w:rtl/>
              </w:rPr>
            </w:pPr>
            <w:r w:rsidRPr="00FA43D8">
              <w:rPr>
                <w:rFonts w:hint="cs"/>
                <w:rtl/>
              </w:rPr>
              <w:t xml:space="preserve">آراء بشأن عمل </w:t>
            </w:r>
            <w:r w:rsidR="005B0681" w:rsidRPr="00FA43D8">
              <w:rPr>
                <w:rFonts w:hint="cs"/>
                <w:rtl/>
              </w:rPr>
              <w:t>فريق الخبراء المعني بلوائح الاتصالات الدولية</w:t>
            </w:r>
            <w:r w:rsidR="009F7731" w:rsidRPr="00FA43D8">
              <w:rPr>
                <w:rFonts w:hint="cs"/>
                <w:rtl/>
              </w:rPr>
              <w:t xml:space="preserve"> </w:t>
            </w:r>
            <w:r w:rsidR="008D52D5" w:rsidRPr="00FA43D8">
              <w:t>(EG-ITR)</w:t>
            </w:r>
          </w:p>
        </w:tc>
      </w:tr>
      <w:tr w:rsidR="00AF6B5C" w:rsidRPr="00AF6B5C" w14:paraId="2E419FB8" w14:textId="77777777" w:rsidTr="00F03E94">
        <w:trPr>
          <w:cantSplit/>
        </w:trPr>
        <w:tc>
          <w:tcPr>
            <w:tcW w:w="9672" w:type="dxa"/>
            <w:gridSpan w:val="2"/>
          </w:tcPr>
          <w:p w14:paraId="594B0668" w14:textId="77777777" w:rsidR="00AF6B5C" w:rsidRPr="00AF6B5C" w:rsidRDefault="00AF6B5C" w:rsidP="00AF6B5C">
            <w:pPr>
              <w:rPr>
                <w:rtl/>
              </w:rPr>
            </w:pPr>
          </w:p>
        </w:tc>
      </w:tr>
    </w:tbl>
    <w:p w14:paraId="24A3446A" w14:textId="3E3941A6" w:rsidR="00DC2EF1" w:rsidRPr="00FA43D8" w:rsidRDefault="00DC2EF1" w:rsidP="00FA43D8">
      <w:pPr>
        <w:pStyle w:val="Heading1"/>
        <w:rPr>
          <w:rtl/>
        </w:rPr>
      </w:pPr>
      <w:r w:rsidRPr="00FA43D8">
        <w:t>I</w:t>
      </w:r>
      <w:r w:rsidRPr="00FA43D8">
        <w:tab/>
      </w:r>
      <w:r w:rsidRPr="00FA43D8">
        <w:rPr>
          <w:rtl/>
        </w:rPr>
        <w:t>مقدمة</w:t>
      </w:r>
    </w:p>
    <w:p w14:paraId="66D620C8" w14:textId="1DEF8428" w:rsidR="005F7682" w:rsidRDefault="00DC2EF1" w:rsidP="00FA43D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ينص القرار </w:t>
      </w:r>
      <w:r>
        <w:rPr>
          <w:lang w:bidi="ar-EG"/>
        </w:rPr>
        <w:t>146</w:t>
      </w:r>
      <w:r>
        <w:rPr>
          <w:rFonts w:hint="cs"/>
          <w:rtl/>
          <w:lang w:bidi="ar-EG"/>
        </w:rPr>
        <w:t xml:space="preserve"> (المراجَع في دبي،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) المعتمد في مؤتمر المندوبين المفوضين لعام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على إجراء استعراض شامل للوائح الاتصالات الدولية</w:t>
      </w:r>
      <w:r w:rsidR="007D071B">
        <w:rPr>
          <w:rFonts w:hint="cs"/>
          <w:rtl/>
          <w:lang w:bidi="ar-EG"/>
        </w:rPr>
        <w:t xml:space="preserve">، ويكلف الأمين العام </w:t>
      </w:r>
      <w:r w:rsidR="009D07F2">
        <w:rPr>
          <w:rFonts w:hint="cs"/>
          <w:rtl/>
          <w:lang w:bidi="ar-EG"/>
        </w:rPr>
        <w:t xml:space="preserve">بمعاودة الدعوة إلى </w:t>
      </w:r>
      <w:r w:rsidR="000B6AE1">
        <w:rPr>
          <w:rFonts w:hint="cs"/>
          <w:rtl/>
          <w:lang w:bidi="ar-EG"/>
        </w:rPr>
        <w:t>تنظيم</w:t>
      </w:r>
      <w:r w:rsidR="009D07F2">
        <w:rPr>
          <w:rFonts w:hint="cs"/>
          <w:rtl/>
          <w:lang w:bidi="ar-EG"/>
        </w:rPr>
        <w:t xml:space="preserve"> فريق خبراء معني بلوائح الاتصالات الدولية </w:t>
      </w:r>
      <w:r w:rsidR="009D07F2">
        <w:rPr>
          <w:lang w:bidi="ar-EG"/>
        </w:rPr>
        <w:t>(EG-ITR)</w:t>
      </w:r>
      <w:r w:rsidR="009D07F2">
        <w:rPr>
          <w:rFonts w:hint="cs"/>
          <w:rtl/>
          <w:lang w:bidi="ar-EG"/>
        </w:rPr>
        <w:t xml:space="preserve">، </w:t>
      </w:r>
      <w:r w:rsidR="00571A7A">
        <w:rPr>
          <w:rFonts w:hint="cs"/>
          <w:rtl/>
          <w:lang w:bidi="ar-EG"/>
        </w:rPr>
        <w:t xml:space="preserve">مفتوح للدول الأعضاء وأعضاء القطاعات في الاتحاد، لاستعراض لوائح الاتصالات الدولية. ويحدد القرار </w:t>
      </w:r>
      <w:r w:rsidR="00571A7A">
        <w:rPr>
          <w:lang w:bidi="ar-EG"/>
        </w:rPr>
        <w:t>1379</w:t>
      </w:r>
      <w:r w:rsidR="00571A7A">
        <w:rPr>
          <w:rFonts w:hint="cs"/>
          <w:rtl/>
          <w:lang w:bidi="ar-EG"/>
        </w:rPr>
        <w:t xml:space="preserve"> المعدّل في دورة المجلس لعام </w:t>
      </w:r>
      <w:r w:rsidR="00571A7A">
        <w:rPr>
          <w:lang w:bidi="ar-EG"/>
        </w:rPr>
        <w:t>2019</w:t>
      </w:r>
      <w:r w:rsidR="00571A7A">
        <w:rPr>
          <w:rFonts w:hint="cs"/>
          <w:rtl/>
          <w:lang w:bidi="ar-EG"/>
        </w:rPr>
        <w:t xml:space="preserve"> </w:t>
      </w:r>
      <w:r w:rsidR="005F7682">
        <w:rPr>
          <w:rFonts w:hint="cs"/>
          <w:rtl/>
          <w:lang w:bidi="ar-EG"/>
        </w:rPr>
        <w:t>اختصاصات فريق الخبراء.</w:t>
      </w:r>
    </w:p>
    <w:p w14:paraId="4FD5F43D" w14:textId="745AD579" w:rsidR="007B25F8" w:rsidRDefault="005F7682" w:rsidP="00FA43D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وعقد </w:t>
      </w:r>
      <w:r w:rsidR="00D56476">
        <w:rPr>
          <w:rFonts w:hint="cs"/>
          <w:rtl/>
          <w:lang w:bidi="ar-EG"/>
        </w:rPr>
        <w:t xml:space="preserve">فريق الخبراء اجتماعه الأول في جنيف، في سبتمبر </w:t>
      </w:r>
      <w:r w:rsidR="00D56476">
        <w:rPr>
          <w:lang w:bidi="ar-EG"/>
        </w:rPr>
        <w:t>2019</w:t>
      </w:r>
      <w:r w:rsidR="00D56476">
        <w:rPr>
          <w:rFonts w:hint="cs"/>
          <w:rtl/>
          <w:lang w:bidi="ar-EG"/>
        </w:rPr>
        <w:t xml:space="preserve">، حيث توصل المشاركون إلى توافق في الآراء بشأن أساليب العمل وخطة العمل </w:t>
      </w:r>
      <w:r w:rsidR="00F457DA">
        <w:rPr>
          <w:rFonts w:hint="cs"/>
          <w:rtl/>
          <w:lang w:bidi="ar-EG"/>
        </w:rPr>
        <w:t>لاستعراض لوائح الاتصالات الدولية. ونتيجة لذلك، أُعد نموذج معياري لتفحص كل حكم من أحكام لوائح الاتصالات الدولية (</w:t>
      </w:r>
      <w:r w:rsidR="00A92E2A">
        <w:rPr>
          <w:rFonts w:hint="cs"/>
          <w:rtl/>
          <w:lang w:bidi="ar-EG"/>
        </w:rPr>
        <w:t>"جدول التفحص") طبقاً لاختصاصات فريق الخبراء</w:t>
      </w:r>
      <w:r w:rsidR="00237875">
        <w:rPr>
          <w:rFonts w:hint="cs"/>
          <w:rtl/>
          <w:lang w:bidi="ar-EG"/>
        </w:rPr>
        <w:t xml:space="preserve"> و</w:t>
      </w:r>
      <w:r w:rsidR="007B25F8">
        <w:rPr>
          <w:rFonts w:hint="cs"/>
          <w:rtl/>
          <w:lang w:bidi="ar-EG"/>
        </w:rPr>
        <w:t>"خطة العمل"</w:t>
      </w:r>
      <w:r w:rsidR="00237875">
        <w:rPr>
          <w:rFonts w:hint="cs"/>
          <w:rtl/>
          <w:lang w:bidi="ar-EG"/>
        </w:rPr>
        <w:t xml:space="preserve"> التي اتفق عليها جميع المشاركين</w:t>
      </w:r>
      <w:r w:rsidR="007B25F8">
        <w:rPr>
          <w:rFonts w:hint="cs"/>
          <w:rtl/>
          <w:lang w:bidi="ar-EG"/>
        </w:rPr>
        <w:t>.</w:t>
      </w:r>
    </w:p>
    <w:p w14:paraId="22CF7A47" w14:textId="7FCEBBC6" w:rsidR="002E0647" w:rsidRDefault="007B25F8" w:rsidP="00FA43D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واستناداً إلى </w:t>
      </w:r>
      <w:r w:rsidR="00FA43D8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>خطة العمل</w:t>
      </w:r>
      <w:r w:rsidR="00FA43D8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 xml:space="preserve">، عقد فريق الخبراء اجتماعاته من الثاني إلى الخامس في الفترة </w:t>
      </w:r>
      <w:r w:rsidR="000910CD">
        <w:rPr>
          <w:rFonts w:hint="cs"/>
          <w:rtl/>
          <w:lang w:bidi="ar-EG"/>
        </w:rPr>
        <w:t xml:space="preserve">من فبراير </w:t>
      </w:r>
      <w:r w:rsidR="000910CD">
        <w:rPr>
          <w:lang w:bidi="ar-EG"/>
        </w:rPr>
        <w:t>2020</w:t>
      </w:r>
      <w:r w:rsidR="000910CD">
        <w:rPr>
          <w:rFonts w:hint="cs"/>
          <w:rtl/>
          <w:lang w:bidi="ar-EG"/>
        </w:rPr>
        <w:t xml:space="preserve"> إلى أكتوبر </w:t>
      </w:r>
      <w:r w:rsidR="000910CD">
        <w:rPr>
          <w:lang w:bidi="ar-EG"/>
        </w:rPr>
        <w:t>2021</w:t>
      </w:r>
      <w:r w:rsidR="000910CD">
        <w:rPr>
          <w:rFonts w:hint="cs"/>
          <w:rtl/>
          <w:lang w:bidi="ar-EG"/>
        </w:rPr>
        <w:t xml:space="preserve">، </w:t>
      </w:r>
      <w:r w:rsidR="000B6AE1">
        <w:rPr>
          <w:rFonts w:hint="cs"/>
          <w:rtl/>
          <w:lang w:bidi="ar-EG"/>
        </w:rPr>
        <w:t>و</w:t>
      </w:r>
      <w:r w:rsidR="000910CD">
        <w:rPr>
          <w:rFonts w:hint="cs"/>
          <w:rtl/>
          <w:lang w:bidi="ar-EG"/>
        </w:rPr>
        <w:t xml:space="preserve">توفّق خلالها في إكمال استعراض كل مادة من مواد نسخة </w:t>
      </w:r>
      <w:r w:rsidR="000910CD">
        <w:rPr>
          <w:lang w:bidi="ar-EG"/>
        </w:rPr>
        <w:t>2012</w:t>
      </w:r>
      <w:r w:rsidR="000910CD">
        <w:rPr>
          <w:rFonts w:hint="cs"/>
          <w:rtl/>
          <w:lang w:bidi="ar-EG"/>
        </w:rPr>
        <w:t xml:space="preserve"> من لوائح الاتصالات الدولية</w:t>
      </w:r>
      <w:r w:rsidR="002C48D7">
        <w:rPr>
          <w:rFonts w:hint="cs"/>
          <w:rtl/>
          <w:lang w:bidi="ar-EG"/>
        </w:rPr>
        <w:t xml:space="preserve"> وإعداد الصيغة الأولى من مشروع التقرير النهائي </w:t>
      </w:r>
      <w:r w:rsidR="00E16A7A">
        <w:rPr>
          <w:rFonts w:hint="cs"/>
          <w:rtl/>
          <w:lang w:bidi="ar-EG"/>
        </w:rPr>
        <w:t>المقدم</w:t>
      </w:r>
      <w:r w:rsidR="002E0647">
        <w:rPr>
          <w:rFonts w:hint="cs"/>
          <w:rtl/>
          <w:lang w:bidi="ar-EG"/>
        </w:rPr>
        <w:t xml:space="preserve"> إلى المجلس في دورته لعام </w:t>
      </w:r>
      <w:r w:rsidR="002E0647">
        <w:rPr>
          <w:lang w:bidi="ar-EG"/>
        </w:rPr>
        <w:t>2022</w:t>
      </w:r>
      <w:r w:rsidR="002E0647">
        <w:rPr>
          <w:rFonts w:hint="cs"/>
          <w:rtl/>
          <w:lang w:bidi="ar-EG"/>
        </w:rPr>
        <w:t>.</w:t>
      </w:r>
    </w:p>
    <w:p w14:paraId="77E7FC03" w14:textId="1FB25932" w:rsidR="002E0647" w:rsidRPr="00FA43D8" w:rsidRDefault="002E0647" w:rsidP="00FA43D8">
      <w:pPr>
        <w:pStyle w:val="Heading1"/>
        <w:rPr>
          <w:rtl/>
        </w:rPr>
      </w:pPr>
      <w:r w:rsidRPr="00FA43D8">
        <w:t>II</w:t>
      </w:r>
      <w:r w:rsidRPr="00FA43D8">
        <w:tab/>
      </w:r>
      <w:r w:rsidR="00F877A0" w:rsidRPr="00FA43D8">
        <w:rPr>
          <w:rFonts w:hint="cs"/>
          <w:rtl/>
        </w:rPr>
        <w:t>آ</w:t>
      </w:r>
      <w:r w:rsidRPr="00FA43D8">
        <w:rPr>
          <w:rFonts w:hint="cs"/>
          <w:rtl/>
        </w:rPr>
        <w:t>راء بشأن عمل فريق الخبراء المعني بلوائح الاتصالات الدولية</w:t>
      </w:r>
    </w:p>
    <w:p w14:paraId="592707F5" w14:textId="19BCBF73" w:rsidR="00C63D37" w:rsidRDefault="002E0647" w:rsidP="00BB51D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تحت القيادة القديرة للسيد </w:t>
      </w:r>
      <w:proofErr w:type="spellStart"/>
      <w:r>
        <w:rPr>
          <w:rFonts w:hint="cs"/>
          <w:rtl/>
          <w:lang w:bidi="ar-EG"/>
        </w:rPr>
        <w:t>لواندو</w:t>
      </w:r>
      <w:proofErr w:type="spellEnd"/>
      <w:r w:rsidR="00DF58F2">
        <w:rPr>
          <w:rFonts w:hint="cs"/>
          <w:rtl/>
          <w:lang w:bidi="ar-EG"/>
        </w:rPr>
        <w:t xml:space="preserve"> بوكو، رئيس فريق الخبراء، ونوابه الستة، اضطلع فريق الخبراء بنشاط بالعمل </w:t>
      </w:r>
      <w:r w:rsidR="00D121B8">
        <w:rPr>
          <w:rFonts w:hint="cs"/>
          <w:rtl/>
          <w:lang w:bidi="ar-EG"/>
        </w:rPr>
        <w:t>ذي الصلة</w:t>
      </w:r>
      <w:r w:rsidR="00DF58F2">
        <w:rPr>
          <w:rFonts w:hint="cs"/>
          <w:rtl/>
          <w:lang w:bidi="ar-EG"/>
        </w:rPr>
        <w:t xml:space="preserve"> بالاستعراض </w:t>
      </w:r>
      <w:r w:rsidR="00D121B8">
        <w:rPr>
          <w:rFonts w:hint="cs"/>
          <w:rtl/>
          <w:lang w:bidi="ar-EG"/>
        </w:rPr>
        <w:t xml:space="preserve">وفقاً للقرار </w:t>
      </w:r>
      <w:r w:rsidR="00D121B8">
        <w:rPr>
          <w:lang w:bidi="ar-EG"/>
        </w:rPr>
        <w:t>146</w:t>
      </w:r>
      <w:r w:rsidR="00D121B8">
        <w:rPr>
          <w:rFonts w:hint="cs"/>
          <w:rtl/>
          <w:lang w:bidi="ar-EG"/>
        </w:rPr>
        <w:t xml:space="preserve"> (المراجَع في دبي، </w:t>
      </w:r>
      <w:r w:rsidR="00D121B8">
        <w:rPr>
          <w:lang w:bidi="ar-EG"/>
        </w:rPr>
        <w:t>2018</w:t>
      </w:r>
      <w:r w:rsidR="00D121B8">
        <w:rPr>
          <w:rFonts w:hint="cs"/>
          <w:rtl/>
          <w:lang w:bidi="ar-EG"/>
        </w:rPr>
        <w:t xml:space="preserve">) والقرار </w:t>
      </w:r>
      <w:r w:rsidR="00D121B8">
        <w:rPr>
          <w:lang w:bidi="ar-EG"/>
        </w:rPr>
        <w:t>1379</w:t>
      </w:r>
      <w:r w:rsidR="00D121B8">
        <w:rPr>
          <w:rFonts w:hint="cs"/>
          <w:rtl/>
          <w:lang w:bidi="ar-EG"/>
        </w:rPr>
        <w:t xml:space="preserve"> (المعدّل في دورة المجلس لعام </w:t>
      </w:r>
      <w:r w:rsidR="00D121B8">
        <w:rPr>
          <w:lang w:bidi="ar-EG"/>
        </w:rPr>
        <w:t>2019</w:t>
      </w:r>
      <w:r w:rsidR="00D121B8">
        <w:rPr>
          <w:rFonts w:hint="cs"/>
          <w:rtl/>
          <w:lang w:bidi="ar-EG"/>
        </w:rPr>
        <w:t xml:space="preserve">)، وأحرز تقدماً </w:t>
      </w:r>
      <w:r w:rsidR="002D696A">
        <w:rPr>
          <w:rFonts w:hint="cs"/>
          <w:rtl/>
          <w:lang w:bidi="ar-EG"/>
        </w:rPr>
        <w:t xml:space="preserve">كبيراً وموضوعياً في هذا الصدد. </w:t>
      </w:r>
      <w:r w:rsidR="00FB4850">
        <w:rPr>
          <w:rFonts w:hint="cs"/>
          <w:rtl/>
          <w:lang w:bidi="ar-EG"/>
        </w:rPr>
        <w:t xml:space="preserve">وصيغت </w:t>
      </w:r>
      <w:r w:rsidR="00E16A7A">
        <w:rPr>
          <w:rFonts w:hint="cs"/>
          <w:rtl/>
          <w:lang w:bidi="ar-EG"/>
        </w:rPr>
        <w:t>ال</w:t>
      </w:r>
      <w:r w:rsidR="00E857D7">
        <w:rPr>
          <w:rFonts w:hint="cs"/>
          <w:rtl/>
          <w:lang w:bidi="ar-EG"/>
        </w:rPr>
        <w:t xml:space="preserve">آراء بشأن "إمكانية التطبيق </w:t>
      </w:r>
      <w:r w:rsidR="00077F4D" w:rsidRPr="00077F4D">
        <w:rPr>
          <w:rtl/>
          <w:lang w:bidi="ar-EG"/>
        </w:rPr>
        <w:t>فيما يتعلق بتعزيز توفير الشبكات والخدمات وتطويرها" و"المرونة لاستيعاب الاتجاهات الجديدة والقضايا الناشئة"</w:t>
      </w:r>
      <w:r w:rsidR="00077F4D">
        <w:rPr>
          <w:rFonts w:hint="cs"/>
          <w:rtl/>
          <w:lang w:bidi="ar-EG"/>
        </w:rPr>
        <w:t xml:space="preserve">. </w:t>
      </w:r>
      <w:r w:rsidR="004E6EE9">
        <w:rPr>
          <w:rFonts w:hint="cs"/>
          <w:rtl/>
          <w:lang w:bidi="ar-EG"/>
        </w:rPr>
        <w:t xml:space="preserve">واستُكمل ملخص النتائج </w:t>
      </w:r>
      <w:r w:rsidR="004B0948">
        <w:rPr>
          <w:rFonts w:hint="cs"/>
          <w:rtl/>
          <w:lang w:bidi="ar-EG"/>
        </w:rPr>
        <w:t>تم</w:t>
      </w:r>
      <w:r w:rsidR="000B6AE1">
        <w:rPr>
          <w:rFonts w:hint="cs"/>
          <w:rtl/>
          <w:lang w:bidi="ar-EG"/>
        </w:rPr>
        <w:t>ا</w:t>
      </w:r>
      <w:r w:rsidR="004B0948">
        <w:rPr>
          <w:rFonts w:hint="cs"/>
          <w:rtl/>
          <w:lang w:bidi="ar-EG"/>
        </w:rPr>
        <w:t xml:space="preserve">شياً مع توافق الآراء المحرز في الاجتماعات. </w:t>
      </w:r>
      <w:r w:rsidR="009858D4">
        <w:rPr>
          <w:rFonts w:hint="cs"/>
          <w:rtl/>
          <w:lang w:bidi="ar-EG"/>
        </w:rPr>
        <w:t>وتقدر الصين توفق فريق الخبراء في إكمال استعراض كل مادة من مواد لوائح الاتصالات الدولية</w:t>
      </w:r>
      <w:r w:rsidR="00C63D37">
        <w:rPr>
          <w:rFonts w:hint="cs"/>
          <w:rtl/>
          <w:lang w:bidi="ar-EG"/>
        </w:rPr>
        <w:t>، وتعرب عن شكرها للرئيس ونواب الرئيس وأعضاء فريق الخبراء وأمانة الاتحاد على جهودهم ومساهماتهم.</w:t>
      </w:r>
    </w:p>
    <w:p w14:paraId="3AD556CB" w14:textId="391E679E" w:rsidR="001C34FD" w:rsidRDefault="00C63D37" w:rsidP="00BB51D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الاجتماع الافتراضي </w:t>
      </w:r>
      <w:r w:rsidR="00B926F7">
        <w:rPr>
          <w:rFonts w:hint="cs"/>
          <w:rtl/>
          <w:lang w:bidi="ar-EG"/>
        </w:rPr>
        <w:t xml:space="preserve">الخامس لفريق الخبراء، ناقش المشاركون الصيغة الأولى من مشروع </w:t>
      </w:r>
      <w:r w:rsidR="00E16A7A">
        <w:rPr>
          <w:rFonts w:hint="cs"/>
          <w:rtl/>
          <w:lang w:bidi="ar-EG"/>
        </w:rPr>
        <w:t xml:space="preserve">التقرير النهائي المقدم من الأمين العام إلى المجلس في دورته لعام </w:t>
      </w:r>
      <w:r w:rsidR="00E16A7A">
        <w:rPr>
          <w:lang w:bidi="ar-EG"/>
        </w:rPr>
        <w:t>2022</w:t>
      </w:r>
      <w:r w:rsidR="00674024">
        <w:rPr>
          <w:rFonts w:hint="cs"/>
          <w:rtl/>
          <w:lang w:bidi="ar-EG"/>
        </w:rPr>
        <w:t xml:space="preserve">، </w:t>
      </w:r>
      <w:r w:rsidR="00FB4850">
        <w:rPr>
          <w:rFonts w:hint="cs"/>
          <w:rtl/>
          <w:lang w:bidi="ar-EG"/>
        </w:rPr>
        <w:t>وقاموا بصياغة</w:t>
      </w:r>
      <w:r w:rsidR="00674024">
        <w:rPr>
          <w:rFonts w:hint="cs"/>
          <w:rtl/>
          <w:lang w:bidi="ar-EG"/>
        </w:rPr>
        <w:t xml:space="preserve"> الآراء القائمة على </w:t>
      </w:r>
      <w:r w:rsidR="000B425D">
        <w:rPr>
          <w:rFonts w:hint="cs"/>
          <w:rtl/>
          <w:lang w:bidi="ar-EG"/>
        </w:rPr>
        <w:t>ال</w:t>
      </w:r>
      <w:r w:rsidR="00674024">
        <w:rPr>
          <w:rFonts w:hint="cs"/>
          <w:rtl/>
          <w:lang w:bidi="ar-EG"/>
        </w:rPr>
        <w:t xml:space="preserve">توافق لمراجعة المشروع وتحسينه. </w:t>
      </w:r>
      <w:r w:rsidR="00703C8B">
        <w:rPr>
          <w:rFonts w:hint="cs"/>
          <w:rtl/>
          <w:lang w:bidi="ar-EG"/>
        </w:rPr>
        <w:t xml:space="preserve">وترى الصين أن تقرير الأمين العام يلخص بشكل شامل </w:t>
      </w:r>
      <w:r w:rsidR="00087629">
        <w:rPr>
          <w:rFonts w:hint="cs"/>
          <w:rtl/>
          <w:lang w:bidi="ar-EG"/>
        </w:rPr>
        <w:t>التقدم الذي أحرزه فريق الخبراء الحالي في العمل والنتائج التي توصل إليها، ويعكس بموضوعية مختلف الآراء والمواقف المع</w:t>
      </w:r>
      <w:r w:rsidR="00A3589D">
        <w:rPr>
          <w:rFonts w:hint="cs"/>
          <w:rtl/>
          <w:lang w:bidi="ar-EG"/>
        </w:rPr>
        <w:t>بر</w:t>
      </w:r>
      <w:r w:rsidR="00087629">
        <w:rPr>
          <w:rFonts w:hint="cs"/>
          <w:rtl/>
          <w:lang w:bidi="ar-EG"/>
        </w:rPr>
        <w:t xml:space="preserve"> عنها </w:t>
      </w:r>
      <w:r w:rsidR="00A3589D">
        <w:rPr>
          <w:rFonts w:hint="cs"/>
          <w:rtl/>
          <w:lang w:bidi="ar-EG"/>
        </w:rPr>
        <w:t xml:space="preserve">خلال عملية الاستعراض. وتود الصين أن تعرب عن </w:t>
      </w:r>
      <w:r w:rsidR="00D810F5">
        <w:rPr>
          <w:rFonts w:hint="cs"/>
          <w:rtl/>
          <w:lang w:bidi="ar-EG"/>
        </w:rPr>
        <w:t>تأييدها</w:t>
      </w:r>
      <w:r w:rsidR="00A3589D">
        <w:rPr>
          <w:rFonts w:hint="cs"/>
          <w:rtl/>
          <w:lang w:bidi="ar-EG"/>
        </w:rPr>
        <w:t xml:space="preserve"> لتقرير الأمين العام.</w:t>
      </w:r>
    </w:p>
    <w:p w14:paraId="2371F806" w14:textId="1855A7F1" w:rsidR="00977685" w:rsidRDefault="003053FA" w:rsidP="0060350E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وكما أشار الأمين العام، هولين جاو، ونائب الأمين العام، مالكوم جونسون، </w:t>
      </w:r>
      <w:r w:rsidR="006837E6">
        <w:rPr>
          <w:rFonts w:hint="cs"/>
          <w:rtl/>
          <w:lang w:bidi="ar-EG"/>
        </w:rPr>
        <w:t>في ملاحظاته</w:t>
      </w:r>
      <w:r w:rsidR="00F711CA">
        <w:rPr>
          <w:rFonts w:hint="cs"/>
          <w:rtl/>
          <w:lang w:bidi="ar-EG"/>
        </w:rPr>
        <w:t>م</w:t>
      </w:r>
      <w:r w:rsidR="006837E6">
        <w:rPr>
          <w:rFonts w:hint="cs"/>
          <w:rtl/>
          <w:lang w:bidi="ar-EG"/>
        </w:rPr>
        <w:t>ا المدلى بها في الاجتماعين الرابع والخامس لفريق الخبراء المعني ب</w:t>
      </w:r>
      <w:r w:rsidR="001C34FD">
        <w:rPr>
          <w:rFonts w:hint="cs"/>
          <w:rtl/>
          <w:lang w:bidi="ar-EG"/>
        </w:rPr>
        <w:t xml:space="preserve">لوائح الاتصالات الدولية، </w:t>
      </w:r>
      <w:r w:rsidR="00F711CA">
        <w:rPr>
          <w:rFonts w:hint="cs"/>
          <w:rtl/>
          <w:lang w:bidi="ar-EG"/>
        </w:rPr>
        <w:t>ف</w:t>
      </w:r>
      <w:r w:rsidR="00FB4850">
        <w:rPr>
          <w:rFonts w:hint="cs"/>
          <w:rtl/>
          <w:lang w:bidi="ar-EG"/>
        </w:rPr>
        <w:t xml:space="preserve">قد </w:t>
      </w:r>
      <w:r w:rsidR="00BE1DCB">
        <w:rPr>
          <w:rFonts w:hint="cs"/>
          <w:rtl/>
          <w:lang w:bidi="ar-EG"/>
        </w:rPr>
        <w:t>ظلت</w:t>
      </w:r>
      <w:r w:rsidR="00F711CA">
        <w:rPr>
          <w:rFonts w:hint="cs"/>
          <w:rtl/>
          <w:lang w:bidi="ar-EG"/>
        </w:rPr>
        <w:t xml:space="preserve"> </w:t>
      </w:r>
      <w:r w:rsidR="00850789">
        <w:rPr>
          <w:rFonts w:hint="cs"/>
          <w:rtl/>
          <w:lang w:bidi="ar-EG"/>
        </w:rPr>
        <w:t xml:space="preserve">لوائح الاتصالات </w:t>
      </w:r>
      <w:r w:rsidR="001C34FD">
        <w:rPr>
          <w:rFonts w:hint="cs"/>
          <w:rtl/>
          <w:lang w:bidi="ar-EG"/>
        </w:rPr>
        <w:t>إلى يومنا هذا</w:t>
      </w:r>
      <w:r w:rsidR="00F711CA">
        <w:rPr>
          <w:rFonts w:hint="cs"/>
          <w:rtl/>
          <w:lang w:bidi="ar-EG"/>
        </w:rPr>
        <w:t xml:space="preserve"> المعاهدة العالمية الوحيدة </w:t>
      </w:r>
      <w:r w:rsidR="0048233C">
        <w:rPr>
          <w:rFonts w:hint="cs"/>
          <w:rtl/>
          <w:lang w:bidi="ar-EG"/>
        </w:rPr>
        <w:t>لوضع مبادئ عامة تهدف إلى تيسير توفير الاتصالات الدولية وتشغيلها، وساعدت على تعزيز</w:t>
      </w:r>
      <w:r w:rsidR="00BE1DCB">
        <w:rPr>
          <w:rFonts w:hint="cs"/>
          <w:rtl/>
          <w:lang w:bidi="ar-EG"/>
        </w:rPr>
        <w:t xml:space="preserve"> </w:t>
      </w:r>
      <w:r w:rsidR="00B14990">
        <w:rPr>
          <w:rFonts w:hint="cs"/>
          <w:rtl/>
          <w:lang w:bidi="ar-EG"/>
        </w:rPr>
        <w:t>كفاءة وفائدة و</w:t>
      </w:r>
      <w:r w:rsidR="00D85A61">
        <w:rPr>
          <w:rFonts w:hint="cs"/>
          <w:rtl/>
          <w:lang w:bidi="ar-EG"/>
        </w:rPr>
        <w:t xml:space="preserve">توافر خدمات الاتصالات الدولية وبناها التحتية وخدماتها في جميع أنحاء العالم. </w:t>
      </w:r>
      <w:r w:rsidR="00C12D11">
        <w:rPr>
          <w:rFonts w:hint="cs"/>
          <w:rtl/>
          <w:lang w:bidi="ar-EG"/>
        </w:rPr>
        <w:t>وبالنظر</w:t>
      </w:r>
      <w:r w:rsidR="00850789">
        <w:rPr>
          <w:rFonts w:hint="cs"/>
          <w:rtl/>
          <w:lang w:bidi="ar-EG"/>
        </w:rPr>
        <w:t xml:space="preserve"> إلى</w:t>
      </w:r>
      <w:r w:rsidR="00C46D26">
        <w:rPr>
          <w:rFonts w:hint="cs"/>
          <w:rtl/>
          <w:lang w:bidi="ar-EG"/>
        </w:rPr>
        <w:t xml:space="preserve"> </w:t>
      </w:r>
      <w:r w:rsidR="00D85A61">
        <w:rPr>
          <w:rFonts w:hint="cs"/>
          <w:rtl/>
          <w:lang w:bidi="ar-EG"/>
        </w:rPr>
        <w:t xml:space="preserve">الاتجاهات الجديدة في الاتصالات/تكنولوجيا المعلومات والاتصالات </w:t>
      </w:r>
      <w:r w:rsidR="00B07560">
        <w:rPr>
          <w:rFonts w:hint="cs"/>
          <w:rtl/>
          <w:lang w:bidi="ar-EG"/>
        </w:rPr>
        <w:t xml:space="preserve">والقضايا الناشئة في </w:t>
      </w:r>
      <w:r w:rsidR="005430C6">
        <w:rPr>
          <w:rFonts w:hint="cs"/>
          <w:rtl/>
          <w:lang w:bidi="ar-EG"/>
        </w:rPr>
        <w:t>ال</w:t>
      </w:r>
      <w:r w:rsidR="00B07560">
        <w:rPr>
          <w:rFonts w:hint="cs"/>
          <w:rtl/>
          <w:lang w:bidi="ar-EG"/>
        </w:rPr>
        <w:t>بيئة</w:t>
      </w:r>
      <w:r w:rsidR="005430C6">
        <w:rPr>
          <w:rFonts w:hint="cs"/>
          <w:rtl/>
          <w:lang w:bidi="ar-EG"/>
        </w:rPr>
        <w:t xml:space="preserve"> الدولية</w:t>
      </w:r>
      <w:r w:rsidR="00B07560">
        <w:rPr>
          <w:rFonts w:hint="cs"/>
          <w:rtl/>
          <w:lang w:bidi="ar-EG"/>
        </w:rPr>
        <w:t xml:space="preserve"> </w:t>
      </w:r>
      <w:r w:rsidR="005430C6">
        <w:rPr>
          <w:rFonts w:hint="cs"/>
          <w:rtl/>
          <w:lang w:bidi="ar-EG"/>
        </w:rPr>
        <w:t>ل</w:t>
      </w:r>
      <w:r w:rsidR="00B07560">
        <w:rPr>
          <w:rFonts w:hint="cs"/>
          <w:rtl/>
          <w:lang w:bidi="ar-EG"/>
        </w:rPr>
        <w:t xml:space="preserve">لاتصالات/تكنولوجيا المعلومات والاتصالات، من المهم تعزيز بيئة تمكينية </w:t>
      </w:r>
      <w:r w:rsidR="00850789">
        <w:rPr>
          <w:rFonts w:hint="cs"/>
          <w:rtl/>
          <w:lang w:bidi="ar-EG"/>
        </w:rPr>
        <w:t>قادرة على مواكبة</w:t>
      </w:r>
      <w:r w:rsidR="00B07560">
        <w:rPr>
          <w:rFonts w:hint="cs"/>
          <w:rtl/>
          <w:lang w:bidi="ar-EG"/>
        </w:rPr>
        <w:t xml:space="preserve"> </w:t>
      </w:r>
      <w:r w:rsidR="004812AC">
        <w:rPr>
          <w:rFonts w:hint="cs"/>
          <w:rtl/>
          <w:lang w:bidi="ar-EG"/>
        </w:rPr>
        <w:t xml:space="preserve">التغير السريع في النظام الإيكولوجي لتكنولوجيا المعلومات والاتصالات. </w:t>
      </w:r>
      <w:r w:rsidR="005B7F27">
        <w:rPr>
          <w:rFonts w:hint="cs"/>
          <w:rtl/>
          <w:lang w:bidi="ar-EG"/>
        </w:rPr>
        <w:t xml:space="preserve">وفي ضوء ذلك، نقترح </w:t>
      </w:r>
      <w:r w:rsidR="003E6B3A">
        <w:rPr>
          <w:rFonts w:hint="cs"/>
          <w:rtl/>
          <w:lang w:bidi="ar-EG"/>
        </w:rPr>
        <w:t>الإبقاء على لوائح الاتصالات الدولية. وبناءً على نتائج العمل التي تحق</w:t>
      </w:r>
      <w:r w:rsidR="00850789">
        <w:rPr>
          <w:rFonts w:hint="cs"/>
          <w:rtl/>
          <w:lang w:bidi="ar-EG"/>
        </w:rPr>
        <w:t xml:space="preserve">قت </w:t>
      </w:r>
      <w:r w:rsidR="003E6B3A">
        <w:rPr>
          <w:rFonts w:hint="cs"/>
          <w:rtl/>
          <w:lang w:bidi="ar-EG"/>
        </w:rPr>
        <w:t xml:space="preserve">حتى الآن، </w:t>
      </w:r>
      <w:r w:rsidR="002F53E1">
        <w:rPr>
          <w:rFonts w:hint="cs"/>
          <w:rtl/>
          <w:lang w:bidi="ar-EG"/>
        </w:rPr>
        <w:t>سيواصل فريق الخبراء تيسير استعراض اللوائح ومراجعتها إلى جانب الأعمال الأخرى ذات الصلة.</w:t>
      </w:r>
    </w:p>
    <w:p w14:paraId="6132D609" w14:textId="5E8EB2E6" w:rsidR="006F3BD6" w:rsidRDefault="006F3BD6" w:rsidP="00BB51DB">
      <w:pPr>
        <w:spacing w:before="600"/>
        <w:jc w:val="center"/>
        <w:rPr>
          <w:rtl/>
          <w:lang w:bidi="ar-EG"/>
        </w:rPr>
      </w:pPr>
      <w:r w:rsidRPr="006F3BD6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F3BD6" w:rsidSect="00BB51DB">
      <w:headerReference w:type="default" r:id="rId9"/>
      <w:footerReference w:type="default" r:id="rId10"/>
      <w:footerReference w:type="first" r:id="rId11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F9FA" w14:textId="77777777" w:rsidR="00304CB6" w:rsidRDefault="00304CB6" w:rsidP="006C3242">
      <w:pPr>
        <w:spacing w:before="0" w:line="240" w:lineRule="auto"/>
      </w:pPr>
      <w:r>
        <w:separator/>
      </w:r>
    </w:p>
  </w:endnote>
  <w:endnote w:type="continuationSeparator" w:id="0">
    <w:p w14:paraId="55FBD94C" w14:textId="77777777" w:rsidR="00304CB6" w:rsidRDefault="00304CB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A104" w14:textId="673E2381" w:rsidR="00BB51DB" w:rsidRPr="00CC2D00" w:rsidRDefault="00BB51DB" w:rsidP="00BB51D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CC2D00">
      <w:rPr>
        <w:color w:val="F2F2F2" w:themeColor="background1" w:themeShade="F2"/>
        <w:sz w:val="16"/>
        <w:szCs w:val="16"/>
        <w:lang w:val="fr-FR"/>
      </w:rPr>
      <w:fldChar w:fldCharType="begin"/>
    </w:r>
    <w:r w:rsidRPr="00CC2D0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CC2D00">
      <w:rPr>
        <w:color w:val="F2F2F2" w:themeColor="background1" w:themeShade="F2"/>
        <w:sz w:val="16"/>
        <w:szCs w:val="16"/>
        <w:lang w:val="fr-FR"/>
      </w:rPr>
      <w:fldChar w:fldCharType="separate"/>
    </w:r>
    <w:r w:rsidRPr="00CC2D00">
      <w:rPr>
        <w:noProof/>
        <w:color w:val="F2F2F2" w:themeColor="background1" w:themeShade="F2"/>
        <w:sz w:val="16"/>
        <w:szCs w:val="16"/>
        <w:lang w:val="fr-FR"/>
      </w:rPr>
      <w:t>P:\ARA\SG\CONSEIL\EG-ITR\EG-ITR-6\000\007A.docx</w:t>
    </w:r>
    <w:r w:rsidRPr="00CC2D00">
      <w:rPr>
        <w:color w:val="F2F2F2" w:themeColor="background1" w:themeShade="F2"/>
        <w:sz w:val="16"/>
        <w:szCs w:val="16"/>
      </w:rPr>
      <w:fldChar w:fldCharType="end"/>
    </w:r>
    <w:proofErr w:type="gramStart"/>
    <w:r w:rsidRPr="00CC2D00">
      <w:rPr>
        <w:color w:val="F2F2F2" w:themeColor="background1" w:themeShade="F2"/>
        <w:sz w:val="16"/>
        <w:szCs w:val="16"/>
      </w:rPr>
      <w:t xml:space="preserve">  </w:t>
    </w:r>
    <w:r w:rsidRPr="00CC2D00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Pr="00CC2D00">
      <w:rPr>
        <w:color w:val="F2F2F2" w:themeColor="background1" w:themeShade="F2"/>
        <w:sz w:val="16"/>
        <w:szCs w:val="16"/>
        <w:lang w:val="fr-FR"/>
      </w:rPr>
      <w:t>500511)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0416" w14:textId="390CC234" w:rsidR="00BB51DB" w:rsidRDefault="00BB51DB" w:rsidP="00BB51DB">
    <w:pPr>
      <w:pStyle w:val="Footer"/>
      <w:jc w:val="center"/>
    </w:pPr>
    <w:r w:rsidRPr="00AF6B5C">
      <w:rPr>
        <w:lang w:val="en-GB"/>
      </w:rPr>
      <w:t xml:space="preserve">• </w:t>
    </w:r>
    <w:hyperlink r:id="rId1" w:history="1">
      <w:r w:rsidRPr="00AF6B5C">
        <w:rPr>
          <w:color w:val="0000FF"/>
          <w:u w:val="single"/>
          <w:lang w:val="en-GB"/>
        </w:rPr>
        <w:t>http://www.itu.int/council</w:t>
      </w:r>
    </w:hyperlink>
    <w:r w:rsidRPr="00AF6B5C">
      <w:rPr>
        <w:lang w:val="en-GB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48F6" w14:textId="77777777" w:rsidR="00304CB6" w:rsidRDefault="00304CB6" w:rsidP="006C3242">
      <w:pPr>
        <w:spacing w:before="0" w:line="240" w:lineRule="auto"/>
      </w:pPr>
      <w:r>
        <w:separator/>
      </w:r>
    </w:p>
  </w:footnote>
  <w:footnote w:type="continuationSeparator" w:id="0">
    <w:p w14:paraId="22C35F55" w14:textId="77777777" w:rsidR="00304CB6" w:rsidRDefault="00304CB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0673" w14:textId="1621D946" w:rsidR="00BB51DB" w:rsidRPr="00447F32" w:rsidRDefault="00CC2D00" w:rsidP="00BB51DB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BB51DB" w:rsidRPr="00447F32">
          <w:rPr>
            <w:rFonts w:cs="Calibri"/>
            <w:sz w:val="20"/>
            <w:szCs w:val="20"/>
          </w:rPr>
          <w:fldChar w:fldCharType="begin"/>
        </w:r>
        <w:r w:rsidR="00BB51DB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BB51DB" w:rsidRPr="00447F32">
          <w:rPr>
            <w:rFonts w:cs="Calibri"/>
            <w:sz w:val="20"/>
            <w:szCs w:val="20"/>
          </w:rPr>
          <w:fldChar w:fldCharType="separate"/>
        </w:r>
        <w:r w:rsidR="00BB51DB">
          <w:rPr>
            <w:rFonts w:cs="Calibri"/>
            <w:sz w:val="20"/>
            <w:szCs w:val="20"/>
          </w:rPr>
          <w:t>2</w:t>
        </w:r>
        <w:r w:rsidR="00BB51DB" w:rsidRPr="00447F32">
          <w:rPr>
            <w:rFonts w:cs="Calibri"/>
            <w:noProof/>
            <w:sz w:val="20"/>
            <w:szCs w:val="20"/>
          </w:rPr>
          <w:fldChar w:fldCharType="end"/>
        </w:r>
        <w:r w:rsidR="00BB51DB">
          <w:rPr>
            <w:rFonts w:cs="Calibri"/>
            <w:noProof/>
            <w:sz w:val="20"/>
            <w:szCs w:val="20"/>
          </w:rPr>
          <w:br/>
          <w:t>EG-ITR-6\7-A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D5755D2"/>
    <w:multiLevelType w:val="hybridMultilevel"/>
    <w:tmpl w:val="285CB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B6"/>
    <w:rsid w:val="00011369"/>
    <w:rsid w:val="00014C24"/>
    <w:rsid w:val="00016C04"/>
    <w:rsid w:val="00020BCC"/>
    <w:rsid w:val="00021C4B"/>
    <w:rsid w:val="00036E65"/>
    <w:rsid w:val="00043593"/>
    <w:rsid w:val="000474B1"/>
    <w:rsid w:val="00050D86"/>
    <w:rsid w:val="000523F2"/>
    <w:rsid w:val="00054EA2"/>
    <w:rsid w:val="00056A9A"/>
    <w:rsid w:val="00057F51"/>
    <w:rsid w:val="00064311"/>
    <w:rsid w:val="0006468A"/>
    <w:rsid w:val="00066954"/>
    <w:rsid w:val="00077F4D"/>
    <w:rsid w:val="00085DFA"/>
    <w:rsid w:val="00087629"/>
    <w:rsid w:val="00090574"/>
    <w:rsid w:val="000910CD"/>
    <w:rsid w:val="000911D8"/>
    <w:rsid w:val="000A3647"/>
    <w:rsid w:val="000A423A"/>
    <w:rsid w:val="000A4713"/>
    <w:rsid w:val="000B425D"/>
    <w:rsid w:val="000B6AE1"/>
    <w:rsid w:val="000C1C0E"/>
    <w:rsid w:val="000C548A"/>
    <w:rsid w:val="000D2097"/>
    <w:rsid w:val="000D49D6"/>
    <w:rsid w:val="000F7BC2"/>
    <w:rsid w:val="00105289"/>
    <w:rsid w:val="00107B5C"/>
    <w:rsid w:val="001119A3"/>
    <w:rsid w:val="00120ED3"/>
    <w:rsid w:val="00121843"/>
    <w:rsid w:val="001226F1"/>
    <w:rsid w:val="00123B85"/>
    <w:rsid w:val="00136C24"/>
    <w:rsid w:val="001401F1"/>
    <w:rsid w:val="0016534D"/>
    <w:rsid w:val="00167CD4"/>
    <w:rsid w:val="00175E4D"/>
    <w:rsid w:val="001A00BB"/>
    <w:rsid w:val="001A7ED3"/>
    <w:rsid w:val="001B3B07"/>
    <w:rsid w:val="001C0169"/>
    <w:rsid w:val="001C34FD"/>
    <w:rsid w:val="001D175C"/>
    <w:rsid w:val="001D1D50"/>
    <w:rsid w:val="001D6745"/>
    <w:rsid w:val="001E446E"/>
    <w:rsid w:val="00203CA6"/>
    <w:rsid w:val="00206300"/>
    <w:rsid w:val="002154EE"/>
    <w:rsid w:val="00215B8B"/>
    <w:rsid w:val="0021794C"/>
    <w:rsid w:val="002276D2"/>
    <w:rsid w:val="0023283D"/>
    <w:rsid w:val="00237875"/>
    <w:rsid w:val="002426E1"/>
    <w:rsid w:val="002431BE"/>
    <w:rsid w:val="0024323C"/>
    <w:rsid w:val="00246CDD"/>
    <w:rsid w:val="00251A34"/>
    <w:rsid w:val="0025238A"/>
    <w:rsid w:val="002537D2"/>
    <w:rsid w:val="00253C28"/>
    <w:rsid w:val="002611ED"/>
    <w:rsid w:val="002614FD"/>
    <w:rsid w:val="0026373E"/>
    <w:rsid w:val="00267402"/>
    <w:rsid w:val="00267A20"/>
    <w:rsid w:val="00271C43"/>
    <w:rsid w:val="0027590D"/>
    <w:rsid w:val="00276641"/>
    <w:rsid w:val="00286054"/>
    <w:rsid w:val="00290728"/>
    <w:rsid w:val="00292988"/>
    <w:rsid w:val="00295FA2"/>
    <w:rsid w:val="00296B60"/>
    <w:rsid w:val="002978F4"/>
    <w:rsid w:val="002A0E39"/>
    <w:rsid w:val="002A5ECC"/>
    <w:rsid w:val="002B0046"/>
    <w:rsid w:val="002B028D"/>
    <w:rsid w:val="002C48D7"/>
    <w:rsid w:val="002C6F8D"/>
    <w:rsid w:val="002D696A"/>
    <w:rsid w:val="002E0647"/>
    <w:rsid w:val="002E196B"/>
    <w:rsid w:val="002E5B12"/>
    <w:rsid w:val="002E6541"/>
    <w:rsid w:val="002F1DB5"/>
    <w:rsid w:val="002F53E1"/>
    <w:rsid w:val="00304CB6"/>
    <w:rsid w:val="003053FA"/>
    <w:rsid w:val="0031791B"/>
    <w:rsid w:val="003247E3"/>
    <w:rsid w:val="00325B24"/>
    <w:rsid w:val="00334924"/>
    <w:rsid w:val="00335404"/>
    <w:rsid w:val="003409BC"/>
    <w:rsid w:val="003446C8"/>
    <w:rsid w:val="00344917"/>
    <w:rsid w:val="003518EC"/>
    <w:rsid w:val="00357185"/>
    <w:rsid w:val="003629FF"/>
    <w:rsid w:val="0037226C"/>
    <w:rsid w:val="00373B7B"/>
    <w:rsid w:val="00377AED"/>
    <w:rsid w:val="003807AE"/>
    <w:rsid w:val="00383829"/>
    <w:rsid w:val="003C3751"/>
    <w:rsid w:val="003E1A57"/>
    <w:rsid w:val="003E6B3A"/>
    <w:rsid w:val="003F4B29"/>
    <w:rsid w:val="00403137"/>
    <w:rsid w:val="00404828"/>
    <w:rsid w:val="00411F89"/>
    <w:rsid w:val="00414D27"/>
    <w:rsid w:val="004154AD"/>
    <w:rsid w:val="00416E9F"/>
    <w:rsid w:val="004207AB"/>
    <w:rsid w:val="00425C90"/>
    <w:rsid w:val="0042686F"/>
    <w:rsid w:val="004317D8"/>
    <w:rsid w:val="00434183"/>
    <w:rsid w:val="00435AFF"/>
    <w:rsid w:val="00436458"/>
    <w:rsid w:val="00437AAD"/>
    <w:rsid w:val="00443869"/>
    <w:rsid w:val="00447F32"/>
    <w:rsid w:val="004626BB"/>
    <w:rsid w:val="00471CE2"/>
    <w:rsid w:val="0047219F"/>
    <w:rsid w:val="004812AC"/>
    <w:rsid w:val="0048233C"/>
    <w:rsid w:val="0049162B"/>
    <w:rsid w:val="00495A00"/>
    <w:rsid w:val="004A066E"/>
    <w:rsid w:val="004A68FE"/>
    <w:rsid w:val="004B0948"/>
    <w:rsid w:val="004B663D"/>
    <w:rsid w:val="004E11DC"/>
    <w:rsid w:val="004E3719"/>
    <w:rsid w:val="004E4F34"/>
    <w:rsid w:val="004E6EE9"/>
    <w:rsid w:val="004F76ED"/>
    <w:rsid w:val="00500794"/>
    <w:rsid w:val="00505D12"/>
    <w:rsid w:val="00513E1D"/>
    <w:rsid w:val="00516311"/>
    <w:rsid w:val="00525DDD"/>
    <w:rsid w:val="005260EB"/>
    <w:rsid w:val="00537261"/>
    <w:rsid w:val="005409AC"/>
    <w:rsid w:val="00542CAD"/>
    <w:rsid w:val="00542D0B"/>
    <w:rsid w:val="005430C6"/>
    <w:rsid w:val="00547E75"/>
    <w:rsid w:val="005538A5"/>
    <w:rsid w:val="0055516A"/>
    <w:rsid w:val="00571A7A"/>
    <w:rsid w:val="00573323"/>
    <w:rsid w:val="0058491B"/>
    <w:rsid w:val="005929EC"/>
    <w:rsid w:val="00592EA5"/>
    <w:rsid w:val="005A0F49"/>
    <w:rsid w:val="005A3170"/>
    <w:rsid w:val="005A4235"/>
    <w:rsid w:val="005B0681"/>
    <w:rsid w:val="005B7F27"/>
    <w:rsid w:val="005C1FF7"/>
    <w:rsid w:val="005C3922"/>
    <w:rsid w:val="005C3DCF"/>
    <w:rsid w:val="005C6F12"/>
    <w:rsid w:val="005C7BDB"/>
    <w:rsid w:val="005D23AC"/>
    <w:rsid w:val="005E6023"/>
    <w:rsid w:val="005F2F8F"/>
    <w:rsid w:val="005F65D8"/>
    <w:rsid w:val="005F7682"/>
    <w:rsid w:val="0060140C"/>
    <w:rsid w:val="00602E2B"/>
    <w:rsid w:val="0060342E"/>
    <w:rsid w:val="0060350E"/>
    <w:rsid w:val="0061212B"/>
    <w:rsid w:val="0061610C"/>
    <w:rsid w:val="00620335"/>
    <w:rsid w:val="00632621"/>
    <w:rsid w:val="00634C7C"/>
    <w:rsid w:val="00674024"/>
    <w:rsid w:val="006746E3"/>
    <w:rsid w:val="00675620"/>
    <w:rsid w:val="00677396"/>
    <w:rsid w:val="006837E6"/>
    <w:rsid w:val="0069200F"/>
    <w:rsid w:val="00692B84"/>
    <w:rsid w:val="006933A4"/>
    <w:rsid w:val="006A65CB"/>
    <w:rsid w:val="006A7B89"/>
    <w:rsid w:val="006B025F"/>
    <w:rsid w:val="006C3242"/>
    <w:rsid w:val="006C7012"/>
    <w:rsid w:val="006C7CC0"/>
    <w:rsid w:val="006D033F"/>
    <w:rsid w:val="006E3F42"/>
    <w:rsid w:val="006F002E"/>
    <w:rsid w:val="006F32DB"/>
    <w:rsid w:val="006F3BD6"/>
    <w:rsid w:val="006F63F7"/>
    <w:rsid w:val="007025C7"/>
    <w:rsid w:val="00703C8B"/>
    <w:rsid w:val="00704267"/>
    <w:rsid w:val="00706D7A"/>
    <w:rsid w:val="00722F0D"/>
    <w:rsid w:val="0072405A"/>
    <w:rsid w:val="00736492"/>
    <w:rsid w:val="00737953"/>
    <w:rsid w:val="0074420E"/>
    <w:rsid w:val="00746F27"/>
    <w:rsid w:val="00750B38"/>
    <w:rsid w:val="00760711"/>
    <w:rsid w:val="00775FC0"/>
    <w:rsid w:val="00783E26"/>
    <w:rsid w:val="00785910"/>
    <w:rsid w:val="00793B83"/>
    <w:rsid w:val="007954E8"/>
    <w:rsid w:val="0079672F"/>
    <w:rsid w:val="007A656E"/>
    <w:rsid w:val="007B25F8"/>
    <w:rsid w:val="007C1CCC"/>
    <w:rsid w:val="007C3BC7"/>
    <w:rsid w:val="007C3BCD"/>
    <w:rsid w:val="007C44AF"/>
    <w:rsid w:val="007D071B"/>
    <w:rsid w:val="007D483B"/>
    <w:rsid w:val="007D4ACF"/>
    <w:rsid w:val="007D6A12"/>
    <w:rsid w:val="007D70E7"/>
    <w:rsid w:val="007F0787"/>
    <w:rsid w:val="007F386B"/>
    <w:rsid w:val="00810B7B"/>
    <w:rsid w:val="00811506"/>
    <w:rsid w:val="00813D43"/>
    <w:rsid w:val="00821110"/>
    <w:rsid w:val="0082358A"/>
    <w:rsid w:val="008235CD"/>
    <w:rsid w:val="008247DE"/>
    <w:rsid w:val="00825021"/>
    <w:rsid w:val="008326DD"/>
    <w:rsid w:val="00840B10"/>
    <w:rsid w:val="00842DAF"/>
    <w:rsid w:val="00850789"/>
    <w:rsid w:val="008513CB"/>
    <w:rsid w:val="0086051A"/>
    <w:rsid w:val="00860C08"/>
    <w:rsid w:val="0086236D"/>
    <w:rsid w:val="00873C95"/>
    <w:rsid w:val="00874C30"/>
    <w:rsid w:val="00882196"/>
    <w:rsid w:val="008827A9"/>
    <w:rsid w:val="008860DC"/>
    <w:rsid w:val="0089559E"/>
    <w:rsid w:val="008A09F7"/>
    <w:rsid w:val="008A7F84"/>
    <w:rsid w:val="008C0AAC"/>
    <w:rsid w:val="008C122A"/>
    <w:rsid w:val="008D52D5"/>
    <w:rsid w:val="008E12B2"/>
    <w:rsid w:val="008E50BF"/>
    <w:rsid w:val="008F054E"/>
    <w:rsid w:val="008F4CC3"/>
    <w:rsid w:val="008F67C6"/>
    <w:rsid w:val="00903555"/>
    <w:rsid w:val="0090520D"/>
    <w:rsid w:val="0091312B"/>
    <w:rsid w:val="0091702E"/>
    <w:rsid w:val="00923B0C"/>
    <w:rsid w:val="00925CCF"/>
    <w:rsid w:val="00925FFA"/>
    <w:rsid w:val="009277B1"/>
    <w:rsid w:val="0093023A"/>
    <w:rsid w:val="00931A11"/>
    <w:rsid w:val="0094021C"/>
    <w:rsid w:val="00947917"/>
    <w:rsid w:val="00950A98"/>
    <w:rsid w:val="00952F86"/>
    <w:rsid w:val="00960ACF"/>
    <w:rsid w:val="0096690A"/>
    <w:rsid w:val="0097358E"/>
    <w:rsid w:val="009738EE"/>
    <w:rsid w:val="00976752"/>
    <w:rsid w:val="00977685"/>
    <w:rsid w:val="0097788D"/>
    <w:rsid w:val="00982B28"/>
    <w:rsid w:val="009858D4"/>
    <w:rsid w:val="009971E5"/>
    <w:rsid w:val="009A0363"/>
    <w:rsid w:val="009B2308"/>
    <w:rsid w:val="009C1961"/>
    <w:rsid w:val="009D07F2"/>
    <w:rsid w:val="009D313F"/>
    <w:rsid w:val="009D32BF"/>
    <w:rsid w:val="009D7E4E"/>
    <w:rsid w:val="009E24BB"/>
    <w:rsid w:val="009F7731"/>
    <w:rsid w:val="00A01514"/>
    <w:rsid w:val="00A04F8B"/>
    <w:rsid w:val="00A074AF"/>
    <w:rsid w:val="00A11EFE"/>
    <w:rsid w:val="00A15697"/>
    <w:rsid w:val="00A32346"/>
    <w:rsid w:val="00A3589D"/>
    <w:rsid w:val="00A47A5A"/>
    <w:rsid w:val="00A50236"/>
    <w:rsid w:val="00A55100"/>
    <w:rsid w:val="00A56DA0"/>
    <w:rsid w:val="00A6441B"/>
    <w:rsid w:val="00A6683B"/>
    <w:rsid w:val="00A707E5"/>
    <w:rsid w:val="00A811A3"/>
    <w:rsid w:val="00A8219F"/>
    <w:rsid w:val="00A83820"/>
    <w:rsid w:val="00A87DA8"/>
    <w:rsid w:val="00A908B9"/>
    <w:rsid w:val="00A92E2A"/>
    <w:rsid w:val="00A97F94"/>
    <w:rsid w:val="00AA7EA2"/>
    <w:rsid w:val="00AC2F89"/>
    <w:rsid w:val="00AD4083"/>
    <w:rsid w:val="00AD5CCF"/>
    <w:rsid w:val="00AD7C0F"/>
    <w:rsid w:val="00AE34C7"/>
    <w:rsid w:val="00AF60E2"/>
    <w:rsid w:val="00AF6B5C"/>
    <w:rsid w:val="00B00604"/>
    <w:rsid w:val="00B011A9"/>
    <w:rsid w:val="00B03099"/>
    <w:rsid w:val="00B05BC8"/>
    <w:rsid w:val="00B07560"/>
    <w:rsid w:val="00B12A65"/>
    <w:rsid w:val="00B14990"/>
    <w:rsid w:val="00B1594C"/>
    <w:rsid w:val="00B22C9A"/>
    <w:rsid w:val="00B254D0"/>
    <w:rsid w:val="00B25DF4"/>
    <w:rsid w:val="00B32A52"/>
    <w:rsid w:val="00B40C32"/>
    <w:rsid w:val="00B56D37"/>
    <w:rsid w:val="00B64B47"/>
    <w:rsid w:val="00B67D65"/>
    <w:rsid w:val="00B7147C"/>
    <w:rsid w:val="00B76242"/>
    <w:rsid w:val="00B82162"/>
    <w:rsid w:val="00B873C0"/>
    <w:rsid w:val="00B926F7"/>
    <w:rsid w:val="00B94BFF"/>
    <w:rsid w:val="00BB1B48"/>
    <w:rsid w:val="00BB1FB0"/>
    <w:rsid w:val="00BB51DB"/>
    <w:rsid w:val="00BB7CA2"/>
    <w:rsid w:val="00BC2B2F"/>
    <w:rsid w:val="00BC6225"/>
    <w:rsid w:val="00BD5F11"/>
    <w:rsid w:val="00BE1DCB"/>
    <w:rsid w:val="00BE59A3"/>
    <w:rsid w:val="00BE7665"/>
    <w:rsid w:val="00BF292C"/>
    <w:rsid w:val="00C002DE"/>
    <w:rsid w:val="00C041F5"/>
    <w:rsid w:val="00C10181"/>
    <w:rsid w:val="00C10F5E"/>
    <w:rsid w:val="00C12D11"/>
    <w:rsid w:val="00C31189"/>
    <w:rsid w:val="00C33E19"/>
    <w:rsid w:val="00C36B3A"/>
    <w:rsid w:val="00C41C12"/>
    <w:rsid w:val="00C46D26"/>
    <w:rsid w:val="00C53BF8"/>
    <w:rsid w:val="00C63D37"/>
    <w:rsid w:val="00C66157"/>
    <w:rsid w:val="00C674FE"/>
    <w:rsid w:val="00C67501"/>
    <w:rsid w:val="00C67742"/>
    <w:rsid w:val="00C70883"/>
    <w:rsid w:val="00C72437"/>
    <w:rsid w:val="00C75633"/>
    <w:rsid w:val="00C77C57"/>
    <w:rsid w:val="00C803D9"/>
    <w:rsid w:val="00C8441C"/>
    <w:rsid w:val="00C876A6"/>
    <w:rsid w:val="00CA6646"/>
    <w:rsid w:val="00CB13E3"/>
    <w:rsid w:val="00CB7721"/>
    <w:rsid w:val="00CC2D00"/>
    <w:rsid w:val="00CC46D0"/>
    <w:rsid w:val="00CD0584"/>
    <w:rsid w:val="00CD2B9F"/>
    <w:rsid w:val="00CD4A56"/>
    <w:rsid w:val="00CE1E11"/>
    <w:rsid w:val="00CE2EE1"/>
    <w:rsid w:val="00CE3349"/>
    <w:rsid w:val="00CE36E5"/>
    <w:rsid w:val="00CE5CA1"/>
    <w:rsid w:val="00CF27F5"/>
    <w:rsid w:val="00CF3FFD"/>
    <w:rsid w:val="00D10CCF"/>
    <w:rsid w:val="00D121B8"/>
    <w:rsid w:val="00D24FCB"/>
    <w:rsid w:val="00D305FD"/>
    <w:rsid w:val="00D358E2"/>
    <w:rsid w:val="00D4039D"/>
    <w:rsid w:val="00D40A46"/>
    <w:rsid w:val="00D415F2"/>
    <w:rsid w:val="00D466A4"/>
    <w:rsid w:val="00D5065F"/>
    <w:rsid w:val="00D56476"/>
    <w:rsid w:val="00D67EA6"/>
    <w:rsid w:val="00D72DC6"/>
    <w:rsid w:val="00D74665"/>
    <w:rsid w:val="00D7514C"/>
    <w:rsid w:val="00D75986"/>
    <w:rsid w:val="00D75CFE"/>
    <w:rsid w:val="00D77D0F"/>
    <w:rsid w:val="00D810F5"/>
    <w:rsid w:val="00D84D70"/>
    <w:rsid w:val="00D85A61"/>
    <w:rsid w:val="00D8609C"/>
    <w:rsid w:val="00DA11A4"/>
    <w:rsid w:val="00DA1CF0"/>
    <w:rsid w:val="00DA7734"/>
    <w:rsid w:val="00DA7B91"/>
    <w:rsid w:val="00DA7F05"/>
    <w:rsid w:val="00DC1E02"/>
    <w:rsid w:val="00DC24B4"/>
    <w:rsid w:val="00DC267E"/>
    <w:rsid w:val="00DC2EF1"/>
    <w:rsid w:val="00DC5FB0"/>
    <w:rsid w:val="00DE2CFF"/>
    <w:rsid w:val="00DF16DC"/>
    <w:rsid w:val="00DF58F2"/>
    <w:rsid w:val="00DF64E6"/>
    <w:rsid w:val="00E01B90"/>
    <w:rsid w:val="00E13BD5"/>
    <w:rsid w:val="00E16A7A"/>
    <w:rsid w:val="00E22A35"/>
    <w:rsid w:val="00E379A8"/>
    <w:rsid w:val="00E45211"/>
    <w:rsid w:val="00E473C5"/>
    <w:rsid w:val="00E4768B"/>
    <w:rsid w:val="00E53000"/>
    <w:rsid w:val="00E6305B"/>
    <w:rsid w:val="00E83C06"/>
    <w:rsid w:val="00E857D7"/>
    <w:rsid w:val="00E8786B"/>
    <w:rsid w:val="00E91026"/>
    <w:rsid w:val="00E913E0"/>
    <w:rsid w:val="00E92863"/>
    <w:rsid w:val="00E9783D"/>
    <w:rsid w:val="00EA06C1"/>
    <w:rsid w:val="00EA2602"/>
    <w:rsid w:val="00EB0986"/>
    <w:rsid w:val="00EB2968"/>
    <w:rsid w:val="00EB2DC0"/>
    <w:rsid w:val="00EB5E2F"/>
    <w:rsid w:val="00EB796D"/>
    <w:rsid w:val="00EB79C9"/>
    <w:rsid w:val="00EF3044"/>
    <w:rsid w:val="00F058DC"/>
    <w:rsid w:val="00F16F58"/>
    <w:rsid w:val="00F23EC3"/>
    <w:rsid w:val="00F24FC4"/>
    <w:rsid w:val="00F2676C"/>
    <w:rsid w:val="00F34370"/>
    <w:rsid w:val="00F4014D"/>
    <w:rsid w:val="00F436CA"/>
    <w:rsid w:val="00F4513E"/>
    <w:rsid w:val="00F457DA"/>
    <w:rsid w:val="00F5645D"/>
    <w:rsid w:val="00F6350A"/>
    <w:rsid w:val="00F711CA"/>
    <w:rsid w:val="00F7433B"/>
    <w:rsid w:val="00F7516E"/>
    <w:rsid w:val="00F84366"/>
    <w:rsid w:val="00F85089"/>
    <w:rsid w:val="00F877A0"/>
    <w:rsid w:val="00F9417F"/>
    <w:rsid w:val="00F96F56"/>
    <w:rsid w:val="00F974C5"/>
    <w:rsid w:val="00FA43D8"/>
    <w:rsid w:val="00FA6F46"/>
    <w:rsid w:val="00FB3CF5"/>
    <w:rsid w:val="00FB4850"/>
    <w:rsid w:val="00FC1040"/>
    <w:rsid w:val="00FE5872"/>
    <w:rsid w:val="00FE6979"/>
    <w:rsid w:val="00FE7FCA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7262A"/>
  <w15:chartTrackingRefBased/>
  <w15:docId w15:val="{36E8F951-CA5B-44B4-8EC5-B586D89F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enumlev1Char">
    <w:name w:val="enumlev1 Char"/>
    <w:basedOn w:val="DefaultParagraphFont"/>
    <w:link w:val="enumlev10"/>
    <w:locked/>
    <w:rsid w:val="00EF3044"/>
    <w:rPr>
      <w:rFonts w:ascii="Calibri" w:eastAsia="Times New Roman" w:hAnsi="Calibri" w:cs="Traditional Arabic"/>
      <w:szCs w:val="30"/>
      <w:lang w:eastAsia="en-US"/>
    </w:rPr>
  </w:style>
  <w:style w:type="paragraph" w:customStyle="1" w:styleId="enumlev10">
    <w:name w:val="enumlev1"/>
    <w:basedOn w:val="Normal"/>
    <w:next w:val="Normal"/>
    <w:link w:val="enumlev1Char"/>
    <w:qFormat/>
    <w:rsid w:val="00EF3044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AD7C0F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6C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54A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22A35"/>
    <w:pPr>
      <w:spacing w:after="0" w:line="240" w:lineRule="auto"/>
    </w:pPr>
    <w:rPr>
      <w:rFonts w:ascii="Dubai" w:hAnsi="Dubai" w:cs="Dubai"/>
    </w:rPr>
  </w:style>
  <w:style w:type="character" w:styleId="CommentReference">
    <w:name w:val="annotation reference"/>
    <w:basedOn w:val="DefaultParagraphFont"/>
    <w:uiPriority w:val="99"/>
    <w:semiHidden/>
    <w:unhideWhenUsed/>
    <w:rsid w:val="005C1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FF7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FF7"/>
    <w:rPr>
      <w:rFonts w:ascii="Dubai" w:hAnsi="Dubai" w:cs="Duba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People's Republic of China - Views on the related work of the Expert Group on the International Telecommunication Regulations (EG-ITRs)</dc:title>
  <dc:subject>EG-ITRs</dc:subject>
  <dc:creator>Aly, Abdalla</dc:creator>
  <cp:keywords>EG-ITRs</cp:keywords>
  <dc:description/>
  <cp:lastModifiedBy>Xue, Kun</cp:lastModifiedBy>
  <cp:revision>2</cp:revision>
  <dcterms:created xsi:type="dcterms:W3CDTF">2022-01-13T11:56:00Z</dcterms:created>
  <dcterms:modified xsi:type="dcterms:W3CDTF">2022-01-13T11:56:00Z</dcterms:modified>
</cp:coreProperties>
</file>