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2D4369" w:rsidRPr="00EF7AB4" w14:paraId="702CC6FA" w14:textId="77777777" w:rsidTr="002D4369">
        <w:trPr>
          <w:cantSplit/>
          <w:trHeight w:val="851"/>
        </w:trPr>
        <w:tc>
          <w:tcPr>
            <w:tcW w:w="6469" w:type="dxa"/>
            <w:vAlign w:val="center"/>
          </w:tcPr>
          <w:p w14:paraId="67E6AEAD" w14:textId="63925F97" w:rsidR="002D4369" w:rsidRPr="00EF7AB4" w:rsidRDefault="0034245D" w:rsidP="002D4369">
            <w:pPr>
              <w:shd w:val="solid" w:color="FFFFFF" w:fill="FFFFFF"/>
              <w:spacing w:before="40" w:after="120"/>
              <w:rPr>
                <w:rFonts w:asciiTheme="majorHAnsi" w:hAnsiTheme="majorHAnsi" w:cstheme="minorHAnsi"/>
                <w:b/>
                <w:sz w:val="23"/>
                <w:szCs w:val="23"/>
              </w:rPr>
            </w:pPr>
            <w:r w:rsidRPr="0034245D">
              <w:rPr>
                <w:rFonts w:ascii="Calibri" w:eastAsia="SimSun" w:hAnsi="Calibri" w:cs="Times"/>
                <w:b/>
                <w:sz w:val="30"/>
                <w:szCs w:val="30"/>
                <w:lang w:eastAsia="zh-CN"/>
              </w:rPr>
              <w:t>Expert Group on the International</w:t>
            </w:r>
            <w:r w:rsidRPr="0034245D">
              <w:rPr>
                <w:rFonts w:ascii="Calibri" w:eastAsia="SimSun" w:hAnsi="Calibri" w:cs="Times"/>
                <w:b/>
                <w:sz w:val="30"/>
                <w:szCs w:val="30"/>
                <w:lang w:eastAsia="zh-CN"/>
              </w:rPr>
              <w:br/>
              <w:t>Telecommunication Regulations (EG-ITRs)</w:t>
            </w:r>
            <w:r w:rsidRPr="0034245D">
              <w:rPr>
                <w:rFonts w:ascii="Calibri" w:eastAsia="MS Mincho" w:hAnsi="Calibri"/>
                <w:b/>
                <w:position w:val="6"/>
                <w:sz w:val="30"/>
                <w:szCs w:val="30"/>
                <w:lang w:eastAsia="zh-CN"/>
              </w:rPr>
              <w:t xml:space="preserve"> </w:t>
            </w:r>
            <w:r w:rsidRPr="0034245D">
              <w:rPr>
                <w:rFonts w:ascii="Calibri" w:eastAsia="MS Mincho" w:hAnsi="Calibri"/>
                <w:b/>
                <w:position w:val="6"/>
                <w:sz w:val="30"/>
                <w:szCs w:val="30"/>
                <w:lang w:eastAsia="zh-CN"/>
              </w:rPr>
              <w:br/>
            </w:r>
            <w:r w:rsidRPr="0034245D">
              <w:rPr>
                <w:rFonts w:ascii="Calibri" w:eastAsia="MS Mincho" w:hAnsi="Calibri" w:cs="Calibri"/>
                <w:b/>
                <w:spacing w:val="-2"/>
                <w:sz w:val="24"/>
                <w:szCs w:val="24"/>
                <w:lang w:eastAsia="zh-CN"/>
              </w:rPr>
              <w:t>Sixth meeting – 1</w:t>
            </w:r>
            <w:r w:rsidRPr="0034245D">
              <w:rPr>
                <w:rFonts w:ascii="Calibri" w:eastAsia="MS Mincho" w:hAnsi="Calibri" w:cs="Calibri" w:hint="eastAsia"/>
                <w:b/>
                <w:spacing w:val="-2"/>
                <w:sz w:val="24"/>
                <w:szCs w:val="24"/>
                <w:lang w:eastAsia="zh-CN"/>
              </w:rPr>
              <w:t>7</w:t>
            </w:r>
            <w:r w:rsidRPr="0034245D">
              <w:rPr>
                <w:rFonts w:ascii="Calibri" w:eastAsia="MS Mincho" w:hAnsi="Calibri" w:cs="Calibri"/>
                <w:b/>
                <w:spacing w:val="-2"/>
                <w:sz w:val="24"/>
                <w:szCs w:val="24"/>
                <w:lang w:eastAsia="zh-CN"/>
              </w:rPr>
              <w:t xml:space="preserve"> and 18 January 2022</w:t>
            </w:r>
          </w:p>
        </w:tc>
        <w:tc>
          <w:tcPr>
            <w:tcW w:w="3561" w:type="dxa"/>
            <w:vAlign w:val="center"/>
          </w:tcPr>
          <w:p w14:paraId="17C809CD" w14:textId="77777777" w:rsidR="002D4369" w:rsidRPr="00EF7AB4" w:rsidRDefault="002D4369" w:rsidP="002D4369">
            <w:pPr>
              <w:pStyle w:val="dnum"/>
              <w:framePr w:hSpace="0" w:wrap="auto" w:vAnchor="margin" w:hAnchor="text" w:yAlign="inline"/>
              <w:spacing w:after="0"/>
              <w:rPr>
                <w:rFonts w:asciiTheme="majorHAnsi" w:hAnsiTheme="majorHAnsi" w:cstheme="minorHAnsi"/>
                <w:sz w:val="23"/>
                <w:szCs w:val="23"/>
              </w:rPr>
            </w:pPr>
            <w:r w:rsidRPr="00EF7AB4">
              <w:rPr>
                <w:rFonts w:asciiTheme="majorHAnsi" w:hAnsiTheme="majorHAnsi" w:cstheme="minorHAnsi"/>
                <w:noProof/>
                <w:sz w:val="23"/>
                <w:szCs w:val="23"/>
                <w:lang w:val="ru-RU" w:eastAsia="ru-RU"/>
              </w:rPr>
              <w:drawing>
                <wp:inline distT="0" distB="0" distL="0" distR="0" wp14:anchorId="2C91BE5D" wp14:editId="6E40D16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D4369" w:rsidRPr="00EF7AB4" w14:paraId="7737A3F5" w14:textId="77777777" w:rsidTr="002D4369">
        <w:trPr>
          <w:cantSplit/>
          <w:trHeight w:val="138"/>
        </w:trPr>
        <w:tc>
          <w:tcPr>
            <w:tcW w:w="6469" w:type="dxa"/>
            <w:tcBorders>
              <w:top w:val="single" w:sz="12" w:space="0" w:color="auto"/>
            </w:tcBorders>
          </w:tcPr>
          <w:p w14:paraId="00DA45EE" w14:textId="77777777" w:rsidR="002D4369" w:rsidRPr="00EF7AB4" w:rsidRDefault="002D4369" w:rsidP="002D4369">
            <w:pPr>
              <w:shd w:val="solid" w:color="FFFFFF" w:fill="FFFFFF"/>
              <w:ind w:right="284"/>
              <w:rPr>
                <w:rFonts w:asciiTheme="majorHAnsi" w:hAnsiTheme="majorHAnsi" w:cstheme="minorHAnsi"/>
                <w:sz w:val="23"/>
                <w:szCs w:val="23"/>
              </w:rPr>
            </w:pPr>
          </w:p>
        </w:tc>
        <w:tc>
          <w:tcPr>
            <w:tcW w:w="3561" w:type="dxa"/>
            <w:tcBorders>
              <w:top w:val="single" w:sz="12" w:space="0" w:color="auto"/>
            </w:tcBorders>
          </w:tcPr>
          <w:p w14:paraId="50B97E85" w14:textId="77777777" w:rsidR="002D4369" w:rsidRPr="00EF7AB4" w:rsidRDefault="002D4369" w:rsidP="002D4369">
            <w:pPr>
              <w:tabs>
                <w:tab w:val="left" w:pos="851"/>
              </w:tabs>
              <w:ind w:right="284"/>
              <w:rPr>
                <w:rFonts w:asciiTheme="majorHAnsi" w:hAnsiTheme="majorHAnsi" w:cstheme="minorHAnsi"/>
                <w:b/>
                <w:sz w:val="23"/>
                <w:szCs w:val="23"/>
              </w:rPr>
            </w:pPr>
          </w:p>
        </w:tc>
      </w:tr>
      <w:tr w:rsidR="004B737B" w:rsidRPr="00EF7AB4" w14:paraId="44247666" w14:textId="77777777" w:rsidTr="002D4369">
        <w:trPr>
          <w:cantSplit/>
          <w:trHeight w:val="138"/>
        </w:trPr>
        <w:tc>
          <w:tcPr>
            <w:tcW w:w="6469" w:type="dxa"/>
          </w:tcPr>
          <w:p w14:paraId="2C99EC09" w14:textId="283F2727" w:rsidR="004B737B" w:rsidRPr="00EF7AB4" w:rsidRDefault="004B737B" w:rsidP="004B737B">
            <w:pPr>
              <w:rPr>
                <w:rFonts w:asciiTheme="majorHAnsi" w:hAnsiTheme="majorHAnsi" w:cstheme="minorHAnsi"/>
                <w:b/>
                <w:bCs/>
                <w:sz w:val="23"/>
                <w:szCs w:val="23"/>
              </w:rPr>
            </w:pPr>
          </w:p>
        </w:tc>
        <w:tc>
          <w:tcPr>
            <w:tcW w:w="3561" w:type="dxa"/>
          </w:tcPr>
          <w:p w14:paraId="2800DCD4" w14:textId="042A7849" w:rsidR="004B737B" w:rsidRPr="00EF7AB4" w:rsidRDefault="004B737B" w:rsidP="004B737B">
            <w:pPr>
              <w:snapToGrid w:val="0"/>
              <w:spacing w:line="240" w:lineRule="auto"/>
              <w:ind w:left="57"/>
              <w:rPr>
                <w:rFonts w:ascii="Calibri" w:eastAsiaTheme="minorEastAsia" w:hAnsi="Calibri" w:cs="Calibri"/>
                <w:b/>
                <w:spacing w:val="-4"/>
                <w:sz w:val="23"/>
                <w:szCs w:val="23"/>
                <w:lang w:val="de-CH" w:eastAsia="zh-CN"/>
              </w:rPr>
            </w:pPr>
            <w:r w:rsidRPr="00EF7AB4">
              <w:rPr>
                <w:rFonts w:ascii="Calibri" w:eastAsiaTheme="minorEastAsia" w:hAnsi="Calibri" w:cs="Calibri"/>
                <w:b/>
                <w:spacing w:val="-4"/>
                <w:sz w:val="23"/>
                <w:szCs w:val="23"/>
                <w:lang w:val="de-CH" w:eastAsia="zh-CN"/>
              </w:rPr>
              <w:t>Document EG-ITRs-6/</w:t>
            </w:r>
            <w:r w:rsidR="00290C47">
              <w:rPr>
                <w:rFonts w:ascii="Calibri" w:eastAsiaTheme="minorEastAsia" w:hAnsi="Calibri" w:cs="Calibri"/>
                <w:b/>
                <w:spacing w:val="-4"/>
                <w:sz w:val="23"/>
                <w:szCs w:val="23"/>
                <w:lang w:val="de-CH" w:eastAsia="zh-CN"/>
              </w:rPr>
              <w:t>8</w:t>
            </w:r>
          </w:p>
        </w:tc>
      </w:tr>
      <w:tr w:rsidR="004B737B" w:rsidRPr="00EF7AB4" w14:paraId="697E8285" w14:textId="77777777" w:rsidTr="002D4369">
        <w:trPr>
          <w:cantSplit/>
          <w:trHeight w:val="138"/>
        </w:trPr>
        <w:tc>
          <w:tcPr>
            <w:tcW w:w="6469" w:type="dxa"/>
          </w:tcPr>
          <w:p w14:paraId="45DF0889" w14:textId="77777777" w:rsidR="004B737B" w:rsidRPr="00EF7AB4" w:rsidRDefault="004B737B" w:rsidP="004B737B">
            <w:pPr>
              <w:shd w:val="solid" w:color="FFFFFF" w:fill="FFFFFF"/>
              <w:ind w:right="284"/>
              <w:rPr>
                <w:rFonts w:asciiTheme="majorHAnsi" w:hAnsiTheme="majorHAnsi" w:cstheme="minorHAnsi"/>
                <w:sz w:val="23"/>
                <w:szCs w:val="23"/>
                <w:lang w:val="fr-FR"/>
              </w:rPr>
            </w:pPr>
          </w:p>
        </w:tc>
        <w:tc>
          <w:tcPr>
            <w:tcW w:w="3561" w:type="dxa"/>
          </w:tcPr>
          <w:p w14:paraId="185755AD" w14:textId="6C553C4B" w:rsidR="004B737B" w:rsidRPr="00EF7AB4" w:rsidRDefault="00290C47" w:rsidP="004B737B">
            <w:pPr>
              <w:snapToGrid w:val="0"/>
              <w:spacing w:line="240" w:lineRule="auto"/>
              <w:ind w:left="57"/>
              <w:rPr>
                <w:rFonts w:ascii="Calibri" w:eastAsiaTheme="minorEastAsia" w:hAnsi="Calibri" w:cs="Calibri"/>
                <w:b/>
                <w:spacing w:val="-4"/>
                <w:sz w:val="23"/>
                <w:szCs w:val="23"/>
                <w:lang w:val="de-CH" w:eastAsia="zh-CN"/>
              </w:rPr>
            </w:pPr>
            <w:r>
              <w:rPr>
                <w:rFonts w:ascii="Calibri" w:eastAsiaTheme="minorEastAsia" w:hAnsi="Calibri" w:cs="Calibri"/>
                <w:b/>
                <w:spacing w:val="-4"/>
                <w:sz w:val="23"/>
                <w:szCs w:val="23"/>
                <w:lang w:val="de-CH" w:eastAsia="zh-CN"/>
              </w:rPr>
              <w:t>15 February 2022</w:t>
            </w:r>
          </w:p>
        </w:tc>
      </w:tr>
      <w:tr w:rsidR="004B737B" w:rsidRPr="00EF7AB4" w14:paraId="6ADC9D77" w14:textId="77777777" w:rsidTr="002D4369">
        <w:trPr>
          <w:cantSplit/>
          <w:trHeight w:val="138"/>
        </w:trPr>
        <w:tc>
          <w:tcPr>
            <w:tcW w:w="6469" w:type="dxa"/>
          </w:tcPr>
          <w:p w14:paraId="35621CC2" w14:textId="77777777" w:rsidR="004B737B" w:rsidRPr="00EF7AB4" w:rsidRDefault="004B737B" w:rsidP="004B737B">
            <w:pPr>
              <w:shd w:val="solid" w:color="FFFFFF" w:fill="FFFFFF"/>
              <w:ind w:right="284"/>
              <w:rPr>
                <w:rFonts w:asciiTheme="majorHAnsi" w:hAnsiTheme="majorHAnsi" w:cstheme="minorHAnsi"/>
                <w:sz w:val="23"/>
                <w:szCs w:val="23"/>
              </w:rPr>
            </w:pPr>
          </w:p>
        </w:tc>
        <w:tc>
          <w:tcPr>
            <w:tcW w:w="3561" w:type="dxa"/>
          </w:tcPr>
          <w:p w14:paraId="0FF5FC4C" w14:textId="14028842" w:rsidR="004B737B" w:rsidRPr="00EF7AB4" w:rsidRDefault="004B737B" w:rsidP="004B737B">
            <w:pPr>
              <w:snapToGrid w:val="0"/>
              <w:spacing w:line="240" w:lineRule="auto"/>
              <w:ind w:left="57"/>
              <w:rPr>
                <w:rFonts w:ascii="Calibri" w:eastAsiaTheme="minorEastAsia" w:hAnsi="Calibri" w:cs="Calibri"/>
                <w:b/>
                <w:spacing w:val="-4"/>
                <w:sz w:val="23"/>
                <w:szCs w:val="23"/>
                <w:lang w:val="de-CH" w:eastAsia="zh-CN"/>
              </w:rPr>
            </w:pPr>
            <w:r w:rsidRPr="00EF7AB4">
              <w:rPr>
                <w:rFonts w:ascii="Calibri" w:eastAsiaTheme="minorEastAsia" w:hAnsi="Calibri" w:cs="Calibri"/>
                <w:b/>
                <w:spacing w:val="-4"/>
                <w:sz w:val="23"/>
                <w:szCs w:val="23"/>
                <w:lang w:val="de-CH" w:eastAsia="zh-CN"/>
              </w:rPr>
              <w:t>Original: English</w:t>
            </w:r>
          </w:p>
        </w:tc>
      </w:tr>
    </w:tbl>
    <w:p w14:paraId="00000001" w14:textId="0DD2B7ED" w:rsidR="00D044C6" w:rsidRPr="00EF7AB4" w:rsidRDefault="00D044C6">
      <w:pPr>
        <w:rPr>
          <w:rFonts w:asciiTheme="majorHAnsi" w:hAnsiTheme="majorHAnsi"/>
          <w:sz w:val="23"/>
          <w:szCs w:val="23"/>
        </w:rPr>
      </w:pPr>
    </w:p>
    <w:p w14:paraId="00000002" w14:textId="27E9AFEE" w:rsidR="00D044C6" w:rsidRPr="0034245D" w:rsidRDefault="00290C47" w:rsidP="0034245D">
      <w:pPr>
        <w:pStyle w:val="Title1"/>
        <w:framePr w:hSpace="0" w:wrap="auto" w:hAnchor="text" w:yAlign="inline"/>
        <w:rPr>
          <w:rFonts w:ascii="Calibri" w:hAnsi="Calibri" w:cs="Calibri"/>
        </w:rPr>
      </w:pPr>
      <w:bookmarkStart w:id="0" w:name="_Hlk85793577"/>
      <w:r w:rsidRPr="0034245D">
        <w:rPr>
          <w:rFonts w:ascii="Calibri" w:hAnsi="Calibri" w:cs="Calibri"/>
          <w:caps w:val="0"/>
        </w:rPr>
        <w:t>Report</w:t>
      </w:r>
      <w:r w:rsidRPr="0034245D">
        <w:rPr>
          <w:rFonts w:ascii="Calibri" w:eastAsia="Times New Roman" w:hAnsi="Calibri" w:cs="Calibri"/>
          <w:caps w:val="0"/>
          <w:lang w:eastAsia="en-US"/>
        </w:rPr>
        <w:t xml:space="preserve"> of the sixth virtual meeting of</w:t>
      </w:r>
      <w:r w:rsidRPr="0034245D">
        <w:rPr>
          <w:rFonts w:ascii="Calibri" w:eastAsia="Times New Roman" w:hAnsi="Calibri" w:cs="Calibri"/>
          <w:caps w:val="0"/>
          <w:lang w:eastAsia="en-US"/>
        </w:rPr>
        <w:br/>
        <w:t xml:space="preserve">the Expert Group on the International Telecommunication Regulations </w:t>
      </w:r>
      <w:r w:rsidRPr="0034245D">
        <w:rPr>
          <w:rFonts w:ascii="Calibri" w:eastAsia="Times New Roman" w:hAnsi="Calibri" w:cs="Calibri"/>
          <w:caps w:val="0"/>
          <w:lang w:eastAsia="en-US"/>
        </w:rPr>
        <w:br/>
        <w:t>(EG-ITRS)</w:t>
      </w:r>
    </w:p>
    <w:bookmarkEnd w:id="0"/>
    <w:p w14:paraId="00000003" w14:textId="57000348" w:rsidR="00D044C6" w:rsidRPr="00290C47" w:rsidRDefault="009B05F6" w:rsidP="00290C47">
      <w:pPr>
        <w:spacing w:before="600" w:after="120" w:line="240" w:lineRule="auto"/>
        <w:outlineLvl w:val="0"/>
        <w:rPr>
          <w:rFonts w:asciiTheme="majorHAnsi" w:hAnsiTheme="majorHAnsi" w:cstheme="majorHAnsi"/>
          <w:b/>
          <w:sz w:val="24"/>
          <w:szCs w:val="24"/>
        </w:rPr>
      </w:pPr>
      <w:r w:rsidRPr="00290C47">
        <w:rPr>
          <w:rFonts w:asciiTheme="majorHAnsi" w:hAnsiTheme="majorHAnsi" w:cstheme="majorHAnsi"/>
          <w:b/>
          <w:sz w:val="24"/>
          <w:szCs w:val="24"/>
        </w:rPr>
        <w:t>1</w:t>
      </w:r>
      <w:r w:rsidRPr="00290C47">
        <w:rPr>
          <w:rFonts w:asciiTheme="majorHAnsi" w:hAnsiTheme="majorHAnsi" w:cstheme="majorHAnsi"/>
          <w:b/>
          <w:sz w:val="24"/>
          <w:szCs w:val="24"/>
        </w:rPr>
        <w:tab/>
        <w:t xml:space="preserve">Introductory </w:t>
      </w:r>
      <w:r w:rsidR="00254A6B" w:rsidRPr="00290C47">
        <w:rPr>
          <w:rFonts w:asciiTheme="majorHAnsi" w:hAnsiTheme="majorHAnsi" w:cstheme="majorHAnsi"/>
          <w:b/>
          <w:sz w:val="24"/>
          <w:szCs w:val="24"/>
        </w:rPr>
        <w:t>R</w:t>
      </w:r>
      <w:r w:rsidRPr="00290C47">
        <w:rPr>
          <w:rFonts w:asciiTheme="majorHAnsi" w:hAnsiTheme="majorHAnsi" w:cstheme="majorHAnsi"/>
          <w:b/>
          <w:sz w:val="24"/>
          <w:szCs w:val="24"/>
        </w:rPr>
        <w:t>emarks</w:t>
      </w:r>
    </w:p>
    <w:p w14:paraId="00000006" w14:textId="5496322C" w:rsidR="00D044C6" w:rsidRPr="00290C47" w:rsidRDefault="009B05F6" w:rsidP="004B737B">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1.1</w:t>
      </w:r>
      <w:r w:rsidRPr="00290C47">
        <w:rPr>
          <w:rFonts w:asciiTheme="majorHAnsi" w:hAnsiTheme="majorHAnsi" w:cstheme="majorHAnsi"/>
          <w:sz w:val="24"/>
          <w:szCs w:val="24"/>
        </w:rPr>
        <w:tab/>
        <w:t xml:space="preserve">The Secretary-General, Mr. </w:t>
      </w:r>
      <w:r w:rsidR="00C7509E" w:rsidRPr="00290C47">
        <w:rPr>
          <w:rFonts w:asciiTheme="majorHAnsi" w:hAnsiTheme="majorHAnsi" w:cstheme="majorHAnsi"/>
          <w:sz w:val="24"/>
          <w:szCs w:val="24"/>
        </w:rPr>
        <w:t>Houlin Zhao</w:t>
      </w:r>
      <w:r w:rsidRPr="00290C47">
        <w:rPr>
          <w:rFonts w:asciiTheme="majorHAnsi" w:hAnsiTheme="majorHAnsi" w:cstheme="majorHAnsi"/>
          <w:sz w:val="24"/>
          <w:szCs w:val="24"/>
        </w:rPr>
        <w:t xml:space="preserve">, welcomed </w:t>
      </w:r>
      <w:r w:rsidR="00185646" w:rsidRPr="00290C47">
        <w:rPr>
          <w:rFonts w:asciiTheme="majorHAnsi" w:hAnsiTheme="majorHAnsi" w:cstheme="majorHAnsi"/>
          <w:sz w:val="24"/>
          <w:szCs w:val="24"/>
        </w:rPr>
        <w:t xml:space="preserve">members to </w:t>
      </w:r>
      <w:r w:rsidRPr="00290C47">
        <w:rPr>
          <w:rFonts w:asciiTheme="majorHAnsi" w:hAnsiTheme="majorHAnsi" w:cstheme="majorHAnsi"/>
          <w:sz w:val="24"/>
          <w:szCs w:val="24"/>
        </w:rPr>
        <w:t xml:space="preserve">the </w:t>
      </w:r>
      <w:r w:rsidR="00C7509E" w:rsidRPr="00290C47">
        <w:rPr>
          <w:rFonts w:asciiTheme="majorHAnsi" w:hAnsiTheme="majorHAnsi" w:cstheme="majorHAnsi"/>
          <w:sz w:val="24"/>
          <w:szCs w:val="24"/>
        </w:rPr>
        <w:t xml:space="preserve">sixth </w:t>
      </w:r>
      <w:r w:rsidRPr="00290C47">
        <w:rPr>
          <w:rFonts w:asciiTheme="majorHAnsi" w:hAnsiTheme="majorHAnsi" w:cstheme="majorHAnsi"/>
          <w:sz w:val="24"/>
          <w:szCs w:val="24"/>
        </w:rPr>
        <w:t xml:space="preserve">meeting of the EG-ITRs. </w:t>
      </w:r>
      <w:r w:rsidR="002E7928" w:rsidRPr="00290C47">
        <w:rPr>
          <w:rFonts w:asciiTheme="majorHAnsi" w:hAnsiTheme="majorHAnsi" w:cstheme="majorHAnsi"/>
          <w:sz w:val="24"/>
          <w:szCs w:val="24"/>
        </w:rPr>
        <w:t xml:space="preserve">He </w:t>
      </w:r>
      <w:r w:rsidR="007D5A26" w:rsidRPr="00290C47">
        <w:rPr>
          <w:rFonts w:asciiTheme="majorHAnsi" w:hAnsiTheme="majorHAnsi" w:cstheme="majorHAnsi"/>
          <w:sz w:val="24"/>
          <w:szCs w:val="24"/>
        </w:rPr>
        <w:t xml:space="preserve">commended </w:t>
      </w:r>
      <w:r w:rsidR="00C7509E" w:rsidRPr="00290C47">
        <w:rPr>
          <w:rFonts w:asciiTheme="majorHAnsi" w:hAnsiTheme="majorHAnsi" w:cstheme="majorHAnsi"/>
          <w:sz w:val="24"/>
          <w:szCs w:val="24"/>
        </w:rPr>
        <w:t xml:space="preserve">the </w:t>
      </w:r>
      <w:r w:rsidR="00DC229C" w:rsidRPr="00290C47">
        <w:rPr>
          <w:rFonts w:asciiTheme="majorHAnsi" w:hAnsiTheme="majorHAnsi" w:cstheme="majorHAnsi"/>
          <w:sz w:val="24"/>
          <w:szCs w:val="24"/>
        </w:rPr>
        <w:t xml:space="preserve">progress made by the Group </w:t>
      </w:r>
      <w:r w:rsidR="0019358F" w:rsidRPr="00290C47">
        <w:rPr>
          <w:rFonts w:asciiTheme="majorHAnsi" w:hAnsiTheme="majorHAnsi" w:cstheme="majorHAnsi"/>
          <w:sz w:val="24"/>
          <w:szCs w:val="24"/>
        </w:rPr>
        <w:t xml:space="preserve">in terms of concluding its </w:t>
      </w:r>
      <w:r w:rsidR="00DC229C" w:rsidRPr="00290C47">
        <w:rPr>
          <w:rFonts w:asciiTheme="majorHAnsi" w:hAnsiTheme="majorHAnsi" w:cstheme="majorHAnsi"/>
          <w:sz w:val="24"/>
          <w:szCs w:val="24"/>
        </w:rPr>
        <w:t>provision-by-provision review of the ITRs</w:t>
      </w:r>
      <w:r w:rsidR="0019358F" w:rsidRPr="00290C47">
        <w:rPr>
          <w:rFonts w:asciiTheme="majorHAnsi" w:hAnsiTheme="majorHAnsi" w:cstheme="majorHAnsi"/>
          <w:sz w:val="24"/>
          <w:szCs w:val="24"/>
        </w:rPr>
        <w:t xml:space="preserve">, further noting </w:t>
      </w:r>
      <w:r w:rsidR="007D5A26" w:rsidRPr="00290C47">
        <w:rPr>
          <w:rFonts w:asciiTheme="majorHAnsi" w:hAnsiTheme="majorHAnsi" w:cstheme="majorHAnsi"/>
          <w:sz w:val="24"/>
          <w:szCs w:val="24"/>
        </w:rPr>
        <w:t>that</w:t>
      </w:r>
      <w:r w:rsidR="00C7509E" w:rsidRPr="00290C47">
        <w:rPr>
          <w:rFonts w:asciiTheme="majorHAnsi" w:hAnsiTheme="majorHAnsi" w:cstheme="majorHAnsi"/>
          <w:sz w:val="24"/>
          <w:szCs w:val="24"/>
        </w:rPr>
        <w:t xml:space="preserve"> the ITRs</w:t>
      </w:r>
      <w:r w:rsidR="001302AE" w:rsidRPr="00290C47">
        <w:rPr>
          <w:rFonts w:asciiTheme="majorHAnsi" w:hAnsiTheme="majorHAnsi" w:cstheme="majorHAnsi"/>
          <w:sz w:val="24"/>
          <w:szCs w:val="24"/>
        </w:rPr>
        <w:t>, as one of the treaties forming the three pillars of ITU,</w:t>
      </w:r>
      <w:r w:rsidR="00C7509E" w:rsidRPr="00290C47">
        <w:rPr>
          <w:rFonts w:asciiTheme="majorHAnsi" w:hAnsiTheme="majorHAnsi" w:cstheme="majorHAnsi"/>
          <w:sz w:val="24"/>
          <w:szCs w:val="24"/>
        </w:rPr>
        <w:t xml:space="preserve"> remain</w:t>
      </w:r>
      <w:r w:rsidR="00352111" w:rsidRPr="00290C47">
        <w:rPr>
          <w:rFonts w:asciiTheme="majorHAnsi" w:hAnsiTheme="majorHAnsi" w:cstheme="majorHAnsi"/>
          <w:sz w:val="24"/>
          <w:szCs w:val="24"/>
        </w:rPr>
        <w:t>s</w:t>
      </w:r>
      <w:r w:rsidR="00C7509E" w:rsidRPr="00290C47">
        <w:rPr>
          <w:rFonts w:asciiTheme="majorHAnsi" w:hAnsiTheme="majorHAnsi" w:cstheme="majorHAnsi"/>
          <w:sz w:val="24"/>
          <w:szCs w:val="24"/>
        </w:rPr>
        <w:t xml:space="preserve"> the only global treaty to establish general principles relating to the provision and operation of international telecoms</w:t>
      </w:r>
      <w:r w:rsidR="00DC229C" w:rsidRPr="00290C47">
        <w:rPr>
          <w:rFonts w:asciiTheme="majorHAnsi" w:hAnsiTheme="majorHAnsi" w:cstheme="majorHAnsi"/>
          <w:sz w:val="24"/>
          <w:szCs w:val="24"/>
          <w:lang w:val="en-US"/>
        </w:rPr>
        <w:t>.</w:t>
      </w:r>
      <w:r w:rsidR="002E7928" w:rsidRPr="00290C47">
        <w:rPr>
          <w:rFonts w:asciiTheme="majorHAnsi" w:hAnsiTheme="majorHAnsi" w:cstheme="majorHAnsi"/>
          <w:sz w:val="24"/>
          <w:szCs w:val="24"/>
        </w:rPr>
        <w:t xml:space="preserve"> H</w:t>
      </w:r>
      <w:r w:rsidR="002C3385" w:rsidRPr="00290C47">
        <w:rPr>
          <w:rFonts w:asciiTheme="majorHAnsi" w:hAnsiTheme="majorHAnsi" w:cstheme="majorHAnsi"/>
          <w:sz w:val="24"/>
          <w:szCs w:val="24"/>
        </w:rPr>
        <w:t xml:space="preserve">e </w:t>
      </w:r>
      <w:r w:rsidR="008E4F2F" w:rsidRPr="00290C47">
        <w:rPr>
          <w:rFonts w:asciiTheme="majorHAnsi" w:hAnsiTheme="majorHAnsi" w:cstheme="majorHAnsi"/>
          <w:sz w:val="24"/>
          <w:szCs w:val="24"/>
        </w:rPr>
        <w:t xml:space="preserve">wished the </w:t>
      </w:r>
      <w:r w:rsidR="00DC229C" w:rsidRPr="00290C47">
        <w:rPr>
          <w:rFonts w:asciiTheme="majorHAnsi" w:hAnsiTheme="majorHAnsi" w:cstheme="majorHAnsi"/>
          <w:sz w:val="24"/>
          <w:szCs w:val="24"/>
        </w:rPr>
        <w:t xml:space="preserve">EG-ITRs </w:t>
      </w:r>
      <w:r w:rsidR="008E4F2F" w:rsidRPr="00290C47">
        <w:rPr>
          <w:rFonts w:asciiTheme="majorHAnsi" w:hAnsiTheme="majorHAnsi" w:cstheme="majorHAnsi"/>
          <w:sz w:val="24"/>
          <w:szCs w:val="24"/>
        </w:rPr>
        <w:t>every success with</w:t>
      </w:r>
      <w:r w:rsidRPr="00290C47">
        <w:rPr>
          <w:rFonts w:asciiTheme="majorHAnsi" w:hAnsiTheme="majorHAnsi" w:cstheme="majorHAnsi"/>
          <w:sz w:val="24"/>
          <w:szCs w:val="24"/>
        </w:rPr>
        <w:t xml:space="preserve"> </w:t>
      </w:r>
      <w:r w:rsidR="001302AE" w:rsidRPr="00290C47">
        <w:rPr>
          <w:rFonts w:asciiTheme="majorHAnsi" w:hAnsiTheme="majorHAnsi" w:cstheme="majorHAnsi"/>
          <w:sz w:val="24"/>
          <w:szCs w:val="24"/>
        </w:rPr>
        <w:t xml:space="preserve">concluding their work and endorsing </w:t>
      </w:r>
      <w:r w:rsidR="00DC229C" w:rsidRPr="00290C47">
        <w:rPr>
          <w:rFonts w:asciiTheme="majorHAnsi" w:hAnsiTheme="majorHAnsi" w:cstheme="majorHAnsi"/>
          <w:sz w:val="24"/>
          <w:szCs w:val="24"/>
        </w:rPr>
        <w:t>the</w:t>
      </w:r>
      <w:r w:rsidR="001302AE" w:rsidRPr="00290C47">
        <w:rPr>
          <w:rFonts w:asciiTheme="majorHAnsi" w:hAnsiTheme="majorHAnsi" w:cstheme="majorHAnsi"/>
          <w:sz w:val="24"/>
          <w:szCs w:val="24"/>
        </w:rPr>
        <w:t>ir</w:t>
      </w:r>
      <w:r w:rsidR="00DC229C" w:rsidRPr="00290C47">
        <w:rPr>
          <w:rFonts w:asciiTheme="majorHAnsi" w:hAnsiTheme="majorHAnsi" w:cstheme="majorHAnsi"/>
          <w:sz w:val="24"/>
          <w:szCs w:val="24"/>
        </w:rPr>
        <w:t xml:space="preserve"> </w:t>
      </w:r>
      <w:r w:rsidR="00C7509E" w:rsidRPr="00290C47">
        <w:rPr>
          <w:rFonts w:asciiTheme="majorHAnsi" w:hAnsiTheme="majorHAnsi" w:cstheme="majorHAnsi"/>
          <w:sz w:val="24"/>
          <w:szCs w:val="24"/>
        </w:rPr>
        <w:t xml:space="preserve">final </w:t>
      </w:r>
      <w:proofErr w:type="gramStart"/>
      <w:r w:rsidR="00C7509E" w:rsidRPr="00290C47">
        <w:rPr>
          <w:rFonts w:asciiTheme="majorHAnsi" w:hAnsiTheme="majorHAnsi" w:cstheme="majorHAnsi"/>
          <w:sz w:val="24"/>
          <w:szCs w:val="24"/>
        </w:rPr>
        <w:t>report</w:t>
      </w:r>
      <w:r w:rsidR="00AE38A7" w:rsidRPr="00290C47">
        <w:rPr>
          <w:rFonts w:asciiTheme="majorHAnsi" w:hAnsiTheme="majorHAnsi" w:cstheme="majorHAnsi"/>
          <w:sz w:val="24"/>
          <w:szCs w:val="24"/>
        </w:rPr>
        <w:t>,</w:t>
      </w:r>
      <w:r w:rsidR="001302AE" w:rsidRPr="00290C47">
        <w:rPr>
          <w:rFonts w:asciiTheme="majorHAnsi" w:hAnsiTheme="majorHAnsi" w:cstheme="majorHAnsi"/>
          <w:sz w:val="24"/>
          <w:szCs w:val="24"/>
        </w:rPr>
        <w:t xml:space="preserve"> </w:t>
      </w:r>
      <w:r w:rsidR="002C3385" w:rsidRPr="00290C47">
        <w:rPr>
          <w:rFonts w:asciiTheme="majorHAnsi" w:hAnsiTheme="majorHAnsi" w:cstheme="majorHAnsi"/>
          <w:sz w:val="24"/>
          <w:szCs w:val="24"/>
        </w:rPr>
        <w:t>and</w:t>
      </w:r>
      <w:proofErr w:type="gramEnd"/>
      <w:r w:rsidR="002C3385" w:rsidRPr="00290C47">
        <w:rPr>
          <w:rFonts w:asciiTheme="majorHAnsi" w:hAnsiTheme="majorHAnsi" w:cstheme="majorHAnsi"/>
          <w:sz w:val="24"/>
          <w:szCs w:val="24"/>
        </w:rPr>
        <w:t xml:space="preserve"> </w:t>
      </w:r>
      <w:r w:rsidR="008E4F2F" w:rsidRPr="00290C47">
        <w:rPr>
          <w:rFonts w:asciiTheme="majorHAnsi" w:hAnsiTheme="majorHAnsi" w:cstheme="majorHAnsi"/>
          <w:sz w:val="24"/>
          <w:szCs w:val="24"/>
        </w:rPr>
        <w:t>reiterated the assistance and availability of the Secretariat to support the work of the Group, as needed</w:t>
      </w:r>
      <w:r w:rsidRPr="00290C47">
        <w:rPr>
          <w:rFonts w:asciiTheme="majorHAnsi" w:hAnsiTheme="majorHAnsi" w:cstheme="majorHAnsi"/>
          <w:sz w:val="24"/>
          <w:szCs w:val="24"/>
        </w:rPr>
        <w:t xml:space="preserve">. </w:t>
      </w:r>
    </w:p>
    <w:p w14:paraId="6245B7A9" w14:textId="5198237C" w:rsidR="00DC229C" w:rsidRPr="00290C47" w:rsidRDefault="00DC229C" w:rsidP="004B737B">
      <w:pPr>
        <w:keepNext/>
        <w:keepLines/>
        <w:tabs>
          <w:tab w:val="left" w:pos="720"/>
        </w:tabs>
        <w:overflowPunct w:val="0"/>
        <w:autoSpaceDE w:val="0"/>
        <w:autoSpaceDN w:val="0"/>
        <w:adjustRightInd w:val="0"/>
        <w:snapToGrid w:val="0"/>
        <w:spacing w:before="120" w:after="120" w:line="240" w:lineRule="auto"/>
        <w:jc w:val="both"/>
        <w:textAlignment w:val="baseline"/>
        <w:rPr>
          <w:rFonts w:asciiTheme="majorHAnsi" w:hAnsiTheme="majorHAnsi" w:cstheme="majorHAnsi"/>
          <w:sz w:val="24"/>
          <w:szCs w:val="24"/>
        </w:rPr>
      </w:pPr>
      <w:r w:rsidRPr="00290C47">
        <w:rPr>
          <w:rFonts w:asciiTheme="majorHAnsi" w:hAnsiTheme="majorHAnsi" w:cstheme="majorHAnsi"/>
          <w:b/>
          <w:sz w:val="24"/>
          <w:szCs w:val="24"/>
        </w:rPr>
        <w:t>1.2</w:t>
      </w:r>
      <w:r w:rsidRPr="00290C47">
        <w:rPr>
          <w:rFonts w:asciiTheme="majorHAnsi" w:hAnsiTheme="majorHAnsi" w:cstheme="majorHAnsi"/>
          <w:sz w:val="24"/>
          <w:szCs w:val="24"/>
        </w:rPr>
        <w:tab/>
      </w:r>
      <w:r w:rsidR="00A86A0D" w:rsidRPr="00290C47">
        <w:rPr>
          <w:rFonts w:asciiTheme="majorHAnsi" w:eastAsia="Calibri" w:hAnsiTheme="majorHAnsi" w:cstheme="majorHAnsi"/>
          <w:sz w:val="24"/>
          <w:szCs w:val="24"/>
        </w:rPr>
        <w:t>As the Chairman of EG-ITRs, Mr. Lwando Bbuku, was unable to join this meeting, the Vice-Chairman</w:t>
      </w:r>
      <w:r w:rsidR="00D9472F" w:rsidRPr="00290C47">
        <w:rPr>
          <w:rFonts w:asciiTheme="majorHAnsi" w:eastAsia="Calibri" w:hAnsiTheme="majorHAnsi" w:cstheme="majorHAnsi"/>
          <w:sz w:val="24"/>
          <w:szCs w:val="24"/>
        </w:rPr>
        <w:t xml:space="preserve"> (Americas)</w:t>
      </w:r>
      <w:r w:rsidR="00A86A0D" w:rsidRPr="00290C47">
        <w:rPr>
          <w:rFonts w:asciiTheme="majorHAnsi" w:eastAsia="Calibri" w:hAnsiTheme="majorHAnsi" w:cstheme="majorHAnsi"/>
          <w:sz w:val="24"/>
          <w:szCs w:val="24"/>
        </w:rPr>
        <w:t xml:space="preserve">, Mr. Santiago Reyes-Borda, chaired the meeting. </w:t>
      </w:r>
      <w:r w:rsidR="00A86A0D" w:rsidRPr="00290C47">
        <w:rPr>
          <w:rFonts w:asciiTheme="majorHAnsi" w:hAnsiTheme="majorHAnsi" w:cstheme="majorHAnsi"/>
          <w:sz w:val="24"/>
          <w:szCs w:val="24"/>
        </w:rPr>
        <w:t xml:space="preserve">He </w:t>
      </w:r>
      <w:r w:rsidRPr="00290C47">
        <w:rPr>
          <w:rFonts w:asciiTheme="majorHAnsi" w:hAnsiTheme="majorHAnsi" w:cstheme="majorHAnsi"/>
          <w:sz w:val="24"/>
          <w:szCs w:val="24"/>
        </w:rPr>
        <w:t>thanked the Secretary-General for his presence and support for the meeting</w:t>
      </w:r>
      <w:r w:rsidR="00A86A0D" w:rsidRPr="00290C47">
        <w:rPr>
          <w:rFonts w:asciiTheme="majorHAnsi" w:hAnsiTheme="majorHAnsi" w:cstheme="majorHAnsi"/>
          <w:sz w:val="24"/>
          <w:szCs w:val="24"/>
        </w:rPr>
        <w:t xml:space="preserve"> and </w:t>
      </w:r>
      <w:r w:rsidRPr="00290C47">
        <w:rPr>
          <w:rFonts w:asciiTheme="majorHAnsi" w:hAnsiTheme="majorHAnsi" w:cstheme="majorHAnsi"/>
          <w:sz w:val="24"/>
          <w:szCs w:val="24"/>
        </w:rPr>
        <w:t xml:space="preserve">stressed the need for the Group to work together effectively, efficiently and in the spirit of consensus to </w:t>
      </w:r>
      <w:r w:rsidR="001302AE" w:rsidRPr="00290C47">
        <w:rPr>
          <w:rFonts w:asciiTheme="majorHAnsi" w:hAnsiTheme="majorHAnsi" w:cstheme="majorHAnsi"/>
          <w:sz w:val="24"/>
          <w:szCs w:val="24"/>
        </w:rPr>
        <w:t xml:space="preserve">finalize </w:t>
      </w:r>
      <w:r w:rsidRPr="00290C47">
        <w:rPr>
          <w:rFonts w:asciiTheme="majorHAnsi" w:hAnsiTheme="majorHAnsi" w:cstheme="majorHAnsi"/>
          <w:sz w:val="24"/>
          <w:szCs w:val="24"/>
          <w:lang w:val="en-US"/>
        </w:rPr>
        <w:t xml:space="preserve">the report </w:t>
      </w:r>
      <w:r w:rsidR="00AC05FC" w:rsidRPr="00290C47">
        <w:rPr>
          <w:rFonts w:asciiTheme="majorHAnsi" w:hAnsiTheme="majorHAnsi" w:cstheme="majorHAnsi"/>
          <w:sz w:val="24"/>
          <w:szCs w:val="24"/>
          <w:lang w:val="en-US"/>
        </w:rPr>
        <w:t xml:space="preserve">of the EG-ITRs </w:t>
      </w:r>
      <w:r w:rsidRPr="00290C47">
        <w:rPr>
          <w:rFonts w:asciiTheme="majorHAnsi" w:hAnsiTheme="majorHAnsi" w:cstheme="majorHAnsi"/>
          <w:sz w:val="24"/>
          <w:szCs w:val="24"/>
          <w:lang w:val="en-US"/>
        </w:rPr>
        <w:t xml:space="preserve">that will </w:t>
      </w:r>
      <w:r w:rsidR="00AC05FC" w:rsidRPr="00290C47">
        <w:rPr>
          <w:rFonts w:asciiTheme="majorHAnsi" w:hAnsiTheme="majorHAnsi" w:cstheme="majorHAnsi"/>
          <w:sz w:val="24"/>
          <w:szCs w:val="24"/>
          <w:lang w:val="en-US"/>
        </w:rPr>
        <w:t xml:space="preserve">be presented </w:t>
      </w:r>
      <w:r w:rsidRPr="00290C47">
        <w:rPr>
          <w:rFonts w:asciiTheme="majorHAnsi" w:hAnsiTheme="majorHAnsi" w:cstheme="majorHAnsi"/>
          <w:sz w:val="24"/>
          <w:szCs w:val="24"/>
          <w:lang w:val="en-US"/>
        </w:rPr>
        <w:t>to Council 2022</w:t>
      </w:r>
      <w:r w:rsidR="001302AE" w:rsidRPr="00290C47">
        <w:rPr>
          <w:rFonts w:asciiTheme="majorHAnsi" w:hAnsiTheme="majorHAnsi" w:cstheme="majorHAnsi"/>
          <w:sz w:val="24"/>
          <w:szCs w:val="24"/>
          <w:lang w:val="en-US"/>
        </w:rPr>
        <w:t xml:space="preserve"> for comments and subsequent submission to the ITU Plenipotentiary Conference 2022</w:t>
      </w:r>
      <w:r w:rsidRPr="00290C47">
        <w:rPr>
          <w:rFonts w:asciiTheme="majorHAnsi" w:hAnsiTheme="majorHAnsi" w:cstheme="majorHAnsi"/>
          <w:sz w:val="24"/>
          <w:szCs w:val="24"/>
          <w:lang w:val="en-US"/>
        </w:rPr>
        <w:t>, in accordance with the agreed Work Plan of the Group</w:t>
      </w:r>
      <w:r w:rsidRPr="00290C47">
        <w:rPr>
          <w:rFonts w:asciiTheme="majorHAnsi" w:hAnsiTheme="majorHAnsi" w:cstheme="majorHAnsi"/>
          <w:sz w:val="24"/>
          <w:szCs w:val="24"/>
        </w:rPr>
        <w:t xml:space="preserve">. He also thanked </w:t>
      </w:r>
      <w:r w:rsidR="004A1BAC" w:rsidRPr="00290C47">
        <w:rPr>
          <w:rFonts w:asciiTheme="majorHAnsi" w:hAnsiTheme="majorHAnsi" w:cstheme="majorHAnsi"/>
          <w:sz w:val="24"/>
          <w:szCs w:val="24"/>
        </w:rPr>
        <w:t>the EG-ITRs Management Team</w:t>
      </w:r>
      <w:r w:rsidRPr="00290C47">
        <w:rPr>
          <w:rFonts w:asciiTheme="majorHAnsi" w:hAnsiTheme="majorHAnsi" w:cstheme="majorHAnsi"/>
          <w:sz w:val="24"/>
          <w:szCs w:val="24"/>
        </w:rPr>
        <w:t xml:space="preserve"> for their support and commitment to furthering the work of the Group. </w:t>
      </w:r>
    </w:p>
    <w:p w14:paraId="0000000D" w14:textId="77777777" w:rsidR="00D044C6" w:rsidRPr="00290C47" w:rsidRDefault="009B05F6" w:rsidP="00292917">
      <w:pPr>
        <w:spacing w:before="360" w:after="120" w:line="240" w:lineRule="auto"/>
        <w:outlineLvl w:val="0"/>
        <w:rPr>
          <w:rFonts w:asciiTheme="majorHAnsi" w:hAnsiTheme="majorHAnsi" w:cstheme="majorHAnsi"/>
          <w:b/>
          <w:sz w:val="24"/>
          <w:szCs w:val="24"/>
        </w:rPr>
      </w:pPr>
      <w:r w:rsidRPr="00290C47">
        <w:rPr>
          <w:rFonts w:asciiTheme="majorHAnsi" w:hAnsiTheme="majorHAnsi" w:cstheme="majorHAnsi"/>
          <w:b/>
          <w:sz w:val="24"/>
          <w:szCs w:val="24"/>
        </w:rPr>
        <w:t>2</w:t>
      </w:r>
      <w:r w:rsidRPr="00290C47">
        <w:rPr>
          <w:rFonts w:asciiTheme="majorHAnsi" w:hAnsiTheme="majorHAnsi" w:cstheme="majorHAnsi"/>
          <w:b/>
          <w:sz w:val="24"/>
          <w:szCs w:val="24"/>
        </w:rPr>
        <w:tab/>
        <w:t xml:space="preserve">Adoption of the Agenda </w:t>
      </w:r>
    </w:p>
    <w:p w14:paraId="764FE27D" w14:textId="711F8857" w:rsidR="001B78D4" w:rsidRPr="00290C47" w:rsidRDefault="003A18F3" w:rsidP="00292917">
      <w:pPr>
        <w:snapToGrid w:val="0"/>
        <w:spacing w:before="12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2.1</w:t>
      </w:r>
      <w:r w:rsidR="009B05F6" w:rsidRPr="00290C47">
        <w:rPr>
          <w:rFonts w:asciiTheme="majorHAnsi" w:hAnsiTheme="majorHAnsi" w:cstheme="majorHAnsi"/>
          <w:sz w:val="24"/>
          <w:szCs w:val="24"/>
        </w:rPr>
        <w:tab/>
        <w:t>The Agenda (</w:t>
      </w:r>
      <w:hyperlink r:id="rId9" w:history="1">
        <w:r w:rsidR="00254A6B" w:rsidRPr="00290C47">
          <w:rPr>
            <w:rFonts w:asciiTheme="majorHAnsi" w:eastAsia="Calibri" w:hAnsiTheme="majorHAnsi" w:cstheme="majorHAnsi"/>
            <w:b/>
            <w:bCs/>
            <w:color w:val="0000FF"/>
            <w:sz w:val="24"/>
            <w:szCs w:val="24"/>
            <w:u w:val="single"/>
            <w:lang w:eastAsia="en-US"/>
          </w:rPr>
          <w:t>EG-ITRs-</w:t>
        </w:r>
        <w:r w:rsidR="004A1BAC" w:rsidRPr="00290C47">
          <w:rPr>
            <w:rFonts w:asciiTheme="majorHAnsi" w:eastAsia="Calibri" w:hAnsiTheme="majorHAnsi" w:cstheme="majorHAnsi"/>
            <w:b/>
            <w:bCs/>
            <w:color w:val="0000FF"/>
            <w:sz w:val="24"/>
            <w:szCs w:val="24"/>
            <w:u w:val="single"/>
            <w:lang w:eastAsia="en-US"/>
          </w:rPr>
          <w:t>6</w:t>
        </w:r>
        <w:r w:rsidR="00254A6B" w:rsidRPr="00290C47">
          <w:rPr>
            <w:rFonts w:asciiTheme="majorHAnsi" w:eastAsia="Calibri" w:hAnsiTheme="majorHAnsi" w:cstheme="majorHAnsi"/>
            <w:b/>
            <w:bCs/>
            <w:color w:val="0000FF"/>
            <w:sz w:val="24"/>
            <w:szCs w:val="24"/>
            <w:u w:val="single"/>
            <w:lang w:eastAsia="en-US"/>
          </w:rPr>
          <w:t>/1 (Rev. 1)</w:t>
        </w:r>
      </w:hyperlink>
      <w:r w:rsidR="009B05F6" w:rsidRPr="00290C47">
        <w:rPr>
          <w:rFonts w:asciiTheme="majorHAnsi" w:hAnsiTheme="majorHAnsi" w:cstheme="majorHAnsi"/>
          <w:sz w:val="24"/>
          <w:szCs w:val="24"/>
        </w:rPr>
        <w:t xml:space="preserve">) was presented by the Chairman. </w:t>
      </w:r>
    </w:p>
    <w:p w14:paraId="00000014" w14:textId="2F3026A0" w:rsidR="00D044C6" w:rsidRPr="00290C47" w:rsidRDefault="004A1BAC" w:rsidP="0019358F">
      <w:pPr>
        <w:snapToGrid w:val="0"/>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Some members suggested that </w:t>
      </w:r>
      <w:r w:rsidR="006779A9" w:rsidRPr="00290C47">
        <w:rPr>
          <w:rFonts w:asciiTheme="majorHAnsi" w:hAnsiTheme="majorHAnsi" w:cstheme="majorHAnsi"/>
          <w:sz w:val="24"/>
          <w:szCs w:val="24"/>
        </w:rPr>
        <w:t>Agenda Item 4, “</w:t>
      </w:r>
      <w:r w:rsidR="006779A9" w:rsidRPr="00290C47">
        <w:rPr>
          <w:rFonts w:asciiTheme="majorHAnsi" w:hAnsiTheme="majorHAnsi" w:cstheme="majorHAnsi"/>
          <w:bCs/>
          <w:sz w:val="24"/>
          <w:szCs w:val="24"/>
        </w:rPr>
        <w:t>Approval of the draft Final Report of the EG-ITRs to ITU Council 2022</w:t>
      </w:r>
      <w:r w:rsidR="006779A9" w:rsidRPr="00290C47">
        <w:rPr>
          <w:rFonts w:asciiTheme="majorHAnsi" w:hAnsiTheme="majorHAnsi" w:cstheme="majorHAnsi"/>
          <w:sz w:val="24"/>
          <w:szCs w:val="24"/>
        </w:rPr>
        <w:t xml:space="preserve">”, could be further clarified to reflect that the Final Report of the EG-ITRs will be </w:t>
      </w:r>
      <w:r w:rsidR="00352111" w:rsidRPr="00290C47">
        <w:rPr>
          <w:rFonts w:asciiTheme="majorHAnsi" w:hAnsiTheme="majorHAnsi" w:cstheme="majorHAnsi"/>
          <w:sz w:val="24"/>
          <w:szCs w:val="24"/>
        </w:rPr>
        <w:t xml:space="preserve">presented </w:t>
      </w:r>
      <w:r w:rsidR="006779A9" w:rsidRPr="00290C47">
        <w:rPr>
          <w:rFonts w:asciiTheme="majorHAnsi" w:hAnsiTheme="majorHAnsi" w:cstheme="majorHAnsi"/>
          <w:sz w:val="24"/>
          <w:szCs w:val="24"/>
        </w:rPr>
        <w:t xml:space="preserve">to ITU Council 2022 for comments and subsequent submission to the ITU Plenipotentiary Conference 2022. </w:t>
      </w:r>
      <w:r w:rsidR="0019358F" w:rsidRPr="00290C47">
        <w:rPr>
          <w:rFonts w:asciiTheme="majorHAnsi" w:hAnsiTheme="majorHAnsi" w:cstheme="majorHAnsi"/>
          <w:sz w:val="24"/>
          <w:szCs w:val="24"/>
        </w:rPr>
        <w:t>Post clarifications regarding the process of presentation of the Final Report of the EG-ITRs to the ITU Council and Plenipotentiary Conference 2022, t</w:t>
      </w:r>
      <w:r w:rsidR="009B05F6" w:rsidRPr="00290C47">
        <w:rPr>
          <w:rFonts w:asciiTheme="majorHAnsi" w:eastAsia="Roboto" w:hAnsiTheme="majorHAnsi" w:cstheme="majorHAnsi"/>
          <w:sz w:val="24"/>
          <w:szCs w:val="24"/>
        </w:rPr>
        <w:t xml:space="preserve">he </w:t>
      </w:r>
      <w:proofErr w:type="gramStart"/>
      <w:r w:rsidR="009B05F6" w:rsidRPr="00290C47">
        <w:rPr>
          <w:rFonts w:asciiTheme="majorHAnsi" w:eastAsia="Roboto" w:hAnsiTheme="majorHAnsi" w:cstheme="majorHAnsi"/>
          <w:sz w:val="24"/>
          <w:szCs w:val="24"/>
        </w:rPr>
        <w:t>Agenda</w:t>
      </w:r>
      <w:proofErr w:type="gramEnd"/>
      <w:r w:rsidR="009B05F6" w:rsidRPr="00290C47">
        <w:rPr>
          <w:rFonts w:asciiTheme="majorHAnsi" w:eastAsia="Roboto" w:hAnsiTheme="majorHAnsi" w:cstheme="majorHAnsi"/>
          <w:sz w:val="24"/>
          <w:szCs w:val="24"/>
        </w:rPr>
        <w:t xml:space="preserve"> was adopted.</w:t>
      </w:r>
    </w:p>
    <w:p w14:paraId="2ACDC53E" w14:textId="3FC7B174" w:rsidR="006B7EB5" w:rsidRPr="00290C47" w:rsidRDefault="0065695D" w:rsidP="00290C47">
      <w:pPr>
        <w:keepNext/>
        <w:keepLines/>
        <w:spacing w:before="360" w:after="120" w:line="240" w:lineRule="auto"/>
        <w:jc w:val="both"/>
        <w:rPr>
          <w:rFonts w:asciiTheme="majorHAnsi" w:hAnsiTheme="majorHAnsi" w:cstheme="majorHAnsi"/>
          <w:b/>
          <w:bCs/>
          <w:sz w:val="24"/>
          <w:szCs w:val="24"/>
        </w:rPr>
      </w:pPr>
      <w:r w:rsidRPr="00290C47">
        <w:rPr>
          <w:rFonts w:asciiTheme="majorHAnsi" w:hAnsiTheme="majorHAnsi" w:cstheme="majorHAnsi"/>
          <w:b/>
          <w:bCs/>
          <w:sz w:val="24"/>
          <w:szCs w:val="24"/>
        </w:rPr>
        <w:lastRenderedPageBreak/>
        <w:t>3</w:t>
      </w:r>
      <w:r w:rsidR="001B1522" w:rsidRPr="00290C47">
        <w:rPr>
          <w:rFonts w:asciiTheme="majorHAnsi" w:hAnsiTheme="majorHAnsi" w:cstheme="majorHAnsi"/>
          <w:b/>
          <w:bCs/>
          <w:sz w:val="24"/>
          <w:szCs w:val="24"/>
        </w:rPr>
        <w:tab/>
        <w:t xml:space="preserve">Discussion on Contributions received </w:t>
      </w:r>
    </w:p>
    <w:p w14:paraId="573AB02F" w14:textId="50314A5A" w:rsidR="002C5144" w:rsidRPr="00290C47" w:rsidRDefault="00604377" w:rsidP="00290C47">
      <w:pPr>
        <w:keepNext/>
        <w:keepLines/>
        <w:spacing w:before="120" w:after="120" w:line="240" w:lineRule="auto"/>
        <w:jc w:val="both"/>
        <w:outlineLvl w:val="0"/>
        <w:rPr>
          <w:rFonts w:asciiTheme="majorHAnsi" w:hAnsiTheme="majorHAnsi" w:cstheme="majorHAnsi"/>
          <w:b/>
          <w:bCs/>
          <w:sz w:val="24"/>
          <w:szCs w:val="24"/>
        </w:rPr>
      </w:pPr>
      <w:r w:rsidRPr="00290C47">
        <w:rPr>
          <w:rFonts w:asciiTheme="majorHAnsi" w:hAnsiTheme="majorHAnsi" w:cstheme="majorHAnsi"/>
          <w:b/>
          <w:bCs/>
          <w:sz w:val="24"/>
          <w:szCs w:val="24"/>
        </w:rPr>
        <w:t>3</w:t>
      </w:r>
      <w:r w:rsidR="002C5144" w:rsidRPr="00290C47">
        <w:rPr>
          <w:rFonts w:asciiTheme="majorHAnsi" w:hAnsiTheme="majorHAnsi" w:cstheme="majorHAnsi"/>
          <w:b/>
          <w:bCs/>
          <w:sz w:val="24"/>
          <w:szCs w:val="24"/>
        </w:rPr>
        <w:t>.1</w:t>
      </w:r>
      <w:r w:rsidR="002C5144" w:rsidRPr="00290C47">
        <w:rPr>
          <w:rFonts w:asciiTheme="majorHAnsi" w:hAnsiTheme="majorHAnsi" w:cstheme="majorHAnsi"/>
          <w:b/>
          <w:bCs/>
          <w:sz w:val="24"/>
          <w:szCs w:val="24"/>
        </w:rPr>
        <w:tab/>
        <w:t>Contributions:</w:t>
      </w:r>
    </w:p>
    <w:p w14:paraId="5992CEBE" w14:textId="2A42F3BA" w:rsidR="0065695D" w:rsidRPr="00290C47" w:rsidRDefault="00604377" w:rsidP="00290C47">
      <w:pPr>
        <w:keepNext/>
        <w:keepLines/>
        <w:snapToGrid w:val="0"/>
        <w:spacing w:before="12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w:t>
      </w:r>
      <w:r w:rsidR="00376239" w:rsidRPr="00290C47">
        <w:rPr>
          <w:rFonts w:asciiTheme="majorHAnsi" w:hAnsiTheme="majorHAnsi" w:cstheme="majorHAnsi"/>
          <w:b/>
          <w:sz w:val="24"/>
          <w:szCs w:val="24"/>
        </w:rPr>
        <w:t>1</w:t>
      </w:r>
      <w:r w:rsidR="002C5144" w:rsidRPr="00290C47">
        <w:rPr>
          <w:rFonts w:asciiTheme="majorHAnsi" w:hAnsiTheme="majorHAnsi" w:cstheme="majorHAnsi"/>
          <w:b/>
          <w:sz w:val="24"/>
          <w:szCs w:val="24"/>
        </w:rPr>
        <w:t>.1</w:t>
      </w:r>
      <w:r w:rsidR="009B05F6" w:rsidRPr="00290C47">
        <w:rPr>
          <w:rFonts w:asciiTheme="majorHAnsi" w:hAnsiTheme="majorHAnsi" w:cstheme="majorHAnsi"/>
          <w:b/>
          <w:sz w:val="24"/>
          <w:szCs w:val="24"/>
        </w:rPr>
        <w:tab/>
      </w:r>
      <w:r w:rsidR="0065695D" w:rsidRPr="00290C47">
        <w:rPr>
          <w:rFonts w:asciiTheme="majorHAnsi" w:hAnsiTheme="majorHAnsi" w:cstheme="majorHAnsi"/>
          <w:b/>
          <w:bCs/>
          <w:sz w:val="24"/>
          <w:szCs w:val="24"/>
        </w:rPr>
        <w:t>REPORT OF THE EG-ITRS TO COUNCIL (</w:t>
      </w:r>
      <w:hyperlink r:id="rId10" w:history="1">
        <w:r w:rsidR="0065695D" w:rsidRPr="00290C47">
          <w:rPr>
            <w:rStyle w:val="Hyperlink"/>
            <w:rFonts w:asciiTheme="majorHAnsi" w:hAnsiTheme="majorHAnsi" w:cstheme="majorHAnsi"/>
            <w:b/>
            <w:bCs/>
            <w:sz w:val="24"/>
            <w:szCs w:val="24"/>
          </w:rPr>
          <w:t>EG-ITRs-6/3</w:t>
        </w:r>
      </w:hyperlink>
      <w:r w:rsidR="0065695D" w:rsidRPr="00290C47">
        <w:rPr>
          <w:rFonts w:asciiTheme="majorHAnsi" w:hAnsiTheme="majorHAnsi" w:cstheme="majorHAnsi"/>
          <w:b/>
          <w:bCs/>
          <w:sz w:val="24"/>
          <w:szCs w:val="24"/>
        </w:rPr>
        <w:t xml:space="preserve">): Contribution by Austria, Czech Republic, Latvia, Romania, the Netherlands, Spain, </w:t>
      </w:r>
      <w:proofErr w:type="gramStart"/>
      <w:r w:rsidR="0065695D" w:rsidRPr="00290C47">
        <w:rPr>
          <w:rFonts w:asciiTheme="majorHAnsi" w:hAnsiTheme="majorHAnsi" w:cstheme="majorHAnsi"/>
          <w:b/>
          <w:bCs/>
          <w:sz w:val="24"/>
          <w:szCs w:val="24"/>
        </w:rPr>
        <w:t>Sweden</w:t>
      </w:r>
      <w:proofErr w:type="gramEnd"/>
      <w:r w:rsidR="0065695D" w:rsidRPr="00290C47">
        <w:rPr>
          <w:rFonts w:asciiTheme="majorHAnsi" w:hAnsiTheme="majorHAnsi" w:cstheme="majorHAnsi"/>
          <w:b/>
          <w:bCs/>
          <w:sz w:val="24"/>
          <w:szCs w:val="24"/>
        </w:rPr>
        <w:t xml:space="preserve"> and the United Kingdom</w:t>
      </w:r>
      <w:r w:rsidR="0065695D" w:rsidRPr="00290C47">
        <w:rPr>
          <w:rFonts w:asciiTheme="majorHAnsi" w:hAnsiTheme="majorHAnsi" w:cstheme="majorHAnsi"/>
          <w:sz w:val="24"/>
          <w:szCs w:val="24"/>
        </w:rPr>
        <w:t xml:space="preserve"> </w:t>
      </w:r>
    </w:p>
    <w:p w14:paraId="7F7915CC" w14:textId="77777777" w:rsidR="00905F58" w:rsidRPr="00290C47" w:rsidRDefault="00905F58" w:rsidP="00290C47">
      <w:pPr>
        <w:keepNext/>
        <w:keepLines/>
        <w:snapToGrid w:val="0"/>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In this contribution, our overall observation based on the provision-by-provision examination is that on each provision of the 2012 ITRs there is a range of views and no consensus.  This observation is not any different from the findings of the previous Expert Group.</w:t>
      </w:r>
    </w:p>
    <w:p w14:paraId="63462D77" w14:textId="77777777" w:rsidR="00905F58" w:rsidRPr="00290C47" w:rsidRDefault="00905F58" w:rsidP="00905F58">
      <w:pPr>
        <w:snapToGrid w:val="0"/>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Regarding the status quo of two sets of ITRs treaties, we have observed that since 2012 the development of telecommunications services has continued to advance and the existence of two sets of ITRs has not hindered this development in any way.</w:t>
      </w:r>
    </w:p>
    <w:p w14:paraId="0498E4BD" w14:textId="10DAF175" w:rsidR="00B32CF8" w:rsidRPr="00290C47" w:rsidRDefault="00B32CF8" w:rsidP="00B32CF8">
      <w:pPr>
        <w:snapToGrid w:val="0"/>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Our view remains that spending resources from ITU and Members of ITU on activities to discuss the ITRs, or activities to explore the possible holding of another WCIT would cause great uncertainty for many years, which could </w:t>
      </w:r>
      <w:proofErr w:type="gramStart"/>
      <w:r w:rsidRPr="00290C47">
        <w:rPr>
          <w:rFonts w:asciiTheme="majorHAnsi" w:hAnsiTheme="majorHAnsi" w:cstheme="majorHAnsi"/>
          <w:sz w:val="24"/>
          <w:szCs w:val="24"/>
        </w:rPr>
        <w:t>actually hinder</w:t>
      </w:r>
      <w:proofErr w:type="gramEnd"/>
      <w:r w:rsidRPr="00290C47">
        <w:rPr>
          <w:rFonts w:asciiTheme="majorHAnsi" w:hAnsiTheme="majorHAnsi" w:cstheme="majorHAnsi"/>
          <w:sz w:val="24"/>
          <w:szCs w:val="24"/>
        </w:rPr>
        <w:t xml:space="preserve"> the investment that we all need to see. It seems unlikely that a third set of ITRs would attract consensus agreement, and this could put at risk the ITU’s good reputation.</w:t>
      </w:r>
    </w:p>
    <w:p w14:paraId="6F7F977C" w14:textId="47BED81D" w:rsidR="006B7A0C" w:rsidRPr="00290C47" w:rsidRDefault="00B32CF8" w:rsidP="00B32CF8">
      <w:pPr>
        <w:snapToGrid w:val="0"/>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In our view the conclusion to be drawn is that any further work on the matter will not lead to any other result than the existing two opposite views, and the only way forward is to leave the status quo of two sets of ITRs as it is and to refrain from any further activities on the ITRs.</w:t>
      </w:r>
    </w:p>
    <w:p w14:paraId="3FDA82BC" w14:textId="1AA85B2F" w:rsidR="00685236" w:rsidRPr="00290C47" w:rsidRDefault="00604377" w:rsidP="00685236">
      <w:pPr>
        <w:snapToGrid w:val="0"/>
        <w:spacing w:before="24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w:t>
      </w:r>
      <w:r w:rsidR="002C5144" w:rsidRPr="00290C47">
        <w:rPr>
          <w:rFonts w:asciiTheme="majorHAnsi" w:hAnsiTheme="majorHAnsi" w:cstheme="majorHAnsi"/>
          <w:b/>
          <w:sz w:val="24"/>
          <w:szCs w:val="24"/>
        </w:rPr>
        <w:t>1.</w:t>
      </w:r>
      <w:r w:rsidR="00376239" w:rsidRPr="00290C47">
        <w:rPr>
          <w:rFonts w:asciiTheme="majorHAnsi" w:hAnsiTheme="majorHAnsi" w:cstheme="majorHAnsi"/>
          <w:b/>
          <w:sz w:val="24"/>
          <w:szCs w:val="24"/>
        </w:rPr>
        <w:t>2</w:t>
      </w:r>
      <w:r w:rsidR="009B05F6" w:rsidRPr="00290C47">
        <w:rPr>
          <w:rFonts w:asciiTheme="majorHAnsi" w:hAnsiTheme="majorHAnsi" w:cstheme="majorHAnsi"/>
          <w:b/>
          <w:bCs/>
          <w:sz w:val="24"/>
          <w:szCs w:val="24"/>
        </w:rPr>
        <w:tab/>
      </w:r>
      <w:r w:rsidR="00685236" w:rsidRPr="00290C47">
        <w:rPr>
          <w:rFonts w:asciiTheme="majorHAnsi" w:hAnsiTheme="majorHAnsi" w:cstheme="majorHAnsi"/>
          <w:b/>
          <w:bCs/>
          <w:sz w:val="24"/>
          <w:szCs w:val="24"/>
        </w:rPr>
        <w:t>VIEWS ON THE FINAL REPORT TO COUNCIL 2022 (</w:t>
      </w:r>
      <w:hyperlink r:id="rId11" w:history="1">
        <w:r w:rsidR="00685236" w:rsidRPr="00290C47">
          <w:rPr>
            <w:rStyle w:val="Hyperlink"/>
            <w:rFonts w:asciiTheme="majorHAnsi" w:hAnsiTheme="majorHAnsi" w:cstheme="majorHAnsi"/>
            <w:b/>
            <w:bCs/>
            <w:sz w:val="24"/>
            <w:szCs w:val="24"/>
          </w:rPr>
          <w:t>EG-ITRs-6/4</w:t>
        </w:r>
      </w:hyperlink>
      <w:r w:rsidR="00685236" w:rsidRPr="00290C47">
        <w:rPr>
          <w:rFonts w:asciiTheme="majorHAnsi" w:hAnsiTheme="majorHAnsi" w:cstheme="majorHAnsi"/>
          <w:b/>
          <w:bCs/>
          <w:sz w:val="24"/>
          <w:szCs w:val="24"/>
        </w:rPr>
        <w:t>): Contribution by Canada and the USA</w:t>
      </w:r>
    </w:p>
    <w:p w14:paraId="12C7D7F4" w14:textId="17E6C38A" w:rsidR="00685236" w:rsidRPr="00290C47" w:rsidRDefault="00685236" w:rsidP="004B737B">
      <w:pPr>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Canada and the United States wish to express their support for the draft </w:t>
      </w:r>
      <w:bookmarkStart w:id="1" w:name="_Hlk83742100"/>
      <w:r w:rsidRPr="00290C47">
        <w:rPr>
          <w:rFonts w:asciiTheme="majorHAnsi" w:hAnsiTheme="majorHAnsi" w:cstheme="majorHAnsi"/>
          <w:sz w:val="24"/>
          <w:szCs w:val="24"/>
        </w:rPr>
        <w:t xml:space="preserve">final report of the Expert Group on the International Telecommunication Regulations (EG-ITRs) </w:t>
      </w:r>
      <w:bookmarkEnd w:id="1"/>
      <w:r w:rsidRPr="00290C47">
        <w:rPr>
          <w:rFonts w:asciiTheme="majorHAnsi" w:hAnsiTheme="majorHAnsi" w:cstheme="majorHAnsi"/>
          <w:sz w:val="24"/>
          <w:szCs w:val="24"/>
        </w:rPr>
        <w:t>to ITU Council 2022, as contained in Document EG-ITRs-6/2.</w:t>
      </w:r>
    </w:p>
    <w:p w14:paraId="7A6E2850" w14:textId="77777777" w:rsidR="004B737B" w:rsidRPr="00290C47" w:rsidRDefault="00685236" w:rsidP="004B737B">
      <w:pPr>
        <w:spacing w:before="120" w:after="120" w:line="240" w:lineRule="auto"/>
        <w:ind w:firstLine="720"/>
        <w:jc w:val="both"/>
        <w:rPr>
          <w:rFonts w:asciiTheme="majorHAnsi" w:hAnsiTheme="majorHAnsi" w:cstheme="majorHAnsi"/>
          <w:b/>
          <w:sz w:val="24"/>
          <w:szCs w:val="24"/>
        </w:rPr>
      </w:pPr>
      <w:r w:rsidRPr="00290C47">
        <w:rPr>
          <w:rFonts w:asciiTheme="majorHAnsi" w:hAnsiTheme="majorHAnsi" w:cstheme="majorHAnsi"/>
          <w:sz w:val="24"/>
          <w:szCs w:val="24"/>
        </w:rPr>
        <w:t>Having participated actively in all five previous EG-ITRs meetings, we find that the report fully reflects all the contributions received and the various opinions expressed. We appreciate that the report factually and correctly concludes that there is a lack of consensus on the way forward with respect to the ITRs.</w:t>
      </w:r>
    </w:p>
    <w:p w14:paraId="7C321C17" w14:textId="3C934FEE" w:rsidR="00685236" w:rsidRPr="00290C47" w:rsidRDefault="00604377" w:rsidP="00290C47">
      <w:pPr>
        <w:spacing w:before="240" w:after="120" w:line="240" w:lineRule="auto"/>
        <w:jc w:val="both"/>
        <w:rPr>
          <w:rFonts w:asciiTheme="majorHAnsi" w:hAnsiTheme="majorHAnsi" w:cstheme="majorHAnsi"/>
          <w:b/>
          <w:bCs/>
          <w:sz w:val="24"/>
          <w:szCs w:val="24"/>
        </w:rPr>
      </w:pPr>
      <w:r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w:t>
      </w:r>
      <w:r w:rsidR="002C5144" w:rsidRPr="00290C47">
        <w:rPr>
          <w:rFonts w:asciiTheme="majorHAnsi" w:hAnsiTheme="majorHAnsi" w:cstheme="majorHAnsi"/>
          <w:b/>
          <w:sz w:val="24"/>
          <w:szCs w:val="24"/>
        </w:rPr>
        <w:t>1.</w:t>
      </w:r>
      <w:r w:rsidR="00376239"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ab/>
      </w:r>
      <w:r w:rsidR="00685236" w:rsidRPr="00290C47">
        <w:rPr>
          <w:rFonts w:asciiTheme="majorHAnsi" w:hAnsiTheme="majorHAnsi" w:cstheme="majorHAnsi"/>
          <w:b/>
          <w:bCs/>
          <w:sz w:val="24"/>
          <w:szCs w:val="24"/>
        </w:rPr>
        <w:t>FURTHER STEPS IN THE IMPLEMENTATION OF RESOLUTION 146 (REV. DUBAI, 2018) OF THE PLENIPOTENTIARY CONFERENCE AND RESOLUTION 1379 (MODIFIED 2019) OF THE ITU COUNCIL AND PROPOSALS FOR THE FINAL REPORT OF EG-ITRS (</w:t>
      </w:r>
      <w:hyperlink r:id="rId12" w:history="1">
        <w:r w:rsidR="00685236" w:rsidRPr="00290C47">
          <w:rPr>
            <w:rStyle w:val="Hyperlink"/>
            <w:rFonts w:asciiTheme="majorHAnsi" w:hAnsiTheme="majorHAnsi" w:cstheme="majorHAnsi"/>
            <w:b/>
            <w:bCs/>
            <w:sz w:val="24"/>
            <w:szCs w:val="24"/>
          </w:rPr>
          <w:t>EG-ITRs-6/5</w:t>
        </w:r>
      </w:hyperlink>
      <w:r w:rsidR="00685236" w:rsidRPr="00290C47">
        <w:rPr>
          <w:rFonts w:asciiTheme="majorHAnsi" w:hAnsiTheme="majorHAnsi" w:cstheme="majorHAnsi"/>
          <w:b/>
          <w:bCs/>
          <w:sz w:val="24"/>
          <w:szCs w:val="24"/>
        </w:rPr>
        <w:t xml:space="preserve">): Contribution by </w:t>
      </w:r>
      <w:proofErr w:type="spellStart"/>
      <w:r w:rsidR="00685236" w:rsidRPr="00290C47">
        <w:rPr>
          <w:rFonts w:asciiTheme="majorHAnsi" w:hAnsiTheme="majorHAnsi" w:cstheme="majorHAnsi"/>
          <w:b/>
          <w:bCs/>
          <w:sz w:val="24"/>
          <w:szCs w:val="24"/>
        </w:rPr>
        <w:t>Rostelecom</w:t>
      </w:r>
      <w:proofErr w:type="spellEnd"/>
    </w:p>
    <w:p w14:paraId="5CA268A8" w14:textId="5E5618A0" w:rsidR="00685236" w:rsidRPr="00290C47" w:rsidRDefault="00685236" w:rsidP="008E17F6">
      <w:pPr>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This contribution calls on ITU Member States and Sector Members, including those participating in the meetings of EG-ITRs, to demonstrably make the meaningful efforts required to fulfil </w:t>
      </w:r>
      <w:r w:rsidRPr="00290C47">
        <w:rPr>
          <w:rFonts w:asciiTheme="majorHAnsi" w:hAnsiTheme="majorHAnsi" w:cstheme="majorHAnsi"/>
          <w:i/>
          <w:iCs/>
          <w:sz w:val="24"/>
          <w:szCs w:val="24"/>
        </w:rPr>
        <w:t>resolves 2</w:t>
      </w:r>
      <w:r w:rsidRPr="00290C47">
        <w:rPr>
          <w:rFonts w:asciiTheme="majorHAnsi" w:hAnsiTheme="majorHAnsi" w:cstheme="majorHAnsi"/>
          <w:sz w:val="24"/>
          <w:szCs w:val="24"/>
        </w:rPr>
        <w:t xml:space="preserve"> of Resolution 146 (Rev. Dubai, 2018) of the Plenipotentiary Conference and achieve consensus on the way forward in respect of the ITRs.</w:t>
      </w:r>
    </w:p>
    <w:p w14:paraId="38BF0BE8" w14:textId="6D2B9FFF" w:rsidR="005A649E" w:rsidRPr="00290C47" w:rsidRDefault="005A649E" w:rsidP="008E17F6">
      <w:pPr>
        <w:ind w:firstLine="720"/>
        <w:jc w:val="both"/>
        <w:rPr>
          <w:rFonts w:asciiTheme="majorHAnsi" w:eastAsia="Times New Roman" w:hAnsiTheme="majorHAnsi" w:cstheme="majorHAnsi"/>
          <w:sz w:val="24"/>
          <w:szCs w:val="24"/>
        </w:rPr>
      </w:pPr>
      <w:r w:rsidRPr="00290C47">
        <w:rPr>
          <w:rFonts w:asciiTheme="majorHAnsi" w:eastAsia="Times New Roman" w:hAnsiTheme="majorHAnsi" w:cstheme="majorHAnsi"/>
          <w:sz w:val="24"/>
          <w:szCs w:val="24"/>
        </w:rPr>
        <w:t>It was also proposed to consider two possible ways of resolving the existing disagreements at this time and identify the preferred option:</w:t>
      </w:r>
      <w:r w:rsidRPr="00290C47">
        <w:rPr>
          <w:rFonts w:asciiTheme="majorHAnsi" w:eastAsia="Times New Roman" w:hAnsiTheme="majorHAnsi" w:cstheme="majorHAnsi"/>
          <w:sz w:val="24"/>
          <w:szCs w:val="24"/>
          <w:lang w:val="en-US"/>
        </w:rPr>
        <w:t xml:space="preserve"> </w:t>
      </w:r>
      <w:r w:rsidRPr="00290C47">
        <w:rPr>
          <w:rFonts w:asciiTheme="majorHAnsi" w:eastAsia="Times New Roman" w:hAnsiTheme="majorHAnsi" w:cstheme="majorHAnsi"/>
          <w:sz w:val="24"/>
          <w:szCs w:val="24"/>
        </w:rPr>
        <w:t>the first option is for all Member States to accede to the International Telecommunication Regulations (Rev. Dubai, 2012);</w:t>
      </w:r>
      <w:r w:rsidRPr="00290C47">
        <w:rPr>
          <w:rFonts w:asciiTheme="majorHAnsi" w:eastAsia="Times New Roman" w:hAnsiTheme="majorHAnsi" w:cstheme="majorHAnsi"/>
          <w:sz w:val="24"/>
          <w:szCs w:val="24"/>
          <w:lang w:val="en-US"/>
        </w:rPr>
        <w:t xml:space="preserve"> </w:t>
      </w:r>
      <w:r w:rsidRPr="00290C47">
        <w:rPr>
          <w:rFonts w:asciiTheme="majorHAnsi" w:eastAsia="Times New Roman" w:hAnsiTheme="majorHAnsi" w:cstheme="majorHAnsi"/>
          <w:sz w:val="24"/>
          <w:szCs w:val="24"/>
        </w:rPr>
        <w:t xml:space="preserve">the second option is for a partial or full revision of the ITRs with a view to the adoption of a new </w:t>
      </w:r>
      <w:r w:rsidRPr="00290C47">
        <w:rPr>
          <w:rFonts w:asciiTheme="majorHAnsi" w:eastAsia="Times New Roman" w:hAnsiTheme="majorHAnsi" w:cstheme="majorHAnsi"/>
          <w:sz w:val="24"/>
          <w:szCs w:val="24"/>
        </w:rPr>
        <w:lastRenderedPageBreak/>
        <w:t>version of the treaty by consensus.</w:t>
      </w:r>
      <w:r w:rsidR="008E17F6" w:rsidRPr="00290C47">
        <w:rPr>
          <w:rFonts w:asciiTheme="majorHAnsi" w:eastAsia="Times New Roman" w:hAnsiTheme="majorHAnsi" w:cstheme="majorHAnsi"/>
          <w:sz w:val="24"/>
          <w:szCs w:val="24"/>
        </w:rPr>
        <w:t xml:space="preserve"> </w:t>
      </w:r>
      <w:r w:rsidRPr="00290C47">
        <w:rPr>
          <w:rFonts w:asciiTheme="majorHAnsi" w:eastAsia="Times New Roman" w:hAnsiTheme="majorHAnsi" w:cstheme="majorHAnsi"/>
          <w:sz w:val="24"/>
          <w:szCs w:val="24"/>
        </w:rPr>
        <w:t>Reflect in the Final Report of EG-ITRs the contributions submitted by the Directors of the three ITU Bureaux (previous contributions EG-ITRs-5/INF/1, EG-ITRs-5/10).</w:t>
      </w:r>
    </w:p>
    <w:p w14:paraId="32441541" w14:textId="4E8A3895" w:rsidR="00685236" w:rsidRPr="00290C47" w:rsidRDefault="00604377" w:rsidP="004B737B">
      <w:pPr>
        <w:spacing w:before="36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w:t>
      </w:r>
      <w:r w:rsidR="002C5144" w:rsidRPr="00290C47">
        <w:rPr>
          <w:rFonts w:asciiTheme="majorHAnsi" w:hAnsiTheme="majorHAnsi" w:cstheme="majorHAnsi"/>
          <w:b/>
          <w:sz w:val="24"/>
          <w:szCs w:val="24"/>
        </w:rPr>
        <w:t>1.</w:t>
      </w:r>
      <w:r w:rsidR="00376239" w:rsidRPr="00290C47">
        <w:rPr>
          <w:rFonts w:asciiTheme="majorHAnsi" w:hAnsiTheme="majorHAnsi" w:cstheme="majorHAnsi"/>
          <w:b/>
          <w:sz w:val="24"/>
          <w:szCs w:val="24"/>
        </w:rPr>
        <w:t>4</w:t>
      </w:r>
      <w:r w:rsidR="009B05F6" w:rsidRPr="00290C47">
        <w:rPr>
          <w:rFonts w:asciiTheme="majorHAnsi" w:hAnsiTheme="majorHAnsi" w:cstheme="majorHAnsi"/>
          <w:b/>
          <w:sz w:val="24"/>
          <w:szCs w:val="24"/>
        </w:rPr>
        <w:tab/>
      </w:r>
      <w:r w:rsidR="00685236" w:rsidRPr="00290C47">
        <w:rPr>
          <w:rFonts w:asciiTheme="majorHAnsi" w:hAnsiTheme="majorHAnsi" w:cstheme="majorHAnsi"/>
          <w:b/>
          <w:bCs/>
          <w:sz w:val="24"/>
          <w:szCs w:val="24"/>
        </w:rPr>
        <w:t>FINAL THOUGHTS ON THE ITRS (</w:t>
      </w:r>
      <w:hyperlink r:id="rId13" w:history="1">
        <w:r w:rsidR="00685236" w:rsidRPr="00290C47">
          <w:rPr>
            <w:rStyle w:val="Hyperlink"/>
            <w:rFonts w:asciiTheme="majorHAnsi" w:hAnsiTheme="majorHAnsi" w:cstheme="majorHAnsi"/>
            <w:b/>
            <w:bCs/>
            <w:sz w:val="24"/>
            <w:szCs w:val="24"/>
          </w:rPr>
          <w:t>EG-ITRs-6/6</w:t>
        </w:r>
      </w:hyperlink>
      <w:r w:rsidR="00685236" w:rsidRPr="00290C47">
        <w:rPr>
          <w:rFonts w:asciiTheme="majorHAnsi" w:hAnsiTheme="majorHAnsi" w:cstheme="majorHAnsi"/>
          <w:b/>
          <w:bCs/>
          <w:sz w:val="24"/>
          <w:szCs w:val="24"/>
        </w:rPr>
        <w:t>): Contribution by the Arab Republic of Egypt and the State of Kuwait</w:t>
      </w:r>
    </w:p>
    <w:p w14:paraId="224AF8F0" w14:textId="77777777" w:rsidR="00604377" w:rsidRPr="00290C47" w:rsidRDefault="00604377" w:rsidP="00604377">
      <w:pPr>
        <w:snapToGrid w:val="0"/>
        <w:spacing w:before="120" w:after="120" w:line="240" w:lineRule="auto"/>
        <w:ind w:firstLine="720"/>
        <w:jc w:val="both"/>
        <w:rPr>
          <w:rFonts w:asciiTheme="majorHAnsi" w:hAnsiTheme="majorHAnsi" w:cstheme="majorHAnsi"/>
          <w:sz w:val="24"/>
          <w:szCs w:val="24"/>
          <w:lang w:val="en"/>
        </w:rPr>
      </w:pPr>
      <w:r w:rsidRPr="00290C47">
        <w:rPr>
          <w:rFonts w:asciiTheme="majorHAnsi" w:hAnsiTheme="majorHAnsi" w:cstheme="majorHAnsi"/>
          <w:sz w:val="24"/>
          <w:szCs w:val="24"/>
          <w:lang w:val="en"/>
        </w:rPr>
        <w:t xml:space="preserve">The current situation with two versions of the treaty (1988 and 2012 ITRs) is harmful to the image of ITU as the UN agency responsible for telecommunications/ICTs. </w:t>
      </w:r>
    </w:p>
    <w:p w14:paraId="313CD180" w14:textId="77777777" w:rsidR="00604377" w:rsidRPr="00290C47" w:rsidRDefault="00604377" w:rsidP="00604377">
      <w:pPr>
        <w:snapToGrid w:val="0"/>
        <w:spacing w:before="120" w:after="120" w:line="240" w:lineRule="auto"/>
        <w:ind w:firstLine="720"/>
        <w:jc w:val="both"/>
        <w:rPr>
          <w:rFonts w:asciiTheme="majorHAnsi" w:hAnsiTheme="majorHAnsi" w:cstheme="majorHAnsi"/>
          <w:sz w:val="24"/>
          <w:szCs w:val="24"/>
          <w:lang w:val="en"/>
        </w:rPr>
      </w:pPr>
      <w:r w:rsidRPr="00290C47">
        <w:rPr>
          <w:rFonts w:asciiTheme="majorHAnsi" w:hAnsiTheme="majorHAnsi" w:cstheme="majorHAnsi"/>
          <w:sz w:val="24"/>
          <w:szCs w:val="24"/>
          <w:lang w:val="en"/>
        </w:rPr>
        <w:t xml:space="preserve">Therefore, we look forward to receiving proposals on the way forward from all Member States, and especially those who believe that the ITRs are no longer relevant, including proposals to abrogate the treaty if they see so. </w:t>
      </w:r>
    </w:p>
    <w:p w14:paraId="053DEBD4" w14:textId="11D50F80" w:rsidR="00604377" w:rsidRPr="00290C47" w:rsidRDefault="00604377" w:rsidP="00604377">
      <w:pPr>
        <w:snapToGrid w:val="0"/>
        <w:spacing w:before="120" w:after="120" w:line="240" w:lineRule="auto"/>
        <w:ind w:firstLine="720"/>
        <w:jc w:val="both"/>
        <w:rPr>
          <w:rFonts w:asciiTheme="majorHAnsi" w:hAnsiTheme="majorHAnsi" w:cstheme="majorHAnsi"/>
          <w:sz w:val="24"/>
          <w:szCs w:val="24"/>
          <w:rtl/>
        </w:rPr>
      </w:pPr>
      <w:r w:rsidRPr="00290C47">
        <w:rPr>
          <w:rFonts w:asciiTheme="majorHAnsi" w:hAnsiTheme="majorHAnsi" w:cstheme="majorHAnsi"/>
          <w:sz w:val="24"/>
          <w:szCs w:val="24"/>
          <w:lang w:val="en"/>
        </w:rPr>
        <w:t>ITRs are important to us as developing countries, and hence we propose for this Expert Group to continue its work until consensus is reached.</w:t>
      </w:r>
    </w:p>
    <w:p w14:paraId="00000037" w14:textId="68D36526" w:rsidR="00D044C6" w:rsidRPr="00290C47" w:rsidRDefault="00604377" w:rsidP="00290C47">
      <w:pPr>
        <w:snapToGrid w:val="0"/>
        <w:spacing w:before="120" w:after="120" w:line="240" w:lineRule="auto"/>
        <w:jc w:val="both"/>
        <w:rPr>
          <w:rFonts w:asciiTheme="majorHAnsi" w:hAnsiTheme="majorHAnsi" w:cstheme="majorHAnsi"/>
          <w:b/>
          <w:bCs/>
          <w:sz w:val="24"/>
          <w:szCs w:val="24"/>
        </w:rPr>
      </w:pPr>
      <w:r w:rsidRPr="00290C47">
        <w:rPr>
          <w:rFonts w:asciiTheme="majorHAnsi" w:hAnsiTheme="majorHAnsi" w:cstheme="majorHAnsi"/>
          <w:b/>
          <w:sz w:val="24"/>
          <w:szCs w:val="24"/>
        </w:rPr>
        <w:t>3</w:t>
      </w:r>
      <w:r w:rsidR="009B05F6" w:rsidRPr="00290C47">
        <w:rPr>
          <w:rFonts w:asciiTheme="majorHAnsi" w:hAnsiTheme="majorHAnsi" w:cstheme="majorHAnsi"/>
          <w:b/>
          <w:sz w:val="24"/>
          <w:szCs w:val="24"/>
        </w:rPr>
        <w:t>.</w:t>
      </w:r>
      <w:r w:rsidR="002C5144" w:rsidRPr="00290C47">
        <w:rPr>
          <w:rFonts w:asciiTheme="majorHAnsi" w:hAnsiTheme="majorHAnsi" w:cstheme="majorHAnsi"/>
          <w:b/>
          <w:sz w:val="24"/>
          <w:szCs w:val="24"/>
        </w:rPr>
        <w:t>1.</w:t>
      </w:r>
      <w:r w:rsidR="00376239" w:rsidRPr="00290C47">
        <w:rPr>
          <w:rFonts w:asciiTheme="majorHAnsi" w:hAnsiTheme="majorHAnsi" w:cstheme="majorHAnsi"/>
          <w:b/>
          <w:sz w:val="24"/>
          <w:szCs w:val="24"/>
        </w:rPr>
        <w:t>5</w:t>
      </w:r>
      <w:r w:rsidR="009B05F6" w:rsidRPr="00290C47">
        <w:rPr>
          <w:rFonts w:asciiTheme="majorHAnsi" w:hAnsiTheme="majorHAnsi" w:cstheme="majorHAnsi"/>
          <w:b/>
          <w:sz w:val="24"/>
          <w:szCs w:val="24"/>
        </w:rPr>
        <w:tab/>
      </w:r>
      <w:r w:rsidRPr="00290C47">
        <w:rPr>
          <w:rFonts w:asciiTheme="majorHAnsi" w:hAnsiTheme="majorHAnsi" w:cstheme="majorHAnsi"/>
          <w:b/>
          <w:bCs/>
          <w:sz w:val="24"/>
          <w:szCs w:val="24"/>
        </w:rPr>
        <w:t>VIEWS ON THE RELATED WORK OF THE EXPERT GROUP ON THE INTERNATIONAL TELECOMMUNICATION REGULATIONS (EG-ITRS) (</w:t>
      </w:r>
      <w:hyperlink r:id="rId14" w:history="1">
        <w:r w:rsidRPr="00290C47">
          <w:rPr>
            <w:rStyle w:val="Hyperlink"/>
            <w:rFonts w:asciiTheme="majorHAnsi" w:hAnsiTheme="majorHAnsi" w:cstheme="majorHAnsi"/>
            <w:b/>
            <w:bCs/>
            <w:sz w:val="24"/>
            <w:szCs w:val="24"/>
          </w:rPr>
          <w:t>EG-ITRs-6/7</w:t>
        </w:r>
      </w:hyperlink>
      <w:r w:rsidRPr="00290C47">
        <w:rPr>
          <w:rFonts w:asciiTheme="majorHAnsi" w:hAnsiTheme="majorHAnsi" w:cstheme="majorHAnsi"/>
          <w:b/>
          <w:bCs/>
          <w:sz w:val="24"/>
          <w:szCs w:val="24"/>
        </w:rPr>
        <w:t>): Contribution by the People's Republic of China</w:t>
      </w:r>
    </w:p>
    <w:p w14:paraId="32E151A6" w14:textId="4D2794D5" w:rsidR="00604377" w:rsidRPr="00290C47" w:rsidRDefault="00604377" w:rsidP="00604377">
      <w:pPr>
        <w:snapToGrid w:val="0"/>
        <w:spacing w:before="120" w:after="120" w:line="240" w:lineRule="auto"/>
        <w:ind w:firstLine="720"/>
        <w:jc w:val="both"/>
        <w:rPr>
          <w:rFonts w:asciiTheme="majorHAnsi" w:hAnsiTheme="majorHAnsi" w:cstheme="majorHAnsi"/>
          <w:b/>
          <w:bCs/>
          <w:sz w:val="24"/>
          <w:szCs w:val="24"/>
        </w:rPr>
      </w:pPr>
      <w:r w:rsidRPr="00290C47">
        <w:rPr>
          <w:rFonts w:asciiTheme="majorHAnsi" w:hAnsiTheme="majorHAnsi" w:cstheme="majorHAnsi"/>
          <w:sz w:val="24"/>
          <w:szCs w:val="24"/>
        </w:rPr>
        <w:t>In account of the new trends in telecommunications/ICT and the emerging issues in the international telecommunications/ICT environment, it is important to foster an enabling environment that can keep abreast with the rapidly changing ICT ecosystem. In view of this, we propose to retain the EG-ITRs. Based on the work results already achieved up to now, the Expert Group will continue to facilitate the review and revision of the ITRs as well as other related work.</w:t>
      </w:r>
    </w:p>
    <w:p w14:paraId="0000004F" w14:textId="0F751969" w:rsidR="00D044C6" w:rsidRPr="00290C47" w:rsidRDefault="00604377" w:rsidP="00292917">
      <w:pPr>
        <w:spacing w:before="360" w:after="120" w:line="240" w:lineRule="auto"/>
        <w:rPr>
          <w:rFonts w:asciiTheme="majorHAnsi" w:hAnsiTheme="majorHAnsi" w:cstheme="majorHAnsi"/>
          <w:sz w:val="24"/>
          <w:szCs w:val="24"/>
        </w:rPr>
      </w:pPr>
      <w:r w:rsidRPr="00290C47">
        <w:rPr>
          <w:rFonts w:asciiTheme="majorHAnsi" w:hAnsiTheme="majorHAnsi" w:cstheme="majorHAnsi"/>
          <w:b/>
          <w:sz w:val="24"/>
          <w:szCs w:val="24"/>
        </w:rPr>
        <w:t>3</w:t>
      </w:r>
      <w:r w:rsidR="002C5144" w:rsidRPr="00290C47">
        <w:rPr>
          <w:rFonts w:asciiTheme="majorHAnsi" w:hAnsiTheme="majorHAnsi" w:cstheme="majorHAnsi"/>
          <w:b/>
          <w:sz w:val="24"/>
          <w:szCs w:val="24"/>
        </w:rPr>
        <w:t>.</w:t>
      </w:r>
      <w:r w:rsidR="00D84690" w:rsidRPr="00290C47">
        <w:rPr>
          <w:rFonts w:asciiTheme="majorHAnsi" w:hAnsiTheme="majorHAnsi" w:cstheme="majorHAnsi"/>
          <w:b/>
          <w:sz w:val="24"/>
          <w:szCs w:val="24"/>
        </w:rPr>
        <w:t>2</w:t>
      </w:r>
      <w:r w:rsidR="009B05F6" w:rsidRPr="00290C47">
        <w:rPr>
          <w:rFonts w:asciiTheme="majorHAnsi" w:hAnsiTheme="majorHAnsi" w:cstheme="majorHAnsi"/>
          <w:b/>
          <w:sz w:val="24"/>
          <w:szCs w:val="24"/>
        </w:rPr>
        <w:tab/>
        <w:t>Discussions on the Contributions</w:t>
      </w:r>
    </w:p>
    <w:p w14:paraId="3D15AD1A" w14:textId="18028998" w:rsidR="002853DB" w:rsidRPr="00290C47" w:rsidRDefault="00604377" w:rsidP="002853DB">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3</w:t>
      </w:r>
      <w:r w:rsidR="00DB0871" w:rsidRPr="00290C47">
        <w:rPr>
          <w:rFonts w:asciiTheme="majorHAnsi" w:hAnsiTheme="majorHAnsi" w:cstheme="majorHAnsi"/>
          <w:b/>
          <w:sz w:val="24"/>
          <w:szCs w:val="24"/>
        </w:rPr>
        <w:t>.2.</w:t>
      </w:r>
      <w:r w:rsidR="00057065" w:rsidRPr="00290C47">
        <w:rPr>
          <w:rFonts w:asciiTheme="majorHAnsi" w:hAnsiTheme="majorHAnsi" w:cstheme="majorHAnsi"/>
          <w:b/>
          <w:sz w:val="24"/>
          <w:szCs w:val="24"/>
        </w:rPr>
        <w:t>1</w:t>
      </w:r>
      <w:r w:rsidR="00DB0871" w:rsidRPr="00290C47">
        <w:rPr>
          <w:rFonts w:asciiTheme="majorHAnsi" w:hAnsiTheme="majorHAnsi" w:cstheme="majorHAnsi"/>
          <w:bCs/>
          <w:sz w:val="24"/>
          <w:szCs w:val="24"/>
        </w:rPr>
        <w:tab/>
      </w:r>
      <w:r w:rsidR="00260677" w:rsidRPr="00290C47">
        <w:rPr>
          <w:rFonts w:asciiTheme="majorHAnsi" w:hAnsiTheme="majorHAnsi" w:cstheme="majorHAnsi"/>
          <w:sz w:val="24"/>
          <w:szCs w:val="24"/>
        </w:rPr>
        <w:t>Some members were of the view that</w:t>
      </w:r>
      <w:r w:rsidR="00C12B28" w:rsidRPr="00290C47">
        <w:rPr>
          <w:rFonts w:asciiTheme="majorHAnsi" w:hAnsiTheme="majorHAnsi" w:cstheme="majorHAnsi"/>
          <w:sz w:val="24"/>
          <w:szCs w:val="24"/>
        </w:rPr>
        <w:t xml:space="preserve"> the provision-by-provision review of the ITRs has helped identify the issues or difficulties </w:t>
      </w:r>
      <w:r w:rsidR="00C12B28" w:rsidRPr="00290C47">
        <w:rPr>
          <w:rFonts w:asciiTheme="majorHAnsi" w:hAnsiTheme="majorHAnsi" w:cstheme="majorHAnsi"/>
          <w:sz w:val="24"/>
          <w:szCs w:val="24"/>
          <w:lang w:val="en-US"/>
        </w:rPr>
        <w:t xml:space="preserve">that have arisen </w:t>
      </w:r>
      <w:r w:rsidR="0019358F" w:rsidRPr="00290C47">
        <w:rPr>
          <w:rFonts w:asciiTheme="majorHAnsi" w:hAnsiTheme="majorHAnsi" w:cstheme="majorHAnsi"/>
          <w:sz w:val="24"/>
          <w:szCs w:val="24"/>
          <w:lang w:val="en-US"/>
        </w:rPr>
        <w:t>due to the</w:t>
      </w:r>
      <w:r w:rsidR="00C12B28" w:rsidRPr="00290C47">
        <w:rPr>
          <w:rFonts w:asciiTheme="majorHAnsi" w:hAnsiTheme="majorHAnsi" w:cstheme="majorHAnsi"/>
          <w:sz w:val="24"/>
          <w:szCs w:val="24"/>
          <w:lang w:val="en-US"/>
        </w:rPr>
        <w:t xml:space="preserve"> differences between the 2012 and the 1988 texts</w:t>
      </w:r>
      <w:r w:rsidR="0019358F" w:rsidRPr="00290C47">
        <w:rPr>
          <w:rFonts w:asciiTheme="majorHAnsi" w:hAnsiTheme="majorHAnsi" w:cstheme="majorHAnsi"/>
          <w:sz w:val="24"/>
          <w:szCs w:val="24"/>
          <w:lang w:val="en-US"/>
        </w:rPr>
        <w:t>,</w:t>
      </w:r>
      <w:r w:rsidR="00C12B28" w:rsidRPr="00290C47">
        <w:rPr>
          <w:rFonts w:asciiTheme="majorHAnsi" w:hAnsiTheme="majorHAnsi" w:cstheme="majorHAnsi"/>
          <w:sz w:val="24"/>
          <w:szCs w:val="24"/>
          <w:lang w:val="en-US"/>
        </w:rPr>
        <w:t xml:space="preserve"> and that surveys within their regions have demonstrated that the ITRs are in use by operators.</w:t>
      </w:r>
      <w:r w:rsidR="002853DB" w:rsidRPr="00290C47">
        <w:rPr>
          <w:rFonts w:asciiTheme="majorHAnsi" w:hAnsiTheme="majorHAnsi" w:cstheme="majorHAnsi"/>
          <w:sz w:val="24"/>
          <w:szCs w:val="24"/>
          <w:lang w:val="en-US"/>
        </w:rPr>
        <w:t xml:space="preserve"> These members stressed </w:t>
      </w:r>
      <w:r w:rsidR="00BC6F73" w:rsidRPr="00290C47">
        <w:rPr>
          <w:rFonts w:asciiTheme="majorHAnsi" w:hAnsiTheme="majorHAnsi" w:cstheme="majorHAnsi"/>
          <w:sz w:val="24"/>
          <w:szCs w:val="24"/>
          <w:lang w:val="en-US"/>
        </w:rPr>
        <w:t xml:space="preserve">that the Group has </w:t>
      </w:r>
      <w:r w:rsidR="0019358F" w:rsidRPr="00290C47">
        <w:rPr>
          <w:rFonts w:asciiTheme="majorHAnsi" w:hAnsiTheme="majorHAnsi" w:cstheme="majorHAnsi"/>
          <w:sz w:val="24"/>
          <w:szCs w:val="24"/>
          <w:lang w:val="en-US"/>
        </w:rPr>
        <w:t xml:space="preserve">failed to </w:t>
      </w:r>
      <w:r w:rsidR="00BC6F73" w:rsidRPr="00290C47">
        <w:rPr>
          <w:rFonts w:asciiTheme="majorHAnsi" w:hAnsiTheme="majorHAnsi" w:cstheme="majorHAnsi"/>
          <w:sz w:val="24"/>
          <w:szCs w:val="24"/>
          <w:lang w:val="en-US"/>
        </w:rPr>
        <w:t xml:space="preserve">achieve its mandate unless an </w:t>
      </w:r>
      <w:r w:rsidR="002853DB" w:rsidRPr="00290C47">
        <w:rPr>
          <w:rFonts w:asciiTheme="majorHAnsi" w:hAnsiTheme="majorHAnsi" w:cstheme="majorHAnsi"/>
          <w:sz w:val="24"/>
          <w:szCs w:val="24"/>
          <w:lang w:val="en-US"/>
        </w:rPr>
        <w:t xml:space="preserve">agreement </w:t>
      </w:r>
      <w:r w:rsidR="00BC6F73" w:rsidRPr="00290C47">
        <w:rPr>
          <w:rFonts w:asciiTheme="majorHAnsi" w:hAnsiTheme="majorHAnsi" w:cstheme="majorHAnsi"/>
          <w:sz w:val="24"/>
          <w:szCs w:val="24"/>
          <w:lang w:val="en-US"/>
        </w:rPr>
        <w:t xml:space="preserve">is reached </w:t>
      </w:r>
      <w:r w:rsidR="0019358F" w:rsidRPr="00290C47">
        <w:rPr>
          <w:rFonts w:asciiTheme="majorHAnsi" w:hAnsiTheme="majorHAnsi" w:cstheme="majorHAnsi"/>
          <w:sz w:val="24"/>
          <w:szCs w:val="24"/>
          <w:lang w:val="en-US"/>
        </w:rPr>
        <w:t xml:space="preserve">among members </w:t>
      </w:r>
      <w:r w:rsidR="00DB0871" w:rsidRPr="00290C47">
        <w:rPr>
          <w:rFonts w:asciiTheme="majorHAnsi" w:hAnsiTheme="majorHAnsi" w:cstheme="majorHAnsi"/>
          <w:sz w:val="24"/>
          <w:szCs w:val="24"/>
        </w:rPr>
        <w:t>on a way forward in respect of the ITRs, including</w:t>
      </w:r>
      <w:r w:rsidR="0047659D" w:rsidRPr="00290C47">
        <w:rPr>
          <w:rFonts w:asciiTheme="majorHAnsi" w:hAnsiTheme="majorHAnsi" w:cstheme="majorHAnsi"/>
          <w:sz w:val="24"/>
          <w:szCs w:val="24"/>
        </w:rPr>
        <w:t xml:space="preserve"> proposing any revisions/amendments to the ITRs as may be necessary to update them, </w:t>
      </w:r>
      <w:proofErr w:type="gramStart"/>
      <w:r w:rsidR="0047659D" w:rsidRPr="00290C47">
        <w:rPr>
          <w:rFonts w:asciiTheme="majorHAnsi" w:hAnsiTheme="majorHAnsi" w:cstheme="majorHAnsi"/>
          <w:sz w:val="24"/>
          <w:szCs w:val="24"/>
        </w:rPr>
        <w:t>taking into account</w:t>
      </w:r>
      <w:proofErr w:type="gramEnd"/>
      <w:r w:rsidR="0047659D" w:rsidRPr="00290C47">
        <w:rPr>
          <w:rFonts w:asciiTheme="majorHAnsi" w:hAnsiTheme="majorHAnsi" w:cstheme="majorHAnsi"/>
          <w:sz w:val="24"/>
          <w:szCs w:val="24"/>
        </w:rPr>
        <w:t xml:space="preserve"> new trends in telecommunications/ICT and emerging issues in international telecommunications/ICT environment.</w:t>
      </w:r>
      <w:r w:rsidR="00260677" w:rsidRPr="00290C47">
        <w:rPr>
          <w:rFonts w:asciiTheme="majorHAnsi" w:hAnsiTheme="majorHAnsi" w:cstheme="majorHAnsi"/>
          <w:sz w:val="24"/>
          <w:szCs w:val="24"/>
        </w:rPr>
        <w:t xml:space="preserve"> </w:t>
      </w:r>
    </w:p>
    <w:p w14:paraId="658A7375" w14:textId="55B5CE97" w:rsidR="003B6FC2" w:rsidRPr="00290C47" w:rsidRDefault="004B737B" w:rsidP="004B737B">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bCs/>
          <w:sz w:val="24"/>
          <w:szCs w:val="24"/>
        </w:rPr>
        <w:t>3.2.2</w:t>
      </w:r>
      <w:r w:rsidRPr="00290C47">
        <w:rPr>
          <w:rFonts w:asciiTheme="majorHAnsi" w:hAnsiTheme="majorHAnsi" w:cstheme="majorHAnsi"/>
          <w:sz w:val="24"/>
          <w:szCs w:val="24"/>
        </w:rPr>
        <w:tab/>
      </w:r>
      <w:r w:rsidR="002853DB" w:rsidRPr="00290C47">
        <w:rPr>
          <w:rFonts w:asciiTheme="majorHAnsi" w:hAnsiTheme="majorHAnsi" w:cstheme="majorHAnsi"/>
          <w:sz w:val="24"/>
          <w:szCs w:val="24"/>
        </w:rPr>
        <w:t>Some members</w:t>
      </w:r>
      <w:r w:rsidR="0047659D" w:rsidRPr="00290C47">
        <w:rPr>
          <w:rFonts w:asciiTheme="majorHAnsi" w:hAnsiTheme="majorHAnsi" w:cstheme="majorHAnsi"/>
          <w:sz w:val="24"/>
          <w:szCs w:val="24"/>
        </w:rPr>
        <w:t xml:space="preserve"> were of the view that</w:t>
      </w:r>
      <w:r w:rsidR="002853DB" w:rsidRPr="00290C47">
        <w:rPr>
          <w:rFonts w:asciiTheme="majorHAnsi" w:hAnsiTheme="majorHAnsi" w:cstheme="majorHAnsi"/>
          <w:sz w:val="24"/>
          <w:szCs w:val="24"/>
        </w:rPr>
        <w:t>,</w:t>
      </w:r>
      <w:r w:rsidR="0047659D" w:rsidRPr="00290C47">
        <w:rPr>
          <w:rFonts w:asciiTheme="majorHAnsi" w:hAnsiTheme="majorHAnsi" w:cstheme="majorHAnsi"/>
          <w:sz w:val="24"/>
          <w:szCs w:val="24"/>
        </w:rPr>
        <w:t xml:space="preserve"> </w:t>
      </w:r>
      <w:r w:rsidR="002853DB" w:rsidRPr="00290C47">
        <w:rPr>
          <w:rFonts w:asciiTheme="majorHAnsi" w:hAnsiTheme="majorHAnsi" w:cstheme="majorHAnsi"/>
          <w:sz w:val="24"/>
          <w:szCs w:val="24"/>
          <w:lang w:val="en-US"/>
        </w:rPr>
        <w:t>based on the provision-by-provision examination, there is a range of views on each provision of the ITRs and no consensus on either the “applicability of the provisions of the ITRs in fostering the provision and development of international telecommunication/ICT services and networks” or the “flexibility of, or lack thereof, the provisions of the ITRs to accommodate new trends in telecommunications/ICT and emerging issues in international telecommunications/ICT environment”</w:t>
      </w:r>
      <w:r w:rsidR="0019358F" w:rsidRPr="00290C47">
        <w:rPr>
          <w:rFonts w:asciiTheme="majorHAnsi" w:hAnsiTheme="majorHAnsi" w:cstheme="majorHAnsi"/>
          <w:sz w:val="24"/>
          <w:szCs w:val="24"/>
          <w:lang w:val="en-US"/>
        </w:rPr>
        <w:t xml:space="preserve"> can be reached</w:t>
      </w:r>
      <w:r w:rsidR="002853DB" w:rsidRPr="00290C47">
        <w:rPr>
          <w:rFonts w:asciiTheme="majorHAnsi" w:hAnsiTheme="majorHAnsi" w:cstheme="majorHAnsi"/>
          <w:sz w:val="24"/>
          <w:szCs w:val="24"/>
          <w:lang w:val="en-US"/>
        </w:rPr>
        <w:t>. They stated that</w:t>
      </w:r>
      <w:r w:rsidR="003B6FC2" w:rsidRPr="00290C47">
        <w:rPr>
          <w:rFonts w:asciiTheme="majorHAnsi" w:hAnsiTheme="majorHAnsi" w:cstheme="majorHAnsi"/>
          <w:sz w:val="24"/>
          <w:szCs w:val="24"/>
          <w:lang w:val="en-US"/>
        </w:rPr>
        <w:t xml:space="preserve"> </w:t>
      </w:r>
      <w:r w:rsidR="0047659D" w:rsidRPr="00290C47">
        <w:rPr>
          <w:rFonts w:asciiTheme="majorHAnsi" w:hAnsiTheme="majorHAnsi" w:cstheme="majorHAnsi"/>
          <w:sz w:val="24"/>
          <w:szCs w:val="24"/>
        </w:rPr>
        <w:t>the Group has achieved its mandate</w:t>
      </w:r>
      <w:r w:rsidR="00BC6F73" w:rsidRPr="00290C47">
        <w:rPr>
          <w:rFonts w:asciiTheme="majorHAnsi" w:hAnsiTheme="majorHAnsi" w:cstheme="majorHAnsi"/>
          <w:sz w:val="24"/>
          <w:szCs w:val="24"/>
        </w:rPr>
        <w:t xml:space="preserve"> by concluding a provision-by-provision review</w:t>
      </w:r>
      <w:r w:rsidR="0047659D" w:rsidRPr="00290C47">
        <w:rPr>
          <w:rFonts w:asciiTheme="majorHAnsi" w:hAnsiTheme="majorHAnsi" w:cstheme="majorHAnsi"/>
          <w:sz w:val="24"/>
          <w:szCs w:val="24"/>
        </w:rPr>
        <w:t xml:space="preserve"> and </w:t>
      </w:r>
      <w:r w:rsidR="00C124B8" w:rsidRPr="00290C47">
        <w:rPr>
          <w:rFonts w:asciiTheme="majorHAnsi" w:hAnsiTheme="majorHAnsi" w:cstheme="majorHAnsi"/>
          <w:sz w:val="24"/>
          <w:szCs w:val="24"/>
        </w:rPr>
        <w:t xml:space="preserve">that </w:t>
      </w:r>
      <w:r w:rsidR="003B1DAB" w:rsidRPr="00290C47">
        <w:rPr>
          <w:rFonts w:asciiTheme="majorHAnsi" w:hAnsiTheme="majorHAnsi" w:cstheme="majorHAnsi"/>
          <w:sz w:val="24"/>
          <w:szCs w:val="24"/>
        </w:rPr>
        <w:t>the Final Report of the EG-ITRs</w:t>
      </w:r>
      <w:r w:rsidR="0047659D" w:rsidRPr="00290C47">
        <w:rPr>
          <w:rFonts w:asciiTheme="majorHAnsi" w:hAnsiTheme="majorHAnsi" w:cstheme="majorHAnsi"/>
          <w:sz w:val="24"/>
          <w:szCs w:val="24"/>
        </w:rPr>
        <w:t>,</w:t>
      </w:r>
      <w:r w:rsidR="00BC6F73" w:rsidRPr="00290C47">
        <w:rPr>
          <w:rFonts w:asciiTheme="majorHAnsi" w:hAnsiTheme="majorHAnsi" w:cstheme="majorHAnsi"/>
          <w:sz w:val="24"/>
          <w:szCs w:val="24"/>
        </w:rPr>
        <w:t xml:space="preserve"> </w:t>
      </w:r>
      <w:r w:rsidR="003B1DAB" w:rsidRPr="00290C47">
        <w:rPr>
          <w:rFonts w:asciiTheme="majorHAnsi" w:hAnsiTheme="majorHAnsi" w:cstheme="majorHAnsi"/>
          <w:sz w:val="24"/>
          <w:szCs w:val="24"/>
        </w:rPr>
        <w:t xml:space="preserve">together </w:t>
      </w:r>
      <w:r w:rsidR="0047659D" w:rsidRPr="00290C47">
        <w:rPr>
          <w:rFonts w:asciiTheme="majorHAnsi" w:hAnsiTheme="majorHAnsi" w:cstheme="majorHAnsi"/>
          <w:sz w:val="24"/>
          <w:szCs w:val="24"/>
        </w:rPr>
        <w:t xml:space="preserve">the Examination Table, </w:t>
      </w:r>
      <w:r w:rsidR="00BC6F73" w:rsidRPr="00290C47">
        <w:rPr>
          <w:rFonts w:asciiTheme="majorHAnsi" w:hAnsiTheme="majorHAnsi" w:cstheme="majorHAnsi"/>
          <w:sz w:val="24"/>
          <w:szCs w:val="24"/>
        </w:rPr>
        <w:t xml:space="preserve">adequately </w:t>
      </w:r>
      <w:r w:rsidR="003B6FC2" w:rsidRPr="00290C47">
        <w:rPr>
          <w:rFonts w:asciiTheme="majorHAnsi" w:hAnsiTheme="majorHAnsi" w:cstheme="majorHAnsi"/>
          <w:sz w:val="24"/>
          <w:szCs w:val="24"/>
        </w:rPr>
        <w:t xml:space="preserve">reflects </w:t>
      </w:r>
      <w:r w:rsidR="0047659D" w:rsidRPr="00290C47">
        <w:rPr>
          <w:rFonts w:asciiTheme="majorHAnsi" w:hAnsiTheme="majorHAnsi" w:cstheme="majorHAnsi"/>
          <w:sz w:val="24"/>
          <w:szCs w:val="24"/>
        </w:rPr>
        <w:t xml:space="preserve">that </w:t>
      </w:r>
      <w:r w:rsidR="003B1DAB" w:rsidRPr="00290C47">
        <w:rPr>
          <w:rFonts w:asciiTheme="majorHAnsi" w:hAnsiTheme="majorHAnsi" w:cstheme="majorHAnsi"/>
          <w:sz w:val="24"/>
          <w:szCs w:val="24"/>
        </w:rPr>
        <w:t xml:space="preserve">the lack of </w:t>
      </w:r>
      <w:r w:rsidR="0047659D" w:rsidRPr="00290C47">
        <w:rPr>
          <w:rFonts w:asciiTheme="majorHAnsi" w:hAnsiTheme="majorHAnsi" w:cstheme="majorHAnsi"/>
          <w:sz w:val="24"/>
          <w:szCs w:val="24"/>
        </w:rPr>
        <w:t>consensus within the Group on the way forward.</w:t>
      </w:r>
      <w:r w:rsidR="00C20591" w:rsidRPr="00290C47">
        <w:rPr>
          <w:rFonts w:asciiTheme="majorHAnsi" w:hAnsiTheme="majorHAnsi" w:cstheme="majorHAnsi"/>
          <w:sz w:val="24"/>
          <w:szCs w:val="24"/>
        </w:rPr>
        <w:t xml:space="preserve"> </w:t>
      </w:r>
    </w:p>
    <w:p w14:paraId="081E64FA" w14:textId="77777777" w:rsidR="003B6FC2" w:rsidRPr="00290C47" w:rsidRDefault="003B6FC2" w:rsidP="003B6FC2">
      <w:pPr>
        <w:spacing w:before="120" w:after="120" w:line="240" w:lineRule="auto"/>
        <w:jc w:val="both"/>
        <w:rPr>
          <w:rFonts w:asciiTheme="majorHAnsi" w:hAnsiTheme="majorHAnsi" w:cstheme="majorHAnsi"/>
          <w:sz w:val="24"/>
          <w:szCs w:val="24"/>
          <w:lang w:val="en-US"/>
        </w:rPr>
      </w:pPr>
      <w:r w:rsidRPr="00290C47">
        <w:rPr>
          <w:rFonts w:asciiTheme="majorHAnsi" w:hAnsiTheme="majorHAnsi" w:cstheme="majorHAnsi"/>
          <w:b/>
          <w:bCs/>
          <w:sz w:val="24"/>
          <w:szCs w:val="24"/>
          <w:lang w:val="en-US"/>
        </w:rPr>
        <w:lastRenderedPageBreak/>
        <w:t>3.2.3</w:t>
      </w:r>
      <w:r w:rsidRPr="00290C47">
        <w:rPr>
          <w:rFonts w:asciiTheme="majorHAnsi" w:hAnsiTheme="majorHAnsi" w:cstheme="majorHAnsi"/>
          <w:sz w:val="24"/>
          <w:szCs w:val="24"/>
          <w:lang w:val="en-US"/>
        </w:rPr>
        <w:tab/>
        <w:t xml:space="preserve">Some members were of the view that the current situation with two versions of the treaty (1988 and 2012 ITRs) is harmful to the image of ITU as the UN agency responsible for telecommunications/ICTs, and that it is important to have proposals from all Member States on the way forward, and especially those who believe that the ITRs are no longer relevant, including proposals to abrogate the treaty if they see so. As a way forward they proposed that the Expert Group needs to continue its work until consensus is reached. </w:t>
      </w:r>
    </w:p>
    <w:p w14:paraId="08A03C28" w14:textId="5DD4662D" w:rsidR="003B6FC2" w:rsidRPr="00290C47" w:rsidRDefault="003B6FC2" w:rsidP="003B6FC2">
      <w:pPr>
        <w:spacing w:before="120" w:after="120" w:line="240" w:lineRule="auto"/>
        <w:ind w:firstLine="720"/>
        <w:jc w:val="both"/>
        <w:rPr>
          <w:rFonts w:asciiTheme="majorHAnsi" w:hAnsiTheme="majorHAnsi" w:cstheme="majorHAnsi"/>
          <w:sz w:val="24"/>
          <w:szCs w:val="24"/>
          <w:lang w:val="en-US"/>
        </w:rPr>
      </w:pPr>
      <w:r w:rsidRPr="00290C47">
        <w:rPr>
          <w:rFonts w:asciiTheme="majorHAnsi" w:hAnsiTheme="majorHAnsi" w:cstheme="majorHAnsi"/>
          <w:sz w:val="24"/>
          <w:szCs w:val="24"/>
          <w:lang w:val="en-US"/>
        </w:rPr>
        <w:t xml:space="preserve">Some members preferred to retain status quo, stating that </w:t>
      </w:r>
      <w:r w:rsidRPr="00290C47">
        <w:rPr>
          <w:rFonts w:asciiTheme="majorHAnsi" w:hAnsiTheme="majorHAnsi" w:cstheme="majorHAnsi"/>
          <w:sz w:val="24"/>
          <w:szCs w:val="24"/>
        </w:rPr>
        <w:t xml:space="preserve">since 2012 the development of telecommunications services has continued to advance and the existence of two sets of ITRs has not hindered this development in any way. They were of the view that </w:t>
      </w:r>
      <w:r w:rsidR="00BC6F73" w:rsidRPr="00290C47">
        <w:rPr>
          <w:rFonts w:asciiTheme="majorHAnsi" w:hAnsiTheme="majorHAnsi" w:cstheme="majorHAnsi"/>
          <w:sz w:val="24"/>
          <w:szCs w:val="24"/>
          <w:lang w:val="en-US"/>
        </w:rPr>
        <w:t xml:space="preserve">continuing the work of the Expert Group </w:t>
      </w:r>
      <w:r w:rsidRPr="00290C47">
        <w:rPr>
          <w:rFonts w:asciiTheme="majorHAnsi" w:hAnsiTheme="majorHAnsi" w:cstheme="majorHAnsi"/>
          <w:sz w:val="24"/>
          <w:szCs w:val="24"/>
          <w:lang w:val="en-US"/>
        </w:rPr>
        <w:t xml:space="preserve">would only take resources and effort away from urgent work </w:t>
      </w:r>
      <w:r w:rsidR="00BC6F73" w:rsidRPr="00290C47">
        <w:rPr>
          <w:rFonts w:asciiTheme="majorHAnsi" w:hAnsiTheme="majorHAnsi" w:cstheme="majorHAnsi"/>
          <w:sz w:val="24"/>
          <w:szCs w:val="24"/>
          <w:lang w:val="en-US"/>
        </w:rPr>
        <w:t xml:space="preserve">needed </w:t>
      </w:r>
      <w:r w:rsidRPr="00290C47">
        <w:rPr>
          <w:rFonts w:asciiTheme="majorHAnsi" w:hAnsiTheme="majorHAnsi" w:cstheme="majorHAnsi"/>
          <w:sz w:val="24"/>
          <w:szCs w:val="24"/>
          <w:lang w:val="en-US"/>
        </w:rPr>
        <w:t xml:space="preserve">to develop capacity, </w:t>
      </w:r>
      <w:proofErr w:type="gramStart"/>
      <w:r w:rsidRPr="00290C47">
        <w:rPr>
          <w:rFonts w:asciiTheme="majorHAnsi" w:hAnsiTheme="majorHAnsi" w:cstheme="majorHAnsi"/>
          <w:sz w:val="24"/>
          <w:szCs w:val="24"/>
          <w:lang w:val="en-US"/>
        </w:rPr>
        <w:t>infrastructure</w:t>
      </w:r>
      <w:proofErr w:type="gramEnd"/>
      <w:r w:rsidRPr="00290C47">
        <w:rPr>
          <w:rFonts w:asciiTheme="majorHAnsi" w:hAnsiTheme="majorHAnsi" w:cstheme="majorHAnsi"/>
          <w:sz w:val="24"/>
          <w:szCs w:val="24"/>
          <w:lang w:val="en-US"/>
        </w:rPr>
        <w:t xml:space="preserve"> and affordable connectivity.</w:t>
      </w:r>
    </w:p>
    <w:p w14:paraId="6ABAF4DE" w14:textId="5F656014" w:rsidR="00D9154E" w:rsidRPr="00290C47" w:rsidRDefault="00604377" w:rsidP="00292917">
      <w:pPr>
        <w:spacing w:before="120" w:after="120" w:line="240" w:lineRule="auto"/>
        <w:jc w:val="both"/>
        <w:rPr>
          <w:rFonts w:asciiTheme="majorHAnsi" w:hAnsiTheme="majorHAnsi" w:cstheme="majorHAnsi"/>
          <w:bCs/>
          <w:sz w:val="24"/>
          <w:szCs w:val="24"/>
        </w:rPr>
      </w:pPr>
      <w:r w:rsidRPr="00290C47">
        <w:rPr>
          <w:rFonts w:asciiTheme="majorHAnsi" w:hAnsiTheme="majorHAnsi" w:cstheme="majorHAnsi"/>
          <w:b/>
          <w:sz w:val="24"/>
          <w:szCs w:val="24"/>
        </w:rPr>
        <w:t>3</w:t>
      </w:r>
      <w:r w:rsidR="00D9154E" w:rsidRPr="00290C47">
        <w:rPr>
          <w:rFonts w:asciiTheme="majorHAnsi" w:hAnsiTheme="majorHAnsi" w:cstheme="majorHAnsi"/>
          <w:b/>
          <w:sz w:val="24"/>
          <w:szCs w:val="24"/>
        </w:rPr>
        <w:t>.2.</w:t>
      </w:r>
      <w:r w:rsidR="00BC6F73" w:rsidRPr="00290C47">
        <w:rPr>
          <w:rFonts w:asciiTheme="majorHAnsi" w:hAnsiTheme="majorHAnsi" w:cstheme="majorHAnsi"/>
          <w:b/>
          <w:sz w:val="24"/>
          <w:szCs w:val="24"/>
        </w:rPr>
        <w:t>4</w:t>
      </w:r>
      <w:r w:rsidR="00D9154E" w:rsidRPr="00290C47">
        <w:rPr>
          <w:rFonts w:asciiTheme="majorHAnsi" w:hAnsiTheme="majorHAnsi" w:cstheme="majorHAnsi"/>
          <w:bCs/>
          <w:sz w:val="24"/>
          <w:szCs w:val="24"/>
        </w:rPr>
        <w:tab/>
        <w:t xml:space="preserve">Members agreed that </w:t>
      </w:r>
      <w:r w:rsidR="00F5381D" w:rsidRPr="00290C47">
        <w:rPr>
          <w:rFonts w:asciiTheme="majorHAnsi" w:hAnsiTheme="majorHAnsi" w:cstheme="majorHAnsi"/>
          <w:bCs/>
          <w:sz w:val="24"/>
          <w:szCs w:val="24"/>
        </w:rPr>
        <w:t xml:space="preserve">the </w:t>
      </w:r>
      <w:r w:rsidR="00057065" w:rsidRPr="00290C47">
        <w:rPr>
          <w:rFonts w:asciiTheme="majorHAnsi" w:hAnsiTheme="majorHAnsi" w:cstheme="majorHAnsi"/>
          <w:bCs/>
          <w:sz w:val="24"/>
          <w:szCs w:val="24"/>
        </w:rPr>
        <w:t>F</w:t>
      </w:r>
      <w:r w:rsidR="00F5381D" w:rsidRPr="00290C47">
        <w:rPr>
          <w:rFonts w:asciiTheme="majorHAnsi" w:hAnsiTheme="majorHAnsi" w:cstheme="majorHAnsi"/>
          <w:bCs/>
          <w:sz w:val="24"/>
          <w:szCs w:val="24"/>
        </w:rPr>
        <w:t xml:space="preserve">inal </w:t>
      </w:r>
      <w:r w:rsidR="00057065" w:rsidRPr="00290C47">
        <w:rPr>
          <w:rFonts w:asciiTheme="majorHAnsi" w:hAnsiTheme="majorHAnsi" w:cstheme="majorHAnsi"/>
          <w:bCs/>
          <w:sz w:val="24"/>
          <w:szCs w:val="24"/>
        </w:rPr>
        <w:t>R</w:t>
      </w:r>
      <w:r w:rsidR="00D9154E" w:rsidRPr="00290C47">
        <w:rPr>
          <w:rFonts w:asciiTheme="majorHAnsi" w:hAnsiTheme="majorHAnsi" w:cstheme="majorHAnsi"/>
          <w:bCs/>
          <w:sz w:val="24"/>
          <w:szCs w:val="24"/>
        </w:rPr>
        <w:t xml:space="preserve">eport </w:t>
      </w:r>
      <w:r w:rsidR="00F5381D" w:rsidRPr="00290C47">
        <w:rPr>
          <w:rFonts w:asciiTheme="majorHAnsi" w:hAnsiTheme="majorHAnsi" w:cstheme="majorHAnsi"/>
          <w:bCs/>
          <w:sz w:val="24"/>
          <w:szCs w:val="24"/>
        </w:rPr>
        <w:t xml:space="preserve">of the EG-ITRs </w:t>
      </w:r>
      <w:r w:rsidR="00D9154E" w:rsidRPr="00290C47">
        <w:rPr>
          <w:rFonts w:asciiTheme="majorHAnsi" w:hAnsiTheme="majorHAnsi" w:cstheme="majorHAnsi"/>
          <w:bCs/>
          <w:sz w:val="24"/>
          <w:szCs w:val="24"/>
        </w:rPr>
        <w:t>should reflect all the discussions and</w:t>
      </w:r>
      <w:r w:rsidR="00BC6F73" w:rsidRPr="00290C47">
        <w:rPr>
          <w:rFonts w:asciiTheme="majorHAnsi" w:hAnsiTheme="majorHAnsi" w:cstheme="majorHAnsi"/>
          <w:bCs/>
          <w:sz w:val="24"/>
          <w:szCs w:val="24"/>
        </w:rPr>
        <w:t xml:space="preserve"> different</w:t>
      </w:r>
      <w:r w:rsidR="00D9154E" w:rsidRPr="00290C47">
        <w:rPr>
          <w:rFonts w:asciiTheme="majorHAnsi" w:hAnsiTheme="majorHAnsi" w:cstheme="majorHAnsi"/>
          <w:bCs/>
          <w:sz w:val="24"/>
          <w:szCs w:val="24"/>
        </w:rPr>
        <w:t xml:space="preserve"> positions within the Group, as well as reference the </w:t>
      </w:r>
      <w:r w:rsidR="00BC6F73" w:rsidRPr="00290C47">
        <w:rPr>
          <w:rFonts w:asciiTheme="majorHAnsi" w:hAnsiTheme="majorHAnsi" w:cstheme="majorHAnsi"/>
          <w:bCs/>
          <w:sz w:val="24"/>
          <w:szCs w:val="24"/>
        </w:rPr>
        <w:t xml:space="preserve">various </w:t>
      </w:r>
      <w:r w:rsidR="00D9154E" w:rsidRPr="00290C47">
        <w:rPr>
          <w:rFonts w:asciiTheme="majorHAnsi" w:hAnsiTheme="majorHAnsi" w:cstheme="majorHAnsi"/>
          <w:bCs/>
          <w:sz w:val="24"/>
          <w:szCs w:val="24"/>
        </w:rPr>
        <w:t xml:space="preserve">contributions </w:t>
      </w:r>
      <w:r w:rsidR="001950C7" w:rsidRPr="00290C47">
        <w:rPr>
          <w:rFonts w:asciiTheme="majorHAnsi" w:hAnsiTheme="majorHAnsi" w:cstheme="majorHAnsi"/>
          <w:bCs/>
          <w:sz w:val="24"/>
          <w:szCs w:val="24"/>
        </w:rPr>
        <w:t xml:space="preserve">of the members </w:t>
      </w:r>
      <w:r w:rsidR="00F5381D" w:rsidRPr="00290C47">
        <w:rPr>
          <w:rFonts w:asciiTheme="majorHAnsi" w:hAnsiTheme="majorHAnsi" w:cstheme="majorHAnsi"/>
          <w:bCs/>
          <w:sz w:val="24"/>
          <w:szCs w:val="24"/>
        </w:rPr>
        <w:t xml:space="preserve">and any written inputs received from the </w:t>
      </w:r>
      <w:r w:rsidR="0058517E" w:rsidRPr="00290C47">
        <w:rPr>
          <w:rFonts w:asciiTheme="majorHAnsi" w:hAnsiTheme="majorHAnsi" w:cstheme="majorHAnsi"/>
          <w:bCs/>
          <w:sz w:val="24"/>
          <w:szCs w:val="24"/>
        </w:rPr>
        <w:t>ITU B</w:t>
      </w:r>
      <w:r w:rsidR="00F5381D" w:rsidRPr="00290C47">
        <w:rPr>
          <w:rFonts w:asciiTheme="majorHAnsi" w:hAnsiTheme="majorHAnsi" w:cstheme="majorHAnsi"/>
          <w:bCs/>
          <w:sz w:val="24"/>
          <w:szCs w:val="24"/>
        </w:rPr>
        <w:t>ureaux</w:t>
      </w:r>
      <w:r w:rsidR="00D9154E" w:rsidRPr="00290C47">
        <w:rPr>
          <w:rFonts w:asciiTheme="majorHAnsi" w:hAnsiTheme="majorHAnsi" w:cstheme="majorHAnsi"/>
          <w:bCs/>
          <w:sz w:val="24"/>
          <w:szCs w:val="24"/>
        </w:rPr>
        <w:t>.</w:t>
      </w:r>
    </w:p>
    <w:p w14:paraId="52B3EFAA" w14:textId="247EA98C" w:rsidR="002853DB" w:rsidRPr="00290C47" w:rsidRDefault="002853DB" w:rsidP="00292917">
      <w:pPr>
        <w:spacing w:before="120" w:after="120" w:line="240" w:lineRule="auto"/>
        <w:jc w:val="both"/>
        <w:rPr>
          <w:rFonts w:asciiTheme="majorHAnsi" w:hAnsiTheme="majorHAnsi" w:cstheme="majorHAnsi"/>
          <w:bCs/>
          <w:sz w:val="24"/>
          <w:szCs w:val="24"/>
        </w:rPr>
      </w:pPr>
      <w:r w:rsidRPr="00290C47">
        <w:rPr>
          <w:rFonts w:asciiTheme="majorHAnsi" w:hAnsiTheme="majorHAnsi" w:cstheme="majorHAnsi"/>
          <w:b/>
          <w:sz w:val="24"/>
          <w:szCs w:val="24"/>
        </w:rPr>
        <w:t>3.2.</w:t>
      </w:r>
      <w:r w:rsidR="001950C7" w:rsidRPr="00290C47">
        <w:rPr>
          <w:rFonts w:asciiTheme="majorHAnsi" w:hAnsiTheme="majorHAnsi" w:cstheme="majorHAnsi"/>
          <w:b/>
          <w:sz w:val="24"/>
          <w:szCs w:val="24"/>
        </w:rPr>
        <w:t>5</w:t>
      </w:r>
      <w:r w:rsidRPr="00290C47">
        <w:rPr>
          <w:rFonts w:asciiTheme="majorHAnsi" w:hAnsiTheme="majorHAnsi" w:cstheme="majorHAnsi"/>
          <w:bCs/>
          <w:sz w:val="24"/>
          <w:szCs w:val="24"/>
        </w:rPr>
        <w:tab/>
        <w:t xml:space="preserve">Members expressed their appreciation for the Chairman and the Vice Chairmen for their efficient management of the meetings of the EG-ITRs and </w:t>
      </w:r>
      <w:r w:rsidR="001950C7" w:rsidRPr="00290C47">
        <w:rPr>
          <w:rFonts w:asciiTheme="majorHAnsi" w:hAnsiTheme="majorHAnsi" w:cstheme="majorHAnsi"/>
          <w:bCs/>
          <w:sz w:val="24"/>
          <w:szCs w:val="24"/>
        </w:rPr>
        <w:t xml:space="preserve">the </w:t>
      </w:r>
      <w:r w:rsidRPr="00290C47">
        <w:rPr>
          <w:rFonts w:asciiTheme="majorHAnsi" w:hAnsiTheme="majorHAnsi" w:cstheme="majorHAnsi"/>
          <w:bCs/>
          <w:sz w:val="24"/>
          <w:szCs w:val="24"/>
        </w:rPr>
        <w:t xml:space="preserve">significant </w:t>
      </w:r>
      <w:r w:rsidR="001950C7" w:rsidRPr="00290C47">
        <w:rPr>
          <w:rFonts w:asciiTheme="majorHAnsi" w:hAnsiTheme="majorHAnsi" w:cstheme="majorHAnsi"/>
          <w:bCs/>
          <w:sz w:val="24"/>
          <w:szCs w:val="24"/>
        </w:rPr>
        <w:t xml:space="preserve">efforts invested by them in </w:t>
      </w:r>
      <w:r w:rsidRPr="00290C47">
        <w:rPr>
          <w:rFonts w:asciiTheme="majorHAnsi" w:hAnsiTheme="majorHAnsi" w:cstheme="majorHAnsi"/>
          <w:bCs/>
          <w:sz w:val="24"/>
          <w:szCs w:val="24"/>
        </w:rPr>
        <w:t>advancing the work of the Group.</w:t>
      </w:r>
    </w:p>
    <w:p w14:paraId="3B63AB11" w14:textId="3E56A660" w:rsidR="00604377" w:rsidRPr="00290C47" w:rsidRDefault="00604377" w:rsidP="00290C47">
      <w:pPr>
        <w:spacing w:before="480" w:after="120" w:line="240" w:lineRule="auto"/>
        <w:jc w:val="both"/>
        <w:outlineLvl w:val="0"/>
        <w:rPr>
          <w:rFonts w:asciiTheme="majorHAnsi" w:hAnsiTheme="majorHAnsi" w:cstheme="majorHAnsi"/>
          <w:b/>
          <w:sz w:val="24"/>
          <w:szCs w:val="24"/>
        </w:rPr>
      </w:pPr>
      <w:r w:rsidRPr="00290C47">
        <w:rPr>
          <w:rFonts w:asciiTheme="majorHAnsi" w:hAnsiTheme="majorHAnsi" w:cstheme="majorHAnsi"/>
          <w:b/>
          <w:sz w:val="24"/>
          <w:szCs w:val="24"/>
        </w:rPr>
        <w:t>4</w:t>
      </w:r>
      <w:r w:rsidR="009B05F6" w:rsidRPr="00290C47">
        <w:rPr>
          <w:rFonts w:asciiTheme="majorHAnsi" w:hAnsiTheme="majorHAnsi" w:cstheme="majorHAnsi"/>
          <w:b/>
          <w:sz w:val="24"/>
          <w:szCs w:val="24"/>
        </w:rPr>
        <w:tab/>
      </w:r>
      <w:r w:rsidRPr="00290C47">
        <w:rPr>
          <w:rFonts w:asciiTheme="majorHAnsi" w:hAnsiTheme="majorHAnsi" w:cstheme="majorHAnsi"/>
          <w:b/>
          <w:sz w:val="24"/>
          <w:szCs w:val="24"/>
        </w:rPr>
        <w:t>Approval of the draft Final Report of the EG-ITRs to ITU Council 2022</w:t>
      </w:r>
    </w:p>
    <w:p w14:paraId="6A47AEF8" w14:textId="6937BC93" w:rsidR="00A737AB" w:rsidRPr="00290C47" w:rsidRDefault="00604377" w:rsidP="00EF7AB4">
      <w:pPr>
        <w:spacing w:before="120" w:after="120" w:line="240" w:lineRule="auto"/>
        <w:jc w:val="both"/>
        <w:outlineLvl w:val="0"/>
        <w:rPr>
          <w:rFonts w:asciiTheme="majorHAnsi" w:hAnsiTheme="majorHAnsi" w:cstheme="majorHAnsi"/>
          <w:b/>
          <w:sz w:val="24"/>
          <w:szCs w:val="24"/>
        </w:rPr>
      </w:pPr>
      <w:r w:rsidRPr="00290C47">
        <w:rPr>
          <w:rFonts w:asciiTheme="majorHAnsi" w:hAnsiTheme="majorHAnsi" w:cstheme="majorHAnsi"/>
          <w:b/>
          <w:sz w:val="24"/>
          <w:szCs w:val="24"/>
        </w:rPr>
        <w:t>4</w:t>
      </w:r>
      <w:r w:rsidR="00260677" w:rsidRPr="00290C47">
        <w:rPr>
          <w:rFonts w:asciiTheme="majorHAnsi" w:hAnsiTheme="majorHAnsi" w:cstheme="majorHAnsi"/>
          <w:b/>
          <w:sz w:val="24"/>
          <w:szCs w:val="24"/>
        </w:rPr>
        <w:t>.1</w:t>
      </w:r>
      <w:r w:rsidR="00260677" w:rsidRPr="00290C47">
        <w:rPr>
          <w:rFonts w:asciiTheme="majorHAnsi" w:hAnsiTheme="majorHAnsi" w:cstheme="majorHAnsi"/>
          <w:b/>
          <w:sz w:val="24"/>
          <w:szCs w:val="24"/>
        </w:rPr>
        <w:tab/>
      </w:r>
      <w:r w:rsidR="00A737AB" w:rsidRPr="00290C47">
        <w:rPr>
          <w:rFonts w:asciiTheme="majorHAnsi" w:hAnsiTheme="majorHAnsi" w:cstheme="majorHAnsi"/>
          <w:bCs/>
          <w:sz w:val="24"/>
          <w:szCs w:val="24"/>
        </w:rPr>
        <w:t xml:space="preserve">The Group discussed their views on </w:t>
      </w:r>
      <w:hyperlink r:id="rId15" w:history="1">
        <w:r w:rsidR="00A737AB" w:rsidRPr="00290C47">
          <w:rPr>
            <w:rStyle w:val="Hyperlink"/>
            <w:rFonts w:asciiTheme="majorHAnsi" w:hAnsiTheme="majorHAnsi" w:cstheme="majorHAnsi"/>
            <w:bCs/>
            <w:sz w:val="24"/>
            <w:szCs w:val="24"/>
          </w:rPr>
          <w:t>D</w:t>
        </w:r>
        <w:r w:rsidR="000375B0" w:rsidRPr="00290C47">
          <w:rPr>
            <w:rStyle w:val="Hyperlink"/>
            <w:rFonts w:asciiTheme="majorHAnsi" w:hAnsiTheme="majorHAnsi" w:cstheme="majorHAnsi"/>
            <w:bCs/>
            <w:sz w:val="24"/>
            <w:szCs w:val="24"/>
          </w:rPr>
          <w:t>ocument</w:t>
        </w:r>
        <w:r w:rsidR="00A737AB" w:rsidRPr="00290C47">
          <w:rPr>
            <w:rStyle w:val="Hyperlink"/>
            <w:rFonts w:asciiTheme="majorHAnsi" w:hAnsiTheme="majorHAnsi" w:cstheme="majorHAnsi"/>
            <w:bCs/>
            <w:sz w:val="24"/>
            <w:szCs w:val="24"/>
          </w:rPr>
          <w:t xml:space="preserve"> 2 - Draft Final report of the Expert Group on the International Telecommunication Regulations (EG-ITRS)</w:t>
        </w:r>
      </w:hyperlink>
      <w:r w:rsidR="007F5418" w:rsidRPr="00290C47">
        <w:rPr>
          <w:rStyle w:val="Hyperlink"/>
          <w:rFonts w:asciiTheme="majorHAnsi" w:hAnsiTheme="majorHAnsi" w:cstheme="majorHAnsi"/>
          <w:bCs/>
          <w:sz w:val="24"/>
          <w:szCs w:val="24"/>
        </w:rPr>
        <w:t xml:space="preserve"> </w:t>
      </w:r>
      <w:r w:rsidR="00B977F8" w:rsidRPr="00290C47">
        <w:rPr>
          <w:rFonts w:asciiTheme="majorHAnsi" w:hAnsiTheme="majorHAnsi" w:cstheme="majorHAnsi"/>
          <w:bCs/>
          <w:sz w:val="24"/>
          <w:szCs w:val="24"/>
        </w:rPr>
        <w:t xml:space="preserve">prior to endorsing </w:t>
      </w:r>
      <w:r w:rsidR="001950C7" w:rsidRPr="00290C47">
        <w:rPr>
          <w:rFonts w:asciiTheme="majorHAnsi" w:hAnsiTheme="majorHAnsi" w:cstheme="majorHAnsi"/>
          <w:bCs/>
          <w:sz w:val="24"/>
          <w:szCs w:val="24"/>
        </w:rPr>
        <w:t xml:space="preserve">it for presentation </w:t>
      </w:r>
      <w:r w:rsidR="007F5418" w:rsidRPr="00290C47">
        <w:rPr>
          <w:rFonts w:asciiTheme="majorHAnsi" w:hAnsiTheme="majorHAnsi" w:cstheme="majorHAnsi"/>
          <w:bCs/>
          <w:sz w:val="24"/>
          <w:szCs w:val="24"/>
        </w:rPr>
        <w:t xml:space="preserve">to Council 2022 for </w:t>
      </w:r>
      <w:r w:rsidRPr="00290C47">
        <w:rPr>
          <w:rFonts w:asciiTheme="majorHAnsi" w:hAnsiTheme="majorHAnsi" w:cstheme="majorHAnsi"/>
          <w:bCs/>
          <w:sz w:val="24"/>
          <w:szCs w:val="24"/>
        </w:rPr>
        <w:t>comments</w:t>
      </w:r>
      <w:r w:rsidR="007F5418" w:rsidRPr="00290C47">
        <w:rPr>
          <w:rFonts w:asciiTheme="majorHAnsi" w:hAnsiTheme="majorHAnsi" w:cstheme="majorHAnsi"/>
          <w:bCs/>
          <w:sz w:val="24"/>
          <w:szCs w:val="24"/>
        </w:rPr>
        <w:t xml:space="preserve"> and</w:t>
      </w:r>
      <w:r w:rsidRPr="00290C47">
        <w:rPr>
          <w:rFonts w:asciiTheme="majorHAnsi" w:hAnsiTheme="majorHAnsi" w:cstheme="majorHAnsi"/>
          <w:bCs/>
          <w:sz w:val="24"/>
          <w:szCs w:val="24"/>
        </w:rPr>
        <w:t xml:space="preserve"> subsequent</w:t>
      </w:r>
      <w:r w:rsidR="007F5418" w:rsidRPr="00290C47">
        <w:rPr>
          <w:rFonts w:asciiTheme="majorHAnsi" w:hAnsiTheme="majorHAnsi" w:cstheme="majorHAnsi"/>
          <w:bCs/>
          <w:sz w:val="24"/>
          <w:szCs w:val="24"/>
        </w:rPr>
        <w:t xml:space="preserve"> submission to the </w:t>
      </w:r>
      <w:r w:rsidR="001950C7" w:rsidRPr="00290C47">
        <w:rPr>
          <w:rFonts w:asciiTheme="majorHAnsi" w:hAnsiTheme="majorHAnsi" w:cstheme="majorHAnsi"/>
          <w:bCs/>
          <w:sz w:val="24"/>
          <w:szCs w:val="24"/>
        </w:rPr>
        <w:t xml:space="preserve">ITU </w:t>
      </w:r>
      <w:r w:rsidR="007F5418" w:rsidRPr="00290C47">
        <w:rPr>
          <w:rFonts w:asciiTheme="majorHAnsi" w:hAnsiTheme="majorHAnsi" w:cstheme="majorHAnsi"/>
          <w:bCs/>
          <w:sz w:val="24"/>
          <w:szCs w:val="24"/>
        </w:rPr>
        <w:t>Plenipotentiary Conference</w:t>
      </w:r>
      <w:r w:rsidR="001950C7" w:rsidRPr="00290C47">
        <w:rPr>
          <w:rFonts w:asciiTheme="majorHAnsi" w:hAnsiTheme="majorHAnsi" w:cstheme="majorHAnsi"/>
          <w:bCs/>
          <w:sz w:val="24"/>
          <w:szCs w:val="24"/>
        </w:rPr>
        <w:t xml:space="preserve"> 2022</w:t>
      </w:r>
      <w:r w:rsidR="007F5418" w:rsidRPr="00290C47">
        <w:rPr>
          <w:rFonts w:asciiTheme="majorHAnsi" w:hAnsiTheme="majorHAnsi" w:cstheme="majorHAnsi"/>
          <w:bCs/>
          <w:sz w:val="24"/>
          <w:szCs w:val="24"/>
        </w:rPr>
        <w:t>.</w:t>
      </w:r>
    </w:p>
    <w:p w14:paraId="6EE61DC5" w14:textId="30F1E0ED" w:rsidR="00260677" w:rsidRPr="00290C47" w:rsidRDefault="00292FA7" w:rsidP="00EF7AB4">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sz w:val="24"/>
          <w:szCs w:val="24"/>
        </w:rPr>
        <w:t>4</w:t>
      </w:r>
      <w:r w:rsidR="00A737AB" w:rsidRPr="00290C47">
        <w:rPr>
          <w:rFonts w:asciiTheme="majorHAnsi" w:hAnsiTheme="majorHAnsi" w:cstheme="majorHAnsi"/>
          <w:b/>
          <w:sz w:val="24"/>
          <w:szCs w:val="24"/>
        </w:rPr>
        <w:t>.2</w:t>
      </w:r>
      <w:r w:rsidR="00A737AB" w:rsidRPr="00290C47">
        <w:rPr>
          <w:rFonts w:asciiTheme="majorHAnsi" w:hAnsiTheme="majorHAnsi" w:cstheme="majorHAnsi"/>
          <w:bCs/>
          <w:sz w:val="24"/>
          <w:szCs w:val="24"/>
        </w:rPr>
        <w:tab/>
      </w:r>
      <w:r w:rsidR="00B977F8" w:rsidRPr="00290C47">
        <w:rPr>
          <w:rFonts w:asciiTheme="majorHAnsi" w:hAnsiTheme="majorHAnsi" w:cstheme="majorHAnsi"/>
          <w:bCs/>
          <w:sz w:val="24"/>
          <w:szCs w:val="24"/>
        </w:rPr>
        <w:t>Some members requested for clarification regarding the process for presenting the Final Report of the EG-ITRs to Council and Plenipotentiary Conference 2022</w:t>
      </w:r>
      <w:r w:rsidR="00FF4B0A" w:rsidRPr="00290C47">
        <w:rPr>
          <w:rFonts w:asciiTheme="majorHAnsi" w:hAnsiTheme="majorHAnsi" w:cstheme="majorHAnsi"/>
          <w:sz w:val="24"/>
          <w:szCs w:val="24"/>
        </w:rPr>
        <w:t>.</w:t>
      </w:r>
      <w:r w:rsidR="00B977F8" w:rsidRPr="00290C47">
        <w:rPr>
          <w:rFonts w:asciiTheme="majorHAnsi" w:hAnsiTheme="majorHAnsi" w:cstheme="majorHAnsi"/>
          <w:sz w:val="24"/>
          <w:szCs w:val="24"/>
        </w:rPr>
        <w:t xml:space="preserve"> It was clarified that</w:t>
      </w:r>
      <w:r w:rsidR="009257E1" w:rsidRPr="00290C47">
        <w:rPr>
          <w:rFonts w:asciiTheme="majorHAnsi" w:hAnsiTheme="majorHAnsi" w:cstheme="majorHAnsi"/>
          <w:sz w:val="24"/>
          <w:szCs w:val="24"/>
        </w:rPr>
        <w:t>, as per Resolution 146 (Rev. Dubai 2018),</w:t>
      </w:r>
      <w:r w:rsidR="00B977F8" w:rsidRPr="00290C47">
        <w:rPr>
          <w:rFonts w:asciiTheme="majorHAnsi" w:hAnsiTheme="majorHAnsi" w:cstheme="majorHAnsi"/>
          <w:sz w:val="24"/>
          <w:szCs w:val="24"/>
        </w:rPr>
        <w:t xml:space="preserve"> the Final Report of the EG-ITRs will first be presented to Council in March 2022 for comments, and then the Report together with the Council’s comments will be submitted for consideration to the Plenipotentiary Conference 2022.</w:t>
      </w:r>
    </w:p>
    <w:p w14:paraId="4D7E0394" w14:textId="7A15F654" w:rsidR="00B977F8" w:rsidRPr="00290C47" w:rsidRDefault="00292FA7" w:rsidP="00EF7AB4">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bCs/>
          <w:sz w:val="24"/>
          <w:szCs w:val="24"/>
        </w:rPr>
        <w:t>4</w:t>
      </w:r>
      <w:r w:rsidR="00A737AB" w:rsidRPr="00290C47">
        <w:rPr>
          <w:rFonts w:asciiTheme="majorHAnsi" w:hAnsiTheme="majorHAnsi" w:cstheme="majorHAnsi"/>
          <w:b/>
          <w:bCs/>
          <w:sz w:val="24"/>
          <w:szCs w:val="24"/>
        </w:rPr>
        <w:t>.3</w:t>
      </w:r>
      <w:r w:rsidR="00A737AB" w:rsidRPr="00290C47">
        <w:rPr>
          <w:rFonts w:asciiTheme="majorHAnsi" w:hAnsiTheme="majorHAnsi" w:cstheme="majorHAnsi"/>
          <w:sz w:val="24"/>
          <w:szCs w:val="24"/>
        </w:rPr>
        <w:tab/>
        <w:t xml:space="preserve">Some members suggested including an </w:t>
      </w:r>
      <w:r w:rsidRPr="00290C47">
        <w:rPr>
          <w:rFonts w:asciiTheme="majorHAnsi" w:hAnsiTheme="majorHAnsi" w:cstheme="majorHAnsi"/>
          <w:sz w:val="24"/>
          <w:szCs w:val="24"/>
        </w:rPr>
        <w:t>Anne</w:t>
      </w:r>
      <w:r w:rsidR="00A737AB" w:rsidRPr="00290C47">
        <w:rPr>
          <w:rFonts w:asciiTheme="majorHAnsi" w:hAnsiTheme="majorHAnsi" w:cstheme="majorHAnsi"/>
          <w:sz w:val="24"/>
          <w:szCs w:val="24"/>
        </w:rPr>
        <w:t xml:space="preserve">x to the </w:t>
      </w:r>
      <w:r w:rsidR="00B977F8" w:rsidRPr="00290C47">
        <w:rPr>
          <w:rFonts w:asciiTheme="majorHAnsi" w:hAnsiTheme="majorHAnsi" w:cstheme="majorHAnsi"/>
          <w:sz w:val="24"/>
          <w:szCs w:val="24"/>
        </w:rPr>
        <w:t xml:space="preserve">Final Report of the EG-ITRs containing the </w:t>
      </w:r>
      <w:r w:rsidRPr="00290C47">
        <w:rPr>
          <w:rFonts w:asciiTheme="majorHAnsi" w:hAnsiTheme="majorHAnsi" w:cstheme="majorHAnsi"/>
          <w:sz w:val="24"/>
          <w:szCs w:val="24"/>
        </w:rPr>
        <w:t>written input received from the Director of the Standardisation Bureau at the fifth meeting of the Group. It was agreed by the meeting that</w:t>
      </w:r>
      <w:r w:rsidR="009257E1" w:rsidRPr="00290C47">
        <w:rPr>
          <w:rFonts w:asciiTheme="majorHAnsi" w:hAnsiTheme="majorHAnsi" w:cstheme="majorHAnsi"/>
          <w:sz w:val="24"/>
          <w:szCs w:val="24"/>
        </w:rPr>
        <w:t xml:space="preserve"> </w:t>
      </w:r>
      <w:r w:rsidRPr="00290C47">
        <w:rPr>
          <w:rFonts w:asciiTheme="majorHAnsi" w:hAnsiTheme="majorHAnsi" w:cstheme="majorHAnsi"/>
          <w:sz w:val="24"/>
          <w:szCs w:val="24"/>
        </w:rPr>
        <w:t>the inputs of the Directors were referenced and hyperlinked in various sections of the Final Report of the EG-ITRs.</w:t>
      </w:r>
    </w:p>
    <w:p w14:paraId="79B38E52" w14:textId="4A4EBB04" w:rsidR="00B3743B" w:rsidRPr="00290C47" w:rsidRDefault="00292FA7" w:rsidP="00EF7AB4">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bCs/>
          <w:sz w:val="24"/>
          <w:szCs w:val="24"/>
        </w:rPr>
        <w:t>4.4</w:t>
      </w:r>
      <w:r w:rsidRPr="00290C47">
        <w:rPr>
          <w:rFonts w:asciiTheme="majorHAnsi" w:hAnsiTheme="majorHAnsi" w:cstheme="majorHAnsi"/>
          <w:sz w:val="24"/>
          <w:szCs w:val="24"/>
        </w:rPr>
        <w:tab/>
      </w:r>
      <w:r w:rsidR="00B3743B" w:rsidRPr="00290C47">
        <w:rPr>
          <w:rFonts w:asciiTheme="majorHAnsi" w:hAnsiTheme="majorHAnsi" w:cstheme="majorHAnsi"/>
          <w:sz w:val="24"/>
          <w:szCs w:val="24"/>
        </w:rPr>
        <w:t xml:space="preserve"> Some members </w:t>
      </w:r>
      <w:r w:rsidR="00C31383" w:rsidRPr="00290C47">
        <w:rPr>
          <w:rFonts w:asciiTheme="majorHAnsi" w:hAnsiTheme="majorHAnsi" w:cstheme="majorHAnsi"/>
          <w:sz w:val="24"/>
          <w:szCs w:val="24"/>
        </w:rPr>
        <w:t xml:space="preserve">also </w:t>
      </w:r>
      <w:r w:rsidR="00B3743B" w:rsidRPr="00290C47">
        <w:rPr>
          <w:rFonts w:asciiTheme="majorHAnsi" w:hAnsiTheme="majorHAnsi" w:cstheme="majorHAnsi"/>
          <w:sz w:val="24"/>
          <w:szCs w:val="24"/>
        </w:rPr>
        <w:t xml:space="preserve">echoed and reiterated the importance of reflecting </w:t>
      </w:r>
      <w:r w:rsidR="007F5418" w:rsidRPr="00290C47">
        <w:rPr>
          <w:rFonts w:asciiTheme="majorHAnsi" w:hAnsiTheme="majorHAnsi" w:cstheme="majorHAnsi"/>
          <w:sz w:val="24"/>
          <w:szCs w:val="24"/>
        </w:rPr>
        <w:t>i</w:t>
      </w:r>
      <w:r w:rsidR="00B3743B" w:rsidRPr="00290C47">
        <w:rPr>
          <w:rFonts w:asciiTheme="majorHAnsi" w:hAnsiTheme="majorHAnsi" w:cstheme="majorHAnsi"/>
          <w:sz w:val="24"/>
          <w:szCs w:val="24"/>
        </w:rPr>
        <w:t xml:space="preserve">n </w:t>
      </w:r>
      <w:r w:rsidR="00D33C65" w:rsidRPr="00290C47">
        <w:rPr>
          <w:rFonts w:asciiTheme="majorHAnsi" w:hAnsiTheme="majorHAnsi" w:cstheme="majorHAnsi"/>
          <w:sz w:val="24"/>
          <w:szCs w:val="24"/>
        </w:rPr>
        <w:t xml:space="preserve">the </w:t>
      </w:r>
      <w:r w:rsidRPr="00290C47">
        <w:rPr>
          <w:rFonts w:asciiTheme="majorHAnsi" w:hAnsiTheme="majorHAnsi" w:cstheme="majorHAnsi"/>
          <w:sz w:val="24"/>
          <w:szCs w:val="24"/>
        </w:rPr>
        <w:t>F</w:t>
      </w:r>
      <w:r w:rsidR="00B3743B" w:rsidRPr="00290C47">
        <w:rPr>
          <w:rFonts w:asciiTheme="majorHAnsi" w:hAnsiTheme="majorHAnsi" w:cstheme="majorHAnsi"/>
          <w:sz w:val="24"/>
          <w:szCs w:val="24"/>
        </w:rPr>
        <w:t xml:space="preserve">inal </w:t>
      </w:r>
      <w:r w:rsidRPr="00290C47">
        <w:rPr>
          <w:rFonts w:asciiTheme="majorHAnsi" w:hAnsiTheme="majorHAnsi" w:cstheme="majorHAnsi"/>
          <w:sz w:val="24"/>
          <w:szCs w:val="24"/>
        </w:rPr>
        <w:t>R</w:t>
      </w:r>
      <w:r w:rsidR="00B3743B" w:rsidRPr="00290C47">
        <w:rPr>
          <w:rFonts w:asciiTheme="majorHAnsi" w:hAnsiTheme="majorHAnsi" w:cstheme="majorHAnsi"/>
          <w:sz w:val="24"/>
          <w:szCs w:val="24"/>
        </w:rPr>
        <w:t>eport of the EG-ITRs</w:t>
      </w:r>
      <w:r w:rsidR="003B1DAB" w:rsidRPr="00290C47">
        <w:rPr>
          <w:rFonts w:asciiTheme="majorHAnsi" w:hAnsiTheme="majorHAnsi" w:cstheme="majorHAnsi"/>
          <w:sz w:val="24"/>
          <w:szCs w:val="24"/>
        </w:rPr>
        <w:t xml:space="preserve"> the </w:t>
      </w:r>
      <w:r w:rsidR="00B3743B" w:rsidRPr="00290C47">
        <w:rPr>
          <w:rFonts w:asciiTheme="majorHAnsi" w:hAnsiTheme="majorHAnsi" w:cstheme="majorHAnsi"/>
          <w:sz w:val="24"/>
          <w:szCs w:val="24"/>
        </w:rPr>
        <w:t xml:space="preserve">views expressed during EG-ITRs meetings </w:t>
      </w:r>
      <w:r w:rsidR="003B1DAB" w:rsidRPr="00290C47">
        <w:rPr>
          <w:rFonts w:asciiTheme="majorHAnsi" w:hAnsiTheme="majorHAnsi" w:cstheme="majorHAnsi"/>
          <w:sz w:val="24"/>
          <w:szCs w:val="24"/>
        </w:rPr>
        <w:t xml:space="preserve">along with </w:t>
      </w:r>
      <w:r w:rsidR="00B3743B" w:rsidRPr="00290C47">
        <w:rPr>
          <w:rFonts w:asciiTheme="majorHAnsi" w:hAnsiTheme="majorHAnsi" w:cstheme="majorHAnsi"/>
          <w:sz w:val="24"/>
          <w:szCs w:val="24"/>
        </w:rPr>
        <w:t>the various contributions received</w:t>
      </w:r>
      <w:r w:rsidR="00DC3331" w:rsidRPr="00290C47">
        <w:rPr>
          <w:rFonts w:asciiTheme="majorHAnsi" w:hAnsiTheme="majorHAnsi" w:cstheme="majorHAnsi"/>
          <w:sz w:val="24"/>
          <w:szCs w:val="24"/>
        </w:rPr>
        <w:t>.</w:t>
      </w:r>
    </w:p>
    <w:p w14:paraId="3F56F9D6" w14:textId="46C07364" w:rsidR="00A737AB" w:rsidRPr="00290C47" w:rsidRDefault="00A737AB" w:rsidP="00EF7AB4">
      <w:pPr>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Some members </w:t>
      </w:r>
      <w:proofErr w:type="gramStart"/>
      <w:r w:rsidRPr="00290C47">
        <w:rPr>
          <w:rFonts w:asciiTheme="majorHAnsi" w:hAnsiTheme="majorHAnsi" w:cstheme="majorHAnsi"/>
          <w:sz w:val="24"/>
          <w:szCs w:val="24"/>
        </w:rPr>
        <w:t>were of the opinion that</w:t>
      </w:r>
      <w:proofErr w:type="gramEnd"/>
      <w:r w:rsidR="00292FA7" w:rsidRPr="00290C47">
        <w:rPr>
          <w:rFonts w:asciiTheme="majorHAnsi" w:hAnsiTheme="majorHAnsi" w:cstheme="majorHAnsi"/>
          <w:sz w:val="24"/>
          <w:szCs w:val="24"/>
        </w:rPr>
        <w:t xml:space="preserve"> since Final Report of the EG-ITRs references and hyperlinks </w:t>
      </w:r>
      <w:r w:rsidRPr="00290C47">
        <w:rPr>
          <w:rFonts w:asciiTheme="majorHAnsi" w:hAnsiTheme="majorHAnsi" w:cstheme="majorHAnsi"/>
          <w:sz w:val="24"/>
          <w:szCs w:val="24"/>
        </w:rPr>
        <w:t xml:space="preserve">all the meeting reports </w:t>
      </w:r>
      <w:r w:rsidR="00292FA7" w:rsidRPr="00290C47">
        <w:rPr>
          <w:rFonts w:asciiTheme="majorHAnsi" w:hAnsiTheme="majorHAnsi" w:cstheme="majorHAnsi"/>
          <w:sz w:val="24"/>
          <w:szCs w:val="24"/>
        </w:rPr>
        <w:t xml:space="preserve">as well as all the contributions </w:t>
      </w:r>
      <w:r w:rsidRPr="00290C47">
        <w:rPr>
          <w:rFonts w:asciiTheme="majorHAnsi" w:hAnsiTheme="majorHAnsi" w:cstheme="majorHAnsi"/>
          <w:sz w:val="24"/>
          <w:szCs w:val="24"/>
        </w:rPr>
        <w:t>received</w:t>
      </w:r>
      <w:r w:rsidR="00292FA7" w:rsidRPr="00290C47">
        <w:rPr>
          <w:rFonts w:asciiTheme="majorHAnsi" w:hAnsiTheme="majorHAnsi" w:cstheme="majorHAnsi"/>
          <w:sz w:val="24"/>
          <w:szCs w:val="24"/>
        </w:rPr>
        <w:t>, this was not necessary</w:t>
      </w:r>
      <w:r w:rsidRPr="00290C47">
        <w:rPr>
          <w:rFonts w:asciiTheme="majorHAnsi" w:hAnsiTheme="majorHAnsi" w:cstheme="majorHAnsi"/>
          <w:sz w:val="24"/>
          <w:szCs w:val="24"/>
        </w:rPr>
        <w:t>.</w:t>
      </w:r>
    </w:p>
    <w:p w14:paraId="0D40D190" w14:textId="4D118A89" w:rsidR="00A737AB" w:rsidRPr="00290C47" w:rsidRDefault="00AE38A7" w:rsidP="00EF7AB4">
      <w:pPr>
        <w:spacing w:before="120" w:after="120" w:line="240" w:lineRule="auto"/>
        <w:jc w:val="both"/>
        <w:rPr>
          <w:rFonts w:asciiTheme="majorHAnsi" w:hAnsiTheme="majorHAnsi" w:cstheme="majorHAnsi"/>
          <w:sz w:val="24"/>
          <w:szCs w:val="24"/>
        </w:rPr>
      </w:pPr>
      <w:r w:rsidRPr="00290C47">
        <w:rPr>
          <w:rFonts w:asciiTheme="majorHAnsi" w:hAnsiTheme="majorHAnsi" w:cstheme="majorHAnsi"/>
          <w:b/>
          <w:bCs/>
          <w:sz w:val="24"/>
          <w:szCs w:val="24"/>
        </w:rPr>
        <w:t>4</w:t>
      </w:r>
      <w:r w:rsidR="006335A6" w:rsidRPr="00290C47">
        <w:rPr>
          <w:rFonts w:asciiTheme="majorHAnsi" w:hAnsiTheme="majorHAnsi" w:cstheme="majorHAnsi"/>
          <w:b/>
          <w:bCs/>
          <w:sz w:val="24"/>
          <w:szCs w:val="24"/>
        </w:rPr>
        <w:t>.</w:t>
      </w:r>
      <w:r w:rsidRPr="00290C47">
        <w:rPr>
          <w:rFonts w:asciiTheme="majorHAnsi" w:hAnsiTheme="majorHAnsi" w:cstheme="majorHAnsi"/>
          <w:b/>
          <w:bCs/>
          <w:sz w:val="24"/>
          <w:szCs w:val="24"/>
        </w:rPr>
        <w:t>5</w:t>
      </w:r>
      <w:r w:rsidR="006335A6" w:rsidRPr="00290C47">
        <w:rPr>
          <w:rFonts w:asciiTheme="majorHAnsi" w:hAnsiTheme="majorHAnsi" w:cstheme="majorHAnsi"/>
          <w:sz w:val="24"/>
          <w:szCs w:val="24"/>
        </w:rPr>
        <w:tab/>
        <w:t xml:space="preserve">Members agreed that </w:t>
      </w:r>
      <w:r w:rsidR="00292FA7" w:rsidRPr="00290C47">
        <w:rPr>
          <w:rFonts w:asciiTheme="majorHAnsi" w:hAnsiTheme="majorHAnsi" w:cstheme="majorHAnsi"/>
          <w:sz w:val="24"/>
          <w:szCs w:val="24"/>
        </w:rPr>
        <w:t xml:space="preserve">given that the Group could not reach consensus on the way forward in respect of the ITRs, the Final Report of the EG-ITRs would reflect that it </w:t>
      </w:r>
      <w:r w:rsidR="00653430" w:rsidRPr="00290C47">
        <w:rPr>
          <w:rFonts w:asciiTheme="majorHAnsi" w:hAnsiTheme="majorHAnsi" w:cstheme="majorHAnsi"/>
          <w:sz w:val="24"/>
          <w:szCs w:val="24"/>
        </w:rPr>
        <w:t>is up to the ITU Plenipotentiary Conference 2022 to decide on the matter.</w:t>
      </w:r>
    </w:p>
    <w:p w14:paraId="1AEA2D66" w14:textId="04639AF7" w:rsidR="00135243" w:rsidRPr="00290C47" w:rsidRDefault="00604377" w:rsidP="00292917">
      <w:pPr>
        <w:spacing w:before="360" w:after="120" w:line="240" w:lineRule="auto"/>
        <w:jc w:val="both"/>
        <w:outlineLvl w:val="0"/>
        <w:rPr>
          <w:rFonts w:asciiTheme="majorHAnsi" w:hAnsiTheme="majorHAnsi" w:cstheme="majorHAnsi"/>
          <w:b/>
          <w:sz w:val="24"/>
          <w:szCs w:val="24"/>
        </w:rPr>
      </w:pPr>
      <w:r w:rsidRPr="00290C47">
        <w:rPr>
          <w:rFonts w:asciiTheme="majorHAnsi" w:hAnsiTheme="majorHAnsi" w:cstheme="majorHAnsi"/>
          <w:b/>
          <w:sz w:val="24"/>
          <w:szCs w:val="24"/>
        </w:rPr>
        <w:lastRenderedPageBreak/>
        <w:t>5</w:t>
      </w:r>
      <w:r w:rsidR="00135243" w:rsidRPr="00290C47">
        <w:rPr>
          <w:rFonts w:asciiTheme="majorHAnsi" w:hAnsiTheme="majorHAnsi" w:cstheme="majorHAnsi"/>
          <w:b/>
          <w:sz w:val="24"/>
          <w:szCs w:val="24"/>
        </w:rPr>
        <w:tab/>
        <w:t>Next Steps</w:t>
      </w:r>
    </w:p>
    <w:p w14:paraId="31BDF80E" w14:textId="35C06B4E" w:rsidR="00D75773" w:rsidRPr="00290C47" w:rsidRDefault="00D75773" w:rsidP="00292917">
      <w:pPr>
        <w:spacing w:before="120" w:after="120" w:line="240" w:lineRule="auto"/>
        <w:jc w:val="both"/>
        <w:outlineLvl w:val="0"/>
        <w:rPr>
          <w:rFonts w:asciiTheme="majorHAnsi" w:hAnsiTheme="majorHAnsi" w:cstheme="majorHAnsi"/>
          <w:b/>
          <w:sz w:val="24"/>
          <w:szCs w:val="24"/>
        </w:rPr>
      </w:pPr>
      <w:r w:rsidRPr="00290C47">
        <w:rPr>
          <w:rFonts w:asciiTheme="majorHAnsi" w:hAnsiTheme="majorHAnsi" w:cstheme="majorHAnsi"/>
          <w:bCs/>
          <w:sz w:val="24"/>
          <w:szCs w:val="24"/>
        </w:rPr>
        <w:tab/>
        <w:t xml:space="preserve">The </w:t>
      </w:r>
      <w:r w:rsidR="00653430" w:rsidRPr="00290C47">
        <w:rPr>
          <w:rFonts w:asciiTheme="majorHAnsi" w:hAnsiTheme="majorHAnsi" w:cstheme="majorHAnsi"/>
          <w:bCs/>
          <w:sz w:val="24"/>
          <w:szCs w:val="24"/>
        </w:rPr>
        <w:t xml:space="preserve">Final </w:t>
      </w:r>
      <w:r w:rsidRPr="00290C47">
        <w:rPr>
          <w:rFonts w:asciiTheme="majorHAnsi" w:hAnsiTheme="majorHAnsi" w:cstheme="majorHAnsi"/>
          <w:bCs/>
          <w:sz w:val="24"/>
          <w:szCs w:val="24"/>
        </w:rPr>
        <w:t xml:space="preserve">Report </w:t>
      </w:r>
      <w:r w:rsidR="00653430" w:rsidRPr="00290C47">
        <w:rPr>
          <w:rFonts w:asciiTheme="majorHAnsi" w:hAnsiTheme="majorHAnsi" w:cstheme="majorHAnsi"/>
          <w:bCs/>
          <w:sz w:val="24"/>
          <w:szCs w:val="24"/>
        </w:rPr>
        <w:t xml:space="preserve">of the EG-ITRs </w:t>
      </w:r>
      <w:r w:rsidRPr="00290C47">
        <w:rPr>
          <w:rFonts w:asciiTheme="majorHAnsi" w:hAnsiTheme="majorHAnsi" w:cstheme="majorHAnsi"/>
          <w:bCs/>
          <w:sz w:val="24"/>
          <w:szCs w:val="24"/>
        </w:rPr>
        <w:t xml:space="preserve">will be posted online by </w:t>
      </w:r>
      <w:r w:rsidR="00653430" w:rsidRPr="00290C47">
        <w:rPr>
          <w:rFonts w:asciiTheme="majorHAnsi" w:hAnsiTheme="majorHAnsi" w:cstheme="majorHAnsi"/>
          <w:bCs/>
          <w:sz w:val="24"/>
          <w:szCs w:val="24"/>
        </w:rPr>
        <w:t>19 February 2022</w:t>
      </w:r>
      <w:r w:rsidR="003B1DAB" w:rsidRPr="00290C47">
        <w:rPr>
          <w:rFonts w:asciiTheme="majorHAnsi" w:hAnsiTheme="majorHAnsi" w:cstheme="majorHAnsi"/>
          <w:bCs/>
          <w:sz w:val="24"/>
          <w:szCs w:val="24"/>
        </w:rPr>
        <w:t xml:space="preserve"> after incorporating the</w:t>
      </w:r>
      <w:r w:rsidRPr="00290C47">
        <w:rPr>
          <w:rFonts w:asciiTheme="majorHAnsi" w:hAnsiTheme="majorHAnsi" w:cstheme="majorHAnsi"/>
          <w:bCs/>
          <w:sz w:val="24"/>
          <w:szCs w:val="24"/>
        </w:rPr>
        <w:t xml:space="preserve"> </w:t>
      </w:r>
      <w:r w:rsidR="00653430" w:rsidRPr="00290C47">
        <w:rPr>
          <w:rFonts w:asciiTheme="majorHAnsi" w:hAnsiTheme="majorHAnsi" w:cstheme="majorHAnsi"/>
          <w:bCs/>
          <w:sz w:val="24"/>
          <w:szCs w:val="24"/>
        </w:rPr>
        <w:t>hyperlink to th</w:t>
      </w:r>
      <w:r w:rsidR="003B1DAB" w:rsidRPr="00290C47">
        <w:rPr>
          <w:rFonts w:asciiTheme="majorHAnsi" w:hAnsiTheme="majorHAnsi" w:cstheme="majorHAnsi"/>
          <w:bCs/>
          <w:sz w:val="24"/>
          <w:szCs w:val="24"/>
        </w:rPr>
        <w:t xml:space="preserve">is </w:t>
      </w:r>
      <w:r w:rsidR="00653430" w:rsidRPr="00290C47">
        <w:rPr>
          <w:rFonts w:asciiTheme="majorHAnsi" w:hAnsiTheme="majorHAnsi" w:cstheme="majorHAnsi"/>
          <w:bCs/>
          <w:sz w:val="24"/>
          <w:szCs w:val="24"/>
        </w:rPr>
        <w:t xml:space="preserve">sixth meeting report </w:t>
      </w:r>
      <w:r w:rsidR="003B1DAB" w:rsidRPr="00290C47">
        <w:rPr>
          <w:rFonts w:asciiTheme="majorHAnsi" w:hAnsiTheme="majorHAnsi" w:cstheme="majorHAnsi"/>
          <w:bCs/>
          <w:sz w:val="24"/>
          <w:szCs w:val="24"/>
        </w:rPr>
        <w:t xml:space="preserve">as agreed by </w:t>
      </w:r>
      <w:r w:rsidR="00653430" w:rsidRPr="00290C47">
        <w:rPr>
          <w:rFonts w:asciiTheme="majorHAnsi" w:hAnsiTheme="majorHAnsi" w:cstheme="majorHAnsi"/>
          <w:bCs/>
          <w:sz w:val="24"/>
          <w:szCs w:val="24"/>
        </w:rPr>
        <w:t>the Group.</w:t>
      </w:r>
    </w:p>
    <w:p w14:paraId="00000086" w14:textId="7505BCD3" w:rsidR="00D044C6" w:rsidRPr="00290C47" w:rsidRDefault="003B1DAB" w:rsidP="00292917">
      <w:pPr>
        <w:spacing w:before="360" w:after="120" w:line="240" w:lineRule="auto"/>
        <w:outlineLvl w:val="0"/>
        <w:rPr>
          <w:rFonts w:asciiTheme="majorHAnsi" w:hAnsiTheme="majorHAnsi" w:cstheme="majorHAnsi"/>
          <w:b/>
          <w:sz w:val="24"/>
          <w:szCs w:val="24"/>
        </w:rPr>
      </w:pPr>
      <w:r w:rsidRPr="00290C47">
        <w:rPr>
          <w:rFonts w:asciiTheme="majorHAnsi" w:hAnsiTheme="majorHAnsi" w:cstheme="majorHAnsi"/>
          <w:b/>
          <w:sz w:val="24"/>
          <w:szCs w:val="24"/>
        </w:rPr>
        <w:t>6</w:t>
      </w:r>
      <w:r w:rsidR="009B05F6" w:rsidRPr="00290C47">
        <w:rPr>
          <w:rFonts w:asciiTheme="majorHAnsi" w:hAnsiTheme="majorHAnsi" w:cstheme="majorHAnsi"/>
          <w:b/>
          <w:sz w:val="24"/>
          <w:szCs w:val="24"/>
        </w:rPr>
        <w:tab/>
        <w:t>Closing of the Meeting</w:t>
      </w:r>
    </w:p>
    <w:p w14:paraId="00000087" w14:textId="4425650E" w:rsidR="00D044C6" w:rsidRPr="00290C47" w:rsidRDefault="009B05F6" w:rsidP="00292917">
      <w:pPr>
        <w:spacing w:before="120" w:after="120" w:line="240" w:lineRule="auto"/>
        <w:ind w:firstLine="720"/>
        <w:jc w:val="both"/>
        <w:rPr>
          <w:rFonts w:asciiTheme="majorHAnsi" w:hAnsiTheme="majorHAnsi" w:cstheme="majorHAnsi"/>
          <w:sz w:val="24"/>
          <w:szCs w:val="24"/>
        </w:rPr>
      </w:pPr>
      <w:r w:rsidRPr="00290C47">
        <w:rPr>
          <w:rFonts w:asciiTheme="majorHAnsi" w:hAnsiTheme="majorHAnsi" w:cstheme="majorHAnsi"/>
          <w:sz w:val="24"/>
          <w:szCs w:val="24"/>
        </w:rPr>
        <w:t xml:space="preserve">In closing, the </w:t>
      </w:r>
      <w:r w:rsidR="00D9472F" w:rsidRPr="00290C47">
        <w:rPr>
          <w:rFonts w:asciiTheme="majorHAnsi" w:hAnsiTheme="majorHAnsi" w:cstheme="majorHAnsi"/>
          <w:sz w:val="24"/>
          <w:szCs w:val="24"/>
        </w:rPr>
        <w:t xml:space="preserve">Acting </w:t>
      </w:r>
      <w:r w:rsidRPr="00290C47">
        <w:rPr>
          <w:rFonts w:asciiTheme="majorHAnsi" w:hAnsiTheme="majorHAnsi" w:cstheme="majorHAnsi"/>
          <w:sz w:val="24"/>
          <w:szCs w:val="24"/>
        </w:rPr>
        <w:t xml:space="preserve">Chairman thanked all the ITU Member States and Sector Members who made contributions and participated in the work of the Expert Group, the </w:t>
      </w:r>
      <w:r w:rsidR="00604377" w:rsidRPr="00290C47">
        <w:rPr>
          <w:rFonts w:asciiTheme="majorHAnsi" w:hAnsiTheme="majorHAnsi" w:cstheme="majorHAnsi"/>
          <w:sz w:val="24"/>
          <w:szCs w:val="24"/>
        </w:rPr>
        <w:t>Management Team</w:t>
      </w:r>
      <w:r w:rsidRPr="00290C47">
        <w:rPr>
          <w:rFonts w:asciiTheme="majorHAnsi" w:hAnsiTheme="majorHAnsi" w:cstheme="majorHAnsi"/>
          <w:sz w:val="24"/>
          <w:szCs w:val="24"/>
        </w:rPr>
        <w:t xml:space="preserve">, and ITU Elected Officials, </w:t>
      </w:r>
      <w:r w:rsidR="007B6199" w:rsidRPr="00290C47">
        <w:rPr>
          <w:rFonts w:asciiTheme="majorHAnsi" w:hAnsiTheme="majorHAnsi" w:cstheme="majorHAnsi"/>
          <w:sz w:val="24"/>
          <w:szCs w:val="24"/>
        </w:rPr>
        <w:t xml:space="preserve">and </w:t>
      </w:r>
      <w:r w:rsidRPr="00290C47">
        <w:rPr>
          <w:rFonts w:asciiTheme="majorHAnsi" w:hAnsiTheme="majorHAnsi" w:cstheme="majorHAnsi"/>
          <w:sz w:val="24"/>
          <w:szCs w:val="24"/>
        </w:rPr>
        <w:t xml:space="preserve">the Secretariat and the interpreters for their efficient assistance during the meeting. </w:t>
      </w:r>
    </w:p>
    <w:p w14:paraId="00000088" w14:textId="77777777" w:rsidR="00D044C6" w:rsidRPr="00290C47" w:rsidRDefault="009B05F6" w:rsidP="00292917">
      <w:pPr>
        <w:spacing w:before="120" w:after="120" w:line="240" w:lineRule="auto"/>
        <w:ind w:firstLine="720"/>
        <w:rPr>
          <w:rFonts w:asciiTheme="majorHAnsi" w:hAnsiTheme="majorHAnsi" w:cstheme="majorHAnsi"/>
          <w:sz w:val="24"/>
          <w:szCs w:val="24"/>
        </w:rPr>
      </w:pPr>
      <w:r w:rsidRPr="00290C47">
        <w:rPr>
          <w:rFonts w:asciiTheme="majorHAnsi" w:hAnsiTheme="majorHAnsi" w:cstheme="majorHAnsi"/>
          <w:sz w:val="24"/>
          <w:szCs w:val="24"/>
        </w:rPr>
        <w:t>The Group thanked the Chairman and Secretariat for their effective organization and management of the Group.</w:t>
      </w:r>
    </w:p>
    <w:p w14:paraId="4DAEF6F7" w14:textId="1E131CCF" w:rsidR="007B6199" w:rsidRPr="00290C47" w:rsidRDefault="00D9472F" w:rsidP="0061073F">
      <w:pPr>
        <w:tabs>
          <w:tab w:val="left" w:pos="4536"/>
        </w:tabs>
        <w:spacing w:before="360" w:after="120" w:line="240" w:lineRule="auto"/>
        <w:jc w:val="right"/>
        <w:outlineLvl w:val="0"/>
        <w:rPr>
          <w:rFonts w:asciiTheme="majorHAnsi" w:hAnsiTheme="majorHAnsi" w:cstheme="majorHAnsi"/>
          <w:b/>
          <w:sz w:val="24"/>
          <w:szCs w:val="24"/>
        </w:rPr>
      </w:pPr>
      <w:r w:rsidRPr="00290C47">
        <w:rPr>
          <w:rFonts w:asciiTheme="majorHAnsi" w:hAnsiTheme="majorHAnsi" w:cstheme="majorHAnsi"/>
          <w:b/>
          <w:sz w:val="24"/>
          <w:szCs w:val="24"/>
        </w:rPr>
        <w:t>A/</w:t>
      </w:r>
      <w:r w:rsidR="007B6199" w:rsidRPr="00290C47">
        <w:rPr>
          <w:rFonts w:asciiTheme="majorHAnsi" w:hAnsiTheme="majorHAnsi" w:cstheme="majorHAnsi"/>
          <w:b/>
          <w:sz w:val="24"/>
          <w:szCs w:val="24"/>
        </w:rPr>
        <w:t xml:space="preserve">Chairman: Mr. </w:t>
      </w:r>
      <w:r w:rsidR="009257E1" w:rsidRPr="00290C47">
        <w:rPr>
          <w:rFonts w:asciiTheme="majorHAnsi" w:hAnsiTheme="majorHAnsi" w:cstheme="majorHAnsi"/>
          <w:b/>
          <w:sz w:val="24"/>
          <w:szCs w:val="24"/>
        </w:rPr>
        <w:t>Santiago Reyes-Borda</w:t>
      </w:r>
      <w:r w:rsidR="007B6199" w:rsidRPr="00290C47">
        <w:rPr>
          <w:rFonts w:asciiTheme="majorHAnsi" w:hAnsiTheme="majorHAnsi" w:cstheme="majorHAnsi"/>
          <w:b/>
          <w:sz w:val="24"/>
          <w:szCs w:val="24"/>
        </w:rPr>
        <w:t xml:space="preserve"> (</w:t>
      </w:r>
      <w:r w:rsidR="009257E1" w:rsidRPr="00290C47">
        <w:rPr>
          <w:rFonts w:asciiTheme="majorHAnsi" w:hAnsiTheme="majorHAnsi" w:cstheme="majorHAnsi"/>
          <w:b/>
          <w:sz w:val="24"/>
          <w:szCs w:val="24"/>
        </w:rPr>
        <w:t>Vice-Chair, Americas Region</w:t>
      </w:r>
      <w:r w:rsidR="007B6199" w:rsidRPr="00290C47">
        <w:rPr>
          <w:rFonts w:asciiTheme="majorHAnsi" w:hAnsiTheme="majorHAnsi" w:cstheme="majorHAnsi"/>
          <w:b/>
          <w:sz w:val="24"/>
          <w:szCs w:val="24"/>
        </w:rPr>
        <w:t>)</w:t>
      </w:r>
    </w:p>
    <w:p w14:paraId="3237650F" w14:textId="77777777" w:rsidR="00265D77" w:rsidRPr="00290C47" w:rsidRDefault="00265D77" w:rsidP="00265D77">
      <w:pPr>
        <w:spacing w:before="840" w:line="240" w:lineRule="auto"/>
        <w:jc w:val="center"/>
        <w:rPr>
          <w:rFonts w:asciiTheme="majorHAnsi" w:hAnsiTheme="majorHAnsi" w:cstheme="majorHAnsi"/>
          <w:sz w:val="24"/>
          <w:szCs w:val="24"/>
          <w:lang w:eastAsia="ja-JP"/>
        </w:rPr>
      </w:pPr>
      <w:r w:rsidRPr="00290C47">
        <w:rPr>
          <w:rFonts w:asciiTheme="majorHAnsi" w:hAnsiTheme="majorHAnsi" w:cstheme="majorHAnsi"/>
          <w:sz w:val="24"/>
          <w:szCs w:val="24"/>
        </w:rPr>
        <w:t>_______________</w:t>
      </w:r>
    </w:p>
    <w:sectPr w:rsidR="00265D77" w:rsidRPr="00290C47" w:rsidSect="0034245D">
      <w:headerReference w:type="default" r:id="rId16"/>
      <w:footerReference w:type="first" r:id="rId17"/>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A92F" w14:textId="77777777" w:rsidR="002C6820" w:rsidRPr="00EF7AB4" w:rsidRDefault="002C6820" w:rsidP="00406C7A">
      <w:pPr>
        <w:spacing w:line="240" w:lineRule="auto"/>
        <w:rPr>
          <w:sz w:val="21"/>
          <w:szCs w:val="21"/>
        </w:rPr>
      </w:pPr>
      <w:r w:rsidRPr="00EF7AB4">
        <w:rPr>
          <w:sz w:val="21"/>
          <w:szCs w:val="21"/>
        </w:rPr>
        <w:separator/>
      </w:r>
    </w:p>
  </w:endnote>
  <w:endnote w:type="continuationSeparator" w:id="0">
    <w:p w14:paraId="70D2CD3D" w14:textId="77777777" w:rsidR="002C6820" w:rsidRPr="00EF7AB4" w:rsidRDefault="002C6820" w:rsidP="00406C7A">
      <w:pPr>
        <w:spacing w:line="240" w:lineRule="auto"/>
        <w:rPr>
          <w:sz w:val="21"/>
          <w:szCs w:val="21"/>
        </w:rPr>
      </w:pPr>
      <w:r w:rsidRPr="00EF7AB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0DDB" w14:textId="77777777" w:rsidR="0034245D" w:rsidRPr="0034245D" w:rsidRDefault="0034245D" w:rsidP="0034245D">
    <w:pPr>
      <w:spacing w:before="120" w:after="120" w:line="259" w:lineRule="auto"/>
      <w:jc w:val="center"/>
      <w:rPr>
        <w:rFonts w:ascii="Calibri" w:eastAsia="MS Mincho" w:hAnsi="Calibri"/>
        <w:lang w:eastAsia="zh-CN"/>
      </w:rPr>
    </w:pPr>
    <w:r w:rsidRPr="0034245D">
      <w:rPr>
        <w:rFonts w:ascii="Calibri" w:eastAsia="MS Mincho" w:hAnsi="Calibri"/>
        <w:lang w:eastAsia="zh-CN"/>
      </w:rPr>
      <w:t xml:space="preserve">• </w:t>
    </w:r>
    <w:hyperlink r:id="rId1" w:history="1">
      <w:r w:rsidRPr="0034245D">
        <w:rPr>
          <w:rFonts w:ascii="Calibri" w:eastAsia="MS Mincho" w:hAnsi="Calibri"/>
          <w:color w:val="0000FF"/>
          <w:u w:val="single"/>
          <w:lang w:eastAsia="zh-CN"/>
        </w:rPr>
        <w:t>http://www.itu.int/council</w:t>
      </w:r>
    </w:hyperlink>
    <w:r w:rsidRPr="0034245D">
      <w:rPr>
        <w:rFonts w:ascii="Calibri" w:eastAsia="MS Mincho" w:hAnsi="Calibri"/>
        <w:lang w:eastAsia="zh-CN"/>
      </w:rPr>
      <w:t xml:space="preserve"> •</w:t>
    </w:r>
  </w:p>
  <w:p w14:paraId="34CD3E13" w14:textId="77777777" w:rsidR="0034245D" w:rsidRDefault="0034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7940" w14:textId="77777777" w:rsidR="002C6820" w:rsidRPr="00EF7AB4" w:rsidRDefault="002C6820" w:rsidP="00406C7A">
      <w:pPr>
        <w:spacing w:line="240" w:lineRule="auto"/>
        <w:rPr>
          <w:sz w:val="21"/>
          <w:szCs w:val="21"/>
        </w:rPr>
      </w:pPr>
      <w:r w:rsidRPr="00EF7AB4">
        <w:rPr>
          <w:sz w:val="21"/>
          <w:szCs w:val="21"/>
        </w:rPr>
        <w:separator/>
      </w:r>
    </w:p>
  </w:footnote>
  <w:footnote w:type="continuationSeparator" w:id="0">
    <w:p w14:paraId="2CD91912" w14:textId="77777777" w:rsidR="002C6820" w:rsidRPr="00EF7AB4" w:rsidRDefault="002C6820" w:rsidP="00406C7A">
      <w:pPr>
        <w:spacing w:line="240" w:lineRule="auto"/>
        <w:rPr>
          <w:sz w:val="21"/>
          <w:szCs w:val="21"/>
        </w:rPr>
      </w:pPr>
      <w:r w:rsidRPr="00EF7AB4">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AA64" w14:textId="46258F9B" w:rsidR="0034245D" w:rsidRPr="0034245D" w:rsidRDefault="0034245D" w:rsidP="0034245D">
    <w:pPr>
      <w:spacing w:after="120" w:line="259" w:lineRule="auto"/>
      <w:jc w:val="center"/>
      <w:rPr>
        <w:rFonts w:ascii="Calibri" w:eastAsia="MS Mincho" w:hAnsi="Calibri"/>
        <w:noProof/>
        <w:sz w:val="18"/>
        <w:lang w:eastAsia="zh-CN"/>
      </w:rPr>
    </w:pPr>
    <w:r w:rsidRPr="0034245D">
      <w:rPr>
        <w:rFonts w:ascii="Calibri" w:eastAsia="MS Mincho" w:hAnsi="Calibri"/>
        <w:sz w:val="18"/>
        <w:lang w:eastAsia="zh-CN"/>
      </w:rPr>
      <w:fldChar w:fldCharType="begin"/>
    </w:r>
    <w:r w:rsidRPr="0034245D">
      <w:rPr>
        <w:rFonts w:ascii="Calibri" w:eastAsia="MS Mincho" w:hAnsi="Calibri"/>
        <w:sz w:val="18"/>
        <w:lang w:eastAsia="zh-CN"/>
      </w:rPr>
      <w:instrText xml:space="preserve"> PAGE   \* MERGEFORMAT </w:instrText>
    </w:r>
    <w:r w:rsidRPr="0034245D">
      <w:rPr>
        <w:rFonts w:ascii="Calibri" w:eastAsia="MS Mincho" w:hAnsi="Calibri"/>
        <w:sz w:val="18"/>
        <w:lang w:eastAsia="zh-CN"/>
      </w:rPr>
      <w:fldChar w:fldCharType="separate"/>
    </w:r>
    <w:r w:rsidR="005A649E">
      <w:rPr>
        <w:rFonts w:ascii="Calibri" w:eastAsia="MS Mincho" w:hAnsi="Calibri"/>
        <w:noProof/>
        <w:sz w:val="18"/>
        <w:lang w:eastAsia="zh-CN"/>
      </w:rPr>
      <w:t>2</w:t>
    </w:r>
    <w:r w:rsidRPr="0034245D">
      <w:rPr>
        <w:rFonts w:ascii="Calibri" w:eastAsia="MS Mincho" w:hAnsi="Calibri"/>
        <w:noProof/>
        <w:sz w:val="18"/>
        <w:lang w:eastAsia="zh-CN"/>
      </w:rPr>
      <w:fldChar w:fldCharType="end"/>
    </w:r>
    <w:r w:rsidRPr="0034245D">
      <w:rPr>
        <w:rFonts w:ascii="Calibri" w:eastAsia="MS Mincho" w:hAnsi="Calibri"/>
        <w:noProof/>
        <w:sz w:val="18"/>
        <w:lang w:eastAsia="zh-CN"/>
      </w:rPr>
      <w:br/>
      <w:t>EG-ITRs-6/</w:t>
    </w:r>
    <w:r w:rsidR="00290C47">
      <w:rPr>
        <w:rFonts w:ascii="Calibri" w:eastAsia="MS Mincho" w:hAnsi="Calibri"/>
        <w:noProof/>
        <w:sz w:val="18"/>
        <w:lang w:eastAsia="zh-CN"/>
      </w:rPr>
      <w:t>8</w:t>
    </w:r>
    <w:r w:rsidRPr="0034245D">
      <w:rPr>
        <w:rFonts w:ascii="Calibri" w:eastAsia="MS Mincho" w:hAnsi="Calibri"/>
        <w:noProof/>
        <w:sz w:val="18"/>
        <w:lang w:eastAsia="zh-CN"/>
      </w:rPr>
      <w:t>-E</w:t>
    </w:r>
  </w:p>
  <w:p w14:paraId="155D4EAA" w14:textId="77777777" w:rsidR="0034245D" w:rsidRDefault="0034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C6"/>
    <w:rsid w:val="00020FCE"/>
    <w:rsid w:val="00021FF0"/>
    <w:rsid w:val="00024577"/>
    <w:rsid w:val="000375B0"/>
    <w:rsid w:val="000417F0"/>
    <w:rsid w:val="000563E0"/>
    <w:rsid w:val="00057065"/>
    <w:rsid w:val="00063EA3"/>
    <w:rsid w:val="000840E3"/>
    <w:rsid w:val="00087D4A"/>
    <w:rsid w:val="000A635E"/>
    <w:rsid w:val="000B2CC6"/>
    <w:rsid w:val="000C19A9"/>
    <w:rsid w:val="000E284F"/>
    <w:rsid w:val="000E4B2B"/>
    <w:rsid w:val="00105B40"/>
    <w:rsid w:val="0011573F"/>
    <w:rsid w:val="00122378"/>
    <w:rsid w:val="001302AE"/>
    <w:rsid w:val="001340DF"/>
    <w:rsid w:val="00135243"/>
    <w:rsid w:val="0014586C"/>
    <w:rsid w:val="00145D3E"/>
    <w:rsid w:val="00163A36"/>
    <w:rsid w:val="001656F9"/>
    <w:rsid w:val="00166316"/>
    <w:rsid w:val="00166CE7"/>
    <w:rsid w:val="001739CE"/>
    <w:rsid w:val="00173F16"/>
    <w:rsid w:val="00175613"/>
    <w:rsid w:val="00175AE1"/>
    <w:rsid w:val="00183F58"/>
    <w:rsid w:val="00185646"/>
    <w:rsid w:val="0019358F"/>
    <w:rsid w:val="001940DC"/>
    <w:rsid w:val="001950C7"/>
    <w:rsid w:val="001A2F1F"/>
    <w:rsid w:val="001B10E6"/>
    <w:rsid w:val="001B1522"/>
    <w:rsid w:val="001B6AFA"/>
    <w:rsid w:val="001B78D4"/>
    <w:rsid w:val="001D41FE"/>
    <w:rsid w:val="001E1297"/>
    <w:rsid w:val="00201799"/>
    <w:rsid w:val="002142AE"/>
    <w:rsid w:val="0022347F"/>
    <w:rsid w:val="00241390"/>
    <w:rsid w:val="00254A6B"/>
    <w:rsid w:val="00260677"/>
    <w:rsid w:val="002636D0"/>
    <w:rsid w:val="00265D77"/>
    <w:rsid w:val="00265F1E"/>
    <w:rsid w:val="00276870"/>
    <w:rsid w:val="00276EC2"/>
    <w:rsid w:val="002853DB"/>
    <w:rsid w:val="00290C47"/>
    <w:rsid w:val="00292917"/>
    <w:rsid w:val="00292FA7"/>
    <w:rsid w:val="002A070C"/>
    <w:rsid w:val="002A1F7F"/>
    <w:rsid w:val="002C3231"/>
    <w:rsid w:val="002C3385"/>
    <w:rsid w:val="002C5144"/>
    <w:rsid w:val="002C6820"/>
    <w:rsid w:val="002D2BE7"/>
    <w:rsid w:val="002D4369"/>
    <w:rsid w:val="002E7928"/>
    <w:rsid w:val="002F48FA"/>
    <w:rsid w:val="003152DC"/>
    <w:rsid w:val="003263B4"/>
    <w:rsid w:val="003419C6"/>
    <w:rsid w:val="00341ACB"/>
    <w:rsid w:val="0034245D"/>
    <w:rsid w:val="00352111"/>
    <w:rsid w:val="00353A90"/>
    <w:rsid w:val="0035512B"/>
    <w:rsid w:val="00355B77"/>
    <w:rsid w:val="00364581"/>
    <w:rsid w:val="00376239"/>
    <w:rsid w:val="003A18F3"/>
    <w:rsid w:val="003B1DAB"/>
    <w:rsid w:val="003B6FC2"/>
    <w:rsid w:val="003C52E7"/>
    <w:rsid w:val="003C6ADA"/>
    <w:rsid w:val="003D6288"/>
    <w:rsid w:val="00406C7A"/>
    <w:rsid w:val="004236F6"/>
    <w:rsid w:val="004275B0"/>
    <w:rsid w:val="004309EE"/>
    <w:rsid w:val="00431565"/>
    <w:rsid w:val="00441DBE"/>
    <w:rsid w:val="004556C2"/>
    <w:rsid w:val="00460A7D"/>
    <w:rsid w:val="0047659D"/>
    <w:rsid w:val="0048645A"/>
    <w:rsid w:val="00487424"/>
    <w:rsid w:val="0049640F"/>
    <w:rsid w:val="004A1BAC"/>
    <w:rsid w:val="004A354A"/>
    <w:rsid w:val="004B737B"/>
    <w:rsid w:val="004E20E5"/>
    <w:rsid w:val="00504429"/>
    <w:rsid w:val="00521988"/>
    <w:rsid w:val="00523CB6"/>
    <w:rsid w:val="00524054"/>
    <w:rsid w:val="00540391"/>
    <w:rsid w:val="005435AA"/>
    <w:rsid w:val="00546842"/>
    <w:rsid w:val="00561E00"/>
    <w:rsid w:val="00563AF5"/>
    <w:rsid w:val="00565164"/>
    <w:rsid w:val="0057581C"/>
    <w:rsid w:val="0058517E"/>
    <w:rsid w:val="00587CE1"/>
    <w:rsid w:val="005A33CF"/>
    <w:rsid w:val="005A649E"/>
    <w:rsid w:val="005D35A1"/>
    <w:rsid w:val="005E6FE3"/>
    <w:rsid w:val="005F4517"/>
    <w:rsid w:val="00604377"/>
    <w:rsid w:val="00607449"/>
    <w:rsid w:val="0061073F"/>
    <w:rsid w:val="00626F5F"/>
    <w:rsid w:val="006335A6"/>
    <w:rsid w:val="00633F9A"/>
    <w:rsid w:val="00640C5C"/>
    <w:rsid w:val="00643597"/>
    <w:rsid w:val="00650026"/>
    <w:rsid w:val="00653430"/>
    <w:rsid w:val="0065695D"/>
    <w:rsid w:val="00656BEA"/>
    <w:rsid w:val="00661E22"/>
    <w:rsid w:val="0066396B"/>
    <w:rsid w:val="006714F3"/>
    <w:rsid w:val="00672FC9"/>
    <w:rsid w:val="006779A9"/>
    <w:rsid w:val="00685236"/>
    <w:rsid w:val="006951B9"/>
    <w:rsid w:val="006A2461"/>
    <w:rsid w:val="006A3D53"/>
    <w:rsid w:val="006A6B73"/>
    <w:rsid w:val="006B7A0C"/>
    <w:rsid w:val="006B7EB5"/>
    <w:rsid w:val="006D56D0"/>
    <w:rsid w:val="00722193"/>
    <w:rsid w:val="00722F88"/>
    <w:rsid w:val="00764F7E"/>
    <w:rsid w:val="007679FB"/>
    <w:rsid w:val="00773B98"/>
    <w:rsid w:val="00774845"/>
    <w:rsid w:val="00775C28"/>
    <w:rsid w:val="00783114"/>
    <w:rsid w:val="007845C9"/>
    <w:rsid w:val="00787F65"/>
    <w:rsid w:val="00792FAC"/>
    <w:rsid w:val="007A224D"/>
    <w:rsid w:val="007A489E"/>
    <w:rsid w:val="007B328A"/>
    <w:rsid w:val="007B6199"/>
    <w:rsid w:val="007C6D70"/>
    <w:rsid w:val="007D000B"/>
    <w:rsid w:val="007D5A26"/>
    <w:rsid w:val="007F4E06"/>
    <w:rsid w:val="007F5418"/>
    <w:rsid w:val="00802D72"/>
    <w:rsid w:val="00803207"/>
    <w:rsid w:val="008135BB"/>
    <w:rsid w:val="008173CE"/>
    <w:rsid w:val="008374FD"/>
    <w:rsid w:val="00876129"/>
    <w:rsid w:val="008814CE"/>
    <w:rsid w:val="00887EAA"/>
    <w:rsid w:val="00893A81"/>
    <w:rsid w:val="0089594B"/>
    <w:rsid w:val="008A0316"/>
    <w:rsid w:val="008A4B0A"/>
    <w:rsid w:val="008A6BFB"/>
    <w:rsid w:val="008B0677"/>
    <w:rsid w:val="008B5424"/>
    <w:rsid w:val="008D4217"/>
    <w:rsid w:val="008E17F6"/>
    <w:rsid w:val="008E4F2F"/>
    <w:rsid w:val="008F16D9"/>
    <w:rsid w:val="00905F58"/>
    <w:rsid w:val="00911EBB"/>
    <w:rsid w:val="009218B1"/>
    <w:rsid w:val="0092347C"/>
    <w:rsid w:val="009257E1"/>
    <w:rsid w:val="00941DBD"/>
    <w:rsid w:val="00941F25"/>
    <w:rsid w:val="0094745B"/>
    <w:rsid w:val="00951959"/>
    <w:rsid w:val="0096152E"/>
    <w:rsid w:val="00973EA5"/>
    <w:rsid w:val="00991E6A"/>
    <w:rsid w:val="009A2ADB"/>
    <w:rsid w:val="009B05F6"/>
    <w:rsid w:val="009B7CF9"/>
    <w:rsid w:val="009C0465"/>
    <w:rsid w:val="009D10B8"/>
    <w:rsid w:val="009F1A52"/>
    <w:rsid w:val="009F36F6"/>
    <w:rsid w:val="00A05240"/>
    <w:rsid w:val="00A0681A"/>
    <w:rsid w:val="00A07D20"/>
    <w:rsid w:val="00A354AD"/>
    <w:rsid w:val="00A37118"/>
    <w:rsid w:val="00A51350"/>
    <w:rsid w:val="00A6257B"/>
    <w:rsid w:val="00A737AB"/>
    <w:rsid w:val="00A8187E"/>
    <w:rsid w:val="00A857BA"/>
    <w:rsid w:val="00A86A0D"/>
    <w:rsid w:val="00A908A8"/>
    <w:rsid w:val="00AB374C"/>
    <w:rsid w:val="00AB745B"/>
    <w:rsid w:val="00AC05FC"/>
    <w:rsid w:val="00AC2FED"/>
    <w:rsid w:val="00AC4201"/>
    <w:rsid w:val="00AC54D1"/>
    <w:rsid w:val="00AE38A7"/>
    <w:rsid w:val="00AE39AB"/>
    <w:rsid w:val="00AF201E"/>
    <w:rsid w:val="00B15DDB"/>
    <w:rsid w:val="00B21905"/>
    <w:rsid w:val="00B229E5"/>
    <w:rsid w:val="00B32CF8"/>
    <w:rsid w:val="00B3743B"/>
    <w:rsid w:val="00B457EA"/>
    <w:rsid w:val="00B57565"/>
    <w:rsid w:val="00B977F8"/>
    <w:rsid w:val="00BA57D5"/>
    <w:rsid w:val="00BB1FD7"/>
    <w:rsid w:val="00BC6F73"/>
    <w:rsid w:val="00BD24CA"/>
    <w:rsid w:val="00BE33C5"/>
    <w:rsid w:val="00C11031"/>
    <w:rsid w:val="00C124B8"/>
    <w:rsid w:val="00C12B28"/>
    <w:rsid w:val="00C17076"/>
    <w:rsid w:val="00C178A4"/>
    <w:rsid w:val="00C20591"/>
    <w:rsid w:val="00C31383"/>
    <w:rsid w:val="00C3772E"/>
    <w:rsid w:val="00C40085"/>
    <w:rsid w:val="00C55DDE"/>
    <w:rsid w:val="00C61E04"/>
    <w:rsid w:val="00C7509E"/>
    <w:rsid w:val="00C77AE0"/>
    <w:rsid w:val="00C9132C"/>
    <w:rsid w:val="00C94377"/>
    <w:rsid w:val="00CE4978"/>
    <w:rsid w:val="00CF5CE0"/>
    <w:rsid w:val="00D02852"/>
    <w:rsid w:val="00D044C6"/>
    <w:rsid w:val="00D16FA4"/>
    <w:rsid w:val="00D2147F"/>
    <w:rsid w:val="00D27B36"/>
    <w:rsid w:val="00D30405"/>
    <w:rsid w:val="00D32538"/>
    <w:rsid w:val="00D33C65"/>
    <w:rsid w:val="00D40947"/>
    <w:rsid w:val="00D51CF5"/>
    <w:rsid w:val="00D64FE7"/>
    <w:rsid w:val="00D75773"/>
    <w:rsid w:val="00D84690"/>
    <w:rsid w:val="00D9154E"/>
    <w:rsid w:val="00D9472F"/>
    <w:rsid w:val="00DA0B61"/>
    <w:rsid w:val="00DB0871"/>
    <w:rsid w:val="00DB2576"/>
    <w:rsid w:val="00DC229C"/>
    <w:rsid w:val="00DC3331"/>
    <w:rsid w:val="00DC5DDB"/>
    <w:rsid w:val="00DD0AB7"/>
    <w:rsid w:val="00DE1052"/>
    <w:rsid w:val="00DE4FD2"/>
    <w:rsid w:val="00DE76C7"/>
    <w:rsid w:val="00E0537B"/>
    <w:rsid w:val="00E06116"/>
    <w:rsid w:val="00E261DC"/>
    <w:rsid w:val="00E41FC6"/>
    <w:rsid w:val="00EA14D0"/>
    <w:rsid w:val="00EB6C38"/>
    <w:rsid w:val="00EC066D"/>
    <w:rsid w:val="00EC37AA"/>
    <w:rsid w:val="00EC6FDC"/>
    <w:rsid w:val="00EE086D"/>
    <w:rsid w:val="00EF3070"/>
    <w:rsid w:val="00EF78E8"/>
    <w:rsid w:val="00EF7AB4"/>
    <w:rsid w:val="00EF7F39"/>
    <w:rsid w:val="00F05189"/>
    <w:rsid w:val="00F2081F"/>
    <w:rsid w:val="00F2333A"/>
    <w:rsid w:val="00F42DEE"/>
    <w:rsid w:val="00F52C63"/>
    <w:rsid w:val="00F5381D"/>
    <w:rsid w:val="00F872EC"/>
    <w:rsid w:val="00F8797B"/>
    <w:rsid w:val="00FB5979"/>
    <w:rsid w:val="00FB732A"/>
    <w:rsid w:val="00FE3A9A"/>
    <w:rsid w:val="00FE3F1A"/>
    <w:rsid w:val="00FF4B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A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D436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369"/>
    <w:rPr>
      <w:rFonts w:ascii="Times New Roman" w:hAnsi="Times New Roman" w:cs="Times New Roman"/>
      <w:sz w:val="18"/>
      <w:szCs w:val="18"/>
    </w:rPr>
  </w:style>
  <w:style w:type="paragraph" w:customStyle="1" w:styleId="dnum">
    <w:name w:val="dnum"/>
    <w:basedOn w:val="Normal"/>
    <w:rsid w:val="002D4369"/>
    <w:pPr>
      <w:framePr w:hSpace="181" w:wrap="around" w:vAnchor="page" w:hAnchor="margin" w:y="852"/>
      <w:shd w:val="solid" w:color="FFFFFF" w:fill="FFFFFF"/>
      <w:tabs>
        <w:tab w:val="left" w:pos="1871"/>
      </w:tabs>
      <w:spacing w:after="160" w:line="259" w:lineRule="auto"/>
    </w:pPr>
    <w:rPr>
      <w:rFonts w:asciiTheme="minorHAnsi" w:eastAsiaTheme="minorHAnsi" w:hAnsiTheme="minorHAnsi" w:cstheme="minorBidi"/>
      <w:b/>
      <w:bCs/>
      <w:lang w:eastAsia="en-US"/>
    </w:rPr>
  </w:style>
  <w:style w:type="paragraph" w:styleId="ListParagraph">
    <w:name w:val="List Paragraph"/>
    <w:basedOn w:val="Normal"/>
    <w:uiPriority w:val="34"/>
    <w:qFormat/>
    <w:rsid w:val="002D4369"/>
    <w:pPr>
      <w:ind w:left="720"/>
      <w:contextualSpacing/>
    </w:pPr>
  </w:style>
  <w:style w:type="paragraph" w:styleId="CommentSubject">
    <w:name w:val="annotation subject"/>
    <w:basedOn w:val="CommentText"/>
    <w:next w:val="CommentText"/>
    <w:link w:val="CommentSubjectChar"/>
    <w:uiPriority w:val="99"/>
    <w:semiHidden/>
    <w:unhideWhenUsed/>
    <w:rsid w:val="00376239"/>
    <w:rPr>
      <w:b/>
      <w:bCs/>
      <w:sz w:val="20"/>
      <w:szCs w:val="20"/>
    </w:rPr>
  </w:style>
  <w:style w:type="character" w:customStyle="1" w:styleId="CommentSubjectChar">
    <w:name w:val="Comment Subject Char"/>
    <w:basedOn w:val="CommentTextChar"/>
    <w:link w:val="CommentSubject"/>
    <w:uiPriority w:val="99"/>
    <w:semiHidden/>
    <w:rsid w:val="00376239"/>
    <w:rPr>
      <w:b/>
      <w:bCs/>
      <w:sz w:val="20"/>
      <w:szCs w:val="20"/>
    </w:rPr>
  </w:style>
  <w:style w:type="character" w:styleId="Hyperlink">
    <w:name w:val="Hyperlink"/>
    <w:basedOn w:val="DefaultParagraphFont"/>
    <w:uiPriority w:val="99"/>
    <w:unhideWhenUsed/>
    <w:rsid w:val="002142AE"/>
    <w:rPr>
      <w:color w:val="0000FF" w:themeColor="hyperlink"/>
      <w:u w:val="single"/>
    </w:rPr>
  </w:style>
  <w:style w:type="paragraph" w:styleId="Revision">
    <w:name w:val="Revision"/>
    <w:hidden/>
    <w:uiPriority w:val="99"/>
    <w:semiHidden/>
    <w:rsid w:val="009B05F6"/>
    <w:pPr>
      <w:spacing w:line="240" w:lineRule="auto"/>
    </w:pPr>
  </w:style>
  <w:style w:type="character" w:customStyle="1" w:styleId="UnresolvedMention1">
    <w:name w:val="Unresolved Mention1"/>
    <w:basedOn w:val="DefaultParagraphFont"/>
    <w:uiPriority w:val="99"/>
    <w:semiHidden/>
    <w:unhideWhenUsed/>
    <w:rsid w:val="00F8797B"/>
    <w:rPr>
      <w:color w:val="605E5C"/>
      <w:shd w:val="clear" w:color="auto" w:fill="E1DFDD"/>
    </w:rPr>
  </w:style>
  <w:style w:type="paragraph" w:styleId="NormalWeb">
    <w:name w:val="Normal (Web)"/>
    <w:basedOn w:val="Normal"/>
    <w:uiPriority w:val="99"/>
    <w:semiHidden/>
    <w:unhideWhenUsed/>
    <w:rsid w:val="00D51C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6C7A"/>
    <w:pPr>
      <w:tabs>
        <w:tab w:val="center" w:pos="4513"/>
        <w:tab w:val="right" w:pos="9026"/>
      </w:tabs>
      <w:spacing w:line="240" w:lineRule="auto"/>
    </w:pPr>
  </w:style>
  <w:style w:type="character" w:customStyle="1" w:styleId="HeaderChar">
    <w:name w:val="Header Char"/>
    <w:basedOn w:val="DefaultParagraphFont"/>
    <w:link w:val="Header"/>
    <w:uiPriority w:val="99"/>
    <w:rsid w:val="00406C7A"/>
  </w:style>
  <w:style w:type="paragraph" w:styleId="Footer">
    <w:name w:val="footer"/>
    <w:basedOn w:val="Normal"/>
    <w:link w:val="FooterChar"/>
    <w:uiPriority w:val="99"/>
    <w:unhideWhenUsed/>
    <w:rsid w:val="00406C7A"/>
    <w:pPr>
      <w:tabs>
        <w:tab w:val="center" w:pos="4513"/>
        <w:tab w:val="right" w:pos="9026"/>
      </w:tabs>
      <w:spacing w:line="240" w:lineRule="auto"/>
    </w:pPr>
  </w:style>
  <w:style w:type="character" w:customStyle="1" w:styleId="FooterChar">
    <w:name w:val="Footer Char"/>
    <w:basedOn w:val="DefaultParagraphFont"/>
    <w:link w:val="Footer"/>
    <w:uiPriority w:val="99"/>
    <w:rsid w:val="00406C7A"/>
  </w:style>
  <w:style w:type="character" w:customStyle="1" w:styleId="UnresolvedMention2">
    <w:name w:val="Unresolved Mention2"/>
    <w:basedOn w:val="DefaultParagraphFont"/>
    <w:uiPriority w:val="99"/>
    <w:semiHidden/>
    <w:unhideWhenUsed/>
    <w:rsid w:val="001B78D4"/>
    <w:rPr>
      <w:color w:val="605E5C"/>
      <w:shd w:val="clear" w:color="auto" w:fill="E1DFDD"/>
    </w:rPr>
  </w:style>
  <w:style w:type="character" w:customStyle="1" w:styleId="UnresolvedMention3">
    <w:name w:val="Unresolved Mention3"/>
    <w:basedOn w:val="DefaultParagraphFont"/>
    <w:uiPriority w:val="99"/>
    <w:semiHidden/>
    <w:unhideWhenUsed/>
    <w:rsid w:val="0065695D"/>
    <w:rPr>
      <w:color w:val="605E5C"/>
      <w:shd w:val="clear" w:color="auto" w:fill="E1DFDD"/>
    </w:rPr>
  </w:style>
  <w:style w:type="paragraph" w:customStyle="1" w:styleId="Title1">
    <w:name w:val="Title 1"/>
    <w:basedOn w:val="Normal"/>
    <w:next w:val="Normal"/>
    <w:rsid w:val="0034245D"/>
    <w:pPr>
      <w:framePr w:hSpace="181" w:wrap="around" w:hAnchor="margin" w:y="-674"/>
      <w:spacing w:before="240" w:after="120" w:line="240" w:lineRule="auto"/>
      <w:jc w:val="center"/>
    </w:pPr>
    <w:rPr>
      <w:rFonts w:asciiTheme="minorHAnsi" w:eastAsiaTheme="minorEastAsia" w:hAnsiTheme="minorHAnsi" w:cstheme="minorBidi"/>
      <w:b/>
      <w:bCs/>
      <w:cap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7606">
      <w:bodyDiv w:val="1"/>
      <w:marLeft w:val="0"/>
      <w:marRight w:val="0"/>
      <w:marTop w:val="0"/>
      <w:marBottom w:val="0"/>
      <w:divBdr>
        <w:top w:val="none" w:sz="0" w:space="0" w:color="auto"/>
        <w:left w:val="none" w:sz="0" w:space="0" w:color="auto"/>
        <w:bottom w:val="none" w:sz="0" w:space="0" w:color="auto"/>
        <w:right w:val="none" w:sz="0" w:space="0" w:color="auto"/>
      </w:divBdr>
    </w:div>
    <w:div w:id="355275723">
      <w:bodyDiv w:val="1"/>
      <w:marLeft w:val="0"/>
      <w:marRight w:val="0"/>
      <w:marTop w:val="0"/>
      <w:marBottom w:val="0"/>
      <w:divBdr>
        <w:top w:val="none" w:sz="0" w:space="0" w:color="auto"/>
        <w:left w:val="none" w:sz="0" w:space="0" w:color="auto"/>
        <w:bottom w:val="none" w:sz="0" w:space="0" w:color="auto"/>
        <w:right w:val="none" w:sz="0" w:space="0" w:color="auto"/>
      </w:divBdr>
    </w:div>
    <w:div w:id="571309073">
      <w:bodyDiv w:val="1"/>
      <w:marLeft w:val="0"/>
      <w:marRight w:val="0"/>
      <w:marTop w:val="0"/>
      <w:marBottom w:val="0"/>
      <w:divBdr>
        <w:top w:val="none" w:sz="0" w:space="0" w:color="auto"/>
        <w:left w:val="none" w:sz="0" w:space="0" w:color="auto"/>
        <w:bottom w:val="none" w:sz="0" w:space="0" w:color="auto"/>
        <w:right w:val="none" w:sz="0" w:space="0" w:color="auto"/>
      </w:divBdr>
    </w:div>
    <w:div w:id="628556947">
      <w:bodyDiv w:val="1"/>
      <w:marLeft w:val="0"/>
      <w:marRight w:val="0"/>
      <w:marTop w:val="0"/>
      <w:marBottom w:val="0"/>
      <w:divBdr>
        <w:top w:val="none" w:sz="0" w:space="0" w:color="auto"/>
        <w:left w:val="none" w:sz="0" w:space="0" w:color="auto"/>
        <w:bottom w:val="none" w:sz="0" w:space="0" w:color="auto"/>
        <w:right w:val="none" w:sz="0" w:space="0" w:color="auto"/>
      </w:divBdr>
    </w:div>
    <w:div w:id="771902483">
      <w:bodyDiv w:val="1"/>
      <w:marLeft w:val="0"/>
      <w:marRight w:val="0"/>
      <w:marTop w:val="0"/>
      <w:marBottom w:val="0"/>
      <w:divBdr>
        <w:top w:val="none" w:sz="0" w:space="0" w:color="auto"/>
        <w:left w:val="none" w:sz="0" w:space="0" w:color="auto"/>
        <w:bottom w:val="none" w:sz="0" w:space="0" w:color="auto"/>
        <w:right w:val="none" w:sz="0" w:space="0" w:color="auto"/>
      </w:divBdr>
    </w:div>
    <w:div w:id="837579608">
      <w:bodyDiv w:val="1"/>
      <w:marLeft w:val="0"/>
      <w:marRight w:val="0"/>
      <w:marTop w:val="0"/>
      <w:marBottom w:val="0"/>
      <w:divBdr>
        <w:top w:val="none" w:sz="0" w:space="0" w:color="auto"/>
        <w:left w:val="none" w:sz="0" w:space="0" w:color="auto"/>
        <w:bottom w:val="none" w:sz="0" w:space="0" w:color="auto"/>
        <w:right w:val="none" w:sz="0" w:space="0" w:color="auto"/>
      </w:divBdr>
    </w:div>
    <w:div w:id="876360385">
      <w:bodyDiv w:val="1"/>
      <w:marLeft w:val="0"/>
      <w:marRight w:val="0"/>
      <w:marTop w:val="0"/>
      <w:marBottom w:val="0"/>
      <w:divBdr>
        <w:top w:val="none" w:sz="0" w:space="0" w:color="auto"/>
        <w:left w:val="none" w:sz="0" w:space="0" w:color="auto"/>
        <w:bottom w:val="none" w:sz="0" w:space="0" w:color="auto"/>
        <w:right w:val="none" w:sz="0" w:space="0" w:color="auto"/>
      </w:divBdr>
    </w:div>
    <w:div w:id="978649123">
      <w:bodyDiv w:val="1"/>
      <w:marLeft w:val="0"/>
      <w:marRight w:val="0"/>
      <w:marTop w:val="0"/>
      <w:marBottom w:val="0"/>
      <w:divBdr>
        <w:top w:val="none" w:sz="0" w:space="0" w:color="auto"/>
        <w:left w:val="none" w:sz="0" w:space="0" w:color="auto"/>
        <w:bottom w:val="none" w:sz="0" w:space="0" w:color="auto"/>
        <w:right w:val="none" w:sz="0" w:space="0" w:color="auto"/>
      </w:divBdr>
    </w:div>
    <w:div w:id="1011638760">
      <w:bodyDiv w:val="1"/>
      <w:marLeft w:val="0"/>
      <w:marRight w:val="0"/>
      <w:marTop w:val="0"/>
      <w:marBottom w:val="0"/>
      <w:divBdr>
        <w:top w:val="none" w:sz="0" w:space="0" w:color="auto"/>
        <w:left w:val="none" w:sz="0" w:space="0" w:color="auto"/>
        <w:bottom w:val="none" w:sz="0" w:space="0" w:color="auto"/>
        <w:right w:val="none" w:sz="0" w:space="0" w:color="auto"/>
      </w:divBdr>
    </w:div>
    <w:div w:id="1289703448">
      <w:bodyDiv w:val="1"/>
      <w:marLeft w:val="0"/>
      <w:marRight w:val="0"/>
      <w:marTop w:val="0"/>
      <w:marBottom w:val="0"/>
      <w:divBdr>
        <w:top w:val="none" w:sz="0" w:space="0" w:color="auto"/>
        <w:left w:val="none" w:sz="0" w:space="0" w:color="auto"/>
        <w:bottom w:val="none" w:sz="0" w:space="0" w:color="auto"/>
        <w:right w:val="none" w:sz="0" w:space="0" w:color="auto"/>
      </w:divBdr>
    </w:div>
    <w:div w:id="1305240041">
      <w:bodyDiv w:val="1"/>
      <w:marLeft w:val="0"/>
      <w:marRight w:val="0"/>
      <w:marTop w:val="0"/>
      <w:marBottom w:val="0"/>
      <w:divBdr>
        <w:top w:val="none" w:sz="0" w:space="0" w:color="auto"/>
        <w:left w:val="none" w:sz="0" w:space="0" w:color="auto"/>
        <w:bottom w:val="none" w:sz="0" w:space="0" w:color="auto"/>
        <w:right w:val="none" w:sz="0" w:space="0" w:color="auto"/>
      </w:divBdr>
    </w:div>
    <w:div w:id="1456677047">
      <w:bodyDiv w:val="1"/>
      <w:marLeft w:val="0"/>
      <w:marRight w:val="0"/>
      <w:marTop w:val="0"/>
      <w:marBottom w:val="0"/>
      <w:divBdr>
        <w:top w:val="none" w:sz="0" w:space="0" w:color="auto"/>
        <w:left w:val="none" w:sz="0" w:space="0" w:color="auto"/>
        <w:bottom w:val="none" w:sz="0" w:space="0" w:color="auto"/>
        <w:right w:val="none" w:sz="0" w:space="0" w:color="auto"/>
      </w:divBdr>
    </w:div>
    <w:div w:id="1479348175">
      <w:bodyDiv w:val="1"/>
      <w:marLeft w:val="0"/>
      <w:marRight w:val="0"/>
      <w:marTop w:val="0"/>
      <w:marBottom w:val="0"/>
      <w:divBdr>
        <w:top w:val="none" w:sz="0" w:space="0" w:color="auto"/>
        <w:left w:val="none" w:sz="0" w:space="0" w:color="auto"/>
        <w:bottom w:val="none" w:sz="0" w:space="0" w:color="auto"/>
        <w:right w:val="none" w:sz="0" w:space="0" w:color="auto"/>
      </w:divBdr>
    </w:div>
    <w:div w:id="1490056361">
      <w:bodyDiv w:val="1"/>
      <w:marLeft w:val="0"/>
      <w:marRight w:val="0"/>
      <w:marTop w:val="0"/>
      <w:marBottom w:val="0"/>
      <w:divBdr>
        <w:top w:val="none" w:sz="0" w:space="0" w:color="auto"/>
        <w:left w:val="none" w:sz="0" w:space="0" w:color="auto"/>
        <w:bottom w:val="none" w:sz="0" w:space="0" w:color="auto"/>
        <w:right w:val="none" w:sz="0" w:space="0" w:color="auto"/>
      </w:divBdr>
    </w:div>
    <w:div w:id="1617104431">
      <w:bodyDiv w:val="1"/>
      <w:marLeft w:val="0"/>
      <w:marRight w:val="0"/>
      <w:marTop w:val="0"/>
      <w:marBottom w:val="0"/>
      <w:divBdr>
        <w:top w:val="none" w:sz="0" w:space="0" w:color="auto"/>
        <w:left w:val="none" w:sz="0" w:space="0" w:color="auto"/>
        <w:bottom w:val="none" w:sz="0" w:space="0" w:color="auto"/>
        <w:right w:val="none" w:sz="0" w:space="0" w:color="auto"/>
      </w:divBdr>
    </w:div>
    <w:div w:id="1822696902">
      <w:bodyDiv w:val="1"/>
      <w:marLeft w:val="0"/>
      <w:marRight w:val="0"/>
      <w:marTop w:val="0"/>
      <w:marBottom w:val="0"/>
      <w:divBdr>
        <w:top w:val="none" w:sz="0" w:space="0" w:color="auto"/>
        <w:left w:val="none" w:sz="0" w:space="0" w:color="auto"/>
        <w:bottom w:val="none" w:sz="0" w:space="0" w:color="auto"/>
        <w:right w:val="none" w:sz="0" w:space="0" w:color="auto"/>
      </w:divBdr>
    </w:div>
    <w:div w:id="1869879025">
      <w:bodyDiv w:val="1"/>
      <w:marLeft w:val="0"/>
      <w:marRight w:val="0"/>
      <w:marTop w:val="0"/>
      <w:marBottom w:val="0"/>
      <w:divBdr>
        <w:top w:val="none" w:sz="0" w:space="0" w:color="auto"/>
        <w:left w:val="none" w:sz="0" w:space="0" w:color="auto"/>
        <w:bottom w:val="none" w:sz="0" w:space="0" w:color="auto"/>
        <w:right w:val="none" w:sz="0" w:space="0" w:color="auto"/>
      </w:divBdr>
      <w:divsChild>
        <w:div w:id="482165831">
          <w:marLeft w:val="0"/>
          <w:marRight w:val="0"/>
          <w:marTop w:val="0"/>
          <w:marBottom w:val="0"/>
          <w:divBdr>
            <w:top w:val="none" w:sz="0" w:space="0" w:color="auto"/>
            <w:left w:val="none" w:sz="0" w:space="0" w:color="auto"/>
            <w:bottom w:val="none" w:sz="0" w:space="0" w:color="auto"/>
            <w:right w:val="none" w:sz="0" w:space="0" w:color="auto"/>
          </w:divBdr>
          <w:divsChild>
            <w:div w:id="1195994844">
              <w:marLeft w:val="0"/>
              <w:marRight w:val="0"/>
              <w:marTop w:val="0"/>
              <w:marBottom w:val="0"/>
              <w:divBdr>
                <w:top w:val="none" w:sz="0" w:space="0" w:color="auto"/>
                <w:left w:val="none" w:sz="0" w:space="0" w:color="auto"/>
                <w:bottom w:val="none" w:sz="0" w:space="0" w:color="auto"/>
                <w:right w:val="none" w:sz="0" w:space="0" w:color="auto"/>
              </w:divBdr>
              <w:divsChild>
                <w:div w:id="1799183899">
                  <w:marLeft w:val="0"/>
                  <w:marRight w:val="0"/>
                  <w:marTop w:val="0"/>
                  <w:marBottom w:val="0"/>
                  <w:divBdr>
                    <w:top w:val="none" w:sz="0" w:space="0" w:color="auto"/>
                    <w:left w:val="none" w:sz="0" w:space="0" w:color="auto"/>
                    <w:bottom w:val="none" w:sz="0" w:space="0" w:color="auto"/>
                    <w:right w:val="none" w:sz="0" w:space="0" w:color="auto"/>
                  </w:divBdr>
                  <w:divsChild>
                    <w:div w:id="324673918">
                      <w:marLeft w:val="0"/>
                      <w:marRight w:val="0"/>
                      <w:marTop w:val="0"/>
                      <w:marBottom w:val="0"/>
                      <w:divBdr>
                        <w:top w:val="none" w:sz="0" w:space="0" w:color="auto"/>
                        <w:left w:val="none" w:sz="0" w:space="0" w:color="auto"/>
                        <w:bottom w:val="none" w:sz="0" w:space="0" w:color="auto"/>
                        <w:right w:val="none" w:sz="0" w:space="0" w:color="auto"/>
                      </w:divBdr>
                      <w:divsChild>
                        <w:div w:id="2133088860">
                          <w:marLeft w:val="0"/>
                          <w:marRight w:val="0"/>
                          <w:marTop w:val="0"/>
                          <w:marBottom w:val="0"/>
                          <w:divBdr>
                            <w:top w:val="none" w:sz="0" w:space="0" w:color="auto"/>
                            <w:left w:val="none" w:sz="0" w:space="0" w:color="auto"/>
                            <w:bottom w:val="none" w:sz="0" w:space="0" w:color="auto"/>
                            <w:right w:val="none" w:sz="0" w:space="0" w:color="auto"/>
                          </w:divBdr>
                          <w:divsChild>
                            <w:div w:id="81267379">
                              <w:marLeft w:val="0"/>
                              <w:marRight w:val="0"/>
                              <w:marTop w:val="0"/>
                              <w:marBottom w:val="0"/>
                              <w:divBdr>
                                <w:top w:val="none" w:sz="0" w:space="0" w:color="auto"/>
                                <w:left w:val="none" w:sz="0" w:space="0" w:color="auto"/>
                                <w:bottom w:val="none" w:sz="0" w:space="0" w:color="auto"/>
                                <w:right w:val="none" w:sz="0" w:space="0" w:color="auto"/>
                              </w:divBdr>
                              <w:divsChild>
                                <w:div w:id="1205480478">
                                  <w:marLeft w:val="0"/>
                                  <w:marRight w:val="0"/>
                                  <w:marTop w:val="0"/>
                                  <w:marBottom w:val="0"/>
                                  <w:divBdr>
                                    <w:top w:val="none" w:sz="0" w:space="0" w:color="auto"/>
                                    <w:left w:val="none" w:sz="0" w:space="0" w:color="auto"/>
                                    <w:bottom w:val="none" w:sz="0" w:space="0" w:color="auto"/>
                                    <w:right w:val="none" w:sz="0" w:space="0" w:color="auto"/>
                                  </w:divBdr>
                                  <w:divsChild>
                                    <w:div w:id="1633630714">
                                      <w:marLeft w:val="0"/>
                                      <w:marRight w:val="0"/>
                                      <w:marTop w:val="0"/>
                                      <w:marBottom w:val="0"/>
                                      <w:divBdr>
                                        <w:top w:val="none" w:sz="0" w:space="0" w:color="auto"/>
                                        <w:left w:val="none" w:sz="0" w:space="0" w:color="auto"/>
                                        <w:bottom w:val="none" w:sz="0" w:space="0" w:color="auto"/>
                                        <w:right w:val="none" w:sz="0" w:space="0" w:color="auto"/>
                                      </w:divBdr>
                                      <w:divsChild>
                                        <w:div w:id="496304851">
                                          <w:marLeft w:val="0"/>
                                          <w:marRight w:val="0"/>
                                          <w:marTop w:val="0"/>
                                          <w:marBottom w:val="0"/>
                                          <w:divBdr>
                                            <w:top w:val="none" w:sz="0" w:space="0" w:color="auto"/>
                                            <w:left w:val="none" w:sz="0" w:space="0" w:color="auto"/>
                                            <w:bottom w:val="none" w:sz="0" w:space="0" w:color="auto"/>
                                            <w:right w:val="none" w:sz="0" w:space="0" w:color="auto"/>
                                          </w:divBdr>
                                          <w:divsChild>
                                            <w:div w:id="137961051">
                                              <w:marLeft w:val="0"/>
                                              <w:marRight w:val="0"/>
                                              <w:marTop w:val="0"/>
                                              <w:marBottom w:val="0"/>
                                              <w:divBdr>
                                                <w:top w:val="none" w:sz="0" w:space="0" w:color="auto"/>
                                                <w:left w:val="none" w:sz="0" w:space="0" w:color="auto"/>
                                                <w:bottom w:val="none" w:sz="0" w:space="0" w:color="auto"/>
                                                <w:right w:val="none" w:sz="0" w:space="0" w:color="auto"/>
                                              </w:divBdr>
                                              <w:divsChild>
                                                <w:div w:id="17767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767564">
      <w:bodyDiv w:val="1"/>
      <w:marLeft w:val="0"/>
      <w:marRight w:val="0"/>
      <w:marTop w:val="0"/>
      <w:marBottom w:val="0"/>
      <w:divBdr>
        <w:top w:val="none" w:sz="0" w:space="0" w:color="auto"/>
        <w:left w:val="none" w:sz="0" w:space="0" w:color="auto"/>
        <w:bottom w:val="none" w:sz="0" w:space="0" w:color="auto"/>
        <w:right w:val="none" w:sz="0" w:space="0" w:color="auto"/>
      </w:divBdr>
    </w:div>
    <w:div w:id="206493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EGITR6-C-0006/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EGITR6-C-0005/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EGITR6-C-0004/en" TargetMode="External"/><Relationship Id="rId5" Type="http://schemas.openxmlformats.org/officeDocument/2006/relationships/webSettings" Target="webSettings.xml"/><Relationship Id="rId15" Type="http://schemas.openxmlformats.org/officeDocument/2006/relationships/hyperlink" Target="https://www.itu.int/md/S22-EGITR6-C-0002/en" TargetMode="External"/><Relationship Id="rId10" Type="http://schemas.openxmlformats.org/officeDocument/2006/relationships/hyperlink" Target="https://www.itu.int/md/S22-EGITR6-C-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EGITR6-C-0001/en" TargetMode="External"/><Relationship Id="rId14" Type="http://schemas.openxmlformats.org/officeDocument/2006/relationships/hyperlink" Target="https://www.itu.int/md/S22-EGITR6-C-0007/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5C0641-1A44-4B58-8E0C-7A565C13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1879</Words>
  <Characters>10716</Characters>
  <Application>Microsoft Office Word</Application>
  <DocSecurity>4</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sixth virtual meeting of the Expert Group on the International Telecommunication Regulations (EG-ITRS)</vt:lpstr>
      <vt:lpstr>Report of the sixth virtual meeting of the Expert Group on the International Telecommunication Regulations (EG-ITRS)</vt:lpstr>
    </vt:vector>
  </TitlesOfParts>
  <Manager/>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sixth virtual meeting of the Expert Group on the International Telecommunication Regulations (EG-ITRS)</dc:title>
  <dc:subject>Expert Group on the InternationalTelecommunication Regulations (EG-ITRs)</dc:subject>
  <dc:creator/>
  <cp:keywords>EG-ITRs</cp:keywords>
  <cp:lastModifiedBy/>
  <cp:revision>1</cp:revision>
  <dcterms:created xsi:type="dcterms:W3CDTF">2022-02-15T17:05:00Z</dcterms:created>
  <dcterms:modified xsi:type="dcterms:W3CDTF">2022-02-15T17:05:00Z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