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765F6606"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B46D66">
              <w:rPr>
                <w:rFonts w:cstheme="minorHAnsi"/>
                <w:b/>
                <w:szCs w:val="24"/>
              </w:rPr>
              <w:t>41</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6D361CD1" w:rsidR="001A16ED" w:rsidRPr="00B46D66" w:rsidRDefault="00B46D66" w:rsidP="00B46D66">
            <w:pPr>
              <w:tabs>
                <w:tab w:val="left" w:pos="851"/>
              </w:tabs>
              <w:spacing w:before="0"/>
              <w:rPr>
                <w:rFonts w:cstheme="minorHAnsi"/>
                <w:b/>
                <w:szCs w:val="24"/>
              </w:rPr>
            </w:pPr>
            <w:r>
              <w:rPr>
                <w:rFonts w:cstheme="minorHAnsi"/>
                <w:b/>
                <w:szCs w:val="24"/>
              </w:rPr>
              <w:t>31</w:t>
            </w:r>
            <w:r w:rsidR="001A16ED" w:rsidRPr="00D96B4B">
              <w:rPr>
                <w:rFonts w:cstheme="minorHAnsi"/>
                <w:b/>
                <w:szCs w:val="24"/>
              </w:rPr>
              <w:t xml:space="preserve"> </w:t>
            </w:r>
            <w:r w:rsidR="00B1395F">
              <w:rPr>
                <w:rFonts w:cstheme="minorHAnsi"/>
                <w:b/>
                <w:szCs w:val="24"/>
              </w:rPr>
              <w:t>M</w:t>
            </w:r>
            <w:r>
              <w:rPr>
                <w:rFonts w:cstheme="minorHAnsi"/>
                <w:b/>
                <w:szCs w:val="24"/>
              </w:rPr>
              <w:t>ay</w:t>
            </w:r>
            <w:r w:rsidR="001A16ED" w:rsidRPr="00D96B4B">
              <w:rPr>
                <w:rFonts w:cstheme="minorHAnsi"/>
                <w:b/>
                <w:szCs w:val="24"/>
              </w:rPr>
              <w:t xml:space="preserve"> 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02A42A84" w:rsidR="001A16ED" w:rsidRDefault="00EC6D9E" w:rsidP="00D21A8D">
            <w:pPr>
              <w:pStyle w:val="Source"/>
              <w:framePr w:hSpace="0" w:wrap="auto" w:hAnchor="text" w:yAlign="inline"/>
            </w:pPr>
            <w:r>
              <w:t xml:space="preserve">Note by the </w:t>
            </w:r>
            <w:r w:rsidR="009374E2">
              <w:t>Secretary</w:t>
            </w:r>
            <w:r w:rsidR="00685DB4">
              <w:t>-</w:t>
            </w:r>
            <w:r w:rsidR="009374E2">
              <w:t>General</w:t>
            </w:r>
          </w:p>
        </w:tc>
      </w:tr>
      <w:tr w:rsidR="001A16ED" w:rsidRPr="00C324A8" w14:paraId="03CCFD97" w14:textId="77777777" w:rsidTr="006A046E">
        <w:trPr>
          <w:cantSplit/>
          <w:trHeight w:val="23"/>
        </w:trPr>
        <w:tc>
          <w:tcPr>
            <w:tcW w:w="10031" w:type="dxa"/>
            <w:gridSpan w:val="2"/>
            <w:shd w:val="clear" w:color="auto" w:fill="auto"/>
          </w:tcPr>
          <w:p w14:paraId="31A43689" w14:textId="2B6C61A6" w:rsidR="001A16ED" w:rsidRDefault="006918D3" w:rsidP="00685DB4">
            <w:pPr>
              <w:pStyle w:val="Title1"/>
              <w:framePr w:hSpace="0" w:wrap="auto" w:hAnchor="text" w:yAlign="inline"/>
            </w:pPr>
            <w:bookmarkStart w:id="9" w:name="_Hlk104839004"/>
            <w:r w:rsidRPr="00350DD6">
              <w:t>Recommendation</w:t>
            </w:r>
            <w:r w:rsidR="009374E2">
              <w:t xml:space="preserve"> from the 2019 world Radiocommunication Conference</w:t>
            </w:r>
            <w:r w:rsidR="00EC6D9E">
              <w:t xml:space="preserve"> </w:t>
            </w:r>
            <w:r w:rsidR="00EC6D9E">
              <w:br/>
            </w:r>
            <w:r w:rsidR="00EC6D9E">
              <w:rPr>
                <w:szCs w:val="24"/>
              </w:rPr>
              <w:t xml:space="preserve">TO </w:t>
            </w:r>
            <w:r w:rsidR="00EC6D9E">
              <w:t>the plenipotentiary conference</w:t>
            </w:r>
            <w:bookmarkEnd w:id="9"/>
          </w:p>
        </w:tc>
      </w:tr>
      <w:tr w:rsidR="001A16ED" w:rsidRPr="00C324A8" w14:paraId="4A763F4F" w14:textId="77777777" w:rsidTr="006A046E">
        <w:trPr>
          <w:cantSplit/>
          <w:trHeight w:val="23"/>
        </w:trPr>
        <w:tc>
          <w:tcPr>
            <w:tcW w:w="10031" w:type="dxa"/>
            <w:gridSpan w:val="2"/>
            <w:shd w:val="clear" w:color="auto" w:fill="auto"/>
          </w:tcPr>
          <w:p w14:paraId="6A2938D5" w14:textId="3A99AA94" w:rsidR="001A16ED" w:rsidRDefault="009374E2" w:rsidP="00685DB4">
            <w:pPr>
              <w:pStyle w:val="Title2"/>
              <w:framePr w:hSpace="0" w:wrap="auto" w:hAnchor="text" w:yAlign="inline"/>
            </w:pPr>
            <w:bookmarkStart w:id="10" w:name="_Hlk104839025"/>
            <w:r w:rsidRPr="000F102F">
              <w:rPr>
                <w:lang w:val="en-CA"/>
              </w:rPr>
              <w:t xml:space="preserve">invocation of Article 48 </w:t>
            </w:r>
            <w:r>
              <w:rPr>
                <w:lang w:val="en-CA"/>
              </w:rPr>
              <w:t xml:space="preserve">of the Constitution </w:t>
            </w:r>
            <w:r>
              <w:rPr>
                <w:lang w:val="en-CA"/>
              </w:rPr>
              <w:br/>
            </w:r>
            <w:r w:rsidRPr="000F102F">
              <w:rPr>
                <w:lang w:val="en-CA"/>
              </w:rPr>
              <w:t>in relation to the Radio Regulations</w:t>
            </w:r>
            <w:bookmarkEnd w:id="10"/>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Default="001A16ED" w:rsidP="006A046E">
            <w:pPr>
              <w:pStyle w:val="Agendaitem"/>
            </w:pPr>
          </w:p>
        </w:tc>
      </w:tr>
      <w:bookmarkEnd w:id="7"/>
      <w:bookmarkEnd w:id="8"/>
    </w:tbl>
    <w:p w14:paraId="231A19F4" w14:textId="76637F95" w:rsidR="001A16ED" w:rsidRDefault="001A16ED" w:rsidP="00AB2D04"/>
    <w:p w14:paraId="5C69930C" w14:textId="0C8FD72A" w:rsidR="00EC6D9E" w:rsidRDefault="00EC6D9E" w:rsidP="00E23B8C">
      <w:pPr>
        <w:jc w:val="both"/>
        <w:rPr>
          <w:szCs w:val="24"/>
          <w:lang w:val="en-CA"/>
        </w:rPr>
      </w:pPr>
      <w:r>
        <w:t>T</w:t>
      </w:r>
      <w:r w:rsidR="009374E2">
        <w:t xml:space="preserve">he </w:t>
      </w:r>
      <w:r>
        <w:t xml:space="preserve">annexed </w:t>
      </w:r>
      <w:r w:rsidR="009374E2">
        <w:t xml:space="preserve">decision of the 2019 World Radiocommunication Conference (WRC-19), as recorded in </w:t>
      </w:r>
      <w:r w:rsidR="009374E2" w:rsidRPr="009374E2">
        <w:t xml:space="preserve">Document </w:t>
      </w:r>
      <w:hyperlink r:id="rId10" w:history="1">
        <w:r w:rsidR="009374E2" w:rsidRPr="009374E2">
          <w:rPr>
            <w:rStyle w:val="Hyperlink"/>
            <w:bCs/>
          </w:rPr>
          <w:t>569</w:t>
        </w:r>
      </w:hyperlink>
      <w:r w:rsidR="009374E2" w:rsidRPr="009374E2">
        <w:t xml:space="preserve"> </w:t>
      </w:r>
      <w:r w:rsidR="009374E2">
        <w:t>(</w:t>
      </w:r>
      <w:r w:rsidR="009374E2" w:rsidRPr="009374E2">
        <w:t>Minutes of the eighth Plenary meeting</w:t>
      </w:r>
      <w:r w:rsidR="009374E2">
        <w:t xml:space="preserve">, </w:t>
      </w:r>
      <w:r w:rsidR="009374E2" w:rsidRPr="009374E2">
        <w:rPr>
          <w:rFonts w:cs="Times"/>
        </w:rPr>
        <w:t xml:space="preserve">§§ 3.8 to 3.10, Approval of Document </w:t>
      </w:r>
      <w:hyperlink r:id="rId11" w:history="1">
        <w:r w:rsidR="009374E2" w:rsidRPr="009374E2">
          <w:rPr>
            <w:rStyle w:val="Hyperlink"/>
            <w:rFonts w:cs="Times"/>
            <w:bCs/>
          </w:rPr>
          <w:t>347</w:t>
        </w:r>
      </w:hyperlink>
      <w:r w:rsidR="009374E2">
        <w:rPr>
          <w:szCs w:val="24"/>
          <w:lang w:val="en-CA"/>
        </w:rPr>
        <w:t>)</w:t>
      </w:r>
      <w:r>
        <w:rPr>
          <w:szCs w:val="24"/>
          <w:lang w:val="en-CA"/>
        </w:rPr>
        <w:t xml:space="preserve">, is submitted </w:t>
      </w:r>
      <w:r w:rsidR="004771BB">
        <w:rPr>
          <w:szCs w:val="24"/>
          <w:lang w:val="en-CA"/>
        </w:rPr>
        <w:t>to</w:t>
      </w:r>
      <w:r w:rsidR="009374E2">
        <w:rPr>
          <w:szCs w:val="24"/>
          <w:lang w:val="en-CA"/>
        </w:rPr>
        <w:t xml:space="preserve"> the </w:t>
      </w:r>
      <w:r w:rsidR="009374E2" w:rsidRPr="009374E2">
        <w:rPr>
          <w:szCs w:val="24"/>
          <w:lang w:val="en-CA"/>
        </w:rPr>
        <w:t>Plenipotentiary Conference</w:t>
      </w:r>
      <w:r>
        <w:rPr>
          <w:szCs w:val="24"/>
          <w:lang w:val="en-CA"/>
        </w:rPr>
        <w:t xml:space="preserve"> in accordance with </w:t>
      </w:r>
      <w:r w:rsidRPr="000F102F">
        <w:rPr>
          <w:szCs w:val="24"/>
          <w:lang w:val="en-CA"/>
        </w:rPr>
        <w:t>Article 21 of the ITU Convention</w:t>
      </w:r>
      <w:r>
        <w:rPr>
          <w:szCs w:val="24"/>
          <w:lang w:val="en-CA"/>
        </w:rPr>
        <w:t xml:space="preserve">. </w:t>
      </w:r>
    </w:p>
    <w:p w14:paraId="31878FFF" w14:textId="608FB55E" w:rsidR="00EC6D9E" w:rsidRDefault="00EC6D9E" w:rsidP="00234820">
      <w:pPr>
        <w:tabs>
          <w:tab w:val="clear" w:pos="567"/>
          <w:tab w:val="clear" w:pos="1134"/>
          <w:tab w:val="clear" w:pos="1701"/>
          <w:tab w:val="clear" w:pos="2268"/>
          <w:tab w:val="clear" w:pos="2835"/>
        </w:tabs>
        <w:overflowPunct/>
        <w:autoSpaceDE/>
        <w:autoSpaceDN/>
        <w:adjustRightInd/>
        <w:spacing w:before="720"/>
        <w:ind w:left="5041" w:firstLine="720"/>
        <w:jc w:val="center"/>
        <w:textAlignment w:val="auto"/>
      </w:pPr>
      <w:r>
        <w:t xml:space="preserve">Houlin </w:t>
      </w:r>
      <w:r w:rsidR="00234820">
        <w:t>ZHAO</w:t>
      </w:r>
    </w:p>
    <w:p w14:paraId="38ABE49B" w14:textId="77777777" w:rsidR="00EC6D9E" w:rsidRDefault="00EC6D9E" w:rsidP="00234820">
      <w:pPr>
        <w:tabs>
          <w:tab w:val="clear" w:pos="567"/>
          <w:tab w:val="clear" w:pos="1134"/>
          <w:tab w:val="clear" w:pos="1701"/>
          <w:tab w:val="clear" w:pos="2268"/>
          <w:tab w:val="clear" w:pos="2835"/>
        </w:tabs>
        <w:overflowPunct/>
        <w:autoSpaceDE/>
        <w:autoSpaceDN/>
        <w:adjustRightInd/>
        <w:spacing w:before="0"/>
        <w:ind w:left="5040" w:firstLine="720"/>
        <w:jc w:val="center"/>
        <w:textAlignment w:val="auto"/>
      </w:pPr>
      <w:r>
        <w:t>Secretary-General</w:t>
      </w:r>
    </w:p>
    <w:p w14:paraId="30271FC2" w14:textId="2F078C6D" w:rsidR="009374E2" w:rsidRPr="009374E2" w:rsidRDefault="00A95ACF" w:rsidP="00234820">
      <w:pPr>
        <w:spacing w:before="2640"/>
        <w:jc w:val="both"/>
        <w:rPr>
          <w:bCs/>
        </w:rPr>
      </w:pPr>
      <w:r w:rsidRPr="00234820">
        <w:rPr>
          <w:b/>
          <w:szCs w:val="24"/>
          <w:lang w:val="en-CA"/>
        </w:rPr>
        <w:t>Annex</w:t>
      </w:r>
      <w:r w:rsidR="00234820">
        <w:rPr>
          <w:szCs w:val="24"/>
          <w:lang w:val="en-CA"/>
        </w:rPr>
        <w:t>: 1</w:t>
      </w:r>
    </w:p>
    <w:p w14:paraId="359B221D" w14:textId="77777777" w:rsidR="00A95ACF" w:rsidRDefault="00A95ACF">
      <w:pPr>
        <w:tabs>
          <w:tab w:val="clear" w:pos="567"/>
          <w:tab w:val="clear" w:pos="1134"/>
          <w:tab w:val="clear" w:pos="1701"/>
          <w:tab w:val="clear" w:pos="2268"/>
          <w:tab w:val="clear" w:pos="2835"/>
        </w:tabs>
        <w:overflowPunct/>
        <w:autoSpaceDE/>
        <w:autoSpaceDN/>
        <w:adjustRightInd/>
        <w:spacing w:before="0"/>
        <w:textAlignment w:val="auto"/>
        <w:rPr>
          <w:szCs w:val="24"/>
          <w:lang w:val="en-CA"/>
        </w:rPr>
      </w:pPr>
      <w:r>
        <w:rPr>
          <w:szCs w:val="24"/>
          <w:lang w:val="en-CA"/>
        </w:rPr>
        <w:br w:type="page"/>
      </w:r>
      <w:bookmarkStart w:id="11" w:name="_GoBack"/>
      <w:bookmarkEnd w:id="11"/>
    </w:p>
    <w:p w14:paraId="50605FAC" w14:textId="77777777" w:rsidR="00A95ACF" w:rsidRDefault="00A95ACF" w:rsidP="00435252">
      <w:pPr>
        <w:pStyle w:val="AnnexNo"/>
      </w:pPr>
      <w:r>
        <w:lastRenderedPageBreak/>
        <w:t>ANNEX</w:t>
      </w:r>
    </w:p>
    <w:p w14:paraId="3537DB13" w14:textId="2D2421F3" w:rsidR="009374E2" w:rsidRDefault="00A95ACF" w:rsidP="008B64C9">
      <w:pPr>
        <w:jc w:val="both"/>
        <w:rPr>
          <w:lang w:val="en-CA" w:eastAsia="zh-CN"/>
        </w:rPr>
      </w:pPr>
      <w:r>
        <w:rPr>
          <w:lang w:val="en-CA"/>
        </w:rPr>
        <w:t>“</w:t>
      </w:r>
      <w:r w:rsidR="009374E2" w:rsidRPr="000F102F">
        <w:rPr>
          <w:lang w:val="en-CA"/>
        </w:rPr>
        <w:t xml:space="preserve">In accordance with WRC-19 agenda item 9.3, the Conference received Document 15 from the </w:t>
      </w:r>
      <w:r w:rsidR="009374E2" w:rsidRPr="00F63CE9">
        <w:rPr>
          <w:lang w:val="en-CA"/>
        </w:rPr>
        <w:t>Radio Regulations Board</w:t>
      </w:r>
      <w:r w:rsidR="008B64C9" w:rsidRPr="00F63CE9">
        <w:rPr>
          <w:lang w:val="en-CA"/>
        </w:rPr>
        <w:t xml:space="preserve"> </w:t>
      </w:r>
      <w:r w:rsidR="00B46D66" w:rsidRPr="00F63CE9">
        <w:rPr>
          <w:lang w:val="en-CA" w:eastAsia="zh-CN"/>
        </w:rPr>
        <w:t>(RRB)</w:t>
      </w:r>
      <w:r w:rsidR="009374E2" w:rsidRPr="00F63CE9">
        <w:rPr>
          <w:lang w:val="en-CA"/>
        </w:rPr>
        <w:t xml:space="preserve"> entitled </w:t>
      </w:r>
      <w:r w:rsidR="009374E2" w:rsidRPr="00F63CE9">
        <w:rPr>
          <w:i/>
          <w:lang w:val="en-CA"/>
        </w:rPr>
        <w:t xml:space="preserve">Report by the Radio Regulations Board on Resolution </w:t>
      </w:r>
      <w:r w:rsidR="009374E2" w:rsidRPr="00F63CE9">
        <w:rPr>
          <w:b/>
          <w:i/>
          <w:lang w:val="en-CA"/>
        </w:rPr>
        <w:t>80</w:t>
      </w:r>
      <w:r w:rsidR="00F63CE9">
        <w:rPr>
          <w:b/>
          <w:i/>
          <w:lang w:val="en-CA"/>
        </w:rPr>
        <w:t> </w:t>
      </w:r>
      <w:r w:rsidR="009374E2" w:rsidRPr="00F63CE9">
        <w:rPr>
          <w:b/>
          <w:i/>
          <w:lang w:val="en-CA"/>
        </w:rPr>
        <w:t>(Rev.WRC-07)</w:t>
      </w:r>
      <w:r w:rsidR="009374E2" w:rsidRPr="00F63CE9">
        <w:rPr>
          <w:i/>
          <w:lang w:val="en-CA"/>
        </w:rPr>
        <w:t>.</w:t>
      </w:r>
      <w:r w:rsidR="009374E2" w:rsidRPr="00F63CE9">
        <w:rPr>
          <w:lang w:val="en-CA"/>
        </w:rPr>
        <w:t xml:space="preserve"> </w:t>
      </w:r>
      <w:r w:rsidR="009374E2" w:rsidRPr="00F63CE9">
        <w:rPr>
          <w:spacing w:val="-4"/>
          <w:lang w:val="en-CA"/>
        </w:rPr>
        <w:t xml:space="preserve">This report summarized RRB activity in relation to Resolution </w:t>
      </w:r>
      <w:r w:rsidR="009374E2" w:rsidRPr="00F63CE9">
        <w:rPr>
          <w:b/>
          <w:bCs/>
          <w:spacing w:val="-4"/>
          <w:lang w:val="en-CA"/>
        </w:rPr>
        <w:t>80</w:t>
      </w:r>
      <w:r w:rsidR="009374E2" w:rsidRPr="00F63CE9">
        <w:rPr>
          <w:spacing w:val="-4"/>
          <w:lang w:val="en-CA"/>
        </w:rPr>
        <w:t xml:space="preserve"> </w:t>
      </w:r>
      <w:r w:rsidR="009374E2" w:rsidRPr="00F63CE9">
        <w:rPr>
          <w:b/>
          <w:bCs/>
          <w:spacing w:val="-4"/>
          <w:lang w:val="en-CA"/>
        </w:rPr>
        <w:t>(Rev.WRC-07)</w:t>
      </w:r>
      <w:r w:rsidR="009374E2" w:rsidRPr="00F63CE9">
        <w:rPr>
          <w:spacing w:val="-4"/>
          <w:lang w:val="en-CA"/>
        </w:rPr>
        <w:t>, “</w:t>
      </w:r>
      <w:r w:rsidR="009374E2" w:rsidRPr="00F63CE9">
        <w:rPr>
          <w:i/>
          <w:spacing w:val="-4"/>
          <w:lang w:val="en-CA"/>
        </w:rPr>
        <w:t>Due Diligence</w:t>
      </w:r>
      <w:r w:rsidR="009374E2" w:rsidRPr="000F102F">
        <w:rPr>
          <w:i/>
          <w:lang w:val="en-CA"/>
        </w:rPr>
        <w:t xml:space="preserve"> in Applying the Principles Embodied in the Constitution</w:t>
      </w:r>
      <w:r w:rsidR="009374E2" w:rsidRPr="000F102F">
        <w:rPr>
          <w:lang w:val="en-CA"/>
        </w:rPr>
        <w:t>.” In the Report to WRC</w:t>
      </w:r>
      <w:r w:rsidR="009374E2" w:rsidRPr="000F102F">
        <w:rPr>
          <w:lang w:val="en-CA"/>
        </w:rPr>
        <w:noBreakHyphen/>
        <w:t xml:space="preserve">19, the </w:t>
      </w:r>
      <w:r w:rsidR="009374E2" w:rsidRPr="000F102F">
        <w:rPr>
          <w:lang w:val="en-CA" w:eastAsia="zh-CN"/>
        </w:rPr>
        <w:t xml:space="preserve">Board provided an update to the report to WRC-15 focusing on its efforts to address issues the Board and the Radiocommunications Bureau have faced since WRC-15 affecting fulfilment of the principles contained in Article </w:t>
      </w:r>
      <w:r w:rsidR="009374E2" w:rsidRPr="000F102F">
        <w:rPr>
          <w:bCs/>
          <w:lang w:val="en-CA" w:eastAsia="zh-CN"/>
        </w:rPr>
        <w:t>44</w:t>
      </w:r>
      <w:r w:rsidR="009374E2" w:rsidRPr="000F102F">
        <w:rPr>
          <w:lang w:val="en-CA" w:eastAsia="zh-CN"/>
        </w:rPr>
        <w:t xml:space="preserve"> of the ITU Constitution (CS) and No. </w:t>
      </w:r>
      <w:r w:rsidR="009374E2" w:rsidRPr="000F102F">
        <w:rPr>
          <w:b/>
          <w:bCs/>
          <w:lang w:val="en-CA" w:eastAsia="zh-CN"/>
        </w:rPr>
        <w:t>0.3</w:t>
      </w:r>
      <w:r w:rsidR="009374E2" w:rsidRPr="000F102F">
        <w:rPr>
          <w:lang w:val="en-CA" w:eastAsia="zh-CN"/>
        </w:rPr>
        <w:t xml:space="preserve"> of the Preamble to the Radio Regulations.</w:t>
      </w:r>
    </w:p>
    <w:p w14:paraId="3ADC2F29" w14:textId="77777777" w:rsidR="009374E2" w:rsidRPr="000F102F" w:rsidRDefault="009374E2" w:rsidP="00435252">
      <w:pPr>
        <w:jc w:val="both"/>
        <w:rPr>
          <w:i/>
          <w:iCs/>
          <w:szCs w:val="24"/>
          <w:lang w:val="en-CA" w:eastAsia="ar-SA"/>
        </w:rPr>
      </w:pPr>
      <w:r w:rsidRPr="000F102F">
        <w:rPr>
          <w:szCs w:val="24"/>
          <w:lang w:val="en-CA" w:eastAsia="ar-SA"/>
        </w:rPr>
        <w:t xml:space="preserve">The Board report says, in part, the following: </w:t>
      </w:r>
      <w:bookmarkStart w:id="12" w:name="_Hlk24488659"/>
      <w:r w:rsidRPr="000F102F">
        <w:rPr>
          <w:szCs w:val="24"/>
          <w:lang w:val="en-CA" w:eastAsia="ar-SA"/>
        </w:rPr>
        <w:t>“</w:t>
      </w:r>
      <w:bookmarkEnd w:id="12"/>
      <w:r w:rsidRPr="000F102F">
        <w:rPr>
          <w:i/>
          <w:iCs/>
          <w:szCs w:val="24"/>
          <w:lang w:val="en-CA" w:eastAsia="ar-SA"/>
        </w:rPr>
        <w:t xml:space="preserve">the Board considered concerns raised by some administrations regarding the appropriateness of other administrations’ </w:t>
      </w:r>
      <w:r w:rsidRPr="000F102F">
        <w:rPr>
          <w:i/>
          <w:iCs/>
          <w:szCs w:val="24"/>
          <w:lang w:val="en-CA"/>
        </w:rPr>
        <w:t>application</w:t>
      </w:r>
      <w:r w:rsidRPr="000F102F">
        <w:rPr>
          <w:i/>
          <w:iCs/>
          <w:szCs w:val="24"/>
          <w:lang w:val="en-CA" w:eastAsia="ar-SA"/>
        </w:rPr>
        <w:t xml:space="preserve"> of Article 48 of the ITU Constitution. The alleged cases of non-compliance with CS Article 48 that were presented to the Board were summarized as follows:</w:t>
      </w:r>
    </w:p>
    <w:p w14:paraId="2C0A07C5" w14:textId="77777777" w:rsidR="009374E2" w:rsidRPr="000F102F" w:rsidRDefault="009374E2" w:rsidP="00435252">
      <w:pPr>
        <w:pStyle w:val="enumlev1"/>
        <w:spacing w:before="120"/>
        <w:ind w:left="1134"/>
        <w:jc w:val="both"/>
        <w:rPr>
          <w:i/>
          <w:iCs/>
          <w:szCs w:val="24"/>
          <w:lang w:val="en-CA" w:eastAsia="ar-SA"/>
        </w:rPr>
      </w:pPr>
      <w:r w:rsidRPr="000F102F">
        <w:rPr>
          <w:i/>
          <w:iCs/>
          <w:szCs w:val="24"/>
          <w:lang w:val="en-CA" w:eastAsia="ar-SA"/>
        </w:rPr>
        <w:t>–</w:t>
      </w:r>
      <w:r w:rsidRPr="000F102F">
        <w:rPr>
          <w:i/>
          <w:iCs/>
          <w:szCs w:val="24"/>
          <w:lang w:val="en-CA" w:eastAsia="ar-SA"/>
        </w:rPr>
        <w:tab/>
        <w:t xml:space="preserve">Administrations invoking CS Article 48 after the Bureau has launched an investigation under RR No. </w:t>
      </w:r>
      <w:r w:rsidRPr="000F102F">
        <w:rPr>
          <w:b/>
          <w:i/>
          <w:iCs/>
          <w:szCs w:val="24"/>
          <w:lang w:val="en-CA" w:eastAsia="ar-SA"/>
        </w:rPr>
        <w:t>13.6</w:t>
      </w:r>
      <w:r w:rsidRPr="000F102F">
        <w:rPr>
          <w:i/>
          <w:iCs/>
          <w:szCs w:val="24"/>
          <w:lang w:val="en-CA" w:eastAsia="ar-SA"/>
        </w:rPr>
        <w:t xml:space="preserve"> as a means to prevent its application and retain rights in the Master International Frequency Register.</w:t>
      </w:r>
    </w:p>
    <w:p w14:paraId="17D8DC2C" w14:textId="77777777" w:rsidR="009374E2" w:rsidRPr="000F102F" w:rsidRDefault="009374E2" w:rsidP="00435252">
      <w:pPr>
        <w:pStyle w:val="enumlev1"/>
        <w:spacing w:before="120"/>
        <w:ind w:left="1134"/>
        <w:jc w:val="both"/>
        <w:rPr>
          <w:szCs w:val="24"/>
          <w:lang w:val="en-CA" w:eastAsia="ar-SA"/>
        </w:rPr>
      </w:pPr>
      <w:r w:rsidRPr="000F102F">
        <w:rPr>
          <w:i/>
          <w:iCs/>
          <w:szCs w:val="24"/>
          <w:lang w:val="en-CA" w:eastAsia="ar-SA"/>
        </w:rPr>
        <w:t>–</w:t>
      </w:r>
      <w:r w:rsidRPr="000F102F">
        <w:rPr>
          <w:i/>
          <w:iCs/>
          <w:szCs w:val="24"/>
          <w:lang w:val="en-CA" w:eastAsia="ar-SA"/>
        </w:rPr>
        <w:tab/>
        <w:t>Administrations invoking CS Article 48 for frequency assignments that are not used for military purposes</w:t>
      </w:r>
      <w:r w:rsidRPr="000F102F">
        <w:rPr>
          <w:szCs w:val="24"/>
          <w:lang w:val="en-CA" w:eastAsia="ar-SA"/>
        </w:rPr>
        <w:t>.”</w:t>
      </w:r>
    </w:p>
    <w:p w14:paraId="75834206" w14:textId="77777777" w:rsidR="009374E2" w:rsidRPr="000F102F" w:rsidRDefault="009374E2" w:rsidP="00435252">
      <w:pPr>
        <w:jc w:val="both"/>
        <w:rPr>
          <w:szCs w:val="24"/>
          <w:lang w:val="en-CA" w:eastAsia="ar-SA"/>
        </w:rPr>
      </w:pPr>
      <w:r w:rsidRPr="000F102F">
        <w:rPr>
          <w:szCs w:val="24"/>
          <w:lang w:val="en-CA" w:eastAsia="ar-SA"/>
        </w:rPr>
        <w:t>In response to the content of this Board Report, the Conference received several contributions from administrations that included various actions to be considered by the Conference to address the concerns raised by administrations, however it was understood that none of these various actions could be implemented without specific instruction from a Plenipotentiary Conference to a WRC to do so.</w:t>
      </w:r>
    </w:p>
    <w:p w14:paraId="4788C94E" w14:textId="77777777" w:rsidR="009374E2" w:rsidRPr="000F102F" w:rsidRDefault="009374E2" w:rsidP="00435252">
      <w:pPr>
        <w:jc w:val="both"/>
        <w:rPr>
          <w:szCs w:val="24"/>
          <w:lang w:val="en-CA"/>
        </w:rPr>
      </w:pPr>
      <w:proofErr w:type="gramStart"/>
      <w:r w:rsidRPr="000F102F">
        <w:rPr>
          <w:szCs w:val="24"/>
          <w:lang w:val="en-CA"/>
        </w:rPr>
        <w:t>Taking into account</w:t>
      </w:r>
      <w:proofErr w:type="gramEnd"/>
      <w:r w:rsidRPr="000F102F">
        <w:rPr>
          <w:szCs w:val="24"/>
          <w:lang w:val="en-CA"/>
        </w:rPr>
        <w:t xml:space="preserve"> the report of the Board on Resolution </w:t>
      </w:r>
      <w:r w:rsidRPr="000F102F">
        <w:rPr>
          <w:b/>
          <w:szCs w:val="24"/>
          <w:lang w:val="en-CA"/>
        </w:rPr>
        <w:t>80 (Rev.WRC-07)</w:t>
      </w:r>
      <w:r w:rsidRPr="000F102F">
        <w:rPr>
          <w:szCs w:val="24"/>
          <w:lang w:val="en-CA"/>
        </w:rPr>
        <w:t>, and the contributions and comments at WRC-19 associated with that Report, the WRC-19, in accordance with Article 21 of the ITU Convention, invites the 2022 Plenipotentiary Conference to consider the question of invocation of CS Article 48 in relation to the Radio Regulations raised at WRC-19 and take necessary actions, as appropriate.</w:t>
      </w:r>
    </w:p>
    <w:p w14:paraId="659F892E" w14:textId="3870C333" w:rsidR="009374E2" w:rsidRDefault="009374E2" w:rsidP="00435252">
      <w:pPr>
        <w:jc w:val="both"/>
      </w:pPr>
      <w:r w:rsidRPr="000F102F">
        <w:rPr>
          <w:szCs w:val="24"/>
          <w:lang w:val="en-CA"/>
        </w:rPr>
        <w:t>In addition to this result, WRC-19 instructed the Bureau to continue their current practice of responding to specific requests from administrations related to the status of individual satellite networks, including an indication of whether CS Article 48 has been invoked for a satellite network.</w:t>
      </w:r>
      <w:r>
        <w:rPr>
          <w:szCs w:val="24"/>
          <w:lang w:val="en-CA"/>
        </w:rPr>
        <w:t>”</w:t>
      </w:r>
    </w:p>
    <w:p w14:paraId="668C252B" w14:textId="3DADECE6" w:rsidR="009374E2" w:rsidRDefault="009374E2" w:rsidP="00435252">
      <w:pPr>
        <w:spacing w:before="840"/>
        <w:jc w:val="center"/>
      </w:pPr>
      <w:r>
        <w:t>_______________________</w:t>
      </w:r>
    </w:p>
    <w:sectPr w:rsidR="009374E2">
      <w:headerReference w:type="default" r:id="rId12"/>
      <w:footerReference w:type="first" r:id="rId13"/>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6F8A5" w14:textId="77777777" w:rsidR="00F92966" w:rsidRDefault="00F92966">
      <w:r>
        <w:separator/>
      </w:r>
    </w:p>
  </w:endnote>
  <w:endnote w:type="continuationSeparator" w:id="0">
    <w:p w14:paraId="3E40CD65" w14:textId="77777777" w:rsidR="00F92966" w:rsidRDefault="00F9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014D" w14:textId="77777777"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3268" w14:textId="77777777" w:rsidR="00F92966" w:rsidRDefault="00F92966">
      <w:r>
        <w:t>____________________</w:t>
      </w:r>
    </w:p>
  </w:footnote>
  <w:footnote w:type="continuationSeparator" w:id="0">
    <w:p w14:paraId="06168E77" w14:textId="77777777" w:rsidR="00F92966" w:rsidRDefault="00F9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28AD47C1" w:rsidR="00CE1B90" w:rsidRDefault="00CE1B90" w:rsidP="004F7925">
    <w:pPr>
      <w:pStyle w:val="Header"/>
    </w:pPr>
    <w:r>
      <w:t>PP</w:t>
    </w:r>
    <w:r w:rsidR="000235EC">
      <w:t>22</w:t>
    </w:r>
    <w:r>
      <w:t>/</w:t>
    </w:r>
    <w:r w:rsidR="001A5497">
      <w:t>41</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27EF2"/>
    <w:rsid w:val="00041924"/>
    <w:rsid w:val="000507C1"/>
    <w:rsid w:val="00053B97"/>
    <w:rsid w:val="00082EB9"/>
    <w:rsid w:val="000842DF"/>
    <w:rsid w:val="0008540E"/>
    <w:rsid w:val="00094B4F"/>
    <w:rsid w:val="000A1015"/>
    <w:rsid w:val="000A4114"/>
    <w:rsid w:val="000B03F9"/>
    <w:rsid w:val="000B0A77"/>
    <w:rsid w:val="000B0D6C"/>
    <w:rsid w:val="000B409D"/>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A5497"/>
    <w:rsid w:val="001B18AB"/>
    <w:rsid w:val="001B70D1"/>
    <w:rsid w:val="001C3804"/>
    <w:rsid w:val="001D3322"/>
    <w:rsid w:val="001E01A5"/>
    <w:rsid w:val="001E18AB"/>
    <w:rsid w:val="001E1C8F"/>
    <w:rsid w:val="002115E0"/>
    <w:rsid w:val="00215F12"/>
    <w:rsid w:val="002275BF"/>
    <w:rsid w:val="00232B31"/>
    <w:rsid w:val="00234820"/>
    <w:rsid w:val="00235A3B"/>
    <w:rsid w:val="00243BE4"/>
    <w:rsid w:val="00257188"/>
    <w:rsid w:val="002578B4"/>
    <w:rsid w:val="00260FBA"/>
    <w:rsid w:val="00267D12"/>
    <w:rsid w:val="00281792"/>
    <w:rsid w:val="0028799E"/>
    <w:rsid w:val="002962A8"/>
    <w:rsid w:val="002A56C0"/>
    <w:rsid w:val="002E77F4"/>
    <w:rsid w:val="002F36B9"/>
    <w:rsid w:val="002F5FA2"/>
    <w:rsid w:val="003126B0"/>
    <w:rsid w:val="00314127"/>
    <w:rsid w:val="00314C12"/>
    <w:rsid w:val="003261C3"/>
    <w:rsid w:val="003453DA"/>
    <w:rsid w:val="00350DD6"/>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43FE"/>
    <w:rsid w:val="00426AC1"/>
    <w:rsid w:val="004321DC"/>
    <w:rsid w:val="00435252"/>
    <w:rsid w:val="00435AA4"/>
    <w:rsid w:val="00435EA8"/>
    <w:rsid w:val="004360BB"/>
    <w:rsid w:val="0045533C"/>
    <w:rsid w:val="004606DA"/>
    <w:rsid w:val="00463092"/>
    <w:rsid w:val="004676C0"/>
    <w:rsid w:val="00474E00"/>
    <w:rsid w:val="004771BB"/>
    <w:rsid w:val="004835DB"/>
    <w:rsid w:val="00491D2D"/>
    <w:rsid w:val="00494797"/>
    <w:rsid w:val="004B0C10"/>
    <w:rsid w:val="004B167B"/>
    <w:rsid w:val="004C19D7"/>
    <w:rsid w:val="004C297B"/>
    <w:rsid w:val="004C73C9"/>
    <w:rsid w:val="004E01FA"/>
    <w:rsid w:val="004E6764"/>
    <w:rsid w:val="004F041D"/>
    <w:rsid w:val="004F1C55"/>
    <w:rsid w:val="004F7925"/>
    <w:rsid w:val="00502B5D"/>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E257C"/>
    <w:rsid w:val="005F05C8"/>
    <w:rsid w:val="00604079"/>
    <w:rsid w:val="00617BE4"/>
    <w:rsid w:val="00620233"/>
    <w:rsid w:val="00627DF4"/>
    <w:rsid w:val="006404B0"/>
    <w:rsid w:val="0066499C"/>
    <w:rsid w:val="00676E68"/>
    <w:rsid w:val="00685DB4"/>
    <w:rsid w:val="006918D3"/>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1EBE"/>
    <w:rsid w:val="0082780C"/>
    <w:rsid w:val="008333C7"/>
    <w:rsid w:val="00833E0F"/>
    <w:rsid w:val="008404FD"/>
    <w:rsid w:val="00841AB4"/>
    <w:rsid w:val="00846DBA"/>
    <w:rsid w:val="00850AEF"/>
    <w:rsid w:val="00855DAB"/>
    <w:rsid w:val="00860C6A"/>
    <w:rsid w:val="00862891"/>
    <w:rsid w:val="00875048"/>
    <w:rsid w:val="00875BE1"/>
    <w:rsid w:val="00877715"/>
    <w:rsid w:val="00892944"/>
    <w:rsid w:val="00895CE3"/>
    <w:rsid w:val="0089603F"/>
    <w:rsid w:val="00897970"/>
    <w:rsid w:val="008B5A71"/>
    <w:rsid w:val="008B64C9"/>
    <w:rsid w:val="008D3BE2"/>
    <w:rsid w:val="008D4D98"/>
    <w:rsid w:val="008E2A7B"/>
    <w:rsid w:val="008E6E9B"/>
    <w:rsid w:val="008F2C56"/>
    <w:rsid w:val="008F3C99"/>
    <w:rsid w:val="008F58A7"/>
    <w:rsid w:val="00900D5B"/>
    <w:rsid w:val="009236FE"/>
    <w:rsid w:val="009374E2"/>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E5611"/>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95ACF"/>
    <w:rsid w:val="00AB0B32"/>
    <w:rsid w:val="00AB2D04"/>
    <w:rsid w:val="00AB5C39"/>
    <w:rsid w:val="00AB75A9"/>
    <w:rsid w:val="00AD1C5C"/>
    <w:rsid w:val="00AD566F"/>
    <w:rsid w:val="00B1395F"/>
    <w:rsid w:val="00B156F9"/>
    <w:rsid w:val="00B1733E"/>
    <w:rsid w:val="00B25A86"/>
    <w:rsid w:val="00B304B9"/>
    <w:rsid w:val="00B46D66"/>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65F1"/>
    <w:rsid w:val="00BF720B"/>
    <w:rsid w:val="00C04511"/>
    <w:rsid w:val="00C112A3"/>
    <w:rsid w:val="00C16846"/>
    <w:rsid w:val="00C306EB"/>
    <w:rsid w:val="00C34851"/>
    <w:rsid w:val="00C42A5B"/>
    <w:rsid w:val="00C5419D"/>
    <w:rsid w:val="00C56038"/>
    <w:rsid w:val="00C60189"/>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21A8D"/>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3771"/>
    <w:rsid w:val="00DE4CC2"/>
    <w:rsid w:val="00DF23FC"/>
    <w:rsid w:val="00DF39CD"/>
    <w:rsid w:val="00DF3BBE"/>
    <w:rsid w:val="00E0094D"/>
    <w:rsid w:val="00E10A17"/>
    <w:rsid w:val="00E13427"/>
    <w:rsid w:val="00E1374D"/>
    <w:rsid w:val="00E20134"/>
    <w:rsid w:val="00E23B8C"/>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C6D9E"/>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3CE9"/>
    <w:rsid w:val="00F92966"/>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685DB4"/>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character" w:customStyle="1" w:styleId="enumlev1Char">
    <w:name w:val="enumlev1 Char"/>
    <w:link w:val="enumlev1"/>
    <w:locked/>
    <w:rsid w:val="009374E2"/>
    <w:rPr>
      <w:rFonts w:ascii="Calibri" w:hAnsi="Calibri"/>
      <w:sz w:val="24"/>
      <w:lang w:val="en-GB" w:eastAsia="en-US"/>
    </w:rPr>
  </w:style>
  <w:style w:type="paragraph" w:styleId="Revision">
    <w:name w:val="Revision"/>
    <w:hidden/>
    <w:uiPriority w:val="99"/>
    <w:semiHidden/>
    <w:rsid w:val="00BF65F1"/>
    <w:rPr>
      <w:rFonts w:ascii="Calibri" w:hAnsi="Calibri"/>
      <w:sz w:val="24"/>
      <w:lang w:val="en-GB" w:eastAsia="en-US"/>
    </w:rPr>
  </w:style>
  <w:style w:type="character" w:styleId="UnresolvedMention">
    <w:name w:val="Unresolved Mention"/>
    <w:basedOn w:val="DefaultParagraphFont"/>
    <w:uiPriority w:val="99"/>
    <w:semiHidden/>
    <w:unhideWhenUsed/>
    <w:rsid w:val="005E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R16-WRC19-C-0347/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tu.int/md/R16-WRC19-C-0569/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f052c1-43ce-4a96-97d4-c73dff54226e" targetNamespace="http://schemas.microsoft.com/office/2006/metadata/properties" ma:root="true" ma:fieldsID="d41af5c836d734370eb92e7ee5f83852" ns2:_="" ns3:_="">
    <xsd:import namespace="996b2e75-67fd-4955-a3b0-5ab9934cb50b"/>
    <xsd:import namespace="37f052c1-43ce-4a96-97d4-c73dff5422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f052c1-43ce-4a96-97d4-c73dff5422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7f052c1-43ce-4a96-97d4-c73dff54226e" xsi:nil="true"/>
    <DPM_x0020_File_x0020_name xmlns="37f052c1-43ce-4a96-97d4-c73dff54226e" xsi:nil="true"/>
    <DPM_x0020_Version xmlns="37f052c1-43ce-4a96-97d4-c73dff54226e" xsi:nil="true"/>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f052c1-43ce-4a96-97d4-c73dff542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37f052c1-43ce-4a96-97d4-c73dff54226e"/>
    <ds:schemaRef ds:uri="http://schemas.microsoft.com/office/2006/documentManagement/types"/>
    <ds:schemaRef ds:uri="http://purl.org/dc/elements/1.1/"/>
    <ds:schemaRef ds:uri="http://schemas.microsoft.com/office/infopath/2007/PartnerControls"/>
    <ds:schemaRef ds:uri="http://purl.org/dc/terms/"/>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466</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Recommendation from the 2019 World Radiocommunication Conference to the Plenipotentiary Conference - Invocation of Article 48 of the Constitution in relation to the Radio Regulations</vt:lpstr>
    </vt:vector>
  </TitlesOfParts>
  <Manager/>
  <Company>International Telecommunication Union (ITU)</Company>
  <LinksUpToDate>false</LinksUpToDate>
  <CharactersWithSpaces>3285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from the 2019 World Radiocommunication Conference to the Plenipotentiary Conference - Invocation of Article 48 of the Constitution in relation to the Radio Regulations</dc:title>
  <dc:subject>Plenipotentiary Conference (PP-22)</dc:subject>
  <dc:creator>Brouard, Ricarda</dc:creator>
  <cp:keywords>PP22, PP-22</cp:keywords>
  <cp:lastModifiedBy>Xue, Kun</cp:lastModifiedBy>
  <cp:revision>5</cp:revision>
  <dcterms:created xsi:type="dcterms:W3CDTF">2022-05-30T19:40:00Z</dcterms:created>
  <dcterms:modified xsi:type="dcterms:W3CDTF">2022-05-31T14:22:00Z</dcterms:modified>
  <cp:category>Conference document</cp:category>
</cp:coreProperties>
</file>