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14:paraId="56E69651" w14:textId="77777777" w:rsidTr="006A046E">
        <w:trPr>
          <w:cantSplit/>
        </w:trPr>
        <w:tc>
          <w:tcPr>
            <w:tcW w:w="6911" w:type="dxa"/>
          </w:tcPr>
          <w:p w14:paraId="786D6ACB" w14:textId="77777777" w:rsidR="00BD1614" w:rsidRPr="00960D89" w:rsidRDefault="00BD1614" w:rsidP="006E428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</w:t>
            </w:r>
            <w:r w:rsidR="002A7A1D">
              <w:rPr>
                <w:b/>
                <w:smallCaps/>
                <w:sz w:val="30"/>
                <w:szCs w:val="30"/>
                <w:lang w:val="fr-CH"/>
              </w:rPr>
              <w:t>22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2A7A1D" w:rsidRPr="002A7A1D">
              <w:rPr>
                <w:rFonts w:cs="Times New Roman Bold"/>
                <w:b/>
                <w:bCs/>
                <w:szCs w:val="24"/>
                <w:lang w:val="fr-CH"/>
              </w:rPr>
              <w:t>Bucarest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6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septembre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4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octobre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20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22</w:t>
            </w:r>
          </w:p>
        </w:tc>
        <w:tc>
          <w:tcPr>
            <w:tcW w:w="3120" w:type="dxa"/>
          </w:tcPr>
          <w:p w14:paraId="18A6ED34" w14:textId="77777777" w:rsidR="00BD1614" w:rsidRPr="008C10D9" w:rsidRDefault="002A7A1D" w:rsidP="006E428E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val="en-US"/>
              </w:rPr>
              <w:drawing>
                <wp:inline distT="0" distB="0" distL="0" distR="0" wp14:anchorId="58E42E46" wp14:editId="44D026AB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14:paraId="2B3D3D99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72184A1" w14:textId="77777777" w:rsidR="00BD1614" w:rsidRPr="008C10D9" w:rsidRDefault="00BD1614" w:rsidP="006E428E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BEA0136" w14:textId="77777777" w:rsidR="00BD1614" w:rsidRPr="000F58F7" w:rsidRDefault="00BD1614" w:rsidP="006E428E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14:paraId="5407AE43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770ED46" w14:textId="77777777" w:rsidR="00BD1614" w:rsidRPr="008C10D9" w:rsidRDefault="00BD1614" w:rsidP="006E428E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24B7656" w14:textId="77777777" w:rsidR="00BD1614" w:rsidRPr="008C10D9" w:rsidRDefault="00BD1614" w:rsidP="006E428E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746148CE" w14:textId="77777777" w:rsidTr="006A046E">
        <w:trPr>
          <w:cantSplit/>
        </w:trPr>
        <w:tc>
          <w:tcPr>
            <w:tcW w:w="6911" w:type="dxa"/>
          </w:tcPr>
          <w:p w14:paraId="45B52545" w14:textId="77777777" w:rsidR="00BD1614" w:rsidRPr="008C10D9" w:rsidRDefault="00420EF8" w:rsidP="006E428E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SÉANCE PLÉNIÈRE</w:t>
            </w:r>
          </w:p>
        </w:tc>
        <w:tc>
          <w:tcPr>
            <w:tcW w:w="3120" w:type="dxa"/>
          </w:tcPr>
          <w:p w14:paraId="5163953E" w14:textId="77777777" w:rsidR="00BD1614" w:rsidRPr="008C10D9" w:rsidRDefault="00420EF8" w:rsidP="006E428E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3E45F7">
              <w:rPr>
                <w:rFonts w:cstheme="minorHAnsi"/>
                <w:b/>
                <w:szCs w:val="24"/>
                <w:lang w:val="en-US"/>
              </w:rPr>
              <w:t>41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14:paraId="39A1A7BF" w14:textId="77777777" w:rsidTr="006A046E">
        <w:trPr>
          <w:cantSplit/>
        </w:trPr>
        <w:tc>
          <w:tcPr>
            <w:tcW w:w="6911" w:type="dxa"/>
          </w:tcPr>
          <w:p w14:paraId="53330C82" w14:textId="77777777" w:rsidR="00BD1614" w:rsidRPr="00D0464B" w:rsidRDefault="00BD1614" w:rsidP="006E428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6873B2DD" w14:textId="77777777" w:rsidR="00BD1614" w:rsidRPr="008C10D9" w:rsidRDefault="003E45F7" w:rsidP="006E428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31 mai 2022</w:t>
            </w:r>
          </w:p>
        </w:tc>
      </w:tr>
      <w:tr w:rsidR="00BD1614" w:rsidRPr="002A6F8F" w14:paraId="54B9E56F" w14:textId="77777777" w:rsidTr="006A046E">
        <w:trPr>
          <w:cantSplit/>
        </w:trPr>
        <w:tc>
          <w:tcPr>
            <w:tcW w:w="6911" w:type="dxa"/>
          </w:tcPr>
          <w:p w14:paraId="09AD0D9A" w14:textId="77777777" w:rsidR="00BD1614" w:rsidRPr="008C10D9" w:rsidRDefault="00BD1614" w:rsidP="006E428E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4EEF7DCC" w14:textId="77777777" w:rsidR="00BD1614" w:rsidRPr="008C10D9" w:rsidRDefault="00420EF8" w:rsidP="006E428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14:paraId="72C4269C" w14:textId="77777777" w:rsidTr="006A046E">
        <w:trPr>
          <w:cantSplit/>
        </w:trPr>
        <w:tc>
          <w:tcPr>
            <w:tcW w:w="10031" w:type="dxa"/>
            <w:gridSpan w:val="2"/>
          </w:tcPr>
          <w:p w14:paraId="7AA3A37F" w14:textId="77777777" w:rsidR="00BD1614" w:rsidRPr="008C10D9" w:rsidRDefault="00BD1614" w:rsidP="006E428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14:paraId="22D4E336" w14:textId="77777777" w:rsidTr="006A046E">
        <w:trPr>
          <w:cantSplit/>
        </w:trPr>
        <w:tc>
          <w:tcPr>
            <w:tcW w:w="10031" w:type="dxa"/>
            <w:gridSpan w:val="2"/>
          </w:tcPr>
          <w:p w14:paraId="6A0A2907" w14:textId="77777777" w:rsidR="00BD1614" w:rsidRPr="002A6F8F" w:rsidRDefault="003E45F7" w:rsidP="006E428E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>
              <w:rPr>
                <w:lang w:val="en-US"/>
              </w:rPr>
              <w:t>Note du Secrétaire général</w:t>
            </w:r>
          </w:p>
        </w:tc>
      </w:tr>
      <w:tr w:rsidR="00BD1614" w:rsidRPr="002A6F8F" w14:paraId="6CA5200C" w14:textId="77777777" w:rsidTr="006A046E">
        <w:trPr>
          <w:cantSplit/>
        </w:trPr>
        <w:tc>
          <w:tcPr>
            <w:tcW w:w="10031" w:type="dxa"/>
            <w:gridSpan w:val="2"/>
          </w:tcPr>
          <w:p w14:paraId="5C1D5725" w14:textId="77777777" w:rsidR="00BD1614" w:rsidRPr="003E45F7" w:rsidRDefault="003E45F7" w:rsidP="006E428E">
            <w:pPr>
              <w:pStyle w:val="Title1"/>
            </w:pPr>
            <w:bookmarkStart w:id="5" w:name="lt_pId012"/>
            <w:bookmarkStart w:id="6" w:name="_Hlk104839004"/>
            <w:bookmarkStart w:id="7" w:name="dtitle1" w:colFirst="0" w:colLast="0"/>
            <w:bookmarkStart w:id="8" w:name="_Hlk108991021"/>
            <w:bookmarkEnd w:id="4"/>
            <w:r w:rsidRPr="003E45F7">
              <w:t xml:space="preserve">Recommandation de la conférence mondiale des radiocommunications de 2019 </w:t>
            </w:r>
            <w:bookmarkStart w:id="9" w:name="lt_pId013"/>
            <w:bookmarkEnd w:id="5"/>
            <w:r w:rsidRPr="003E45F7">
              <w:t>à la conférence de plénipotentiaires</w:t>
            </w:r>
            <w:bookmarkEnd w:id="6"/>
            <w:bookmarkEnd w:id="9"/>
          </w:p>
        </w:tc>
      </w:tr>
      <w:tr w:rsidR="00BD1614" w:rsidRPr="002A6F8F" w14:paraId="36EE4F32" w14:textId="77777777" w:rsidTr="006A046E">
        <w:trPr>
          <w:cantSplit/>
        </w:trPr>
        <w:tc>
          <w:tcPr>
            <w:tcW w:w="10031" w:type="dxa"/>
            <w:gridSpan w:val="2"/>
          </w:tcPr>
          <w:p w14:paraId="15CB64FF" w14:textId="77777777" w:rsidR="00BD1614" w:rsidRPr="003E45F7" w:rsidRDefault="003E45F7" w:rsidP="006E428E">
            <w:pPr>
              <w:pStyle w:val="Title2"/>
            </w:pPr>
            <w:bookmarkStart w:id="10" w:name="dtitle2" w:colFirst="0" w:colLast="0"/>
            <w:bookmarkEnd w:id="7"/>
            <w:r w:rsidRPr="003E45F7">
              <w:t>invocation de l'article 48 de la Con</w:t>
            </w:r>
            <w:r>
              <w:t>stitution en ce qui concerne le </w:t>
            </w:r>
            <w:r w:rsidRPr="003E45F7">
              <w:t>Règlement des radiocommunications</w:t>
            </w:r>
          </w:p>
        </w:tc>
      </w:tr>
      <w:tr w:rsidR="00BD1614" w14:paraId="7A1809B6" w14:textId="77777777" w:rsidTr="006A046E">
        <w:trPr>
          <w:cantSplit/>
        </w:trPr>
        <w:tc>
          <w:tcPr>
            <w:tcW w:w="10031" w:type="dxa"/>
            <w:gridSpan w:val="2"/>
          </w:tcPr>
          <w:p w14:paraId="6F6112B8" w14:textId="77777777" w:rsidR="00BD1614" w:rsidRDefault="00BD1614" w:rsidP="006E428E">
            <w:pPr>
              <w:pStyle w:val="Agendaitem"/>
            </w:pPr>
            <w:bookmarkStart w:id="11" w:name="dtitle3" w:colFirst="0" w:colLast="0"/>
            <w:bookmarkEnd w:id="10"/>
            <w:bookmarkEnd w:id="8"/>
          </w:p>
        </w:tc>
      </w:tr>
    </w:tbl>
    <w:p w14:paraId="0739887A" w14:textId="2CC8F6B6" w:rsidR="003E45F7" w:rsidRPr="006E428E" w:rsidRDefault="00312A1B" w:rsidP="006E428E">
      <w:pPr>
        <w:spacing w:before="360"/>
        <w:jc w:val="both"/>
        <w:rPr>
          <w:szCs w:val="24"/>
        </w:rPr>
      </w:pPr>
      <w:bookmarkStart w:id="12" w:name="lt_pId016"/>
      <w:bookmarkEnd w:id="11"/>
      <w:r w:rsidRPr="006E428E">
        <w:t xml:space="preserve">La décision de la Conférence mondiale des radiocommunications de 2019 (CMR-19) figurant dans </w:t>
      </w:r>
      <w:proofErr w:type="gramStart"/>
      <w:r w:rsidRPr="006E428E">
        <w:t>l'annexe</w:t>
      </w:r>
      <w:proofErr w:type="gramEnd"/>
      <w:r w:rsidRPr="006E428E">
        <w:t xml:space="preserve"> ci-dessous et </w:t>
      </w:r>
      <w:r w:rsidR="00195591">
        <w:t>reproduite</w:t>
      </w:r>
      <w:r w:rsidRPr="006E428E">
        <w:t xml:space="preserve"> dans le</w:t>
      </w:r>
      <w:r>
        <w:t xml:space="preserve"> Document</w:t>
      </w:r>
      <w:r w:rsidR="006E428E">
        <w:t xml:space="preserve"> </w:t>
      </w:r>
      <w:hyperlink r:id="rId8" w:history="1">
        <w:r w:rsidR="006E428E" w:rsidRPr="006E428E">
          <w:rPr>
            <w:rStyle w:val="Hyperlink"/>
          </w:rPr>
          <w:t>569</w:t>
        </w:r>
      </w:hyperlink>
      <w:r w:rsidRPr="006E428E">
        <w:rPr>
          <w:rStyle w:val="Hyperlink"/>
          <w:bCs/>
          <w:color w:val="auto"/>
          <w:u w:val="none"/>
        </w:rPr>
        <w:t xml:space="preserve"> (Procès-verbal de la huitième séance plénière, </w:t>
      </w:r>
      <w:r w:rsidR="00A77C21" w:rsidRPr="006E428E">
        <w:rPr>
          <w:rStyle w:val="Hyperlink"/>
          <w:bCs/>
          <w:color w:val="auto"/>
          <w:u w:val="none"/>
        </w:rPr>
        <w:t xml:space="preserve">paragraphes 3.8 à 3.10, approbation du Document </w:t>
      </w:r>
      <w:hyperlink r:id="rId9" w:history="1">
        <w:r w:rsidR="00A77C21" w:rsidRPr="006E428E">
          <w:rPr>
            <w:rStyle w:val="Hyperlink"/>
            <w:rFonts w:cs="Times"/>
            <w:bCs/>
          </w:rPr>
          <w:t>347</w:t>
        </w:r>
      </w:hyperlink>
      <w:r w:rsidR="00A77C21" w:rsidRPr="006E428E">
        <w:rPr>
          <w:rStyle w:val="Hyperlink"/>
          <w:rFonts w:cs="Times"/>
          <w:bCs/>
          <w:color w:val="auto"/>
          <w:u w:val="none"/>
        </w:rPr>
        <w:t>) est soumis</w:t>
      </w:r>
      <w:r w:rsidR="00211935" w:rsidRPr="006E428E">
        <w:rPr>
          <w:rStyle w:val="Hyperlink"/>
          <w:rFonts w:cs="Times"/>
          <w:bCs/>
          <w:color w:val="auto"/>
          <w:u w:val="none"/>
        </w:rPr>
        <w:t>e</w:t>
      </w:r>
      <w:r w:rsidR="00A77C21" w:rsidRPr="006E428E">
        <w:rPr>
          <w:rStyle w:val="Hyperlink"/>
          <w:rFonts w:cs="Times"/>
          <w:bCs/>
          <w:color w:val="auto"/>
          <w:u w:val="none"/>
        </w:rPr>
        <w:t xml:space="preserve"> à la Conférence de plénipotentiaires en vertu de l'</w:t>
      </w:r>
      <w:r w:rsidR="009D593C" w:rsidRPr="006E428E">
        <w:rPr>
          <w:rStyle w:val="Hyperlink"/>
          <w:rFonts w:cs="Times"/>
          <w:bCs/>
          <w:color w:val="auto"/>
          <w:u w:val="none"/>
        </w:rPr>
        <w:t>a</w:t>
      </w:r>
      <w:r w:rsidR="00A77C21" w:rsidRPr="006E428E">
        <w:rPr>
          <w:rStyle w:val="Hyperlink"/>
          <w:rFonts w:cs="Times"/>
          <w:bCs/>
          <w:color w:val="auto"/>
          <w:u w:val="none"/>
        </w:rPr>
        <w:t>rticle 21 de la Convention de l'UIT.</w:t>
      </w:r>
      <w:bookmarkEnd w:id="12"/>
    </w:p>
    <w:p w14:paraId="45355F73" w14:textId="77777777" w:rsidR="003E45F7" w:rsidRDefault="003E45F7" w:rsidP="006E428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bookmarkStart w:id="13" w:name="lt_pId017"/>
      <w:r w:rsidRPr="006E428E">
        <w:tab/>
      </w:r>
      <w:r w:rsidRPr="00EC60B7">
        <w:t>Houlin ZHA</w:t>
      </w:r>
      <w:bookmarkEnd w:id="13"/>
      <w:r>
        <w:t>O</w:t>
      </w:r>
      <w:r>
        <w:br/>
      </w:r>
      <w:r>
        <w:tab/>
        <w:t>Secrétaire général</w:t>
      </w:r>
    </w:p>
    <w:p w14:paraId="2B9BA249" w14:textId="77777777" w:rsidR="003E45F7" w:rsidRPr="00EC60B7" w:rsidRDefault="003E45F7" w:rsidP="006B084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800"/>
      </w:pPr>
      <w:r w:rsidRPr="003E45F7">
        <w:rPr>
          <w:b/>
        </w:rPr>
        <w:t>Annexe</w:t>
      </w:r>
      <w:r>
        <w:t>: 1</w:t>
      </w:r>
    </w:p>
    <w:p w14:paraId="0CAD8664" w14:textId="77777777" w:rsidR="00BD1614" w:rsidRDefault="00BD1614" w:rsidP="006E428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80962D2" w14:textId="77777777" w:rsidR="005A65C6" w:rsidRDefault="005A65C6" w:rsidP="006E428E">
      <w:pPr>
        <w:pStyle w:val="AnnexNo"/>
      </w:pPr>
      <w:r>
        <w:lastRenderedPageBreak/>
        <w:t>annexe</w:t>
      </w:r>
    </w:p>
    <w:p w14:paraId="1B2110D8" w14:textId="0FF3CB6B" w:rsidR="005A65C6" w:rsidRDefault="005A65C6" w:rsidP="006E428E">
      <w:pPr>
        <w:spacing w:before="600"/>
        <w:rPr>
          <w:rFonts w:ascii="Times New Roman" w:eastAsia="SimSun" w:hAnsi="Times New Roman"/>
          <w:szCs w:val="24"/>
          <w:lang w:eastAsia="zh-CN"/>
        </w:rPr>
      </w:pPr>
      <w:r>
        <w:rPr>
          <w:szCs w:val="24"/>
        </w:rPr>
        <w:t>"Au titre du point 9.3 de l'ordre du jour de la CMR-19, la Conférence a reçu le Document 15 du Comité du Règlement des radiocommunications</w:t>
      </w:r>
      <w:r w:rsidR="00551986">
        <w:rPr>
          <w:szCs w:val="24"/>
        </w:rPr>
        <w:t xml:space="preserve"> (RRB)</w:t>
      </w:r>
      <w:r>
        <w:rPr>
          <w:szCs w:val="24"/>
        </w:rPr>
        <w:t xml:space="preserve">, intitulé </w:t>
      </w:r>
      <w:r>
        <w:rPr>
          <w:i/>
          <w:szCs w:val="24"/>
        </w:rPr>
        <w:t xml:space="preserve">Rapport du Comité du Règlement des radiocommunications à la CMR-19 sur la Résolution </w:t>
      </w:r>
      <w:r>
        <w:rPr>
          <w:b/>
          <w:i/>
          <w:szCs w:val="24"/>
        </w:rPr>
        <w:t>80 (Rév.CMR-07)</w:t>
      </w:r>
      <w:r>
        <w:rPr>
          <w:i/>
          <w:szCs w:val="24"/>
        </w:rPr>
        <w:t>.</w:t>
      </w:r>
      <w:r>
        <w:rPr>
          <w:szCs w:val="24"/>
        </w:rPr>
        <w:t xml:space="preserve"> Ce rapport présente une synthèse des activités du RRB concernant la Résolution </w:t>
      </w:r>
      <w:r>
        <w:rPr>
          <w:b/>
          <w:bCs/>
          <w:szCs w:val="24"/>
        </w:rPr>
        <w:t>80</w:t>
      </w:r>
      <w:r>
        <w:rPr>
          <w:szCs w:val="24"/>
        </w:rPr>
        <w:t xml:space="preserve"> </w:t>
      </w:r>
      <w:r>
        <w:rPr>
          <w:b/>
          <w:bCs/>
          <w:szCs w:val="24"/>
        </w:rPr>
        <w:t>(Rév.CMR-07)</w:t>
      </w:r>
      <w:r>
        <w:rPr>
          <w:szCs w:val="24"/>
        </w:rPr>
        <w:t xml:space="preserve"> – </w:t>
      </w:r>
      <w:r>
        <w:rPr>
          <w:i/>
        </w:rPr>
        <w:t>Procédure de diligence due dans l'application des principes énoncés dans la Constitution</w:t>
      </w:r>
      <w:r w:rsidR="009020EC">
        <w:rPr>
          <w:szCs w:val="24"/>
        </w:rPr>
        <w:t>. Le rapport du Comité à la CMR</w:t>
      </w:r>
      <w:r w:rsidR="009020EC">
        <w:rPr>
          <w:szCs w:val="24"/>
        </w:rPr>
        <w:noBreakHyphen/>
      </w:r>
      <w:r>
        <w:rPr>
          <w:szCs w:val="24"/>
        </w:rPr>
        <w:t xml:space="preserve">19 consiste en une mise à jour du rapport </w:t>
      </w:r>
      <w:r>
        <w:rPr>
          <w:rFonts w:eastAsia="SimSun"/>
          <w:szCs w:val="24"/>
          <w:lang w:eastAsia="zh-CN"/>
        </w:rPr>
        <w:t xml:space="preserve">à la CMR-15, l'accent étant mis sur les efforts déployés par le Comité pour résoudre les problèmes rencontrés par le Comité et le Bureau des radiocommunications depuis la CMR-15, et qui ont une incidence sur le respect des principes énoncés dans l'article </w:t>
      </w:r>
      <w:r>
        <w:rPr>
          <w:rFonts w:eastAsia="SimSun"/>
          <w:bCs/>
          <w:szCs w:val="24"/>
          <w:lang w:eastAsia="zh-CN"/>
        </w:rPr>
        <w:t>44</w:t>
      </w:r>
      <w:r>
        <w:rPr>
          <w:rFonts w:eastAsia="SimSun"/>
          <w:szCs w:val="24"/>
          <w:lang w:eastAsia="zh-CN"/>
        </w:rPr>
        <w:t xml:space="preserve"> de la Constitution de l'UIT ainsi qu'au numéro </w:t>
      </w:r>
      <w:r>
        <w:rPr>
          <w:rFonts w:eastAsia="SimSun"/>
          <w:b/>
          <w:szCs w:val="24"/>
          <w:lang w:eastAsia="zh-CN"/>
        </w:rPr>
        <w:t>0.3</w:t>
      </w:r>
      <w:r>
        <w:rPr>
          <w:rFonts w:eastAsia="SimSun"/>
          <w:szCs w:val="24"/>
          <w:lang w:eastAsia="zh-CN"/>
        </w:rPr>
        <w:t xml:space="preserve"> du Préambule du Règlement des radiocommunications.</w:t>
      </w:r>
    </w:p>
    <w:p w14:paraId="5E90005D" w14:textId="77777777" w:rsidR="005A65C6" w:rsidRDefault="005A65C6" w:rsidP="006E428E">
      <w:pPr>
        <w:rPr>
          <w:i/>
        </w:rPr>
      </w:pPr>
      <w:r>
        <w:rPr>
          <w:rFonts w:eastAsia="SimSun"/>
          <w:bCs/>
          <w:szCs w:val="24"/>
          <w:lang w:eastAsia="zh-CN"/>
        </w:rPr>
        <w:t>Le rapport du Comité indique, entre autres, ce qui suit</w:t>
      </w:r>
      <w:r>
        <w:rPr>
          <w:szCs w:val="24"/>
          <w:lang w:eastAsia="ar-SA"/>
        </w:rPr>
        <w:t>: "</w:t>
      </w:r>
      <w:r>
        <w:rPr>
          <w:i/>
        </w:rPr>
        <w:t xml:space="preserve">Le Comité a </w:t>
      </w:r>
      <w:r>
        <w:rPr>
          <w:i/>
          <w:color w:val="000000"/>
        </w:rPr>
        <w:t>examiné</w:t>
      </w:r>
      <w:r>
        <w:rPr>
          <w:i/>
        </w:rPr>
        <w:t xml:space="preserve"> </w:t>
      </w:r>
      <w:r>
        <w:rPr>
          <w:i/>
          <w:color w:val="000000"/>
        </w:rPr>
        <w:t>les inquiétudes exprimées</w:t>
      </w:r>
      <w:r>
        <w:rPr>
          <w:i/>
        </w:rPr>
        <w:t xml:space="preserve"> par certaines administrations, qui se demandaient si l'application par d'autres administrations de l'article 48 de la Constitution de l'UIT était justifiée. Les cas allégués de non</w:t>
      </w:r>
      <w:r>
        <w:rPr>
          <w:i/>
        </w:rPr>
        <w:noBreakHyphen/>
        <w:t>conformité à l'article 48 de la Constitution qui ont été présentés au Comité peuvent être résumés comme suit:</w:t>
      </w:r>
    </w:p>
    <w:p w14:paraId="556ADE14" w14:textId="77777777" w:rsidR="005A65C6" w:rsidRDefault="005A65C6" w:rsidP="006E428E">
      <w:pPr>
        <w:pStyle w:val="enumlev1"/>
        <w:rPr>
          <w:i/>
        </w:rPr>
      </w:pPr>
      <w:r>
        <w:rPr>
          <w:i/>
        </w:rPr>
        <w:t>–</w:t>
      </w:r>
      <w:r>
        <w:rPr>
          <w:i/>
        </w:rPr>
        <w:tab/>
        <w:t xml:space="preserve">Administrations invoquant l'article 48 de la Constitution après que le Bureau a entrepris un examen au titre du numéro </w:t>
      </w:r>
      <w:r>
        <w:rPr>
          <w:b/>
          <w:bCs/>
          <w:i/>
        </w:rPr>
        <w:t>13.6</w:t>
      </w:r>
      <w:r>
        <w:rPr>
          <w:i/>
        </w:rPr>
        <w:t xml:space="preserve"> du RR, pour en empêcher l'application et conserver leurs droits dans le Fichier de référence international des fréquences.</w:t>
      </w:r>
    </w:p>
    <w:p w14:paraId="7FD68D7D" w14:textId="77777777" w:rsidR="005A65C6" w:rsidRDefault="005A65C6" w:rsidP="006E428E">
      <w:pPr>
        <w:pStyle w:val="enumlev1"/>
      </w:pPr>
      <w:r>
        <w:rPr>
          <w:i/>
        </w:rPr>
        <w:t>–</w:t>
      </w:r>
      <w:r>
        <w:rPr>
          <w:i/>
        </w:rPr>
        <w:tab/>
        <w:t>Administrations invoquant l'article 48 de la Constitution pour des assignations de fréquence qui ne sont pas utilisées à des fins militaires</w:t>
      </w:r>
      <w:r>
        <w:t>".</w:t>
      </w:r>
    </w:p>
    <w:p w14:paraId="64FEE7A6" w14:textId="77777777" w:rsidR="005A65C6" w:rsidRDefault="005A65C6" w:rsidP="006E428E">
      <w:pPr>
        <w:rPr>
          <w:lang w:eastAsia="ar-SA"/>
        </w:rPr>
      </w:pPr>
      <w:r>
        <w:rPr>
          <w:lang w:eastAsia="ar-SA"/>
        </w:rPr>
        <w:t>En réponse au rapport du Comité, plusieurs administrations ont présenté des contributions à la Conférence faisant état de diverses mesures à soumettre à la Conférence pour répondre aux inquiétudes exprimées par les administrations; toutefois, il est entendu qu'aucune de ces mesures ne peut être mise en œuvre tant qu'une Conférence de plénipotentiaires n'a pas expressément chargé une CMR de le faire.</w:t>
      </w:r>
    </w:p>
    <w:p w14:paraId="2209B33B" w14:textId="77777777" w:rsidR="005A65C6" w:rsidRDefault="005A65C6" w:rsidP="006E428E">
      <w:pPr>
        <w:rPr>
          <w:lang w:eastAsia="ar-SA"/>
        </w:rPr>
      </w:pPr>
      <w:r>
        <w:rPr>
          <w:lang w:eastAsia="ar-SA"/>
        </w:rPr>
        <w:t xml:space="preserve">Compte tenu du rapport du Comité sur la Résolution </w:t>
      </w:r>
      <w:r>
        <w:rPr>
          <w:b/>
          <w:bCs/>
          <w:szCs w:val="24"/>
        </w:rPr>
        <w:t>80</w:t>
      </w:r>
      <w:r>
        <w:rPr>
          <w:szCs w:val="24"/>
        </w:rPr>
        <w:t xml:space="preserve"> </w:t>
      </w:r>
      <w:r>
        <w:rPr>
          <w:b/>
          <w:bCs/>
          <w:szCs w:val="24"/>
        </w:rPr>
        <w:t>(Rév.CMR-07)</w:t>
      </w:r>
      <w:r>
        <w:rPr>
          <w:szCs w:val="24"/>
        </w:rPr>
        <w:t>, ainsi que des contributions et des observations soumises à la CMR-19 en lien avec ce rapport, la CMR-19, au titre de l'article 21 de la Convention de l'UIT, invite la Conférence de plénipotentiaires de 2022 à examiner la question relative à l'invocation de l'article 48 de la Constitution en ce qui concerne le Règlement des radiocommunications, qui a été soulevée à la CMR-19, et à prendre les mesures nécessaires, selon qu'il convient.</w:t>
      </w:r>
    </w:p>
    <w:p w14:paraId="692DB5CC" w14:textId="77777777" w:rsidR="00BD1614" w:rsidRDefault="005A65C6" w:rsidP="006E428E">
      <w:r>
        <w:t>En outre, la CMR-19 a chargé le Bureau de continuer d'appliquer la pratique qu'il suit actuellement, qui consiste à répondre aux demandes spécifiques des administrations concernant la situation de certains réseaux à satellite donnés, y compris lorsqu'il s'agit d'indications précisant si l'article 48</w:t>
      </w:r>
      <w:r>
        <w:rPr>
          <w:szCs w:val="24"/>
        </w:rPr>
        <w:t xml:space="preserve"> de la Constitution a été invoqué pour un réseau à satellite</w:t>
      </w:r>
      <w:r>
        <w:t>."</w:t>
      </w:r>
    </w:p>
    <w:p w14:paraId="19A44B5F" w14:textId="77777777" w:rsidR="005A65C6" w:rsidRDefault="005A65C6" w:rsidP="006E428E">
      <w:pPr>
        <w:pStyle w:val="Reasons"/>
      </w:pPr>
    </w:p>
    <w:p w14:paraId="4EEC4371" w14:textId="77777777" w:rsidR="005A65C6" w:rsidRPr="00BD1614" w:rsidRDefault="005A65C6" w:rsidP="006E428E">
      <w:pPr>
        <w:jc w:val="center"/>
      </w:pPr>
      <w:r>
        <w:t>______________</w:t>
      </w:r>
    </w:p>
    <w:sectPr w:rsidR="005A65C6" w:rsidRPr="00BD1614" w:rsidSect="003A0B7D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02AD" w14:textId="77777777" w:rsidR="006E5BA9" w:rsidRDefault="006E5BA9">
      <w:r>
        <w:separator/>
      </w:r>
    </w:p>
  </w:endnote>
  <w:endnote w:type="continuationSeparator" w:id="0">
    <w:p w14:paraId="416DFC54" w14:textId="77777777" w:rsidR="006E5BA9" w:rsidRDefault="006E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F647" w14:textId="3FE4A00B" w:rsidR="005A65C6" w:rsidRPr="005A65C6" w:rsidRDefault="006E428E" w:rsidP="006E428E">
    <w:pPr>
      <w:pStyle w:val="Footer"/>
      <w:rPr>
        <w:lang w:val="en-US"/>
      </w:rPr>
    </w:pPr>
    <w:r w:rsidRPr="00EB54A5">
      <w:rPr>
        <w:color w:val="F2F2F2" w:themeColor="background1" w:themeShade="F2"/>
      </w:rPr>
      <w:fldChar w:fldCharType="begin"/>
    </w:r>
    <w:r w:rsidRPr="00EB54A5">
      <w:rPr>
        <w:color w:val="F2F2F2" w:themeColor="background1" w:themeShade="F2"/>
      </w:rPr>
      <w:instrText xml:space="preserve"> FILENAME \p  \* MERGEFORMAT </w:instrText>
    </w:r>
    <w:r w:rsidRPr="00EB54A5">
      <w:rPr>
        <w:color w:val="F2F2F2" w:themeColor="background1" w:themeShade="F2"/>
      </w:rPr>
      <w:fldChar w:fldCharType="separate"/>
    </w:r>
    <w:r w:rsidRPr="00EB54A5">
      <w:rPr>
        <w:color w:val="F2F2F2" w:themeColor="background1" w:themeShade="F2"/>
      </w:rPr>
      <w:t>P:\FRA\SG\CONF-SG\PP22\000\041F.docx</w:t>
    </w:r>
    <w:r w:rsidRPr="00EB54A5">
      <w:rPr>
        <w:color w:val="F2F2F2" w:themeColor="background1" w:themeShade="F2"/>
      </w:rPr>
      <w:fldChar w:fldCharType="end"/>
    </w:r>
    <w:r w:rsidR="005A65C6" w:rsidRPr="00EB54A5">
      <w:rPr>
        <w:color w:val="F2F2F2" w:themeColor="background1" w:themeShade="F2"/>
        <w:lang w:val="en-US"/>
      </w:rPr>
      <w:t xml:space="preserve"> (506501)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AAB4" w14:textId="77777777" w:rsidR="000C467B" w:rsidRDefault="000D15FB" w:rsidP="003E45F7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EB06" w14:textId="77777777" w:rsidR="006E5BA9" w:rsidRDefault="006E5BA9">
      <w:r>
        <w:t>____________________</w:t>
      </w:r>
    </w:p>
  </w:footnote>
  <w:footnote w:type="continuationSeparator" w:id="0">
    <w:p w14:paraId="0B54FAC6" w14:textId="77777777" w:rsidR="006E5BA9" w:rsidRDefault="006E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B633" w14:textId="53CDABEB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E428E">
      <w:rPr>
        <w:noProof/>
      </w:rPr>
      <w:t>2</w:t>
    </w:r>
    <w:r>
      <w:fldChar w:fldCharType="end"/>
    </w:r>
  </w:p>
  <w:p w14:paraId="6844ACC6" w14:textId="77777777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5A65C6">
      <w:t>41</w:t>
    </w:r>
    <w:r w:rsidR="00420EF8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5192899">
    <w:abstractNumId w:val="9"/>
  </w:num>
  <w:num w:numId="2" w16cid:durableId="532964688">
    <w:abstractNumId w:val="7"/>
  </w:num>
  <w:num w:numId="3" w16cid:durableId="1622956718">
    <w:abstractNumId w:val="6"/>
  </w:num>
  <w:num w:numId="4" w16cid:durableId="74010903">
    <w:abstractNumId w:val="5"/>
  </w:num>
  <w:num w:numId="5" w16cid:durableId="2015649031">
    <w:abstractNumId w:val="4"/>
  </w:num>
  <w:num w:numId="6" w16cid:durableId="2030987452">
    <w:abstractNumId w:val="8"/>
  </w:num>
  <w:num w:numId="7" w16cid:durableId="188181650">
    <w:abstractNumId w:val="3"/>
  </w:num>
  <w:num w:numId="8" w16cid:durableId="90395872">
    <w:abstractNumId w:val="2"/>
  </w:num>
  <w:num w:numId="9" w16cid:durableId="1935547648">
    <w:abstractNumId w:val="1"/>
  </w:num>
  <w:num w:numId="10" w16cid:durableId="112022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21D2F"/>
    <w:rsid w:val="001354EA"/>
    <w:rsid w:val="00136FCE"/>
    <w:rsid w:val="00153BA4"/>
    <w:rsid w:val="001941AD"/>
    <w:rsid w:val="00195591"/>
    <w:rsid w:val="0019732C"/>
    <w:rsid w:val="001A0682"/>
    <w:rsid w:val="001B4D8D"/>
    <w:rsid w:val="001D31B2"/>
    <w:rsid w:val="001E1B9B"/>
    <w:rsid w:val="001E2226"/>
    <w:rsid w:val="001F6233"/>
    <w:rsid w:val="00211935"/>
    <w:rsid w:val="002355CD"/>
    <w:rsid w:val="00270B2F"/>
    <w:rsid w:val="00271E34"/>
    <w:rsid w:val="002A0E1B"/>
    <w:rsid w:val="002A7A1D"/>
    <w:rsid w:val="002C1059"/>
    <w:rsid w:val="002C2F9C"/>
    <w:rsid w:val="00312A1B"/>
    <w:rsid w:val="00322DEA"/>
    <w:rsid w:val="0032436D"/>
    <w:rsid w:val="00355FBD"/>
    <w:rsid w:val="00381461"/>
    <w:rsid w:val="00391C12"/>
    <w:rsid w:val="003A0B7D"/>
    <w:rsid w:val="003A45C2"/>
    <w:rsid w:val="003C4BE2"/>
    <w:rsid w:val="003D147D"/>
    <w:rsid w:val="003D637A"/>
    <w:rsid w:val="003E45F7"/>
    <w:rsid w:val="00416F3C"/>
    <w:rsid w:val="00420EF8"/>
    <w:rsid w:val="00430015"/>
    <w:rsid w:val="004678D0"/>
    <w:rsid w:val="00482954"/>
    <w:rsid w:val="004951C0"/>
    <w:rsid w:val="004C7646"/>
    <w:rsid w:val="00524001"/>
    <w:rsid w:val="00551986"/>
    <w:rsid w:val="00564B63"/>
    <w:rsid w:val="00575DC7"/>
    <w:rsid w:val="005836C2"/>
    <w:rsid w:val="005A4EFD"/>
    <w:rsid w:val="005A5ABE"/>
    <w:rsid w:val="005A65C6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6B2D"/>
    <w:rsid w:val="006A2656"/>
    <w:rsid w:val="006A3475"/>
    <w:rsid w:val="006A6342"/>
    <w:rsid w:val="006B0145"/>
    <w:rsid w:val="006B084E"/>
    <w:rsid w:val="006B6C9C"/>
    <w:rsid w:val="006C7AE3"/>
    <w:rsid w:val="006D55E8"/>
    <w:rsid w:val="006E1921"/>
    <w:rsid w:val="006E428E"/>
    <w:rsid w:val="006E5BA9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703CB"/>
    <w:rsid w:val="008B61AF"/>
    <w:rsid w:val="008C33C2"/>
    <w:rsid w:val="008C6137"/>
    <w:rsid w:val="008E2DB4"/>
    <w:rsid w:val="00901DD5"/>
    <w:rsid w:val="009020EC"/>
    <w:rsid w:val="0090735B"/>
    <w:rsid w:val="00912D5E"/>
    <w:rsid w:val="00934340"/>
    <w:rsid w:val="00956DC7"/>
    <w:rsid w:val="00966CD3"/>
    <w:rsid w:val="00987A20"/>
    <w:rsid w:val="009A0E15"/>
    <w:rsid w:val="009D4037"/>
    <w:rsid w:val="009D593C"/>
    <w:rsid w:val="009F0592"/>
    <w:rsid w:val="00A20E72"/>
    <w:rsid w:val="00A246DC"/>
    <w:rsid w:val="00A47BAF"/>
    <w:rsid w:val="00A542D3"/>
    <w:rsid w:val="00A5784F"/>
    <w:rsid w:val="00A77C21"/>
    <w:rsid w:val="00A8436E"/>
    <w:rsid w:val="00A95B66"/>
    <w:rsid w:val="00AC0229"/>
    <w:rsid w:val="00AE0667"/>
    <w:rsid w:val="00B30F28"/>
    <w:rsid w:val="00B41E0A"/>
    <w:rsid w:val="00B56DE0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B54A5"/>
    <w:rsid w:val="00ED2CD9"/>
    <w:rsid w:val="00F07DA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D884C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enumlev1Char">
    <w:name w:val="enumlev1 Char"/>
    <w:link w:val="enumlev1"/>
    <w:locked/>
    <w:rsid w:val="005A65C6"/>
    <w:rPr>
      <w:rFonts w:ascii="Calibri" w:hAnsi="Calibri"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312A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2A1B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569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6-WRC19-C-0347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3304</Characters>
  <Application>Microsoft Office Word</Application>
  <DocSecurity>4</DocSecurity>
  <Lines>73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ITU</Company>
  <LinksUpToDate>false</LinksUpToDate>
  <CharactersWithSpaces>3823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Recommandation de la Conférence Mondiale des radiocommunications de 2019 à la Conférence de Plénipotentiaires invocation de l'article 48 de la constitution en ce qui concerne le Règlement des Radiocommunications</dc:title>
  <dc:subject>Plenipotentiary Conference (PP-22)</dc:subject>
  <dc:creator>Royer, Veronique</dc:creator>
  <cp:keywords>PP-22, PP-2022</cp:keywords>
  <dc:description/>
  <cp:lastModifiedBy>Xue, Kun</cp:lastModifiedBy>
  <cp:revision>2</cp:revision>
  <dcterms:created xsi:type="dcterms:W3CDTF">2022-07-17T20:58:00Z</dcterms:created>
  <dcterms:modified xsi:type="dcterms:W3CDTF">2022-07-17T20:58:00Z</dcterms:modified>
  <cp:category>Conference document</cp:category>
</cp:coreProperties>
</file>