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2FA98154" w14:textId="77777777" w:rsidTr="00AB2D04">
        <w:trPr>
          <w:cantSplit/>
        </w:trPr>
        <w:tc>
          <w:tcPr>
            <w:tcW w:w="6629" w:type="dxa"/>
          </w:tcPr>
          <w:p w14:paraId="1B6731CD"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60EE43B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1477AAC" wp14:editId="7E39C9C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613B739" w14:textId="77777777" w:rsidTr="00AB2D04">
        <w:trPr>
          <w:cantSplit/>
        </w:trPr>
        <w:tc>
          <w:tcPr>
            <w:tcW w:w="6629" w:type="dxa"/>
            <w:tcBorders>
              <w:bottom w:val="single" w:sz="12" w:space="0" w:color="auto"/>
            </w:tcBorders>
          </w:tcPr>
          <w:p w14:paraId="14D33AED"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6884D8C" w14:textId="77777777" w:rsidR="001A16ED" w:rsidRPr="00D96B4B" w:rsidRDefault="001A16ED" w:rsidP="003740BC">
            <w:pPr>
              <w:spacing w:before="0"/>
              <w:rPr>
                <w:rFonts w:cstheme="minorHAnsi"/>
                <w:szCs w:val="24"/>
              </w:rPr>
            </w:pPr>
          </w:p>
        </w:tc>
      </w:tr>
      <w:tr w:rsidR="001A16ED" w:rsidRPr="00C324A8" w14:paraId="6E5F1B44" w14:textId="77777777" w:rsidTr="00AB2D04">
        <w:trPr>
          <w:cantSplit/>
        </w:trPr>
        <w:tc>
          <w:tcPr>
            <w:tcW w:w="6629" w:type="dxa"/>
            <w:tcBorders>
              <w:top w:val="single" w:sz="12" w:space="0" w:color="auto"/>
            </w:tcBorders>
          </w:tcPr>
          <w:p w14:paraId="2D68C480"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27471E38" w14:textId="77777777" w:rsidR="001A16ED" w:rsidRPr="00D96B4B" w:rsidRDefault="001A16ED" w:rsidP="003740BC">
            <w:pPr>
              <w:spacing w:before="0"/>
              <w:rPr>
                <w:rFonts w:cstheme="minorHAnsi"/>
                <w:sz w:val="20"/>
              </w:rPr>
            </w:pPr>
          </w:p>
        </w:tc>
      </w:tr>
      <w:tr w:rsidR="001A16ED" w:rsidRPr="00C324A8" w14:paraId="50944042" w14:textId="77777777" w:rsidTr="00AB2D04">
        <w:trPr>
          <w:cantSplit/>
          <w:trHeight w:val="23"/>
        </w:trPr>
        <w:tc>
          <w:tcPr>
            <w:tcW w:w="6629" w:type="dxa"/>
            <w:shd w:val="clear" w:color="auto" w:fill="auto"/>
          </w:tcPr>
          <w:p w14:paraId="51A5E023"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3946FDC" w14:textId="77777777" w:rsidR="001A16ED" w:rsidRPr="00F44B1A" w:rsidRDefault="001A16ED" w:rsidP="003740BC">
            <w:pPr>
              <w:tabs>
                <w:tab w:val="left" w:pos="851"/>
              </w:tabs>
              <w:spacing w:before="0"/>
              <w:rPr>
                <w:rFonts w:cstheme="minorHAnsi"/>
                <w:b/>
                <w:szCs w:val="24"/>
              </w:rPr>
            </w:pPr>
            <w:r>
              <w:rPr>
                <w:rFonts w:cstheme="minorHAnsi"/>
                <w:b/>
                <w:szCs w:val="24"/>
              </w:rPr>
              <w:t>Addendum 24 to</w:t>
            </w:r>
            <w:r>
              <w:rPr>
                <w:rFonts w:cstheme="minorHAnsi"/>
                <w:b/>
                <w:szCs w:val="24"/>
              </w:rPr>
              <w:br/>
              <w:t>Document 44</w:t>
            </w:r>
            <w:r w:rsidR="00F44B1A" w:rsidRPr="00F44B1A">
              <w:rPr>
                <w:rFonts w:cstheme="minorHAnsi"/>
                <w:b/>
                <w:szCs w:val="24"/>
              </w:rPr>
              <w:t>-E</w:t>
            </w:r>
          </w:p>
        </w:tc>
      </w:tr>
      <w:tr w:rsidR="001A16ED" w:rsidRPr="00C324A8" w14:paraId="50EA45D3" w14:textId="77777777" w:rsidTr="00AB2D04">
        <w:trPr>
          <w:cantSplit/>
          <w:trHeight w:val="23"/>
        </w:trPr>
        <w:tc>
          <w:tcPr>
            <w:tcW w:w="6629" w:type="dxa"/>
            <w:shd w:val="clear" w:color="auto" w:fill="auto"/>
          </w:tcPr>
          <w:p w14:paraId="62720F0C"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CB82EDA" w14:textId="77777777" w:rsidR="001A16ED" w:rsidRPr="00D96B4B" w:rsidRDefault="001A16ED" w:rsidP="003740BC">
            <w:pPr>
              <w:spacing w:before="0"/>
              <w:rPr>
                <w:rFonts w:cstheme="minorHAnsi"/>
                <w:szCs w:val="24"/>
              </w:rPr>
            </w:pPr>
            <w:r w:rsidRPr="00D96B4B">
              <w:rPr>
                <w:rFonts w:cstheme="minorHAnsi"/>
                <w:b/>
                <w:szCs w:val="24"/>
              </w:rPr>
              <w:t>9 August 2022</w:t>
            </w:r>
          </w:p>
        </w:tc>
      </w:tr>
      <w:tr w:rsidR="001A16ED" w:rsidRPr="00C324A8" w14:paraId="583787F9" w14:textId="77777777" w:rsidTr="00AB2D04">
        <w:trPr>
          <w:cantSplit/>
          <w:trHeight w:val="23"/>
        </w:trPr>
        <w:tc>
          <w:tcPr>
            <w:tcW w:w="6629" w:type="dxa"/>
            <w:shd w:val="clear" w:color="auto" w:fill="auto"/>
          </w:tcPr>
          <w:p w14:paraId="46858752"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BA51C33"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C32DADD" w14:textId="77777777" w:rsidTr="006A046E">
        <w:trPr>
          <w:cantSplit/>
          <w:trHeight w:val="23"/>
        </w:trPr>
        <w:tc>
          <w:tcPr>
            <w:tcW w:w="10031" w:type="dxa"/>
            <w:gridSpan w:val="2"/>
            <w:shd w:val="clear" w:color="auto" w:fill="auto"/>
          </w:tcPr>
          <w:p w14:paraId="6568452E" w14:textId="77777777" w:rsidR="001A16ED" w:rsidRPr="00D96B4B" w:rsidRDefault="001A16ED" w:rsidP="006A046E">
            <w:pPr>
              <w:tabs>
                <w:tab w:val="left" w:pos="993"/>
              </w:tabs>
              <w:rPr>
                <w:rFonts w:ascii="Verdana" w:hAnsi="Verdana"/>
                <w:b/>
                <w:szCs w:val="24"/>
              </w:rPr>
            </w:pPr>
          </w:p>
        </w:tc>
      </w:tr>
      <w:tr w:rsidR="001A16ED" w:rsidRPr="00C324A8" w14:paraId="73B01125" w14:textId="77777777" w:rsidTr="006A046E">
        <w:trPr>
          <w:cantSplit/>
          <w:trHeight w:val="23"/>
        </w:trPr>
        <w:tc>
          <w:tcPr>
            <w:tcW w:w="10031" w:type="dxa"/>
            <w:gridSpan w:val="2"/>
            <w:shd w:val="clear" w:color="auto" w:fill="auto"/>
          </w:tcPr>
          <w:p w14:paraId="7603325D" w14:textId="77777777" w:rsidR="001A16ED" w:rsidRDefault="001A16ED" w:rsidP="006A046E">
            <w:pPr>
              <w:pStyle w:val="Source"/>
            </w:pPr>
            <w:r>
              <w:t>Member States of the European Conference of Postal and Telecommunications Administrations (CEPT)</w:t>
            </w:r>
          </w:p>
        </w:tc>
      </w:tr>
      <w:tr w:rsidR="001A16ED" w:rsidRPr="00C324A8" w14:paraId="2E99CE5E" w14:textId="77777777" w:rsidTr="006A046E">
        <w:trPr>
          <w:cantSplit/>
          <w:trHeight w:val="23"/>
        </w:trPr>
        <w:tc>
          <w:tcPr>
            <w:tcW w:w="10031" w:type="dxa"/>
            <w:gridSpan w:val="2"/>
            <w:shd w:val="clear" w:color="auto" w:fill="auto"/>
          </w:tcPr>
          <w:p w14:paraId="448E9FEB" w14:textId="77777777" w:rsidR="001A16ED" w:rsidRDefault="001A16ED" w:rsidP="006A046E">
            <w:pPr>
              <w:pStyle w:val="Title1"/>
            </w:pPr>
            <w:r>
              <w:t>ECP 27 - DRAFT NEW RESOLUTION [EUR-1]:</w:t>
            </w:r>
          </w:p>
        </w:tc>
      </w:tr>
      <w:tr w:rsidR="001A16ED" w:rsidRPr="00C324A8" w14:paraId="471DC5CD" w14:textId="77777777" w:rsidTr="006A046E">
        <w:trPr>
          <w:cantSplit/>
          <w:trHeight w:val="23"/>
        </w:trPr>
        <w:tc>
          <w:tcPr>
            <w:tcW w:w="10031" w:type="dxa"/>
            <w:gridSpan w:val="2"/>
            <w:shd w:val="clear" w:color="auto" w:fill="auto"/>
          </w:tcPr>
          <w:p w14:paraId="5D8EB760" w14:textId="77777777" w:rsidR="001A16ED" w:rsidRDefault="001A16ED" w:rsidP="006A046E">
            <w:pPr>
              <w:pStyle w:val="Title2"/>
            </w:pPr>
            <w:r>
              <w:t>ENCOURAGING THE PARTICIPATION OF INDUSTRY IN THE WORK OF THE UNION</w:t>
            </w:r>
          </w:p>
        </w:tc>
      </w:tr>
      <w:tr w:rsidR="001A16ED" w:rsidRPr="00C324A8" w14:paraId="3D0AAA01" w14:textId="77777777" w:rsidTr="006A046E">
        <w:trPr>
          <w:cantSplit/>
          <w:trHeight w:val="23"/>
        </w:trPr>
        <w:tc>
          <w:tcPr>
            <w:tcW w:w="10031" w:type="dxa"/>
            <w:gridSpan w:val="2"/>
            <w:shd w:val="clear" w:color="auto" w:fill="auto"/>
          </w:tcPr>
          <w:p w14:paraId="5C3A20D6" w14:textId="77777777" w:rsidR="001A16ED" w:rsidRDefault="001A16ED" w:rsidP="006A046E">
            <w:pPr>
              <w:pStyle w:val="Agendaitem"/>
            </w:pPr>
          </w:p>
        </w:tc>
      </w:tr>
      <w:bookmarkEnd w:id="7"/>
      <w:bookmarkEnd w:id="8"/>
    </w:tbl>
    <w:p w14:paraId="5D28B04B" w14:textId="77777777" w:rsidR="001A16ED" w:rsidRDefault="001A16ED" w:rsidP="00AB2D04"/>
    <w:p w14:paraId="7D001578" w14:textId="77777777" w:rsidR="001A16ED" w:rsidRDefault="001A16ED" w:rsidP="00AB2D04">
      <w:r>
        <w:br w:type="page"/>
      </w:r>
    </w:p>
    <w:p w14:paraId="07448FD6" w14:textId="77777777" w:rsidR="0008540E" w:rsidRPr="0008540E" w:rsidRDefault="0008540E" w:rsidP="00846DBA"/>
    <w:p w14:paraId="6C4EC64D" w14:textId="77777777" w:rsidR="00E91B6C" w:rsidRDefault="0097522C">
      <w:pPr>
        <w:pStyle w:val="Proposal"/>
      </w:pPr>
      <w:r>
        <w:t>ADD</w:t>
      </w:r>
      <w:r>
        <w:tab/>
        <w:t>EUR/44A24/1</w:t>
      </w:r>
    </w:p>
    <w:p w14:paraId="5AF8403D" w14:textId="77777777" w:rsidR="0097522C" w:rsidRDefault="0097522C" w:rsidP="0097522C">
      <w:pPr>
        <w:pStyle w:val="ResNo"/>
      </w:pPr>
      <w:r>
        <w:t>Draft New Resolution [EUR-1]</w:t>
      </w:r>
    </w:p>
    <w:p w14:paraId="00C55C80" w14:textId="77777777" w:rsidR="0097522C" w:rsidRPr="00C72286" w:rsidRDefault="0097522C" w:rsidP="0097522C">
      <w:pPr>
        <w:pStyle w:val="Restitle"/>
        <w:rPr>
          <w:rFonts w:ascii="Times New Roman" w:hAnsi="Times New Roman"/>
          <w:lang w:eastAsia="en-GB"/>
        </w:rPr>
      </w:pPr>
      <w:r w:rsidRPr="00C72286">
        <w:rPr>
          <w:lang w:eastAsia="en-GB"/>
        </w:rPr>
        <w:t>Encouraging the participation of Industry in the work of the Union</w:t>
      </w:r>
    </w:p>
    <w:p w14:paraId="2E7A430A" w14:textId="77777777" w:rsidR="0097522C" w:rsidRPr="00CD02AF" w:rsidRDefault="0097522C" w:rsidP="0097522C">
      <w:pPr>
        <w:pStyle w:val="Normalaftertitle"/>
        <w:rPr>
          <w:rFonts w:asciiTheme="minorHAnsi" w:hAnsiTheme="minorHAnsi" w:cstheme="minorHAnsi"/>
          <w:szCs w:val="24"/>
          <w:lang w:eastAsia="en-GB"/>
        </w:rPr>
      </w:pPr>
      <w:r w:rsidRPr="00C72286">
        <w:rPr>
          <w:lang w:eastAsia="en-GB"/>
        </w:rPr>
        <w:t>The Plenipotentiary Conference of the International Telecommunication Union (Bucharest, 2022),</w:t>
      </w:r>
    </w:p>
    <w:p w14:paraId="236A9461" w14:textId="77777777" w:rsidR="0097522C" w:rsidRPr="00C72286" w:rsidRDefault="0097522C" w:rsidP="0097522C">
      <w:pPr>
        <w:pStyle w:val="Call"/>
        <w:rPr>
          <w:lang w:eastAsia="en-GB"/>
        </w:rPr>
      </w:pPr>
      <w:r w:rsidRPr="00C72286">
        <w:rPr>
          <w:lang w:eastAsia="en-GB"/>
        </w:rPr>
        <w:t>recalling</w:t>
      </w:r>
    </w:p>
    <w:p w14:paraId="4ACAFFA1" w14:textId="77777777" w:rsidR="0097522C" w:rsidRPr="003B671C" w:rsidRDefault="0097522C" w:rsidP="0097522C">
      <w:pPr>
        <w:pStyle w:val="Normalaftertitle"/>
      </w:pPr>
      <w:r w:rsidRPr="00CC182E">
        <w:rPr>
          <w:i/>
          <w:iCs/>
        </w:rPr>
        <w:t>a)</w:t>
      </w:r>
      <w:r w:rsidRPr="003B671C">
        <w:tab/>
      </w:r>
      <w:r w:rsidRPr="00C72286">
        <w:t>Article 1 of the ITU Constitution which lists the following under the “purposes of the Union”: “to promote and enhance participation of entities and organizations in the activities of the Union and foster fruitful cooperation and partnership between them and Member States for the fulfilment of the overall objectives as embodied in the purposes of the Union</w:t>
      </w:r>
      <w:proofErr w:type="gramStart"/>
      <w:r w:rsidRPr="00C72286">
        <w:t>”;</w:t>
      </w:r>
      <w:proofErr w:type="gramEnd"/>
    </w:p>
    <w:p w14:paraId="68BD9006" w14:textId="77777777" w:rsidR="0097522C" w:rsidRPr="00C72286" w:rsidRDefault="0097522C" w:rsidP="0097522C">
      <w:r w:rsidRPr="00C72286">
        <w:rPr>
          <w:i/>
          <w:iCs/>
        </w:rPr>
        <w:t>b)</w:t>
      </w:r>
      <w:r w:rsidRPr="00C72286">
        <w:tab/>
        <w:t>Article 3 of the ITU Constitution concerning the “Rights and obligations of Member States and Sector Members” which states in No.28A that “Sector Members shall be entitled to participate fully in the activities of the Sector of which they are members</w:t>
      </w:r>
      <w:proofErr w:type="gramStart"/>
      <w:r w:rsidRPr="00C72286">
        <w:t>”;</w:t>
      </w:r>
      <w:proofErr w:type="gramEnd"/>
    </w:p>
    <w:p w14:paraId="4B4B381B" w14:textId="77777777" w:rsidR="0097522C" w:rsidRPr="00C72286" w:rsidRDefault="0097522C" w:rsidP="0097522C">
      <w:r w:rsidRPr="00C72286">
        <w:rPr>
          <w:i/>
          <w:iCs/>
        </w:rPr>
        <w:t>c)</w:t>
      </w:r>
      <w:r w:rsidRPr="00C72286">
        <w:tab/>
        <w:t>Article 21, paragraph 2 f), (clause No. 126) of the ITU Constitution, which lists among “the specific functions of the Telecommunication Development Sector” the following: “encourage participation by industry in telecommunication development in developing countries</w:t>
      </w:r>
      <w:proofErr w:type="gramStart"/>
      <w:r w:rsidRPr="00C72286">
        <w:t>”</w:t>
      </w:r>
      <w:r>
        <w:t>;</w:t>
      </w:r>
      <w:proofErr w:type="gramEnd"/>
    </w:p>
    <w:p w14:paraId="1FB43C4D" w14:textId="77777777" w:rsidR="0097522C" w:rsidRPr="00C72286" w:rsidRDefault="0097522C" w:rsidP="0097522C">
      <w:r w:rsidRPr="00C72286">
        <w:rPr>
          <w:i/>
          <w:iCs/>
        </w:rPr>
        <w:t>d)</w:t>
      </w:r>
      <w:r w:rsidRPr="00C72286">
        <w:tab/>
        <w:t>Article 19 of the Final Acts of the Plenipotentiary Conference (Antalya, 2006)” with regard to the “Participation of entities and organizations other than Administrations in the Union’s activities</w:t>
      </w:r>
      <w:proofErr w:type="gramStart"/>
      <w:r w:rsidRPr="00C72286">
        <w:t>”;</w:t>
      </w:r>
      <w:proofErr w:type="gramEnd"/>
    </w:p>
    <w:p w14:paraId="607A1D4E" w14:textId="77777777" w:rsidR="0097522C" w:rsidRPr="00C72286" w:rsidRDefault="0097522C" w:rsidP="0097522C">
      <w:r w:rsidRPr="00C72286">
        <w:rPr>
          <w:i/>
          <w:iCs/>
        </w:rPr>
        <w:t>e)</w:t>
      </w:r>
      <w:r w:rsidRPr="00C72286">
        <w:tab/>
        <w:t>Resolution 14 (Rev. Antalya, 2006) of the Plenipotentiary Conference, on “Recognition of the rights and obligations of all Sector Members” of the Union which provides further details regarding the rights and obligations of Sector Members, noting that these entities “may participate in all activities of the Sector concerned, with the exception of formal votes and some treaty-making conferences</w:t>
      </w:r>
      <w:proofErr w:type="gramStart"/>
      <w:r w:rsidRPr="00C72286">
        <w:t>”;</w:t>
      </w:r>
      <w:proofErr w:type="gramEnd"/>
    </w:p>
    <w:p w14:paraId="47C3102D" w14:textId="77777777" w:rsidR="0097522C" w:rsidRPr="00C72286" w:rsidRDefault="0097522C" w:rsidP="0097522C">
      <w:r w:rsidRPr="00C72286">
        <w:rPr>
          <w:i/>
          <w:iCs/>
        </w:rPr>
        <w:t>f)</w:t>
      </w:r>
      <w:r w:rsidRPr="00C72286">
        <w:tab/>
        <w:t>Resolution 122 (Rev. Guadalajara, 2010) of the Plenipotentiary Conference, on “The evolving role of the World Telecommunication Standardization Assembly”, which underlines the critical importance “of the need for Member States and ITU-T Sector Members working closely in ITU-T, in a proactive, cooperative and forward-looking way, taking into account their respective responsibilities and objectives, in order to promote continued evolution of the ITU-T</w:t>
      </w:r>
      <w:proofErr w:type="gramStart"/>
      <w:r w:rsidRPr="00C72286">
        <w:t>”</w:t>
      </w:r>
      <w:r>
        <w:t>;</w:t>
      </w:r>
      <w:proofErr w:type="gramEnd"/>
    </w:p>
    <w:p w14:paraId="21507C32" w14:textId="113148B2" w:rsidR="0097522C" w:rsidRPr="00C72286" w:rsidRDefault="0097522C" w:rsidP="0097522C">
      <w:r w:rsidRPr="00C72286">
        <w:rPr>
          <w:i/>
          <w:iCs/>
        </w:rPr>
        <w:t>g)</w:t>
      </w:r>
      <w:r w:rsidRPr="00C72286">
        <w:tab/>
        <w:t>Resolution 209 (Dubai, 2018) of the Plenipotentiary Conference, on “Encouraging the participation of small and medium enterprises in the work of the Union</w:t>
      </w:r>
      <w:proofErr w:type="gramStart"/>
      <w:r w:rsidRPr="00C72286">
        <w:t>”;</w:t>
      </w:r>
      <w:proofErr w:type="gramEnd"/>
    </w:p>
    <w:p w14:paraId="27B94895" w14:textId="3DE629E3" w:rsidR="0097522C" w:rsidRPr="00C72286" w:rsidRDefault="0097522C" w:rsidP="0097522C">
      <w:r w:rsidRPr="00C72286">
        <w:rPr>
          <w:i/>
          <w:iCs/>
        </w:rPr>
        <w:t>h)</w:t>
      </w:r>
      <w:r w:rsidRPr="00C72286">
        <w:tab/>
        <w:t xml:space="preserve">Resolution 68 (Rev. </w:t>
      </w:r>
      <w:proofErr w:type="spellStart"/>
      <w:r w:rsidR="00496FC4">
        <w:t>Hammamet</w:t>
      </w:r>
      <w:proofErr w:type="spellEnd"/>
      <w:r w:rsidR="00496FC4">
        <w:t>, 2016</w:t>
      </w:r>
      <w:r w:rsidRPr="00C72286">
        <w:t>) of the World Telecommunication Standardization Assembly, on the “Evolving role of industry in the Telecommunication Standardization Sector</w:t>
      </w:r>
      <w:proofErr w:type="gramStart"/>
      <w:r w:rsidRPr="00C72286">
        <w:t>”</w:t>
      </w:r>
      <w:r>
        <w:t>;</w:t>
      </w:r>
      <w:proofErr w:type="gramEnd"/>
    </w:p>
    <w:p w14:paraId="0A223B5F" w14:textId="77777777" w:rsidR="0097522C" w:rsidRPr="00C72286" w:rsidRDefault="0097522C" w:rsidP="0097522C">
      <w:r w:rsidRPr="00C72286">
        <w:rPr>
          <w:i/>
          <w:iCs/>
        </w:rPr>
        <w:t>i)</w:t>
      </w:r>
      <w:r w:rsidRPr="00C72286">
        <w:tab/>
        <w:t xml:space="preserve">Resolution 71 (Rev. Kigali, 2022) of the World Telecommunication Development Conference, on “Strengthening cooperation between Member States, Sector Members, Associates and Academia of the ITU Telecommunication Development Sector and the evolving role of the private sector in the Telecommunication Development Sector”, which referenced “the excellent results </w:t>
      </w:r>
      <w:r w:rsidRPr="00C72286">
        <w:lastRenderedPageBreak/>
        <w:t>achieved through the high-level discussions that took place between Member States and Sector Members during the Chief Regulatory Officers' (CRO) meetings and the Industry Leaders Debate (ILD)”, and which emphasized that “appropriate steps should continue to be taken for the creation of an enabling environment at the international, regional and national levels to encourage development and investment in the telecommunication/ICT sector by Sector Members”</w:t>
      </w:r>
      <w:r>
        <w:t>,</w:t>
      </w:r>
    </w:p>
    <w:p w14:paraId="5E4C6AAD" w14:textId="77777777" w:rsidR="0097522C" w:rsidRPr="00C72286" w:rsidRDefault="0097522C" w:rsidP="0097522C">
      <w:pPr>
        <w:pStyle w:val="Call"/>
        <w:rPr>
          <w:rFonts w:ascii="Times New Roman" w:hAnsi="Times New Roman"/>
          <w:szCs w:val="24"/>
          <w:lang w:eastAsia="en-GB"/>
        </w:rPr>
      </w:pPr>
      <w:r w:rsidRPr="00C72286">
        <w:rPr>
          <w:lang w:eastAsia="en-GB"/>
        </w:rPr>
        <w:t>considering</w:t>
      </w:r>
    </w:p>
    <w:p w14:paraId="34A54D68" w14:textId="77777777" w:rsidR="0097522C" w:rsidRPr="00C72286" w:rsidRDefault="0097522C" w:rsidP="0097522C">
      <w:pPr>
        <w:rPr>
          <w:lang w:eastAsia="en-GB"/>
        </w:rPr>
      </w:pPr>
      <w:r w:rsidRPr="00C72286">
        <w:rPr>
          <w:i/>
          <w:iCs/>
          <w:lang w:eastAsia="en-GB"/>
        </w:rPr>
        <w:t>a)</w:t>
      </w:r>
      <w:r w:rsidRPr="00C72286">
        <w:rPr>
          <w:lang w:eastAsia="en-GB"/>
        </w:rPr>
        <w:tab/>
        <w:t>Goal 5 of the Strategic Plan of the Union 2020-2023 (Resolution 71, Rev. Dubai, 2018) of the Plenipotentiary Conference on the importance of “Partnerships” and on “the need to foster engagement and cooperation among governments, the private sector, civil society, intergovernmental and international organizations, and the academic and technical communities</w:t>
      </w:r>
      <w:proofErr w:type="gramStart"/>
      <w:r w:rsidRPr="00C72286">
        <w:rPr>
          <w:lang w:eastAsia="en-GB"/>
        </w:rPr>
        <w:t>”</w:t>
      </w:r>
      <w:r>
        <w:rPr>
          <w:lang w:eastAsia="en-GB"/>
        </w:rPr>
        <w:t>;</w:t>
      </w:r>
      <w:proofErr w:type="gramEnd"/>
    </w:p>
    <w:p w14:paraId="44977176" w14:textId="77777777" w:rsidR="0097522C" w:rsidRPr="00C72286" w:rsidRDefault="0097522C" w:rsidP="0097522C">
      <w:pPr>
        <w:rPr>
          <w:rFonts w:ascii="Times New Roman" w:hAnsi="Times New Roman"/>
          <w:szCs w:val="24"/>
          <w:lang w:eastAsia="en-GB"/>
        </w:rPr>
      </w:pPr>
      <w:r w:rsidRPr="00C72286">
        <w:rPr>
          <w:i/>
          <w:iCs/>
          <w:lang w:eastAsia="en-GB"/>
        </w:rPr>
        <w:t>b)</w:t>
      </w:r>
      <w:r w:rsidRPr="00C72286">
        <w:rPr>
          <w:i/>
          <w:iCs/>
          <w:lang w:eastAsia="en-GB"/>
        </w:rPr>
        <w:tab/>
      </w:r>
      <w:r w:rsidRPr="00C72286">
        <w:rPr>
          <w:lang w:eastAsia="en-GB"/>
        </w:rPr>
        <w:t>that Industry innovation and growth is enabled through capacity building, through leveraging existing best practices, and through gaining knowledge of telecommunications and ICT, including relevant ICT technical standards and reports,</w:t>
      </w:r>
    </w:p>
    <w:p w14:paraId="00E89E2D" w14:textId="77777777" w:rsidR="0097522C" w:rsidRPr="00C72286" w:rsidRDefault="0097522C" w:rsidP="0097522C">
      <w:pPr>
        <w:pStyle w:val="Call"/>
        <w:rPr>
          <w:rFonts w:ascii="Times New Roman" w:hAnsi="Times New Roman"/>
          <w:szCs w:val="24"/>
          <w:lang w:eastAsia="en-GB"/>
        </w:rPr>
      </w:pPr>
      <w:r w:rsidRPr="00C72286">
        <w:rPr>
          <w:lang w:eastAsia="en-GB"/>
        </w:rPr>
        <w:t>recognizing</w:t>
      </w:r>
    </w:p>
    <w:p w14:paraId="7708E3CF" w14:textId="77777777" w:rsidR="0097522C" w:rsidRPr="00C72286" w:rsidRDefault="0097522C" w:rsidP="0097522C">
      <w:pPr>
        <w:rPr>
          <w:lang w:eastAsia="en-GB"/>
        </w:rPr>
      </w:pPr>
      <w:r w:rsidRPr="00C72286">
        <w:rPr>
          <w:i/>
          <w:iCs/>
          <w:lang w:eastAsia="en-GB"/>
        </w:rPr>
        <w:t>a)</w:t>
      </w:r>
      <w:r w:rsidRPr="00C72286">
        <w:rPr>
          <w:lang w:eastAsia="en-GB"/>
        </w:rPr>
        <w:tab/>
        <w:t xml:space="preserve">that in some ITU regions, across all ITU sectors, the industry engagement in standardization is declining, accompanied with a significant reduction of standardisation </w:t>
      </w:r>
      <w:proofErr w:type="gramStart"/>
      <w:r w:rsidRPr="00C72286">
        <w:rPr>
          <w:lang w:eastAsia="en-GB"/>
        </w:rPr>
        <w:t>awareness;</w:t>
      </w:r>
      <w:proofErr w:type="gramEnd"/>
    </w:p>
    <w:p w14:paraId="2B1876A3" w14:textId="77777777" w:rsidR="0097522C" w:rsidRPr="00C72286" w:rsidRDefault="0097522C" w:rsidP="0097522C">
      <w:pPr>
        <w:rPr>
          <w:lang w:eastAsia="en-GB"/>
        </w:rPr>
      </w:pPr>
      <w:r w:rsidRPr="00C72286">
        <w:rPr>
          <w:i/>
          <w:iCs/>
          <w:lang w:eastAsia="en-GB"/>
        </w:rPr>
        <w:t>b)</w:t>
      </w:r>
      <w:r w:rsidRPr="00C72286">
        <w:rPr>
          <w:lang w:eastAsia="en-GB"/>
        </w:rPr>
        <w:tab/>
        <w:t xml:space="preserve">that in some ITU regions, for younger generation of </w:t>
      </w:r>
      <w:proofErr w:type="gramStart"/>
      <w:r w:rsidRPr="00C72286">
        <w:rPr>
          <w:lang w:eastAsia="en-GB"/>
        </w:rPr>
        <w:t>engineers</w:t>
      </w:r>
      <w:proofErr w:type="gramEnd"/>
      <w:r w:rsidRPr="00C72286">
        <w:rPr>
          <w:lang w:eastAsia="en-GB"/>
        </w:rPr>
        <w:t xml:space="preserve"> standardization is not a career priority;</w:t>
      </w:r>
    </w:p>
    <w:p w14:paraId="648C0296" w14:textId="77777777" w:rsidR="0097522C" w:rsidRPr="00C72286" w:rsidRDefault="0097522C" w:rsidP="0097522C">
      <w:pPr>
        <w:rPr>
          <w:lang w:eastAsia="en-GB"/>
        </w:rPr>
      </w:pPr>
      <w:r w:rsidRPr="00C72286">
        <w:rPr>
          <w:i/>
          <w:iCs/>
          <w:lang w:eastAsia="en-GB"/>
        </w:rPr>
        <w:t>c)</w:t>
      </w:r>
      <w:r w:rsidRPr="00C72286">
        <w:rPr>
          <w:lang w:eastAsia="en-GB"/>
        </w:rPr>
        <w:tab/>
        <w:t xml:space="preserve">that some Member States have expressed a wish to see a wider industrial membership (including SMEs) be more engaged in the </w:t>
      </w:r>
      <w:proofErr w:type="gramStart"/>
      <w:r w:rsidRPr="00C72286">
        <w:rPr>
          <w:lang w:eastAsia="en-GB"/>
        </w:rPr>
        <w:t>ITU;</w:t>
      </w:r>
      <w:proofErr w:type="gramEnd"/>
    </w:p>
    <w:p w14:paraId="6A4C173F" w14:textId="77777777" w:rsidR="0097522C" w:rsidRPr="00C72286" w:rsidRDefault="0097522C" w:rsidP="0097522C">
      <w:pPr>
        <w:rPr>
          <w:lang w:eastAsia="en-GB"/>
        </w:rPr>
      </w:pPr>
      <w:r w:rsidRPr="00C72286">
        <w:rPr>
          <w:i/>
          <w:iCs/>
          <w:lang w:eastAsia="en-GB"/>
        </w:rPr>
        <w:t>d)</w:t>
      </w:r>
      <w:r w:rsidRPr="00C72286">
        <w:rPr>
          <w:lang w:eastAsia="en-GB"/>
        </w:rPr>
        <w:tab/>
        <w:t>that the ITU strength to offer a platform of collaboration and mutual understanding between administrations and industry should be better recognized across the wide range of ITU activities,</w:t>
      </w:r>
    </w:p>
    <w:p w14:paraId="0424B52A" w14:textId="77777777" w:rsidR="0097522C" w:rsidRPr="00CD02AF" w:rsidRDefault="0097522C" w:rsidP="0097522C">
      <w:pPr>
        <w:pStyle w:val="Call"/>
        <w:rPr>
          <w:rFonts w:asciiTheme="minorHAnsi" w:hAnsiTheme="minorHAnsi" w:cstheme="minorHAnsi"/>
          <w:szCs w:val="24"/>
          <w:lang w:eastAsia="en-GB"/>
        </w:rPr>
      </w:pPr>
      <w:r w:rsidRPr="00C72286">
        <w:rPr>
          <w:lang w:eastAsia="en-GB"/>
        </w:rPr>
        <w:t>resolves to instruct the Secretary-General and the Directors of the Bureaux</w:t>
      </w:r>
    </w:p>
    <w:p w14:paraId="0F46C79B" w14:textId="77777777" w:rsidR="0097522C" w:rsidRPr="00C72286" w:rsidRDefault="0097522C" w:rsidP="0097522C">
      <w:pPr>
        <w:rPr>
          <w:lang w:eastAsia="en-GB"/>
        </w:rPr>
      </w:pPr>
      <w:r w:rsidRPr="00C72286">
        <w:rPr>
          <w:lang w:eastAsia="en-GB"/>
        </w:rPr>
        <w:t>1</w:t>
      </w:r>
      <w:r w:rsidRPr="00C72286">
        <w:rPr>
          <w:lang w:eastAsia="en-GB"/>
        </w:rPr>
        <w:tab/>
        <w:t>To take measures to advance and strengthen symmetries between industry and Member States in the fulfilment of the purposes of the Union and the objectives of the Strategic Plan including, but not limited to, the following:</w:t>
      </w:r>
    </w:p>
    <w:p w14:paraId="29643364" w14:textId="68767B96" w:rsidR="0097522C" w:rsidRPr="00C72286" w:rsidRDefault="00F72264" w:rsidP="00F72264">
      <w:pPr>
        <w:pStyle w:val="enumlev1"/>
        <w:rPr>
          <w:rFonts w:eastAsia="Calibri"/>
        </w:rPr>
      </w:pPr>
      <w:r>
        <w:rPr>
          <w:rFonts w:eastAsia="Calibri"/>
        </w:rPr>
        <w:t>-</w:t>
      </w:r>
      <w:r>
        <w:rPr>
          <w:rFonts w:eastAsia="Calibri"/>
        </w:rPr>
        <w:tab/>
      </w:r>
      <w:r w:rsidR="0097522C" w:rsidRPr="00C72286">
        <w:rPr>
          <w:rFonts w:eastAsia="Calibri"/>
        </w:rPr>
        <w:t xml:space="preserve">Identify how ITU can achieve a common vision of the future as a public/private partnership in order to preserve and strengthen its international credibility by more clearly defining the respective roles of such </w:t>
      </w:r>
      <w:proofErr w:type="gramStart"/>
      <w:r w:rsidR="0097522C" w:rsidRPr="00C72286">
        <w:rPr>
          <w:rFonts w:eastAsia="Calibri"/>
        </w:rPr>
        <w:t>partnerships;</w:t>
      </w:r>
      <w:proofErr w:type="gramEnd"/>
    </w:p>
    <w:p w14:paraId="04145202" w14:textId="24F3D189" w:rsidR="0097522C" w:rsidRPr="00C72286" w:rsidRDefault="00F72264" w:rsidP="00F72264">
      <w:pPr>
        <w:pStyle w:val="enumlev1"/>
        <w:rPr>
          <w:rFonts w:eastAsia="Calibri"/>
        </w:rPr>
      </w:pPr>
      <w:r>
        <w:rPr>
          <w:rFonts w:eastAsia="Calibri"/>
        </w:rPr>
        <w:t>-</w:t>
      </w:r>
      <w:r>
        <w:rPr>
          <w:rFonts w:eastAsia="Calibri"/>
        </w:rPr>
        <w:tab/>
      </w:r>
      <w:r w:rsidR="0097522C" w:rsidRPr="00C72286">
        <w:rPr>
          <w:rFonts w:eastAsia="Calibri"/>
        </w:rPr>
        <w:t xml:space="preserve">Identify how ITU-T can add value to all parties or enhance quality through its global standardization </w:t>
      </w:r>
      <w:proofErr w:type="gramStart"/>
      <w:r w:rsidR="0097522C" w:rsidRPr="00C72286">
        <w:rPr>
          <w:rFonts w:eastAsia="Calibri"/>
        </w:rPr>
        <w:t>process;</w:t>
      </w:r>
      <w:proofErr w:type="gramEnd"/>
    </w:p>
    <w:p w14:paraId="1A9ABF91" w14:textId="6F19CAAC" w:rsidR="0097522C" w:rsidRPr="00C72286" w:rsidRDefault="00F72264" w:rsidP="00F72264">
      <w:pPr>
        <w:pStyle w:val="enumlev1"/>
        <w:rPr>
          <w:rFonts w:eastAsia="Calibri"/>
        </w:rPr>
      </w:pPr>
      <w:r>
        <w:rPr>
          <w:rFonts w:eastAsia="Calibri"/>
        </w:rPr>
        <w:t>-</w:t>
      </w:r>
      <w:r>
        <w:rPr>
          <w:rFonts w:eastAsia="Calibri"/>
        </w:rPr>
        <w:tab/>
      </w:r>
      <w:r w:rsidR="0097522C" w:rsidRPr="00C72286">
        <w:rPr>
          <w:rFonts w:eastAsia="Calibri"/>
        </w:rPr>
        <w:t xml:space="preserve">Identify how ITU-T can build upon its particular strengths such as optical transmission and </w:t>
      </w:r>
      <w:proofErr w:type="gramStart"/>
      <w:r w:rsidR="0097522C" w:rsidRPr="00C72286">
        <w:rPr>
          <w:rFonts w:eastAsia="Calibri"/>
        </w:rPr>
        <w:t>numbering;</w:t>
      </w:r>
      <w:proofErr w:type="gramEnd"/>
    </w:p>
    <w:p w14:paraId="3DB3D0ED" w14:textId="32EC11BD" w:rsidR="0097522C" w:rsidRPr="00C72286" w:rsidRDefault="00F72264" w:rsidP="00F72264">
      <w:pPr>
        <w:pStyle w:val="enumlev1"/>
        <w:rPr>
          <w:rFonts w:eastAsia="Calibri"/>
        </w:rPr>
      </w:pPr>
      <w:r>
        <w:rPr>
          <w:rFonts w:eastAsia="Calibri"/>
        </w:rPr>
        <w:t>-</w:t>
      </w:r>
      <w:r>
        <w:rPr>
          <w:rFonts w:eastAsia="Calibri"/>
        </w:rPr>
        <w:tab/>
      </w:r>
      <w:r w:rsidR="0097522C" w:rsidRPr="00C72286">
        <w:rPr>
          <w:rFonts w:eastAsia="Calibri"/>
        </w:rPr>
        <w:t xml:space="preserve">Explore the feasibility of conducting work more on a project-oriented basis, building upon the private </w:t>
      </w:r>
      <w:proofErr w:type="gramStart"/>
      <w:r w:rsidR="0097522C" w:rsidRPr="00C72286">
        <w:rPr>
          <w:rFonts w:eastAsia="Calibri"/>
        </w:rPr>
        <w:t>sector‘</w:t>
      </w:r>
      <w:proofErr w:type="gramEnd"/>
      <w:r w:rsidR="0097522C" w:rsidRPr="00C72286">
        <w:rPr>
          <w:rFonts w:eastAsia="Calibri"/>
        </w:rPr>
        <w:t>s working methods, for the benefits of inter sectorial working;</w:t>
      </w:r>
    </w:p>
    <w:p w14:paraId="3662F73B" w14:textId="0960AB38" w:rsidR="0097522C" w:rsidRPr="00C72286" w:rsidRDefault="00F72264" w:rsidP="00F72264">
      <w:pPr>
        <w:pStyle w:val="enumlev1"/>
        <w:rPr>
          <w:rFonts w:eastAsia="Calibri"/>
        </w:rPr>
      </w:pPr>
      <w:r>
        <w:rPr>
          <w:rFonts w:eastAsia="Calibri"/>
        </w:rPr>
        <w:t>-</w:t>
      </w:r>
      <w:r>
        <w:rPr>
          <w:rFonts w:eastAsia="Calibri"/>
        </w:rPr>
        <w:tab/>
      </w:r>
      <w:r w:rsidR="0097522C" w:rsidRPr="00C72286">
        <w:rPr>
          <w:rFonts w:eastAsia="Calibri"/>
        </w:rPr>
        <w:t xml:space="preserve">Explore mechanisms, where applicable, to develop advanced consensus-building among the </w:t>
      </w:r>
      <w:proofErr w:type="gramStart"/>
      <w:r w:rsidR="0097522C" w:rsidRPr="00C72286">
        <w:rPr>
          <w:rFonts w:eastAsia="Calibri"/>
        </w:rPr>
        <w:t>membership;</w:t>
      </w:r>
      <w:proofErr w:type="gramEnd"/>
    </w:p>
    <w:p w14:paraId="0DB351D4" w14:textId="77777777" w:rsidR="0097522C" w:rsidRPr="00CD02AF" w:rsidRDefault="0097522C" w:rsidP="0097522C">
      <w:pPr>
        <w:rPr>
          <w:rFonts w:asciiTheme="minorHAnsi" w:hAnsiTheme="minorHAnsi" w:cstheme="minorHAnsi"/>
          <w:szCs w:val="24"/>
          <w:lang w:eastAsia="en-GB"/>
        </w:rPr>
      </w:pPr>
      <w:r w:rsidRPr="00D277DF">
        <w:rPr>
          <w:lang w:eastAsia="en-GB"/>
        </w:rPr>
        <w:t>2</w:t>
      </w:r>
      <w:r w:rsidRPr="00D277DF">
        <w:rPr>
          <w:lang w:eastAsia="en-GB"/>
        </w:rPr>
        <w:tab/>
        <w:t>to take necessary and appropriate action to implement this resolution, by</w:t>
      </w:r>
    </w:p>
    <w:p w14:paraId="3356D8C1" w14:textId="77777777" w:rsidR="0097522C" w:rsidRPr="003C3C7C" w:rsidRDefault="0097522C" w:rsidP="0097522C">
      <w:pPr>
        <w:tabs>
          <w:tab w:val="clear" w:pos="567"/>
          <w:tab w:val="clear" w:pos="1134"/>
          <w:tab w:val="clear" w:pos="1701"/>
          <w:tab w:val="clear" w:pos="2268"/>
          <w:tab w:val="clear" w:pos="2835"/>
        </w:tabs>
        <w:overflowPunct/>
        <w:autoSpaceDE/>
        <w:autoSpaceDN/>
        <w:adjustRightInd/>
        <w:ind w:left="567" w:hanging="567"/>
        <w:textAlignment w:val="auto"/>
        <w:rPr>
          <w:rFonts w:cs="Calibri"/>
          <w:szCs w:val="24"/>
          <w:lang w:eastAsia="en-GB"/>
        </w:rPr>
      </w:pPr>
      <w:r w:rsidRPr="003C3C7C">
        <w:rPr>
          <w:rFonts w:cs="Calibri"/>
          <w:szCs w:val="24"/>
          <w:lang w:eastAsia="en-GB"/>
        </w:rPr>
        <w:lastRenderedPageBreak/>
        <w:t>-</w:t>
      </w:r>
      <w:r w:rsidRPr="003C3C7C">
        <w:rPr>
          <w:rFonts w:cs="Calibri"/>
          <w:szCs w:val="24"/>
          <w:lang w:eastAsia="en-GB"/>
        </w:rPr>
        <w:tab/>
        <w:t xml:space="preserve">organizing regular workshops with the industry to receive feedback on how to enhance participation in the ITU, with specific focus on younger generations, and to report to each sectorial advisory group, </w:t>
      </w:r>
      <w:proofErr w:type="gramStart"/>
      <w:r w:rsidRPr="003C3C7C">
        <w:rPr>
          <w:rFonts w:cs="Calibri"/>
          <w:szCs w:val="24"/>
          <w:lang w:eastAsia="en-GB"/>
        </w:rPr>
        <w:t>Council</w:t>
      </w:r>
      <w:proofErr w:type="gramEnd"/>
      <w:r w:rsidRPr="003C3C7C">
        <w:rPr>
          <w:rFonts w:cs="Calibri"/>
          <w:szCs w:val="24"/>
          <w:lang w:eastAsia="en-GB"/>
        </w:rPr>
        <w:t xml:space="preserve"> and any other appropriate mechanism.</w:t>
      </w:r>
    </w:p>
    <w:p w14:paraId="25C63A6F" w14:textId="77777777" w:rsidR="0097522C" w:rsidRPr="00C72286" w:rsidRDefault="0097522C" w:rsidP="0097522C">
      <w:pPr>
        <w:tabs>
          <w:tab w:val="clear" w:pos="567"/>
          <w:tab w:val="clear" w:pos="1134"/>
          <w:tab w:val="clear" w:pos="1701"/>
          <w:tab w:val="clear" w:pos="2268"/>
          <w:tab w:val="clear" w:pos="2835"/>
        </w:tabs>
        <w:overflowPunct/>
        <w:autoSpaceDE/>
        <w:autoSpaceDN/>
        <w:adjustRightInd/>
        <w:ind w:left="567" w:hanging="567"/>
        <w:textAlignment w:val="auto"/>
        <w:rPr>
          <w:rFonts w:cs="Calibri"/>
          <w:szCs w:val="24"/>
          <w:lang w:eastAsia="en-GB"/>
        </w:rPr>
      </w:pPr>
      <w:r w:rsidRPr="003C3C7C">
        <w:rPr>
          <w:rFonts w:cs="Calibri"/>
          <w:szCs w:val="24"/>
          <w:lang w:eastAsia="en-GB"/>
        </w:rPr>
        <w:t>-</w:t>
      </w:r>
      <w:r w:rsidRPr="003C3C7C">
        <w:rPr>
          <w:rFonts w:cs="Calibri"/>
          <w:szCs w:val="24"/>
          <w:lang w:eastAsia="en-GB"/>
        </w:rPr>
        <w:tab/>
        <w:t xml:space="preserve">expanding meetings across all ITU sectors for industry executives that represent a diverse stakeholder view </w:t>
      </w:r>
      <w:proofErr w:type="gramStart"/>
      <w:r w:rsidRPr="003C3C7C">
        <w:rPr>
          <w:rFonts w:cs="Calibri"/>
          <w:szCs w:val="24"/>
          <w:lang w:eastAsia="en-GB"/>
        </w:rPr>
        <w:t>in order to</w:t>
      </w:r>
      <w:proofErr w:type="gramEnd"/>
      <w:r w:rsidRPr="003C3C7C">
        <w:rPr>
          <w:rFonts w:cs="Calibri"/>
          <w:szCs w:val="24"/>
          <w:lang w:eastAsia="en-GB"/>
        </w:rPr>
        <w:t xml:space="preserve"> assist in identifying and coordinating standardization priorities and subjects and to report to each sectorial advisory group, Council and any other appropriate mechanism.</w:t>
      </w:r>
    </w:p>
    <w:p w14:paraId="40BC7164" w14:textId="77777777" w:rsidR="0097522C" w:rsidRPr="00C72286" w:rsidRDefault="0097522C" w:rsidP="0097522C">
      <w:pPr>
        <w:rPr>
          <w:rFonts w:eastAsia="Calibri"/>
          <w:lang w:val="en-CA"/>
        </w:rPr>
      </w:pPr>
      <w:r w:rsidRPr="00C72286">
        <w:rPr>
          <w:rFonts w:cs="Calibri"/>
          <w:szCs w:val="22"/>
          <w:lang w:val="en-CA" w:eastAsia="en-GB"/>
        </w:rPr>
        <w:t>3</w:t>
      </w:r>
      <w:r w:rsidRPr="00C72286">
        <w:rPr>
          <w:rFonts w:cs="Calibri"/>
          <w:szCs w:val="22"/>
          <w:lang w:val="en-CA" w:eastAsia="en-GB"/>
        </w:rPr>
        <w:tab/>
        <w:t>to establish</w:t>
      </w:r>
      <w:r w:rsidRPr="00C72286">
        <w:rPr>
          <w:rFonts w:eastAsia="Calibri"/>
          <w:lang w:val="en-CA"/>
        </w:rPr>
        <w:t xml:space="preserve"> an "Industry Advisory Panel" consisting of a broad cross-section of industry executives to provide advice and direction on initiatives to enhance the participation of industry in ITU activities and to strengthen partnerships between the ITU membership from industry and Member States, and report to Council,</w:t>
      </w:r>
    </w:p>
    <w:p w14:paraId="1856E498" w14:textId="77777777" w:rsidR="0097522C" w:rsidRPr="00746B3F" w:rsidRDefault="0097522C" w:rsidP="0097522C">
      <w:pPr>
        <w:pStyle w:val="Call"/>
        <w:rPr>
          <w:rFonts w:asciiTheme="minorHAnsi" w:hAnsiTheme="minorHAnsi" w:cstheme="minorHAnsi"/>
          <w:szCs w:val="24"/>
          <w:lang w:eastAsia="en-GB"/>
        </w:rPr>
      </w:pPr>
      <w:r w:rsidRPr="00C72286">
        <w:rPr>
          <w:lang w:eastAsia="en-GB"/>
        </w:rPr>
        <w:tab/>
        <w:t>invites the ITU Council</w:t>
      </w:r>
    </w:p>
    <w:p w14:paraId="588C57D6" w14:textId="77777777" w:rsidR="0097522C" w:rsidRPr="00C72286" w:rsidRDefault="0097522C" w:rsidP="0097522C">
      <w:pPr>
        <w:rPr>
          <w:lang w:eastAsia="en-GB"/>
        </w:rPr>
      </w:pPr>
      <w:r w:rsidRPr="00C72286">
        <w:rPr>
          <w:lang w:eastAsia="en-GB"/>
        </w:rPr>
        <w:t>1</w:t>
      </w:r>
      <w:r w:rsidRPr="00C72286">
        <w:rPr>
          <w:lang w:eastAsia="en-GB"/>
        </w:rPr>
        <w:tab/>
        <w:t xml:space="preserve">to add any appropriate additional clarifications to support implementation of this </w:t>
      </w:r>
      <w:proofErr w:type="gramStart"/>
      <w:r w:rsidRPr="00C72286">
        <w:rPr>
          <w:lang w:eastAsia="en-GB"/>
        </w:rPr>
        <w:t>resolution;</w:t>
      </w:r>
      <w:proofErr w:type="gramEnd"/>
    </w:p>
    <w:p w14:paraId="1B128490" w14:textId="77777777" w:rsidR="0097522C" w:rsidRPr="00C72286" w:rsidRDefault="0097522C" w:rsidP="0097522C">
      <w:pPr>
        <w:rPr>
          <w:lang w:eastAsia="en-GB"/>
        </w:rPr>
      </w:pPr>
      <w:r w:rsidRPr="00C72286">
        <w:rPr>
          <w:lang w:eastAsia="en-GB"/>
        </w:rPr>
        <w:t>2</w:t>
      </w:r>
      <w:r w:rsidRPr="00C72286">
        <w:rPr>
          <w:lang w:eastAsia="en-GB"/>
        </w:rPr>
        <w:tab/>
        <w:t xml:space="preserve">to study and consider how to create a structural environment that would improve industry engagement and participation across the </w:t>
      </w:r>
      <w:proofErr w:type="gramStart"/>
      <w:r w:rsidRPr="00C72286">
        <w:rPr>
          <w:lang w:eastAsia="en-GB"/>
        </w:rPr>
        <w:t>ITU;</w:t>
      </w:r>
      <w:proofErr w:type="gramEnd"/>
    </w:p>
    <w:p w14:paraId="3074374B" w14:textId="77777777" w:rsidR="0097522C" w:rsidRPr="00C72286" w:rsidRDefault="0097522C" w:rsidP="0097522C">
      <w:pPr>
        <w:rPr>
          <w:lang w:eastAsia="en-GB"/>
        </w:rPr>
      </w:pPr>
      <w:r w:rsidRPr="00C72286">
        <w:rPr>
          <w:lang w:eastAsia="en-GB"/>
        </w:rPr>
        <w:t>3</w:t>
      </w:r>
      <w:r w:rsidRPr="00C72286">
        <w:rPr>
          <w:lang w:eastAsia="en-GB"/>
        </w:rPr>
        <w:tab/>
        <w:t>to consider the output of the "Industry Advisory Panel",</w:t>
      </w:r>
    </w:p>
    <w:p w14:paraId="757A0DD0" w14:textId="77777777" w:rsidR="0097522C" w:rsidRPr="00C72286" w:rsidRDefault="0097522C" w:rsidP="0097522C">
      <w:pPr>
        <w:pStyle w:val="Call"/>
        <w:rPr>
          <w:lang w:eastAsia="en-GB"/>
        </w:rPr>
      </w:pPr>
      <w:r w:rsidRPr="00C72286">
        <w:rPr>
          <w:lang w:eastAsia="en-GB"/>
        </w:rPr>
        <w:t>invites the ITU Member States, Sector Members, Associates (including SMEs), Academia and other participants in the work of the ITU</w:t>
      </w:r>
    </w:p>
    <w:p w14:paraId="6670CF09" w14:textId="77777777" w:rsidR="0097522C" w:rsidRPr="00C72286" w:rsidRDefault="0097522C" w:rsidP="0097522C">
      <w:pPr>
        <w:rPr>
          <w:lang w:eastAsia="en-GB"/>
        </w:rPr>
      </w:pPr>
      <w:r w:rsidRPr="00C72286">
        <w:rPr>
          <w:lang w:eastAsia="en-GB"/>
        </w:rPr>
        <w:t xml:space="preserve">to provide contributions in support of this resolution on how the engagement and participation of industry can be enhanced to each sectorial advisory group, </w:t>
      </w:r>
      <w:proofErr w:type="gramStart"/>
      <w:r w:rsidRPr="00C72286">
        <w:rPr>
          <w:lang w:eastAsia="en-GB"/>
        </w:rPr>
        <w:t>Council</w:t>
      </w:r>
      <w:proofErr w:type="gramEnd"/>
      <w:r w:rsidRPr="00C72286">
        <w:rPr>
          <w:lang w:eastAsia="en-GB"/>
        </w:rPr>
        <w:t xml:space="preserve"> and any other appropriate mechanism,</w:t>
      </w:r>
    </w:p>
    <w:p w14:paraId="10C36A75" w14:textId="77777777" w:rsidR="0097522C" w:rsidRPr="00746B3F" w:rsidRDefault="0097522C" w:rsidP="0097522C">
      <w:pPr>
        <w:pStyle w:val="Call"/>
        <w:rPr>
          <w:rFonts w:asciiTheme="minorHAnsi" w:hAnsiTheme="minorHAnsi" w:cstheme="minorHAnsi"/>
          <w:szCs w:val="24"/>
          <w:lang w:eastAsia="en-GB"/>
        </w:rPr>
      </w:pPr>
      <w:r w:rsidRPr="00C72286">
        <w:rPr>
          <w:lang w:eastAsia="en-GB"/>
        </w:rPr>
        <w:t>invites the ITU Member States</w:t>
      </w:r>
    </w:p>
    <w:p w14:paraId="33D7CA58" w14:textId="77777777" w:rsidR="0097522C" w:rsidRPr="00746B3F" w:rsidRDefault="0097522C" w:rsidP="0097522C">
      <w:pPr>
        <w:rPr>
          <w:rFonts w:asciiTheme="minorHAnsi" w:hAnsiTheme="minorHAnsi" w:cstheme="minorHAnsi"/>
          <w:szCs w:val="24"/>
          <w:lang w:eastAsia="en-GB"/>
        </w:rPr>
      </w:pPr>
      <w:r w:rsidRPr="00C72286">
        <w:rPr>
          <w:lang w:eastAsia="en-GB"/>
        </w:rPr>
        <w:t>to inform their industries of this resolution and to support and encourage them to join ITU and participate in its activities.</w:t>
      </w:r>
    </w:p>
    <w:p w14:paraId="787A6283" w14:textId="77777777" w:rsidR="0097522C" w:rsidRDefault="0097522C" w:rsidP="0097522C">
      <w:pPr>
        <w:pStyle w:val="Reasons"/>
      </w:pPr>
    </w:p>
    <w:p w14:paraId="56623992" w14:textId="11D9B821" w:rsidR="00E91B6C" w:rsidRDefault="0097522C" w:rsidP="0097522C">
      <w:pPr>
        <w:spacing w:before="840"/>
        <w:jc w:val="center"/>
      </w:pPr>
      <w:r>
        <w:t>_____________________</w:t>
      </w:r>
    </w:p>
    <w:sectPr w:rsidR="00E91B6C"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2BAA" w14:textId="77777777" w:rsidR="00FC5117" w:rsidRDefault="00FC5117">
      <w:r>
        <w:separator/>
      </w:r>
    </w:p>
  </w:endnote>
  <w:endnote w:type="continuationSeparator" w:id="0">
    <w:p w14:paraId="333E7EB9"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435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B63CA21"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11CB" w14:textId="77777777" w:rsidR="00FC5117" w:rsidRDefault="00FC5117">
      <w:r>
        <w:t>____________________</w:t>
      </w:r>
    </w:p>
  </w:footnote>
  <w:footnote w:type="continuationSeparator" w:id="0">
    <w:p w14:paraId="38C63165"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EED"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A8E4582" w14:textId="77777777" w:rsidR="00CE1B90" w:rsidRDefault="00CE1B90" w:rsidP="004F7925">
    <w:pPr>
      <w:pStyle w:val="Header"/>
    </w:pPr>
    <w:r>
      <w:t>PP</w:t>
    </w:r>
    <w:r w:rsidR="000235EC">
      <w:t>22</w:t>
    </w:r>
    <w:r>
      <w:t>/44(Add.24)-E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B1E92"/>
    <w:multiLevelType w:val="hybridMultilevel"/>
    <w:tmpl w:val="C6D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46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96FC4"/>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7522C"/>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91B6C"/>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2264"/>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1ECDA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bf4043-6725-41ff-b84c-f4c633be7891">DPM</DPM_x0020_Author>
    <DPM_x0020_File_x0020_name xmlns="8abf4043-6725-41ff-b84c-f4c633be7891">S22-PP-C-0044!A24!MSW-E</DPM_x0020_File_x0020_name>
    <DPM_x0020_Version xmlns="8abf4043-6725-41ff-b84c-f4c633be789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bf4043-6725-41ff-b84c-f4c633be7891" targetNamespace="http://schemas.microsoft.com/office/2006/metadata/properties" ma:root="true" ma:fieldsID="d41af5c836d734370eb92e7ee5f83852" ns2:_="" ns3:_="">
    <xsd:import namespace="996b2e75-67fd-4955-a3b0-5ab9934cb50b"/>
    <xsd:import namespace="8abf4043-6725-41ff-b84c-f4c633be78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bf4043-6725-41ff-b84c-f4c633be78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f4043-6725-41ff-b84c-f4c633be7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bf4043-6725-41ff-b84c-f4c633be7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6624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S22-PP-C-0044!A24!MSW-E</dc:title>
  <dc:subject>Plenipotentiary Conference (PP-18)</dc:subject>
  <dc:creator>Documents Proposals Manager (DPM)</dc:creator>
  <cp:keywords>DPM_v2022.8.18.1_prod</cp:keywords>
  <cp:lastModifiedBy>Brouard, Ricarda</cp:lastModifiedBy>
  <cp:revision>2</cp:revision>
  <dcterms:created xsi:type="dcterms:W3CDTF">2022-09-01T10:34:00Z</dcterms:created>
  <dcterms:modified xsi:type="dcterms:W3CDTF">2022-09-01T10:34:00Z</dcterms:modified>
  <cp:category>Conference document</cp:category>
</cp:coreProperties>
</file>