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47F0" w14:paraId="6360D31F" w14:textId="77777777" w:rsidTr="006A046E">
        <w:trPr>
          <w:cantSplit/>
        </w:trPr>
        <w:tc>
          <w:tcPr>
            <w:tcW w:w="6911" w:type="dxa"/>
          </w:tcPr>
          <w:p w14:paraId="5EAC4023" w14:textId="77777777" w:rsidR="00BD1614" w:rsidRPr="00D547F0" w:rsidRDefault="00BD1614" w:rsidP="00630834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47F0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47F0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47F0">
              <w:rPr>
                <w:b/>
                <w:smallCaps/>
                <w:sz w:val="30"/>
                <w:szCs w:val="30"/>
              </w:rPr>
              <w:t>22</w:t>
            </w:r>
            <w:r w:rsidRPr="00D547F0">
              <w:rPr>
                <w:b/>
                <w:smallCaps/>
                <w:sz w:val="30"/>
                <w:szCs w:val="30"/>
              </w:rPr>
              <w:t>)</w:t>
            </w:r>
            <w:r w:rsidRPr="00D547F0">
              <w:rPr>
                <w:b/>
                <w:smallCaps/>
                <w:sz w:val="36"/>
              </w:rPr>
              <w:br/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Bucarest</w:t>
            </w:r>
            <w:r w:rsidRPr="00D547F0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6</w:t>
            </w:r>
            <w:r w:rsidRPr="00D547F0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septembre</w:t>
            </w:r>
            <w:r w:rsidRPr="00D547F0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47F0">
              <w:rPr>
                <w:rFonts w:cs="Times New Roman Bold"/>
                <w:b/>
                <w:bCs/>
                <w:szCs w:val="24"/>
              </w:rPr>
              <w:t>–</w:t>
            </w:r>
            <w:r w:rsidRPr="00D547F0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47F0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4</w:t>
            </w:r>
            <w:r w:rsidRPr="00D547F0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octobre</w:t>
            </w:r>
            <w:r w:rsidRPr="00D547F0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47F0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11256A04" w14:textId="77777777" w:rsidR="00BD1614" w:rsidRPr="00D547F0" w:rsidRDefault="002A7A1D" w:rsidP="00630834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D547F0">
              <w:rPr>
                <w:noProof/>
                <w:lang w:eastAsia="fr-FR"/>
              </w:rPr>
              <w:drawing>
                <wp:inline distT="0" distB="0" distL="0" distR="0" wp14:anchorId="0062C809" wp14:editId="68A0AE73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47F0" w14:paraId="5796C19A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904AE5" w14:textId="77777777" w:rsidR="00BD1614" w:rsidRPr="00D547F0" w:rsidRDefault="00BD1614" w:rsidP="0063083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95E59D" w14:textId="77777777" w:rsidR="00BD1614" w:rsidRPr="00D547F0" w:rsidRDefault="00BD1614" w:rsidP="0063083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47F0" w14:paraId="1E98A624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8E1DAA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014F21A" w14:textId="77777777" w:rsidR="00BD1614" w:rsidRPr="00D547F0" w:rsidRDefault="00BD1614" w:rsidP="0063083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47F0" w14:paraId="1C0F6983" w14:textId="77777777" w:rsidTr="006A046E">
        <w:trPr>
          <w:cantSplit/>
        </w:trPr>
        <w:tc>
          <w:tcPr>
            <w:tcW w:w="6911" w:type="dxa"/>
          </w:tcPr>
          <w:p w14:paraId="612A6C9F" w14:textId="77777777" w:rsidR="00BD1614" w:rsidRPr="00D547F0" w:rsidRDefault="00BD1614" w:rsidP="00630834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47F0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3395FCC9" w14:textId="77777777" w:rsidR="00BD1614" w:rsidRPr="00D547F0" w:rsidRDefault="00BD1614" w:rsidP="00630834">
            <w:pPr>
              <w:spacing w:before="0"/>
              <w:rPr>
                <w:rFonts w:cstheme="minorHAnsi"/>
                <w:szCs w:val="24"/>
              </w:rPr>
            </w:pPr>
            <w:r w:rsidRPr="00D547F0">
              <w:rPr>
                <w:rFonts w:cstheme="minorHAnsi"/>
                <w:b/>
                <w:szCs w:val="24"/>
              </w:rPr>
              <w:t>Addendum 26 au</w:t>
            </w:r>
            <w:r w:rsidRPr="00D547F0">
              <w:rPr>
                <w:rFonts w:cstheme="minorHAnsi"/>
                <w:b/>
                <w:szCs w:val="24"/>
              </w:rPr>
              <w:br/>
              <w:t>Document 44</w:t>
            </w:r>
            <w:r w:rsidR="005F63BD" w:rsidRPr="00D547F0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47F0" w14:paraId="1FCC59E4" w14:textId="77777777" w:rsidTr="006A046E">
        <w:trPr>
          <w:cantSplit/>
        </w:trPr>
        <w:tc>
          <w:tcPr>
            <w:tcW w:w="6911" w:type="dxa"/>
          </w:tcPr>
          <w:p w14:paraId="164F8CCD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4D94F85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zCs w:val="24"/>
              </w:rPr>
            </w:pPr>
            <w:r w:rsidRPr="00D547F0">
              <w:rPr>
                <w:rFonts w:cstheme="minorHAnsi"/>
                <w:b/>
                <w:szCs w:val="24"/>
              </w:rPr>
              <w:t>9 août 2022</w:t>
            </w:r>
          </w:p>
        </w:tc>
      </w:tr>
      <w:tr w:rsidR="00BD1614" w:rsidRPr="00D547F0" w14:paraId="5EFFC96D" w14:textId="77777777" w:rsidTr="006A046E">
        <w:trPr>
          <w:cantSplit/>
        </w:trPr>
        <w:tc>
          <w:tcPr>
            <w:tcW w:w="6911" w:type="dxa"/>
          </w:tcPr>
          <w:p w14:paraId="7DA1389F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2D061FD4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zCs w:val="24"/>
              </w:rPr>
            </w:pPr>
            <w:r w:rsidRPr="00D547F0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47F0" w14:paraId="3235B878" w14:textId="77777777" w:rsidTr="006A046E">
        <w:trPr>
          <w:cantSplit/>
        </w:trPr>
        <w:tc>
          <w:tcPr>
            <w:tcW w:w="10031" w:type="dxa"/>
            <w:gridSpan w:val="2"/>
          </w:tcPr>
          <w:p w14:paraId="15DF4A65" w14:textId="77777777" w:rsidR="00BD1614" w:rsidRPr="00D547F0" w:rsidRDefault="00BD1614" w:rsidP="0063083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D547F0" w14:paraId="63288D32" w14:textId="77777777" w:rsidTr="006A046E">
        <w:trPr>
          <w:cantSplit/>
        </w:trPr>
        <w:tc>
          <w:tcPr>
            <w:tcW w:w="10031" w:type="dxa"/>
            <w:gridSpan w:val="2"/>
          </w:tcPr>
          <w:p w14:paraId="51F29AC6" w14:textId="1C851995" w:rsidR="00BD1614" w:rsidRPr="00D547F0" w:rsidRDefault="0081273C" w:rsidP="00630834">
            <w:pPr>
              <w:pStyle w:val="Source"/>
            </w:pPr>
            <w:bookmarkStart w:id="4" w:name="dsource" w:colFirst="0" w:colLast="0"/>
            <w:bookmarkEnd w:id="3"/>
            <w:r w:rsidRPr="00D547F0">
              <w:rPr>
                <w:caps/>
              </w:rPr>
              <w:t>é</w:t>
            </w:r>
            <w:r w:rsidR="00BD1614" w:rsidRPr="00D547F0">
              <w:t xml:space="preserve">tats Membres de la Conférence européenne des </w:t>
            </w:r>
            <w:r w:rsidR="00630834" w:rsidRPr="00D547F0">
              <w:t>a</w:t>
            </w:r>
            <w:r w:rsidR="00BD1614" w:rsidRPr="00D547F0">
              <w:t xml:space="preserve">dministrations </w:t>
            </w:r>
            <w:r w:rsidRPr="00D547F0">
              <w:br/>
            </w:r>
            <w:r w:rsidR="00BD1614" w:rsidRPr="00D547F0">
              <w:t>des postes et télécommunications (CEPT)</w:t>
            </w:r>
          </w:p>
        </w:tc>
      </w:tr>
      <w:tr w:rsidR="00BD1614" w:rsidRPr="00D547F0" w14:paraId="78AC5447" w14:textId="77777777" w:rsidTr="006A046E">
        <w:trPr>
          <w:cantSplit/>
        </w:trPr>
        <w:tc>
          <w:tcPr>
            <w:tcW w:w="10031" w:type="dxa"/>
            <w:gridSpan w:val="2"/>
          </w:tcPr>
          <w:p w14:paraId="25BDAD41" w14:textId="77777777" w:rsidR="00BD1614" w:rsidRPr="00D547F0" w:rsidRDefault="00BD1614" w:rsidP="00630834">
            <w:pPr>
              <w:pStyle w:val="Title1"/>
            </w:pPr>
            <w:bookmarkStart w:id="5" w:name="dtitle1" w:colFirst="0" w:colLast="0"/>
            <w:bookmarkEnd w:id="4"/>
            <w:r w:rsidRPr="00D547F0">
              <w:t xml:space="preserve">ECP 29 </w:t>
            </w:r>
            <w:r w:rsidR="0081273C" w:rsidRPr="00D547F0">
              <w:t>–</w:t>
            </w:r>
            <w:r w:rsidRPr="00D547F0">
              <w:t xml:space="preserve"> </w:t>
            </w:r>
            <w:r w:rsidR="0081273C" w:rsidRPr="00D547F0">
              <w:t>projet de nouvelle</w:t>
            </w:r>
            <w:r w:rsidRPr="00D547F0">
              <w:t xml:space="preserve"> R</w:t>
            </w:r>
            <w:r w:rsidR="0081273C" w:rsidRPr="00D547F0">
              <w:t>é</w:t>
            </w:r>
            <w:r w:rsidRPr="00D547F0">
              <w:t>SOLUTION [EUR-3]:</w:t>
            </w:r>
          </w:p>
        </w:tc>
      </w:tr>
      <w:tr w:rsidR="00BD1614" w:rsidRPr="00D547F0" w14:paraId="175EF537" w14:textId="77777777" w:rsidTr="006A046E">
        <w:trPr>
          <w:cantSplit/>
        </w:trPr>
        <w:tc>
          <w:tcPr>
            <w:tcW w:w="10031" w:type="dxa"/>
            <w:gridSpan w:val="2"/>
          </w:tcPr>
          <w:p w14:paraId="062A1471" w14:textId="77777777" w:rsidR="00BD1614" w:rsidRPr="00D547F0" w:rsidRDefault="007F1F57" w:rsidP="00630834">
            <w:pPr>
              <w:pStyle w:val="Title2"/>
            </w:pPr>
            <w:bookmarkStart w:id="6" w:name="_Hlk104839025"/>
            <w:bookmarkStart w:id="7" w:name="dtitle2" w:colFirst="0" w:colLast="0"/>
            <w:bookmarkEnd w:id="5"/>
            <w:r w:rsidRPr="00D547F0">
              <w:t>invocation de l'article 48 de la Constitution de l'uit en ce qui concerne le Règlement des radiocommunications</w:t>
            </w:r>
            <w:bookmarkEnd w:id="6"/>
          </w:p>
        </w:tc>
      </w:tr>
      <w:tr w:rsidR="00BD1614" w:rsidRPr="00D547F0" w14:paraId="4F2B4A70" w14:textId="77777777" w:rsidTr="006A046E">
        <w:trPr>
          <w:cantSplit/>
        </w:trPr>
        <w:tc>
          <w:tcPr>
            <w:tcW w:w="10031" w:type="dxa"/>
            <w:gridSpan w:val="2"/>
          </w:tcPr>
          <w:p w14:paraId="30F2015E" w14:textId="77777777" w:rsidR="00BD1614" w:rsidRPr="00D547F0" w:rsidRDefault="00BD1614" w:rsidP="00630834">
            <w:pPr>
              <w:pStyle w:val="Agendaitem"/>
              <w:rPr>
                <w:lang w:val="fr-FR"/>
              </w:rPr>
            </w:pPr>
            <w:bookmarkStart w:id="8" w:name="dtitle3" w:colFirst="0" w:colLast="0"/>
            <w:bookmarkEnd w:id="7"/>
          </w:p>
        </w:tc>
      </w:tr>
    </w:tbl>
    <w:p w14:paraId="4AD39BFB" w14:textId="4F7C68E7" w:rsidR="007F1F57" w:rsidRPr="00D547F0" w:rsidRDefault="00DC0ADD" w:rsidP="008415A8">
      <w:pPr>
        <w:pStyle w:val="Title4"/>
      </w:pPr>
      <w:bookmarkStart w:id="9" w:name="_Toc14990971"/>
      <w:bookmarkStart w:id="10" w:name="_Toc520420668"/>
      <w:bookmarkEnd w:id="8"/>
      <w:r w:rsidRPr="00D547F0">
        <w:t>Précisions sur l'i</w:t>
      </w:r>
      <w:r w:rsidR="007F1F57" w:rsidRPr="00D547F0">
        <w:t xml:space="preserve">nvocation de l'article 48 de la Constitution de l'UIT </w:t>
      </w:r>
      <w:r w:rsidR="007F1F57" w:rsidRPr="00D547F0">
        <w:br/>
        <w:t>en ce qui concerne le</w:t>
      </w:r>
      <w:r w:rsidR="00D547F0" w:rsidRPr="00D547F0">
        <w:t xml:space="preserve"> </w:t>
      </w:r>
      <w:r w:rsidR="007F1F57" w:rsidRPr="00D547F0">
        <w:t>Règlement des radiocommunications</w:t>
      </w:r>
      <w:bookmarkEnd w:id="9"/>
      <w:bookmarkEnd w:id="10"/>
    </w:p>
    <w:p w14:paraId="168FBDA6" w14:textId="167BCDB5" w:rsidR="00E7697E" w:rsidRPr="00D547F0" w:rsidRDefault="007F1F57" w:rsidP="008415A8">
      <w:pPr>
        <w:pStyle w:val="Normalaftertitle"/>
      </w:pPr>
      <w:r w:rsidRPr="00D547F0">
        <w:rPr>
          <w:b/>
          <w:bCs/>
        </w:rPr>
        <w:t>Résumé</w:t>
      </w:r>
      <w:r w:rsidRPr="00D547F0">
        <w:t xml:space="preserve">: </w:t>
      </w:r>
      <w:r w:rsidR="00E7697E" w:rsidRPr="00D547F0">
        <w:t xml:space="preserve">Il est nécessaire d'apporter des précisions sur l'invocation de l'article 48 de la Constitution de l'UIT, lorsque la fiche de notification concernée contient des assignations de fréquence </w:t>
      </w:r>
      <w:r w:rsidR="009F0F02" w:rsidRPr="00D547F0">
        <w:t xml:space="preserve">utilisées à la fois par des installations radioélectriques militaires et non militaires. </w:t>
      </w:r>
      <w:r w:rsidR="00930B93" w:rsidRPr="00D547F0">
        <w:t>Aux termes de cette Résolution, l'UIT est invité</w:t>
      </w:r>
      <w:r w:rsidR="00BF0373" w:rsidRPr="00D547F0">
        <w:t xml:space="preserve">e à </w:t>
      </w:r>
      <w:r w:rsidR="00CD0EE6" w:rsidRPr="00D547F0">
        <w:t>communiquer</w:t>
      </w:r>
      <w:r w:rsidR="00886BFF" w:rsidRPr="00D547F0">
        <w:t xml:space="preserve"> aux administrations notificatrices</w:t>
      </w:r>
      <w:r w:rsidR="00CD0EE6" w:rsidRPr="00D547F0">
        <w:t xml:space="preserve"> les principes de haut niveau</w:t>
      </w:r>
      <w:r w:rsidR="00886BFF" w:rsidRPr="00D547F0">
        <w:t xml:space="preserve"> régissant</w:t>
      </w:r>
      <w:r w:rsidR="00CD0EE6" w:rsidRPr="00D547F0">
        <w:t xml:space="preserve"> l'invocation de l'article 48 de la Constitution de l'UIT</w:t>
      </w:r>
      <w:r w:rsidR="00554330" w:rsidRPr="00D547F0">
        <w:t xml:space="preserve">, à fournir </w:t>
      </w:r>
      <w:r w:rsidR="00886BFF" w:rsidRPr="00D547F0">
        <w:t>suffisamment d</w:t>
      </w:r>
      <w:r w:rsidR="00630834" w:rsidRPr="00D547F0">
        <w:t>'</w:t>
      </w:r>
      <w:r w:rsidR="00886BFF" w:rsidRPr="00D547F0">
        <w:t xml:space="preserve"> </w:t>
      </w:r>
      <w:r w:rsidR="00890AD7" w:rsidRPr="00D547F0">
        <w:t>indications</w:t>
      </w:r>
      <w:r w:rsidR="004E073C" w:rsidRPr="00D547F0">
        <w:t xml:space="preserve"> </w:t>
      </w:r>
      <w:r w:rsidR="00554330" w:rsidRPr="00D547F0">
        <w:t>au Bureau des radiocommunications</w:t>
      </w:r>
      <w:r w:rsidR="004E073C" w:rsidRPr="00D547F0">
        <w:t xml:space="preserve"> </w:t>
      </w:r>
      <w:r w:rsidR="00886BFF" w:rsidRPr="00D547F0">
        <w:t>dans le cadre de</w:t>
      </w:r>
      <w:r w:rsidR="004E073C" w:rsidRPr="00D547F0">
        <w:t xml:space="preserve"> </w:t>
      </w:r>
      <w:r w:rsidR="00554330" w:rsidRPr="00D547F0">
        <w:t>l'application du Règlement des radiocommunications en ce qui concerne l'article 48 de la Constitution</w:t>
      </w:r>
      <w:r w:rsidR="00890AD7" w:rsidRPr="00D547F0">
        <w:t>,</w:t>
      </w:r>
      <w:r w:rsidR="00554330" w:rsidRPr="00D547F0">
        <w:t xml:space="preserve"> et à demander à la CMR-23 </w:t>
      </w:r>
      <w:r w:rsidR="00886BFF" w:rsidRPr="00D547F0">
        <w:t>d'apporter</w:t>
      </w:r>
      <w:r w:rsidR="004E073C" w:rsidRPr="00D547F0">
        <w:t xml:space="preserve"> </w:t>
      </w:r>
      <w:r w:rsidR="00886BFF" w:rsidRPr="00D547F0">
        <w:t>les modifications</w:t>
      </w:r>
      <w:r w:rsidR="00886BFF" w:rsidRPr="00D547F0" w:rsidDel="00886BFF">
        <w:t xml:space="preserve"> </w:t>
      </w:r>
      <w:r w:rsidR="00554330" w:rsidRPr="00D547F0">
        <w:t xml:space="preserve">nécessaires </w:t>
      </w:r>
      <w:r w:rsidR="00020D1E" w:rsidRPr="00D547F0">
        <w:t xml:space="preserve">au Règlement des radiocommunications et de fournir des indications au BR, selon qu'il </w:t>
      </w:r>
      <w:r w:rsidR="00DC6F90" w:rsidRPr="00D547F0">
        <w:t xml:space="preserve">convient. </w:t>
      </w:r>
    </w:p>
    <w:p w14:paraId="685D2468" w14:textId="6C78210E" w:rsidR="003838BF" w:rsidRPr="00D547F0" w:rsidRDefault="007F1F57" w:rsidP="00630834">
      <w:r w:rsidRPr="00D547F0">
        <w:rPr>
          <w:b/>
          <w:bCs/>
        </w:rPr>
        <w:t>Introduction</w:t>
      </w:r>
      <w:r w:rsidRPr="00D547F0">
        <w:t>:</w:t>
      </w:r>
      <w:r w:rsidR="004E0514" w:rsidRPr="00D547F0">
        <w:t xml:space="preserve"> </w:t>
      </w:r>
      <w:r w:rsidR="006F61F8" w:rsidRPr="00D547F0">
        <w:t xml:space="preserve">Selon la pratique actuelle, le Bureau des radiocommunications de l'UIT (BR) </w:t>
      </w:r>
      <w:r w:rsidR="009F2261" w:rsidRPr="00D547F0">
        <w:t xml:space="preserve">ne procède pas à un examen </w:t>
      </w:r>
      <w:r w:rsidR="004052F7" w:rsidRPr="00D547F0">
        <w:t>au titre du numéro 13.6 du RR lorsque</w:t>
      </w:r>
      <w:r w:rsidR="009F2261" w:rsidRPr="00D547F0">
        <w:t xml:space="preserve"> l'article 48 de la Constitution de l'UIT </w:t>
      </w:r>
      <w:r w:rsidR="006D5D37" w:rsidRPr="00D547F0">
        <w:t>a été</w:t>
      </w:r>
      <w:r w:rsidR="004E073C" w:rsidRPr="00D547F0">
        <w:t xml:space="preserve"> </w:t>
      </w:r>
      <w:r w:rsidR="009F2261" w:rsidRPr="00D547F0">
        <w:t>invoqué pour une assignation de fréquence.</w:t>
      </w:r>
      <w:r w:rsidR="00F7315D" w:rsidRPr="00D547F0">
        <w:t xml:space="preserve"> </w:t>
      </w:r>
      <w:r w:rsidR="00487654" w:rsidRPr="00D547F0">
        <w:t>La Conférence de plénipotent</w:t>
      </w:r>
      <w:r w:rsidR="00C40689" w:rsidRPr="00D547F0">
        <w:t xml:space="preserve">iaires de 2022 (PP-22) pourrait </w:t>
      </w:r>
      <w:r w:rsidR="00B56316" w:rsidRPr="00D547F0">
        <w:t xml:space="preserve">commencer à </w:t>
      </w:r>
      <w:r w:rsidR="006D5D37" w:rsidRPr="00D547F0">
        <w:t>établir</w:t>
      </w:r>
      <w:r w:rsidR="00E97003" w:rsidRPr="00D547F0">
        <w:t xml:space="preserve"> une procédure </w:t>
      </w:r>
      <w:r w:rsidR="007B26BC" w:rsidRPr="00D547F0">
        <w:t xml:space="preserve">visant à fournir des indications et des instructions claires sur l'invocation de l'article 48 de la Constitution de l'UIT. </w:t>
      </w:r>
      <w:r w:rsidR="006D5D37" w:rsidRPr="00D547F0">
        <w:t xml:space="preserve">Il a été fait état de la </w:t>
      </w:r>
      <w:r w:rsidR="00D73CDE" w:rsidRPr="00D547F0">
        <w:t>question de l'article 48 de</w:t>
      </w:r>
      <w:r w:rsidR="000638B0" w:rsidRPr="00D547F0">
        <w:t xml:space="preserve"> la Constitution de l'UIT</w:t>
      </w:r>
      <w:r w:rsidR="004E073C" w:rsidRPr="00D547F0">
        <w:t xml:space="preserve"> </w:t>
      </w:r>
      <w:r w:rsidR="000638B0" w:rsidRPr="00D547F0">
        <w:t xml:space="preserve">dans le rapport du Directeur du BR sur les activités du Secteur des </w:t>
      </w:r>
      <w:r w:rsidR="00213A44" w:rsidRPr="00D547F0">
        <w:t xml:space="preserve">radiocommunications à la CMR-12, </w:t>
      </w:r>
      <w:r w:rsidR="00D916C8" w:rsidRPr="00D547F0">
        <w:t>dans la partie consacrée</w:t>
      </w:r>
      <w:r w:rsidR="009B7B5E" w:rsidRPr="00D547F0">
        <w:t xml:space="preserve"> à l'application du numéro 13.6 du RR.</w:t>
      </w:r>
      <w:r w:rsidR="007A6424" w:rsidRPr="00D547F0">
        <w:t xml:space="preserve"> </w:t>
      </w:r>
      <w:r w:rsidR="001B33C0" w:rsidRPr="00D547F0">
        <w:t>L</w:t>
      </w:r>
      <w:r w:rsidR="00207316" w:rsidRPr="00D547F0">
        <w:t>a partie du</w:t>
      </w:r>
      <w:r w:rsidR="001B33C0" w:rsidRPr="00D547F0">
        <w:t xml:space="preserve"> rapport du Directeur du BR sur les activités du Secteur des radiocommunications à la CMR-15</w:t>
      </w:r>
      <w:r w:rsidR="004E073C" w:rsidRPr="00D547F0">
        <w:t xml:space="preserve"> </w:t>
      </w:r>
      <w:r w:rsidR="006D5D37" w:rsidRPr="00D547F0">
        <w:t xml:space="preserve">intitulée </w:t>
      </w:r>
      <w:r w:rsidR="008415A8" w:rsidRPr="00D547F0">
        <w:t>"</w:t>
      </w:r>
      <w:r w:rsidR="00F26E32" w:rsidRPr="00D547F0">
        <w:t xml:space="preserve">Activités </w:t>
      </w:r>
      <w:r w:rsidR="00207316" w:rsidRPr="00D547F0">
        <w:t>du Comité du Règlement des radiocommunications</w:t>
      </w:r>
      <w:r w:rsidR="008415A8" w:rsidRPr="00D547F0">
        <w:t>"</w:t>
      </w:r>
      <w:r w:rsidR="00207316" w:rsidRPr="00D547F0">
        <w:t xml:space="preserve"> </w:t>
      </w:r>
      <w:r w:rsidR="006D5D37" w:rsidRPr="00D547F0">
        <w:t>fait mention de</w:t>
      </w:r>
      <w:r w:rsidR="00207316" w:rsidRPr="00D547F0">
        <w:t xml:space="preserve"> l'application de l'article 48 de la Cons</w:t>
      </w:r>
      <w:r w:rsidR="00C27621" w:rsidRPr="00D547F0">
        <w:t>t</w:t>
      </w:r>
      <w:r w:rsidR="00207316" w:rsidRPr="00D547F0">
        <w:t xml:space="preserve">itution de l'UIT. </w:t>
      </w:r>
      <w:r w:rsidR="00581133" w:rsidRPr="00D547F0">
        <w:t xml:space="preserve">La CMR-19 a réexaminé la question </w:t>
      </w:r>
      <w:r w:rsidR="00CE4718" w:rsidRPr="00D547F0">
        <w:t xml:space="preserve">du risque d'utilisation abusive </w:t>
      </w:r>
      <w:r w:rsidR="007B7A8C" w:rsidRPr="00D547F0">
        <w:t>de l'article 48 de la Constitution de l'UIT</w:t>
      </w:r>
      <w:r w:rsidR="00922944" w:rsidRPr="00D547F0">
        <w:t xml:space="preserve"> </w:t>
      </w:r>
      <w:r w:rsidR="00F26E32" w:rsidRPr="00D547F0">
        <w:t>dans le cadre de l</w:t>
      </w:r>
      <w:r w:rsidR="00630834" w:rsidRPr="00D547F0">
        <w:t>'</w:t>
      </w:r>
      <w:r w:rsidR="00F26E32" w:rsidRPr="00D547F0">
        <w:t>application des</w:t>
      </w:r>
      <w:r w:rsidR="004E073C" w:rsidRPr="00D547F0">
        <w:t xml:space="preserve"> </w:t>
      </w:r>
      <w:r w:rsidR="00E61DDD" w:rsidRPr="00D547F0">
        <w:t xml:space="preserve">procédures </w:t>
      </w:r>
      <w:r w:rsidR="00F26E32" w:rsidRPr="00D547F0">
        <w:t>relatives aux</w:t>
      </w:r>
      <w:r w:rsidR="004E073C" w:rsidRPr="00D547F0">
        <w:t xml:space="preserve"> </w:t>
      </w:r>
      <w:r w:rsidR="00E61DDD" w:rsidRPr="00D547F0">
        <w:t>satellites</w:t>
      </w:r>
      <w:r w:rsidR="00FA36AE" w:rsidRPr="00D547F0">
        <w:t xml:space="preserve"> définies dans le </w:t>
      </w:r>
      <w:r w:rsidR="00FA36AE" w:rsidRPr="00D547F0">
        <w:lastRenderedPageBreak/>
        <w:t>Règlement des radiocommunications.</w:t>
      </w:r>
      <w:r w:rsidR="00F6275C" w:rsidRPr="00D547F0">
        <w:t xml:space="preserve"> </w:t>
      </w:r>
      <w:r w:rsidR="00D941F8" w:rsidRPr="00D547F0">
        <w:t xml:space="preserve">La CMR-19, conformément à l'article 21 de la Convention </w:t>
      </w:r>
      <w:r w:rsidR="00626071" w:rsidRPr="00D547F0">
        <w:t>(CV)</w:t>
      </w:r>
      <w:r w:rsidR="00F26E32" w:rsidRPr="00D547F0">
        <w:t xml:space="preserve"> de l'UIT</w:t>
      </w:r>
      <w:r w:rsidR="00D941F8" w:rsidRPr="00D547F0">
        <w:t xml:space="preserve">, a invité la </w:t>
      </w:r>
      <w:r w:rsidR="0095287C" w:rsidRPr="00D547F0">
        <w:t>PP-22</w:t>
      </w:r>
      <w:r w:rsidR="00D941F8" w:rsidRPr="00D547F0">
        <w:t xml:space="preserve"> à examiner la question </w:t>
      </w:r>
      <w:r w:rsidR="00F26E32" w:rsidRPr="00D547F0">
        <w:t>de</w:t>
      </w:r>
      <w:r w:rsidR="004E073C" w:rsidRPr="00D547F0">
        <w:t xml:space="preserve"> </w:t>
      </w:r>
      <w:r w:rsidR="00D941F8" w:rsidRPr="00D547F0">
        <w:t xml:space="preserve">l'invocation de l'article 48 </w:t>
      </w:r>
      <w:r w:rsidR="00C07B49" w:rsidRPr="00D547F0">
        <w:t xml:space="preserve">de la Constitution de l'UIT </w:t>
      </w:r>
      <w:r w:rsidR="00D941F8" w:rsidRPr="00D547F0">
        <w:t>en ce qui concerne le Règlement des radiocommunications et à prendre les mesures nécessaires, selon qu'il convient</w:t>
      </w:r>
      <w:r w:rsidR="009D3AB4" w:rsidRPr="00D547F0">
        <w:t>. La PP-22 devrait</w:t>
      </w:r>
      <w:r w:rsidR="00DC6F90" w:rsidRPr="00D547F0">
        <w:t xml:space="preserve"> en principe</w:t>
      </w:r>
      <w:r w:rsidR="009D3AB4" w:rsidRPr="00D547F0">
        <w:t xml:space="preserve"> </w:t>
      </w:r>
      <w:r w:rsidR="00C01C8F" w:rsidRPr="00D547F0">
        <w:t xml:space="preserve">fournir des indications et des instructions sur ce sujet. </w:t>
      </w:r>
      <w:r w:rsidR="00C07B49" w:rsidRPr="00D547F0">
        <w:t>L</w:t>
      </w:r>
      <w:r w:rsidR="00DC6F90" w:rsidRPr="00D547F0">
        <w:t>a question de l</w:t>
      </w:r>
      <w:r w:rsidR="00C07B49" w:rsidRPr="00D547F0">
        <w:t xml:space="preserve">'invocation de l'article 48 de la Constitution de l'UIT </w:t>
      </w:r>
      <w:r w:rsidR="0003518A" w:rsidRPr="00D547F0">
        <w:t xml:space="preserve">devrait </w:t>
      </w:r>
      <w:r w:rsidR="00DC6F90" w:rsidRPr="00D547F0">
        <w:t>être étudiée</w:t>
      </w:r>
      <w:r w:rsidR="004E073C" w:rsidRPr="00D547F0">
        <w:t xml:space="preserve"> </w:t>
      </w:r>
      <w:r w:rsidR="0003518A" w:rsidRPr="00D547F0">
        <w:t>à la fois</w:t>
      </w:r>
      <w:r w:rsidR="004E073C" w:rsidRPr="00D547F0">
        <w:t xml:space="preserve"> </w:t>
      </w:r>
      <w:r w:rsidR="00DC6F90" w:rsidRPr="00D547F0">
        <w:t>pour</w:t>
      </w:r>
      <w:r w:rsidR="0003518A" w:rsidRPr="00D547F0">
        <w:t xml:space="preserve"> le</w:t>
      </w:r>
      <w:r w:rsidR="00831C39" w:rsidRPr="00D547F0">
        <w:t xml:space="preserve">s assignations de fréquence des systèmes à satellites et </w:t>
      </w:r>
      <w:r w:rsidR="00DC6F90" w:rsidRPr="00D547F0">
        <w:t xml:space="preserve">pour les assignations </w:t>
      </w:r>
      <w:r w:rsidR="00831C39" w:rsidRPr="00D547F0">
        <w:t>des systèmes de Terre</w:t>
      </w:r>
      <w:r w:rsidR="00304353" w:rsidRPr="00D547F0">
        <w:t>.</w:t>
      </w:r>
    </w:p>
    <w:p w14:paraId="3B13FDF8" w14:textId="72D14825" w:rsidR="00F21730" w:rsidRPr="00D547F0" w:rsidRDefault="007F1F57" w:rsidP="00D547F0">
      <w:r w:rsidRPr="00D547F0">
        <w:rPr>
          <w:b/>
          <w:bCs/>
        </w:rPr>
        <w:t>Propos</w:t>
      </w:r>
      <w:r w:rsidR="00D422A9" w:rsidRPr="00D547F0">
        <w:rPr>
          <w:b/>
          <w:bCs/>
        </w:rPr>
        <w:t>ition</w:t>
      </w:r>
      <w:r w:rsidRPr="00D547F0">
        <w:t xml:space="preserve">: </w:t>
      </w:r>
      <w:r w:rsidR="00F21730" w:rsidRPr="00D547F0">
        <w:t xml:space="preserve">La CEPT propose une nouvelle Résolution relative à l'invocation de l'article 48 de la Constitution de l'UIT en ce qui concerne le Règlement des radiocommunications (RR), lorsqu'une fiche de notification contient une ou plusieurs assignations de fréquence </w:t>
      </w:r>
      <w:r w:rsidR="00DB2853" w:rsidRPr="00D547F0">
        <w:t xml:space="preserve">utilisées à la fois par des installations radioélectriques militaires et non militaires. </w:t>
      </w:r>
      <w:r w:rsidR="00624BD1" w:rsidRPr="00D547F0">
        <w:t xml:space="preserve">La CEPT est d'avis </w:t>
      </w:r>
      <w:r w:rsidR="00A011A7" w:rsidRPr="00D547F0">
        <w:t xml:space="preserve">que la PP-22 devrait communiquer </w:t>
      </w:r>
      <w:r w:rsidR="00DC6F90" w:rsidRPr="00D547F0">
        <w:t xml:space="preserve">aux administrations notificatrices </w:t>
      </w:r>
      <w:r w:rsidR="00A011A7" w:rsidRPr="00D547F0">
        <w:t xml:space="preserve">les principes de haut niveau </w:t>
      </w:r>
      <w:r w:rsidR="00DC6F90" w:rsidRPr="00D547F0">
        <w:t xml:space="preserve">régissant </w:t>
      </w:r>
      <w:r w:rsidR="00A011A7" w:rsidRPr="00D547F0">
        <w:t xml:space="preserve">l'invocation de l'article 48 de la Constitution de l'UIT et fournir </w:t>
      </w:r>
      <w:r w:rsidR="00DC6F90" w:rsidRPr="00D547F0">
        <w:t>suffisamment d</w:t>
      </w:r>
      <w:r w:rsidR="00630834" w:rsidRPr="00D547F0">
        <w:t>'</w:t>
      </w:r>
      <w:r w:rsidR="00DC6F90" w:rsidRPr="00D547F0">
        <w:t xml:space="preserve"> </w:t>
      </w:r>
      <w:r w:rsidR="00BE0D65" w:rsidRPr="00D547F0">
        <w:t>orientations</w:t>
      </w:r>
      <w:r w:rsidR="004E073C" w:rsidRPr="00D547F0">
        <w:t xml:space="preserve"> </w:t>
      </w:r>
      <w:r w:rsidR="00A011A7" w:rsidRPr="00D547F0">
        <w:t>à la CMR-23</w:t>
      </w:r>
      <w:r w:rsidR="004E073C" w:rsidRPr="00D547F0">
        <w:t xml:space="preserve"> </w:t>
      </w:r>
      <w:r w:rsidR="00DC6F90" w:rsidRPr="00D547F0">
        <w:t>pour</w:t>
      </w:r>
      <w:r w:rsidR="0032479D" w:rsidRPr="00D547F0">
        <w:t xml:space="preserve"> </w:t>
      </w:r>
      <w:r w:rsidR="00F1700F" w:rsidRPr="00D547F0">
        <w:t>que celle-ci</w:t>
      </w:r>
      <w:r w:rsidR="00DC6F90" w:rsidRPr="00D547F0">
        <w:t xml:space="preserve"> donne</w:t>
      </w:r>
      <w:r w:rsidR="0032479D" w:rsidRPr="00D547F0">
        <w:t xml:space="preserve"> des </w:t>
      </w:r>
      <w:r w:rsidR="00BE0D65" w:rsidRPr="00D547F0">
        <w:t>indications</w:t>
      </w:r>
      <w:r w:rsidR="0032479D" w:rsidRPr="00D547F0">
        <w:t xml:space="preserve"> au BR </w:t>
      </w:r>
      <w:r w:rsidR="00DC6F90" w:rsidRPr="00D547F0">
        <w:t xml:space="preserve">dans le cadre de </w:t>
      </w:r>
      <w:r w:rsidR="0032479D" w:rsidRPr="00D547F0">
        <w:t>l'application du RR, en particulier pour les examens menés au titre du numéro</w:t>
      </w:r>
      <w:r w:rsidR="008415A8" w:rsidRPr="00D547F0">
        <w:t> </w:t>
      </w:r>
      <w:r w:rsidR="0032479D" w:rsidRPr="00D547F0">
        <w:t>13.6</w:t>
      </w:r>
      <w:r w:rsidR="00C56DF9" w:rsidRPr="00D547F0">
        <w:t>, dans les cas où l'article 48 de la Constitution</w:t>
      </w:r>
      <w:r w:rsidR="004E073C" w:rsidRPr="00D547F0">
        <w:t xml:space="preserve"> </w:t>
      </w:r>
      <w:r w:rsidR="00DC6F90" w:rsidRPr="00D547F0">
        <w:t xml:space="preserve">a été </w:t>
      </w:r>
      <w:r w:rsidR="00C56DF9" w:rsidRPr="00D547F0">
        <w:t>invoqué.</w:t>
      </w:r>
      <w:r w:rsidR="005F2693" w:rsidRPr="00D547F0">
        <w:t xml:space="preserve"> Au cas où il serait nécessaire d'apporter des modifications au RR, </w:t>
      </w:r>
      <w:r w:rsidR="00EE16A8" w:rsidRPr="00D547F0">
        <w:t>celles-ci</w:t>
      </w:r>
      <w:r w:rsidR="00B702AC" w:rsidRPr="00D547F0">
        <w:t xml:space="preserve"> devraient </w:t>
      </w:r>
      <w:r w:rsidR="00E33C31" w:rsidRPr="00D547F0">
        <w:t>être examinées par la CMR-23</w:t>
      </w:r>
      <w:r w:rsidR="000C49D9" w:rsidRPr="00D547F0">
        <w:t>. En conséquence,</w:t>
      </w:r>
      <w:r w:rsidR="004E073C" w:rsidRPr="00D547F0">
        <w:t xml:space="preserve"> </w:t>
      </w:r>
      <w:r w:rsidR="00E33C31" w:rsidRPr="00D547F0">
        <w:t>la PP-22 devrait</w:t>
      </w:r>
      <w:r w:rsidR="004E073C" w:rsidRPr="00D547F0">
        <w:t xml:space="preserve"> </w:t>
      </w:r>
      <w:r w:rsidR="00E33C31" w:rsidRPr="00D547F0">
        <w:t xml:space="preserve">demander à la CMR-23 </w:t>
      </w:r>
      <w:r w:rsidR="000C49D9" w:rsidRPr="00D547F0">
        <w:t>d</w:t>
      </w:r>
      <w:r w:rsidR="00630834" w:rsidRPr="00D547F0">
        <w:t>'</w:t>
      </w:r>
      <w:r w:rsidR="000C49D9" w:rsidRPr="00D547F0">
        <w:t xml:space="preserve">apporter </w:t>
      </w:r>
      <w:r w:rsidR="00E33C31" w:rsidRPr="00D547F0">
        <w:t>les</w:t>
      </w:r>
      <w:r w:rsidR="004E073C" w:rsidRPr="00D547F0">
        <w:t xml:space="preserve"> </w:t>
      </w:r>
      <w:r w:rsidR="000C49D9" w:rsidRPr="00D547F0">
        <w:t xml:space="preserve">modifications </w:t>
      </w:r>
      <w:r w:rsidR="00E33C31" w:rsidRPr="00D547F0">
        <w:t>nécessaires au Règlement des radiocommunications et de fournir des indications au BR, selon qu'il convient, afin</w:t>
      </w:r>
      <w:r w:rsidR="004E073C" w:rsidRPr="00D547F0">
        <w:t xml:space="preserve"> </w:t>
      </w:r>
      <w:r w:rsidR="00FF2113" w:rsidRPr="00D547F0">
        <w:t>d</w:t>
      </w:r>
      <w:r w:rsidR="00630834" w:rsidRPr="00D547F0">
        <w:t>'</w:t>
      </w:r>
      <w:r w:rsidR="00FF2113" w:rsidRPr="00D547F0">
        <w:t xml:space="preserve">instaurer davantage de </w:t>
      </w:r>
      <w:r w:rsidR="002948FD" w:rsidRPr="00D547F0">
        <w:t xml:space="preserve">transparence en ce qui concerne les assignations de fréquence </w:t>
      </w:r>
      <w:r w:rsidR="0080428C" w:rsidRPr="00D547F0">
        <w:t>pour lesquelles l'article 48 de la Constitution de l'UIT est invoqué.</w:t>
      </w:r>
    </w:p>
    <w:p w14:paraId="627527F3" w14:textId="15E03E35" w:rsidR="005D387F" w:rsidRPr="00D547F0" w:rsidRDefault="000C49D9" w:rsidP="00630834">
      <w:r w:rsidRPr="00D547F0">
        <w:t>La</w:t>
      </w:r>
      <w:r w:rsidR="00603A1D" w:rsidRPr="00D547F0">
        <w:t xml:space="preserve"> Résolution de la PP-22</w:t>
      </w:r>
      <w:r w:rsidR="004E073C" w:rsidRPr="00D547F0">
        <w:t xml:space="preserve"> </w:t>
      </w:r>
      <w:r w:rsidRPr="00D547F0">
        <w:t>proposée</w:t>
      </w:r>
      <w:r w:rsidR="004E073C" w:rsidRPr="00D547F0">
        <w:t xml:space="preserve"> </w:t>
      </w:r>
      <w:r w:rsidR="00603A1D" w:rsidRPr="00D547F0">
        <w:t>par la CEPT</w:t>
      </w:r>
      <w:r w:rsidR="004E073C" w:rsidRPr="00D547F0">
        <w:t xml:space="preserve"> </w:t>
      </w:r>
      <w:r w:rsidRPr="00D547F0">
        <w:t xml:space="preserve">vise à </w:t>
      </w:r>
      <w:r w:rsidR="00724DD6" w:rsidRPr="00D547F0">
        <w:t xml:space="preserve">apporter des précisions sur l'invocation de l'article 48 de la Constitution de l'UIT. </w:t>
      </w:r>
      <w:r w:rsidR="00F510B1" w:rsidRPr="00D547F0">
        <w:t>Il est entendu que ces précisions s'applique</w:t>
      </w:r>
      <w:r w:rsidRPr="00D547F0">
        <w:t>ro</w:t>
      </w:r>
      <w:r w:rsidR="00F510B1" w:rsidRPr="00D547F0">
        <w:t xml:space="preserve">nt aussi bien aux invocations </w:t>
      </w:r>
      <w:r w:rsidR="00816260" w:rsidRPr="00D547F0">
        <w:t>antérieures</w:t>
      </w:r>
      <w:r w:rsidR="004E073C" w:rsidRPr="00D547F0">
        <w:t xml:space="preserve"> </w:t>
      </w:r>
      <w:r w:rsidR="00F510B1" w:rsidRPr="00D547F0">
        <w:t>de l'article 48 de la Constitution de l'UIT</w:t>
      </w:r>
      <w:r w:rsidR="00CC009B" w:rsidRPr="00D547F0">
        <w:t xml:space="preserve"> qu</w:t>
      </w:r>
      <w:r w:rsidR="00630834" w:rsidRPr="00D547F0">
        <w:t>'</w:t>
      </w:r>
      <w:r w:rsidR="00CC009B" w:rsidRPr="00D547F0">
        <w:t>aux nouvelles</w:t>
      </w:r>
      <w:r w:rsidR="004E073C" w:rsidRPr="00D547F0">
        <w:t xml:space="preserve"> </w:t>
      </w:r>
      <w:r w:rsidR="00CC009B" w:rsidRPr="00D547F0">
        <w:t>invocations</w:t>
      </w:r>
      <w:r w:rsidR="004E073C" w:rsidRPr="00D547F0">
        <w:t xml:space="preserve"> </w:t>
      </w:r>
      <w:r w:rsidR="00CC009B" w:rsidRPr="00D547F0">
        <w:t>dudit article.</w:t>
      </w:r>
    </w:p>
    <w:p w14:paraId="6BDA2269" w14:textId="77777777" w:rsidR="00BD1614" w:rsidRPr="00D547F0" w:rsidRDefault="00BD1614" w:rsidP="006308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547F0">
        <w:br w:type="page"/>
      </w:r>
    </w:p>
    <w:p w14:paraId="2A66FC0C" w14:textId="77777777" w:rsidR="00A34059" w:rsidRPr="00D547F0" w:rsidRDefault="007D3760" w:rsidP="00630834">
      <w:pPr>
        <w:pStyle w:val="Proposal"/>
      </w:pPr>
      <w:r w:rsidRPr="00D547F0">
        <w:lastRenderedPageBreak/>
        <w:t>ADD</w:t>
      </w:r>
      <w:r w:rsidRPr="00D547F0">
        <w:tab/>
        <w:t>EUR/44A26/1</w:t>
      </w:r>
    </w:p>
    <w:p w14:paraId="4BE03366" w14:textId="77777777" w:rsidR="00A34059" w:rsidRPr="00D547F0" w:rsidRDefault="007D3760" w:rsidP="00630834">
      <w:pPr>
        <w:pStyle w:val="ResNo"/>
      </w:pPr>
      <w:r w:rsidRPr="00D547F0">
        <w:t>Projet de nouvelle Résolution [EUR-</w:t>
      </w:r>
      <w:r w:rsidR="0081273C" w:rsidRPr="00D547F0">
        <w:t>3</w:t>
      </w:r>
      <w:r w:rsidRPr="00D547F0">
        <w:t>]</w:t>
      </w:r>
    </w:p>
    <w:p w14:paraId="73209E21" w14:textId="77777777" w:rsidR="00A34059" w:rsidRPr="00D547F0" w:rsidRDefault="00D422A9" w:rsidP="00630834">
      <w:pPr>
        <w:pStyle w:val="Restitle"/>
      </w:pPr>
      <w:r w:rsidRPr="00D547F0">
        <w:t>Invocation de l'article 48 de la Constitution de l'UIT en ce qui concerne le Règlement des radiocommunications</w:t>
      </w:r>
    </w:p>
    <w:p w14:paraId="455F3C2B" w14:textId="77777777" w:rsidR="00D422A9" w:rsidRPr="00D547F0" w:rsidRDefault="00D422A9" w:rsidP="00630834">
      <w:pPr>
        <w:rPr>
          <w:rFonts w:cs="Calibri"/>
          <w:b/>
          <w:sz w:val="22"/>
          <w:highlight w:val="green"/>
        </w:rPr>
      </w:pPr>
      <w:r w:rsidRPr="00D547F0">
        <w:rPr>
          <w:color w:val="000000"/>
        </w:rPr>
        <w:t>La Conférence de plénipotentiaires de l'Union internationale des télécommunications (Bucarest, </w:t>
      </w:r>
      <w:r w:rsidRPr="00D547F0">
        <w:t>2022),</w:t>
      </w:r>
    </w:p>
    <w:p w14:paraId="719411EA" w14:textId="77777777" w:rsidR="00D422A9" w:rsidRPr="00D547F0" w:rsidRDefault="00D422A9" w:rsidP="00630834">
      <w:pPr>
        <w:pStyle w:val="Call"/>
      </w:pPr>
      <w:r w:rsidRPr="00D547F0">
        <w:t>rappelant</w:t>
      </w:r>
    </w:p>
    <w:p w14:paraId="5880251C" w14:textId="77777777" w:rsidR="00D422A9" w:rsidRPr="00D547F0" w:rsidRDefault="00D422A9" w:rsidP="00630834">
      <w:pPr>
        <w:rPr>
          <w:rFonts w:cs="Calibri"/>
          <w:sz w:val="22"/>
          <w:highlight w:val="green"/>
        </w:rPr>
      </w:pPr>
      <w:r w:rsidRPr="00D547F0">
        <w:rPr>
          <w:i/>
          <w:iCs/>
        </w:rPr>
        <w:t>a)</w:t>
      </w:r>
      <w:r w:rsidRPr="00D547F0">
        <w:tab/>
        <w:t>la Résolution 68/50, "Mesures de transparence et de confiance relatives aux activités spatiales", adoptée par l'Assemblée générale des Nations Unies le 5 décembre 2013;</w:t>
      </w:r>
    </w:p>
    <w:p w14:paraId="471C7A9D" w14:textId="1CA965CE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b)</w:t>
      </w:r>
      <w:r w:rsidRPr="00D547F0">
        <w:tab/>
      </w:r>
      <w:r w:rsidRPr="00D547F0">
        <w:rPr>
          <w:color w:val="000000"/>
        </w:rPr>
        <w:t>le rapport A/68/189 du Groupe d'experts</w:t>
      </w:r>
      <w:r w:rsidR="004E073C" w:rsidRPr="00D547F0">
        <w:rPr>
          <w:color w:val="000000"/>
        </w:rPr>
        <w:t xml:space="preserve"> </w:t>
      </w:r>
      <w:r w:rsidRPr="00D547F0">
        <w:rPr>
          <w:color w:val="000000"/>
        </w:rPr>
        <w:t>gouvernementaux sur les mesures de transparence et de confiance relatives aux activités spatiales transmis à la soixante-huitième session de l'Assemblée générale des Nations Unies;</w:t>
      </w:r>
    </w:p>
    <w:p w14:paraId="2A98B1E7" w14:textId="56FDDCDD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c)</w:t>
      </w:r>
      <w:r w:rsidRPr="00D547F0">
        <w:tab/>
      </w:r>
      <w:r w:rsidR="00940477" w:rsidRPr="00D547F0">
        <w:t xml:space="preserve">que </w:t>
      </w:r>
      <w:r w:rsidRPr="00D547F0">
        <w:rPr>
          <w:color w:val="000000"/>
        </w:rPr>
        <w:t>les États Membres conservent leur entière liberté en ce qui concerne les installations radioélectriques militaires</w:t>
      </w:r>
      <w:r w:rsidR="00940477" w:rsidRPr="00D547F0">
        <w:rPr>
          <w:color w:val="000000"/>
        </w:rPr>
        <w:t>, conformément</w:t>
      </w:r>
      <w:r w:rsidRPr="00D547F0">
        <w:t xml:space="preserve"> </w:t>
      </w:r>
      <w:r w:rsidR="00940477" w:rsidRPr="00D547F0">
        <w:t>à</w:t>
      </w:r>
      <w:r w:rsidRPr="00D547F0">
        <w:t xml:space="preserve"> l'article 48 de la Constitution de l'UIT;</w:t>
      </w:r>
    </w:p>
    <w:p w14:paraId="62BC5A2D" w14:textId="6BA5FF24" w:rsidR="003F6A6A" w:rsidRPr="00D547F0" w:rsidRDefault="00D422A9" w:rsidP="00630834">
      <w:r w:rsidRPr="00D547F0">
        <w:rPr>
          <w:i/>
          <w:iCs/>
        </w:rPr>
        <w:t>d)</w:t>
      </w:r>
      <w:r w:rsidRPr="00D547F0">
        <w:tab/>
      </w:r>
      <w:r w:rsidR="003F6A6A" w:rsidRPr="00D547F0">
        <w:t>qu</w:t>
      </w:r>
      <w:r w:rsidR="00630834" w:rsidRPr="00D547F0">
        <w:t>'</w:t>
      </w:r>
      <w:r w:rsidR="002C7A46" w:rsidRPr="00D547F0">
        <w:t>en vertu de</w:t>
      </w:r>
      <w:r w:rsidR="004E073C" w:rsidRPr="00D547F0">
        <w:t xml:space="preserve"> </w:t>
      </w:r>
      <w:r w:rsidR="003F6A6A" w:rsidRPr="00D547F0">
        <w:t>l'article 48 de la Constitution de l'UIT</w:t>
      </w:r>
      <w:r w:rsidR="002C7A46" w:rsidRPr="00D547F0">
        <w:t>,</w:t>
      </w:r>
      <w:r w:rsidR="004E073C" w:rsidRPr="00D547F0">
        <w:t xml:space="preserve"> </w:t>
      </w:r>
      <w:r w:rsidR="002C7A46" w:rsidRPr="00D547F0">
        <w:t>les</w:t>
      </w:r>
      <w:r w:rsidR="004E073C" w:rsidRPr="00D547F0">
        <w:t xml:space="preserve"> </w:t>
      </w:r>
      <w:r w:rsidR="003F6A6A" w:rsidRPr="00D547F0">
        <w:t>États Membres</w:t>
      </w:r>
      <w:r w:rsidR="002C7A46" w:rsidRPr="00D547F0">
        <w:t xml:space="preserve"> ont toute liberté concernant</w:t>
      </w:r>
      <w:r w:rsidR="004E073C" w:rsidRPr="00D547F0">
        <w:t xml:space="preserve"> </w:t>
      </w:r>
      <w:r w:rsidR="003F6A6A" w:rsidRPr="00D547F0">
        <w:t xml:space="preserve">les installations radioélectriques militaires, </w:t>
      </w:r>
      <w:r w:rsidR="00FA37B7" w:rsidRPr="00D547F0">
        <w:t xml:space="preserve">ce qui </w:t>
      </w:r>
      <w:r w:rsidR="00CD68B3" w:rsidRPr="00D547F0">
        <w:t>correspond à</w:t>
      </w:r>
      <w:r w:rsidR="004E073C" w:rsidRPr="00D547F0">
        <w:t xml:space="preserve"> </w:t>
      </w:r>
      <w:r w:rsidR="00F85E50" w:rsidRPr="00D547F0">
        <w:t>la</w:t>
      </w:r>
      <w:r w:rsidR="00A30A0C" w:rsidRPr="00D547F0">
        <w:t xml:space="preserve"> pratique </w:t>
      </w:r>
      <w:r w:rsidR="00CD68B3" w:rsidRPr="00D547F0">
        <w:t xml:space="preserve">suivie </w:t>
      </w:r>
      <w:r w:rsidR="00A30A0C" w:rsidRPr="00D547F0">
        <w:t>de longue date</w:t>
      </w:r>
      <w:r w:rsidR="004E073C" w:rsidRPr="00D547F0">
        <w:t xml:space="preserve"> </w:t>
      </w:r>
      <w:r w:rsidR="00F85E50" w:rsidRPr="00D547F0">
        <w:t>par les</w:t>
      </w:r>
      <w:r w:rsidR="00EE02F0" w:rsidRPr="00D547F0">
        <w:t xml:space="preserve"> États</w:t>
      </w:r>
      <w:r w:rsidR="004E073C" w:rsidRPr="00D547F0">
        <w:t xml:space="preserve"> </w:t>
      </w:r>
      <w:r w:rsidR="00F85E50" w:rsidRPr="00D547F0">
        <w:t>en matière de</w:t>
      </w:r>
      <w:r w:rsidR="004E073C" w:rsidRPr="00D547F0">
        <w:t xml:space="preserve"> </w:t>
      </w:r>
      <w:r w:rsidR="00EE02F0" w:rsidRPr="00D547F0">
        <w:t>gouvernance des télécommunications internationales,</w:t>
      </w:r>
    </w:p>
    <w:p w14:paraId="3F54FE2C" w14:textId="77777777" w:rsidR="00D422A9" w:rsidRPr="00D547F0" w:rsidRDefault="00D422A9" w:rsidP="00630834">
      <w:pPr>
        <w:pStyle w:val="Call"/>
      </w:pPr>
      <w:r w:rsidRPr="00D547F0">
        <w:t>notant</w:t>
      </w:r>
    </w:p>
    <w:p w14:paraId="3AA7A757" w14:textId="7EF4E0FA" w:rsidR="00D422A9" w:rsidRPr="00D547F0" w:rsidRDefault="00D422A9" w:rsidP="00630834">
      <w:r w:rsidRPr="00D547F0">
        <w:rPr>
          <w:i/>
          <w:iCs/>
        </w:rPr>
        <w:t>a)</w:t>
      </w:r>
      <w:r w:rsidRPr="00D547F0">
        <w:tab/>
      </w:r>
      <w:r w:rsidR="00BF350D" w:rsidRPr="00D547F0">
        <w:t xml:space="preserve">que les </w:t>
      </w:r>
      <w:r w:rsidR="00BF350D" w:rsidRPr="00D547F0">
        <w:rPr>
          <w:caps/>
        </w:rPr>
        <w:t>é</w:t>
      </w:r>
      <w:r w:rsidR="00BF350D" w:rsidRPr="00D547F0">
        <w:t>tats Membres de l'UIT</w:t>
      </w:r>
      <w:r w:rsidRPr="00D547F0">
        <w:t xml:space="preserve"> </w:t>
      </w:r>
      <w:r w:rsidR="00BF350D" w:rsidRPr="00D547F0">
        <w:t>invoquent l'article 48 de la Constitution de l'UIT</w:t>
      </w:r>
      <w:r w:rsidR="00CD68B3" w:rsidRPr="00D547F0">
        <w:t xml:space="preserve"> en ce qui concerne les</w:t>
      </w:r>
      <w:r w:rsidR="004E073C" w:rsidRPr="00D547F0">
        <w:t xml:space="preserve"> </w:t>
      </w:r>
      <w:r w:rsidR="002C7A46" w:rsidRPr="00D547F0">
        <w:t xml:space="preserve">à la fois </w:t>
      </w:r>
      <w:r w:rsidR="00DF02AA" w:rsidRPr="00D547F0">
        <w:t xml:space="preserve">les assignations de fréquence des systèmes à satellites et </w:t>
      </w:r>
      <w:r w:rsidR="002C7A46" w:rsidRPr="00D547F0">
        <w:t xml:space="preserve">les assignations de fréquence </w:t>
      </w:r>
      <w:r w:rsidR="00DF02AA" w:rsidRPr="00D547F0">
        <w:t>des systèmes de Terre</w:t>
      </w:r>
      <w:r w:rsidRPr="00D547F0">
        <w:t>;</w:t>
      </w:r>
    </w:p>
    <w:p w14:paraId="4CCB87C7" w14:textId="2771E228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b)</w:t>
      </w:r>
      <w:r w:rsidRPr="00D547F0">
        <w:tab/>
      </w:r>
      <w:r w:rsidR="00BF350D" w:rsidRPr="00D547F0">
        <w:t>que l'article 48 de la Constitution de l'UIT fait mention</w:t>
      </w:r>
      <w:r w:rsidRPr="00D547F0">
        <w:t xml:space="preserve"> </w:t>
      </w:r>
      <w:r w:rsidR="00BF350D" w:rsidRPr="00D547F0">
        <w:t>d'</w:t>
      </w:r>
      <w:r w:rsidR="00BF350D" w:rsidRPr="00D547F0">
        <w:rPr>
          <w:bCs/>
        </w:rPr>
        <w:t>installations radioélectriques militaires, et non de stations utilisées à des fins gouvernementales en général</w:t>
      </w:r>
      <w:r w:rsidRPr="00D547F0">
        <w:t>,</w:t>
      </w:r>
    </w:p>
    <w:p w14:paraId="3724A899" w14:textId="77777777" w:rsidR="00D422A9" w:rsidRPr="00D547F0" w:rsidRDefault="00D422A9" w:rsidP="00630834">
      <w:pPr>
        <w:pStyle w:val="Call"/>
      </w:pPr>
      <w:r w:rsidRPr="00D547F0">
        <w:t>considérant</w:t>
      </w:r>
    </w:p>
    <w:p w14:paraId="1464BE1E" w14:textId="099C1D5E" w:rsidR="00BF350D" w:rsidRPr="00D547F0" w:rsidRDefault="00BF350D" w:rsidP="00630834">
      <w:r w:rsidRPr="00D547F0">
        <w:rPr>
          <w:i/>
        </w:rPr>
        <w:t>a)</w:t>
      </w:r>
      <w:r w:rsidRPr="00D547F0">
        <w:tab/>
        <w:t xml:space="preserve">que les </w:t>
      </w:r>
      <w:r w:rsidRPr="00D547F0">
        <w:rPr>
          <w:caps/>
        </w:rPr>
        <w:t>é</w:t>
      </w:r>
      <w:r w:rsidRPr="00D547F0">
        <w:t xml:space="preserve">tats Membres de l'UIT dépendent des technologies </w:t>
      </w:r>
      <w:r w:rsidR="00CC1169" w:rsidRPr="00D547F0">
        <w:rPr>
          <w:color w:val="000000"/>
        </w:rPr>
        <w:t>satellitaires</w:t>
      </w:r>
      <w:r w:rsidRPr="00D547F0">
        <w:rPr>
          <w:color w:val="000000"/>
        </w:rPr>
        <w:t xml:space="preserve"> pour toute une gamme d</w:t>
      </w:r>
      <w:r w:rsidRPr="00D547F0">
        <w:t>'</w:t>
      </w:r>
      <w:r w:rsidRPr="00D547F0">
        <w:rPr>
          <w:color w:val="000000"/>
        </w:rPr>
        <w:t>activités, par exemple l</w:t>
      </w:r>
      <w:r w:rsidRPr="00D547F0">
        <w:t>'</w:t>
      </w:r>
      <w:r w:rsidRPr="00D547F0">
        <w:rPr>
          <w:color w:val="000000"/>
        </w:rPr>
        <w:t>exploration de la Terre, les télécommunications, la navigation</w:t>
      </w:r>
      <w:r w:rsidRPr="00D547F0">
        <w:t>, etc.;</w:t>
      </w:r>
    </w:p>
    <w:p w14:paraId="77DE31C7" w14:textId="129C8853" w:rsidR="00BF350D" w:rsidRPr="00D547F0" w:rsidRDefault="00BF350D" w:rsidP="00630834">
      <w:r w:rsidRPr="00D547F0">
        <w:rPr>
          <w:i/>
          <w:iCs/>
        </w:rPr>
        <w:t>b)</w:t>
      </w:r>
      <w:r w:rsidRPr="00D547F0">
        <w:tab/>
        <w:t xml:space="preserve">que </w:t>
      </w:r>
      <w:r w:rsidR="009C5CE8" w:rsidRPr="00D547F0">
        <w:t xml:space="preserve">les </w:t>
      </w:r>
      <w:r w:rsidRPr="00D547F0">
        <w:t>applications satellitaires fiables font</w:t>
      </w:r>
      <w:r w:rsidR="004E073C" w:rsidRPr="00D547F0">
        <w:t xml:space="preserve"> </w:t>
      </w:r>
      <w:r w:rsidR="00B93ECC" w:rsidRPr="00D547F0">
        <w:t>aujourd</w:t>
      </w:r>
      <w:r w:rsidR="00630834" w:rsidRPr="00D547F0">
        <w:t>'</w:t>
      </w:r>
      <w:r w:rsidR="00B93ECC" w:rsidRPr="00D547F0">
        <w:t>hui</w:t>
      </w:r>
      <w:r w:rsidR="00B93ECC" w:rsidRPr="00D547F0" w:rsidDel="00B93ECC">
        <w:t xml:space="preserve"> </w:t>
      </w:r>
      <w:r w:rsidRPr="00D547F0">
        <w:t>partie intégrante des infrastructures nationales et internationales;</w:t>
      </w:r>
    </w:p>
    <w:p w14:paraId="222897EE" w14:textId="55DB393C" w:rsidR="00BF350D" w:rsidRPr="00D547F0" w:rsidRDefault="00BF350D" w:rsidP="00630834">
      <w:r w:rsidRPr="00D547F0">
        <w:rPr>
          <w:i/>
        </w:rPr>
        <w:t>c)</w:t>
      </w:r>
      <w:r w:rsidRPr="00D547F0">
        <w:tab/>
      </w:r>
      <w:r w:rsidRPr="00D547F0">
        <w:rPr>
          <w:color w:val="000000"/>
        </w:rPr>
        <w:t xml:space="preserve">que les utilisateurs </w:t>
      </w:r>
      <w:r w:rsidR="00B93ECC" w:rsidRPr="00D547F0">
        <w:rPr>
          <w:color w:val="000000"/>
        </w:rPr>
        <w:t>de</w:t>
      </w:r>
      <w:r w:rsidR="004E073C" w:rsidRPr="00D547F0">
        <w:rPr>
          <w:color w:val="000000"/>
        </w:rPr>
        <w:t xml:space="preserve"> </w:t>
      </w:r>
      <w:r w:rsidRPr="00D547F0">
        <w:rPr>
          <w:color w:val="000000"/>
        </w:rPr>
        <w:t>services par satellite</w:t>
      </w:r>
      <w:r w:rsidR="00315509" w:rsidRPr="00D547F0">
        <w:rPr>
          <w:color w:val="000000"/>
        </w:rPr>
        <w:t>,</w:t>
      </w:r>
      <w:r w:rsidRPr="00D547F0">
        <w:rPr>
          <w:color w:val="000000"/>
        </w:rPr>
        <w:t xml:space="preserve"> ainsi que les fournisseurs de ces services</w:t>
      </w:r>
      <w:r w:rsidR="00315509" w:rsidRPr="00D547F0">
        <w:rPr>
          <w:color w:val="000000"/>
        </w:rPr>
        <w:t>,</w:t>
      </w:r>
      <w:r w:rsidRPr="00D547F0">
        <w:rPr>
          <w:color w:val="000000"/>
        </w:rPr>
        <w:t xml:space="preserve"> sont en droit d'attendre que les services mis en place conformément au Règlement des radiocommunications puissent fonctionner sans subir de brouillages ou d'interruptions,</w:t>
      </w:r>
    </w:p>
    <w:p w14:paraId="24608C62" w14:textId="7BE9CEBE" w:rsidR="00315509" w:rsidRPr="00D547F0" w:rsidRDefault="00D422A9" w:rsidP="00630834">
      <w:r w:rsidRPr="00D547F0">
        <w:rPr>
          <w:i/>
          <w:iCs/>
        </w:rPr>
        <w:t>d)</w:t>
      </w:r>
      <w:r w:rsidR="00BF350D" w:rsidRPr="00D547F0">
        <w:tab/>
      </w:r>
      <w:r w:rsidR="00315509" w:rsidRPr="00D547F0">
        <w:t>que</w:t>
      </w:r>
      <w:r w:rsidR="00B93ECC" w:rsidRPr="00D547F0">
        <w:t xml:space="preserve"> l'UIT</w:t>
      </w:r>
      <w:r w:rsidR="00315509" w:rsidRPr="00D547F0">
        <w:t xml:space="preserve">, tout en reconnaissant le droit souverain de chaque État </w:t>
      </w:r>
      <w:r w:rsidR="00B93ECC" w:rsidRPr="00D547F0">
        <w:t>en ce qui concerne</w:t>
      </w:r>
      <w:r w:rsidR="004E073C" w:rsidRPr="00D547F0">
        <w:t xml:space="preserve"> </w:t>
      </w:r>
      <w:r w:rsidR="00315509" w:rsidRPr="00D547F0">
        <w:t>ses télécommunications,</w:t>
      </w:r>
      <w:r w:rsidR="004E073C" w:rsidRPr="00D547F0">
        <w:t xml:space="preserve"> </w:t>
      </w:r>
      <w:r w:rsidR="00B771F9" w:rsidRPr="00D547F0">
        <w:t xml:space="preserve">est chargée de </w:t>
      </w:r>
      <w:r w:rsidR="003F0B99" w:rsidRPr="00D547F0">
        <w:t xml:space="preserve">maintenir et de </w:t>
      </w:r>
      <w:r w:rsidR="002A3FB8" w:rsidRPr="00D547F0">
        <w:t>renforcer</w:t>
      </w:r>
      <w:r w:rsidR="003F0B99" w:rsidRPr="00D547F0">
        <w:t xml:space="preserve"> la coopération concernant l'utilisation des télécommuni</w:t>
      </w:r>
      <w:r w:rsidR="00A40102" w:rsidRPr="00D547F0">
        <w:t>cations au niveau international;</w:t>
      </w:r>
    </w:p>
    <w:p w14:paraId="0B9C2C21" w14:textId="2E1845D8" w:rsidR="004D2A78" w:rsidRPr="00D547F0" w:rsidRDefault="00D422A9" w:rsidP="008415A8">
      <w:pPr>
        <w:keepLines/>
      </w:pPr>
      <w:r w:rsidRPr="00D547F0">
        <w:rPr>
          <w:i/>
          <w:iCs/>
        </w:rPr>
        <w:lastRenderedPageBreak/>
        <w:t>e)</w:t>
      </w:r>
      <w:r w:rsidRPr="00D547F0">
        <w:tab/>
      </w:r>
      <w:r w:rsidR="004D2A78" w:rsidRPr="00D547F0">
        <w:t xml:space="preserve">que l'Union doit fournir des </w:t>
      </w:r>
      <w:r w:rsidR="00C507B1" w:rsidRPr="00D547F0">
        <w:t>orientations additionnelles</w:t>
      </w:r>
      <w:r w:rsidR="0077090F" w:rsidRPr="00D547F0">
        <w:t xml:space="preserve">, pour faire en sorte </w:t>
      </w:r>
      <w:r w:rsidR="00C507B1" w:rsidRPr="00D547F0">
        <w:t>qu</w:t>
      </w:r>
      <w:r w:rsidR="00630834" w:rsidRPr="00D547F0">
        <w:t>'</w:t>
      </w:r>
      <w:r w:rsidR="00C507B1" w:rsidRPr="00D547F0">
        <w:t>un</w:t>
      </w:r>
      <w:r w:rsidR="0077090F" w:rsidRPr="00D547F0">
        <w:t xml:space="preserve"> </w:t>
      </w:r>
      <w:r w:rsidR="00D81E6D" w:rsidRPr="00D547F0">
        <w:t>État Membre invoquant</w:t>
      </w:r>
      <w:r w:rsidR="0077090F" w:rsidRPr="00D547F0">
        <w:t xml:space="preserve"> l'article 48 de la Constitution de l'UIT po</w:t>
      </w:r>
      <w:r w:rsidR="00D81E6D" w:rsidRPr="00D547F0">
        <w:t xml:space="preserve">ur une assignation de fréquence </w:t>
      </w:r>
      <w:r w:rsidR="0077090F" w:rsidRPr="00D547F0">
        <w:t>soit conscient</w:t>
      </w:r>
      <w:r w:rsidR="00A0587B" w:rsidRPr="00D547F0">
        <w:t xml:space="preserve"> qu</w:t>
      </w:r>
      <w:r w:rsidR="00630834" w:rsidRPr="00D547F0">
        <w:t>'</w:t>
      </w:r>
      <w:r w:rsidR="00A0587B" w:rsidRPr="00D547F0">
        <w:t>il</w:t>
      </w:r>
      <w:r w:rsidR="004E073C" w:rsidRPr="00D547F0">
        <w:t xml:space="preserve"> </w:t>
      </w:r>
      <w:r w:rsidR="00A0587B" w:rsidRPr="00D547F0">
        <w:t>a l</w:t>
      </w:r>
      <w:r w:rsidR="00630834" w:rsidRPr="00D547F0">
        <w:t>'</w:t>
      </w:r>
      <w:r w:rsidR="00A0587B" w:rsidRPr="00D547F0">
        <w:t>obligation</w:t>
      </w:r>
      <w:r w:rsidR="004E073C" w:rsidRPr="00D547F0">
        <w:t xml:space="preserve"> </w:t>
      </w:r>
      <w:r w:rsidR="0077090F" w:rsidRPr="00D547F0">
        <w:t>d</w:t>
      </w:r>
      <w:r w:rsidR="00C507B1" w:rsidRPr="00D547F0">
        <w:t>e n</w:t>
      </w:r>
      <w:r w:rsidR="00630834" w:rsidRPr="00D547F0">
        <w:t>'</w:t>
      </w:r>
      <w:r w:rsidR="0077090F" w:rsidRPr="00D547F0">
        <w:t xml:space="preserve">utiliser cette assignation de fréquence </w:t>
      </w:r>
      <w:r w:rsidR="00C507B1" w:rsidRPr="00D547F0">
        <w:t xml:space="preserve">que </w:t>
      </w:r>
      <w:r w:rsidR="009214E4" w:rsidRPr="00D547F0">
        <w:t>pour des installations radioélectriques militaires</w:t>
      </w:r>
      <w:r w:rsidR="004E073C" w:rsidRPr="00D547F0">
        <w:t xml:space="preserve"> </w:t>
      </w:r>
      <w:r w:rsidR="00D81E6D" w:rsidRPr="00D547F0">
        <w:t xml:space="preserve">et pour </w:t>
      </w:r>
      <w:r w:rsidR="00767BD5" w:rsidRPr="00D547F0">
        <w:t>éviter que</w:t>
      </w:r>
      <w:r w:rsidR="004E073C" w:rsidRPr="00D547F0">
        <w:t xml:space="preserve"> </w:t>
      </w:r>
      <w:r w:rsidR="00C507B1" w:rsidRPr="00D547F0">
        <w:t xml:space="preserve">ledit </w:t>
      </w:r>
      <w:r w:rsidR="00767BD5" w:rsidRPr="00D547F0">
        <w:t>article</w:t>
      </w:r>
      <w:r w:rsidR="004E073C" w:rsidRPr="00D547F0">
        <w:t xml:space="preserve"> </w:t>
      </w:r>
      <w:r w:rsidR="00767BD5" w:rsidRPr="00D547F0">
        <w:t>soit invoqué dans</w:t>
      </w:r>
      <w:r w:rsidR="004E073C" w:rsidRPr="00D547F0">
        <w:t xml:space="preserve"> </w:t>
      </w:r>
      <w:r w:rsidR="00C507B1" w:rsidRPr="00D547F0">
        <w:t xml:space="preserve">les </w:t>
      </w:r>
      <w:r w:rsidR="00767BD5" w:rsidRPr="00D547F0">
        <w:t>autres cas,</w:t>
      </w:r>
    </w:p>
    <w:p w14:paraId="36B1C062" w14:textId="77777777" w:rsidR="00D422A9" w:rsidRPr="00D547F0" w:rsidRDefault="00D422A9" w:rsidP="00630834">
      <w:pPr>
        <w:pStyle w:val="Call"/>
      </w:pPr>
      <w:r w:rsidRPr="00D547F0">
        <w:t>reco</w:t>
      </w:r>
      <w:r w:rsidR="00BF350D" w:rsidRPr="00D547F0">
        <w:t>nnaissant</w:t>
      </w:r>
    </w:p>
    <w:p w14:paraId="5C2E4684" w14:textId="621F40A6" w:rsidR="00D422A9" w:rsidRPr="00D547F0" w:rsidRDefault="00D422A9" w:rsidP="00630834">
      <w:r w:rsidRPr="00D547F0">
        <w:rPr>
          <w:i/>
          <w:iCs/>
        </w:rPr>
        <w:t>a)</w:t>
      </w:r>
      <w:r w:rsidRPr="00D547F0">
        <w:tab/>
      </w:r>
      <w:r w:rsidR="00BF350D" w:rsidRPr="00D547F0">
        <w:t>l'</w:t>
      </w:r>
      <w:r w:rsidR="00BF350D" w:rsidRPr="00D547F0">
        <w:rPr>
          <w:color w:val="000000"/>
        </w:rPr>
        <w:t>article 45 de la Constitution de l'UIT</w:t>
      </w:r>
      <w:r w:rsidR="00CE5F33" w:rsidRPr="00D547F0">
        <w:rPr>
          <w:color w:val="000000"/>
        </w:rPr>
        <w:t>,</w:t>
      </w:r>
      <w:r w:rsidR="00BF350D" w:rsidRPr="00D547F0">
        <w:t xml:space="preserve"> </w:t>
      </w:r>
      <w:r w:rsidR="00CE5F33" w:rsidRPr="00D547F0">
        <w:t>intitulé "</w:t>
      </w:r>
      <w:r w:rsidR="00BF350D" w:rsidRPr="00D547F0">
        <w:rPr>
          <w:color w:val="000000"/>
        </w:rPr>
        <w:t>Brouillages préjudiciables</w:t>
      </w:r>
      <w:r w:rsidR="00CE5F33" w:rsidRPr="00D547F0">
        <w:rPr>
          <w:color w:val="000000"/>
        </w:rPr>
        <w:t>"</w:t>
      </w:r>
      <w:r w:rsidR="00BF350D" w:rsidRPr="00D547F0">
        <w:t>;</w:t>
      </w:r>
    </w:p>
    <w:p w14:paraId="76542AC3" w14:textId="7E6CA37D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b)</w:t>
      </w:r>
      <w:r w:rsidRPr="00D547F0">
        <w:tab/>
      </w:r>
      <w:r w:rsidR="00BF350D" w:rsidRPr="00D547F0">
        <w:t>l'</w:t>
      </w:r>
      <w:r w:rsidR="00BF350D" w:rsidRPr="00D547F0">
        <w:rPr>
          <w:color w:val="000000"/>
        </w:rPr>
        <w:t>article 48 de la Constitution de l'UIT</w:t>
      </w:r>
      <w:r w:rsidR="00CE5F33" w:rsidRPr="00D547F0">
        <w:rPr>
          <w:color w:val="000000"/>
        </w:rPr>
        <w:t>,</w:t>
      </w:r>
      <w:r w:rsidR="00BF350D" w:rsidRPr="00D547F0">
        <w:t xml:space="preserve"> </w:t>
      </w:r>
      <w:r w:rsidR="00CE5F33" w:rsidRPr="00D547F0">
        <w:t>intitulé "</w:t>
      </w:r>
      <w:r w:rsidR="00BF350D" w:rsidRPr="00D547F0">
        <w:rPr>
          <w:color w:val="000000"/>
        </w:rPr>
        <w:t>Installations des services de défense nationale</w:t>
      </w:r>
      <w:r w:rsidR="00CE5F33" w:rsidRPr="00D547F0">
        <w:rPr>
          <w:color w:val="000000"/>
        </w:rPr>
        <w:t>"</w:t>
      </w:r>
      <w:r w:rsidRPr="00D547F0">
        <w:t>;</w:t>
      </w:r>
    </w:p>
    <w:p w14:paraId="15F981DD" w14:textId="67A6AED1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c)</w:t>
      </w:r>
      <w:r w:rsidRPr="00D547F0">
        <w:tab/>
      </w:r>
      <w:r w:rsidR="00BF350D" w:rsidRPr="00D547F0">
        <w:t>l'article 6 de la Constitution de l'UIT</w:t>
      </w:r>
      <w:r w:rsidR="00CE5F33" w:rsidRPr="00D547F0">
        <w:t>, intitulé</w:t>
      </w:r>
      <w:r w:rsidR="00BF350D" w:rsidRPr="00D547F0">
        <w:t xml:space="preserve"> </w:t>
      </w:r>
      <w:r w:rsidR="00CE5F33" w:rsidRPr="00D547F0">
        <w:t>"</w:t>
      </w:r>
      <w:r w:rsidR="00BF350D" w:rsidRPr="00D547F0">
        <w:t>Exécution des instruments de l'Union</w:t>
      </w:r>
      <w:r w:rsidR="00CE5F33" w:rsidRPr="00D547F0">
        <w:t>"</w:t>
      </w:r>
      <w:r w:rsidRPr="00D547F0">
        <w:t>;</w:t>
      </w:r>
    </w:p>
    <w:p w14:paraId="1FF7BB0D" w14:textId="13830403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d)</w:t>
      </w:r>
      <w:r w:rsidRPr="00D547F0">
        <w:tab/>
      </w:r>
      <w:r w:rsidR="009F09BF" w:rsidRPr="00D547F0">
        <w:t xml:space="preserve">la </w:t>
      </w:r>
      <w:r w:rsidRPr="00D547F0">
        <w:t xml:space="preserve">Section II </w:t>
      </w:r>
      <w:r w:rsidR="009F09BF" w:rsidRPr="00D547F0">
        <w:t>de l'</w:t>
      </w:r>
      <w:r w:rsidRPr="00D547F0">
        <w:t xml:space="preserve">Article 13 </w:t>
      </w:r>
      <w:r w:rsidR="009F09BF" w:rsidRPr="00D547F0">
        <w:t>du Règlement des radiocommunications</w:t>
      </w:r>
      <w:r w:rsidR="00A0587B" w:rsidRPr="00D547F0">
        <w:t xml:space="preserve"> sur la t</w:t>
      </w:r>
      <w:r w:rsidR="009F09BF" w:rsidRPr="00D547F0">
        <w:t>enue à jour du Fichier de référence et des Plans mondiaux par le Bureau</w:t>
      </w:r>
      <w:r w:rsidR="00A0587B" w:rsidRPr="00D547F0">
        <w:t xml:space="preserve"> </w:t>
      </w:r>
      <w:r w:rsidR="009F09BF" w:rsidRPr="00D547F0">
        <w:t>et</w:t>
      </w:r>
      <w:r w:rsidR="00A0587B" w:rsidRPr="00D547F0">
        <w:t>,</w:t>
      </w:r>
      <w:r w:rsidR="009F09BF" w:rsidRPr="00D547F0">
        <w:t xml:space="preserve"> notamment</w:t>
      </w:r>
      <w:r w:rsidR="00A0587B" w:rsidRPr="00D547F0">
        <w:t>,</w:t>
      </w:r>
      <w:r w:rsidR="009F09BF" w:rsidRPr="00D547F0">
        <w:t xml:space="preserve"> </w:t>
      </w:r>
      <w:r w:rsidR="0021094E" w:rsidRPr="00D547F0">
        <w:t xml:space="preserve">le </w:t>
      </w:r>
      <w:r w:rsidR="009F09BF" w:rsidRPr="00D547F0">
        <w:t>numéro</w:t>
      </w:r>
      <w:r w:rsidRPr="00D547F0">
        <w:t xml:space="preserve"> 13.6</w:t>
      </w:r>
      <w:r w:rsidR="009F09BF" w:rsidRPr="00D547F0">
        <w:t>;</w:t>
      </w:r>
    </w:p>
    <w:p w14:paraId="7DCFAB4C" w14:textId="54D5CF20" w:rsidR="009F09BF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e)</w:t>
      </w:r>
      <w:r w:rsidRPr="00D547F0">
        <w:tab/>
      </w:r>
      <w:r w:rsidR="009F09BF" w:rsidRPr="00D547F0">
        <w:t>l'</w:t>
      </w:r>
      <w:r w:rsidRPr="00D547F0">
        <w:t xml:space="preserve">Article 15 </w:t>
      </w:r>
      <w:r w:rsidR="009F09BF" w:rsidRPr="00D547F0">
        <w:t>du Règlement des radiocommunications</w:t>
      </w:r>
      <w:r w:rsidR="00A0587B" w:rsidRPr="00D547F0">
        <w:t xml:space="preserve"> sur les b</w:t>
      </w:r>
      <w:r w:rsidR="009F09BF" w:rsidRPr="00D547F0">
        <w:t>rouillages</w:t>
      </w:r>
      <w:r w:rsidRPr="00D547F0">
        <w:t>;</w:t>
      </w:r>
    </w:p>
    <w:p w14:paraId="22EB910D" w14:textId="6D64BB8E" w:rsidR="00D422A9" w:rsidRPr="00D547F0" w:rsidRDefault="00D422A9" w:rsidP="00630834">
      <w:r w:rsidRPr="00D547F0">
        <w:rPr>
          <w:i/>
          <w:iCs/>
        </w:rPr>
        <w:t>f)</w:t>
      </w:r>
      <w:r w:rsidRPr="00D547F0">
        <w:tab/>
      </w:r>
      <w:r w:rsidR="00BF350D" w:rsidRPr="00D547F0">
        <w:t>l'</w:t>
      </w:r>
      <w:r w:rsidR="00BF350D" w:rsidRPr="00D547F0">
        <w:rPr>
          <w:color w:val="000000"/>
        </w:rPr>
        <w:t>article 4</w:t>
      </w:r>
      <w:r w:rsidR="009F09BF" w:rsidRPr="00D547F0">
        <w:rPr>
          <w:color w:val="000000"/>
        </w:rPr>
        <w:t>4</w:t>
      </w:r>
      <w:r w:rsidR="00BF350D" w:rsidRPr="00D547F0">
        <w:rPr>
          <w:color w:val="000000"/>
        </w:rPr>
        <w:t xml:space="preserve"> </w:t>
      </w:r>
      <w:r w:rsidR="00A0587B" w:rsidRPr="00D547F0">
        <w:rPr>
          <w:color w:val="000000"/>
        </w:rPr>
        <w:t xml:space="preserve">(numéro 196) </w:t>
      </w:r>
      <w:r w:rsidR="00BF350D" w:rsidRPr="00D547F0">
        <w:rPr>
          <w:color w:val="000000"/>
        </w:rPr>
        <w:t>de la Constitution de l'UIT</w:t>
      </w:r>
      <w:r w:rsidR="008249CB" w:rsidRPr="00D547F0">
        <w:t>, intitulé</w:t>
      </w:r>
      <w:r w:rsidRPr="00D547F0">
        <w:t xml:space="preserve"> </w:t>
      </w:r>
      <w:r w:rsidR="008249CB" w:rsidRPr="00D547F0">
        <w:rPr>
          <w:color w:val="000000"/>
        </w:rPr>
        <w:t>"U</w:t>
      </w:r>
      <w:r w:rsidR="00F86F3A" w:rsidRPr="00D547F0">
        <w:rPr>
          <w:color w:val="000000"/>
        </w:rPr>
        <w:t xml:space="preserve">tilisation du spectre des fréquences </w:t>
      </w:r>
      <w:r w:rsidR="00F86F3A" w:rsidRPr="00D547F0">
        <w:t>radioélectriques ainsi que de l'orbite des satellites géostationnaires et d'autres orbites</w:t>
      </w:r>
      <w:r w:rsidR="008249CB" w:rsidRPr="00D547F0">
        <w:t>";</w:t>
      </w:r>
    </w:p>
    <w:p w14:paraId="42285EBD" w14:textId="4C7C3A4F" w:rsidR="00D422A9" w:rsidRPr="00D547F0" w:rsidRDefault="00D422A9" w:rsidP="00630834">
      <w:pPr>
        <w:rPr>
          <w:rFonts w:cs="Calibri"/>
          <w:sz w:val="22"/>
        </w:rPr>
      </w:pPr>
      <w:r w:rsidRPr="00D547F0">
        <w:rPr>
          <w:i/>
          <w:iCs/>
        </w:rPr>
        <w:t>g)</w:t>
      </w:r>
      <w:r w:rsidRPr="00D547F0">
        <w:tab/>
      </w:r>
      <w:r w:rsidR="009F09BF" w:rsidRPr="00D547F0">
        <w:t>l'Article 8 du Règlement des radiocommunications</w:t>
      </w:r>
      <w:bookmarkStart w:id="11" w:name="_Toc455752923"/>
      <w:bookmarkStart w:id="12" w:name="_Toc455756162"/>
      <w:r w:rsidR="00A0587B" w:rsidRPr="00D547F0">
        <w:t xml:space="preserve"> sur le s</w:t>
      </w:r>
      <w:r w:rsidR="009F09BF" w:rsidRPr="00D547F0">
        <w:t>tatut des assignations de fréquence inscrites dans le Fichier de référence international des fréquences</w:t>
      </w:r>
      <w:bookmarkEnd w:id="11"/>
      <w:bookmarkEnd w:id="12"/>
      <w:r w:rsidRPr="00D547F0">
        <w:t>,</w:t>
      </w:r>
    </w:p>
    <w:p w14:paraId="21C74949" w14:textId="77777777" w:rsidR="00D422A9" w:rsidRPr="00D547F0" w:rsidRDefault="009F09BF" w:rsidP="00630834">
      <w:pPr>
        <w:pStyle w:val="Call"/>
      </w:pPr>
      <w:r w:rsidRPr="00D547F0">
        <w:t>décide</w:t>
      </w:r>
    </w:p>
    <w:p w14:paraId="377660E5" w14:textId="5AD18E41" w:rsidR="00C20D62" w:rsidRPr="00D547F0" w:rsidRDefault="00D422A9" w:rsidP="00630834">
      <w:r w:rsidRPr="00D547F0">
        <w:t>1</w:t>
      </w:r>
      <w:r w:rsidRPr="00D547F0">
        <w:tab/>
      </w:r>
      <w:r w:rsidR="00C20D62" w:rsidRPr="00D547F0">
        <w:t xml:space="preserve">que le droit des administrations d'invoquer l'article </w:t>
      </w:r>
      <w:r w:rsidR="005413AD" w:rsidRPr="00D547F0">
        <w:t xml:space="preserve">48 de la Constitution de l'UIT ne doit pas </w:t>
      </w:r>
      <w:r w:rsidR="00FF3FF3" w:rsidRPr="00D547F0">
        <w:t>faire l'objet de restrictions</w:t>
      </w:r>
      <w:r w:rsidR="005413AD" w:rsidRPr="00D547F0">
        <w:t>;</w:t>
      </w:r>
    </w:p>
    <w:p w14:paraId="14E7F2D3" w14:textId="7775AADB" w:rsidR="007D3760" w:rsidRPr="00D547F0" w:rsidRDefault="00D422A9" w:rsidP="00630834">
      <w:pPr>
        <w:rPr>
          <w:rFonts w:cs="Calibri"/>
          <w:sz w:val="22"/>
        </w:rPr>
      </w:pPr>
      <w:r w:rsidRPr="00D547F0">
        <w:t>2</w:t>
      </w:r>
      <w:r w:rsidRPr="00D547F0">
        <w:tab/>
      </w:r>
      <w:r w:rsidR="00B07345" w:rsidRPr="00D547F0">
        <w:t>qu'</w:t>
      </w:r>
      <w:r w:rsidR="007D3760" w:rsidRPr="00D547F0">
        <w:t xml:space="preserve">un État Membre invoquant l'article 48 </w:t>
      </w:r>
      <w:r w:rsidR="00B07345" w:rsidRPr="00D547F0">
        <w:t xml:space="preserve">de la Constitution de l'UIT </w:t>
      </w:r>
      <w:r w:rsidR="007D3760" w:rsidRPr="00D547F0">
        <w:t xml:space="preserve">pour </w:t>
      </w:r>
      <w:r w:rsidR="00D00EFF" w:rsidRPr="00D547F0">
        <w:t xml:space="preserve">une </w:t>
      </w:r>
      <w:r w:rsidR="007D3760" w:rsidRPr="00D547F0">
        <w:t>assignation de fréquence</w:t>
      </w:r>
      <w:r w:rsidR="004E073C" w:rsidRPr="00D547F0">
        <w:t xml:space="preserve"> </w:t>
      </w:r>
      <w:r w:rsidR="00F00E30" w:rsidRPr="00D547F0">
        <w:t>n</w:t>
      </w:r>
      <w:r w:rsidR="00071451" w:rsidRPr="00D547F0">
        <w:t>e conserv</w:t>
      </w:r>
      <w:r w:rsidR="00F00E30" w:rsidRPr="00D547F0">
        <w:t xml:space="preserve">e son entière liberté qu'en ce qui concerne </w:t>
      </w:r>
      <w:r w:rsidR="004157B0" w:rsidRPr="00D547F0">
        <w:t xml:space="preserve">les installations radioélectriques militaires </w:t>
      </w:r>
      <w:r w:rsidR="00AA1576" w:rsidRPr="00D547F0">
        <w:t xml:space="preserve">utilisant cette </w:t>
      </w:r>
      <w:r w:rsidR="00F60A7C" w:rsidRPr="00D547F0">
        <w:t xml:space="preserve">assignation de fréquence et </w:t>
      </w:r>
      <w:r w:rsidR="00960325" w:rsidRPr="00D547F0">
        <w:t>s'engage à observer</w:t>
      </w:r>
      <w:r w:rsidR="00960325" w:rsidRPr="00D547F0" w:rsidDel="00960325">
        <w:t xml:space="preserve"> </w:t>
      </w:r>
      <w:r w:rsidR="00F60A7C" w:rsidRPr="00D547F0">
        <w:t xml:space="preserve">l'obligation </w:t>
      </w:r>
      <w:r w:rsidR="00AA1576" w:rsidRPr="00D547F0">
        <w:t>d'utiliser cette assignation de fréquence exclusivement pour des installations radioélectriques militaires</w:t>
      </w:r>
      <w:r w:rsidRPr="00D547F0">
        <w:t>;</w:t>
      </w:r>
    </w:p>
    <w:p w14:paraId="276E0C99" w14:textId="2977E414" w:rsidR="00AD3AA9" w:rsidRPr="00D547F0" w:rsidRDefault="00D422A9" w:rsidP="00630834">
      <w:r w:rsidRPr="00D547F0">
        <w:t>3</w:t>
      </w:r>
      <w:r w:rsidRPr="00D547F0">
        <w:tab/>
      </w:r>
      <w:r w:rsidR="00AD3AA9" w:rsidRPr="00D547F0">
        <w:t>que les États Membres doivent utiliser des assignations de fréquence distinctes</w:t>
      </w:r>
      <w:r w:rsidR="004E073C" w:rsidRPr="00D547F0">
        <w:t xml:space="preserve"> </w:t>
      </w:r>
      <w:r w:rsidR="006E5771" w:rsidRPr="00D547F0">
        <w:t xml:space="preserve">lorsque des </w:t>
      </w:r>
      <w:r w:rsidR="00AD3AA9" w:rsidRPr="00D547F0">
        <w:t>installations radioélectriques</w:t>
      </w:r>
      <w:r w:rsidR="004E073C" w:rsidRPr="00D547F0">
        <w:t xml:space="preserve"> </w:t>
      </w:r>
      <w:r w:rsidR="006E5771" w:rsidRPr="00D547F0">
        <w:t>sont utilisées à la fois à des fins militaires et non militaires et que</w:t>
      </w:r>
      <w:r w:rsidR="004E073C" w:rsidRPr="00D547F0">
        <w:t xml:space="preserve"> </w:t>
      </w:r>
      <w:r w:rsidR="003E21C6" w:rsidRPr="00D547F0">
        <w:t>l'article 48 de la Constitution de l'UIT</w:t>
      </w:r>
      <w:r w:rsidR="00D51C4F" w:rsidRPr="00D547F0">
        <w:t xml:space="preserve"> </w:t>
      </w:r>
      <w:r w:rsidR="006E5771" w:rsidRPr="00D547F0">
        <w:t>a été invoqué</w:t>
      </w:r>
      <w:r w:rsidR="003E21C6" w:rsidRPr="00D547F0">
        <w:t>;</w:t>
      </w:r>
    </w:p>
    <w:p w14:paraId="318F20E2" w14:textId="78287A5B" w:rsidR="00F2300F" w:rsidRPr="00D547F0" w:rsidRDefault="00D422A9" w:rsidP="00630834">
      <w:r w:rsidRPr="00D547F0">
        <w:t>4</w:t>
      </w:r>
      <w:r w:rsidRPr="00D547F0">
        <w:tab/>
      </w:r>
      <w:r w:rsidR="00F2300F" w:rsidRPr="00D547F0">
        <w:t xml:space="preserve">que, chaque fois qu'un État Membre utilise une assignation de fréquence pour des installations radioélectriques non militaires, </w:t>
      </w:r>
      <w:r w:rsidR="00E53947" w:rsidRPr="00D547F0">
        <w:t xml:space="preserve">il ne sera fait </w:t>
      </w:r>
      <w:r w:rsidR="00443D37" w:rsidRPr="00D547F0">
        <w:t>aucune exception</w:t>
      </w:r>
      <w:r w:rsidR="004E073C" w:rsidRPr="00D547F0">
        <w:t xml:space="preserve"> </w:t>
      </w:r>
      <w:r w:rsidR="00E53947" w:rsidRPr="00D547F0">
        <w:t>lors de</w:t>
      </w:r>
      <w:r w:rsidR="004E073C" w:rsidRPr="00D547F0">
        <w:t xml:space="preserve"> </w:t>
      </w:r>
      <w:r w:rsidR="00B5645F" w:rsidRPr="00D547F0">
        <w:t xml:space="preserve">l'application du numéro </w:t>
      </w:r>
      <w:r w:rsidR="00B5645F" w:rsidRPr="00D547F0">
        <w:rPr>
          <w:b/>
        </w:rPr>
        <w:t>13.6</w:t>
      </w:r>
      <w:r w:rsidR="00B5645F" w:rsidRPr="00D547F0">
        <w:t xml:space="preserve"> du RR ou d'autres dispositions du Règlement des radiocommunications, </w:t>
      </w:r>
      <w:r w:rsidR="002667EB" w:rsidRPr="00D547F0">
        <w:t>et</w:t>
      </w:r>
      <w:r w:rsidR="004E073C" w:rsidRPr="00D547F0">
        <w:t xml:space="preserve"> </w:t>
      </w:r>
      <w:r w:rsidR="00E53947" w:rsidRPr="00D547F0">
        <w:t>les</w:t>
      </w:r>
      <w:r w:rsidR="002667EB" w:rsidRPr="00D547F0">
        <w:t xml:space="preserve"> droits internationaux </w:t>
      </w:r>
      <w:r w:rsidR="00E53947" w:rsidRPr="00D547F0">
        <w:t xml:space="preserve">découlant </w:t>
      </w:r>
      <w:r w:rsidR="009E787E" w:rsidRPr="00D547F0">
        <w:t>de l'invocation</w:t>
      </w:r>
      <w:r w:rsidR="004E073C" w:rsidRPr="00D547F0">
        <w:t xml:space="preserve"> </w:t>
      </w:r>
      <w:r w:rsidR="00E53947" w:rsidRPr="00D547F0">
        <w:t>précédente</w:t>
      </w:r>
      <w:r w:rsidR="004E073C" w:rsidRPr="00D547F0">
        <w:t xml:space="preserve"> </w:t>
      </w:r>
      <w:r w:rsidR="009E787E" w:rsidRPr="00D547F0">
        <w:t>de l'article 48 de la Constitution de l'UIT</w:t>
      </w:r>
      <w:r w:rsidR="00D92D5E" w:rsidRPr="00D547F0">
        <w:t xml:space="preserve"> ne seront plus valables</w:t>
      </w:r>
      <w:r w:rsidR="004E073C" w:rsidRPr="00D547F0">
        <w:t xml:space="preserve"> </w:t>
      </w:r>
      <w:r w:rsidR="009505D1" w:rsidRPr="00D547F0">
        <w:t>pour</w:t>
      </w:r>
      <w:r w:rsidR="002F59E1" w:rsidRPr="00D547F0">
        <w:t xml:space="preserve"> l'assignation de fréquence </w:t>
      </w:r>
      <w:r w:rsidR="009505D1" w:rsidRPr="00D547F0">
        <w:t>en question;</w:t>
      </w:r>
    </w:p>
    <w:p w14:paraId="29E403CC" w14:textId="3B3C5E76" w:rsidR="00D422A9" w:rsidRPr="00D547F0" w:rsidRDefault="00D422A9" w:rsidP="00630834">
      <w:r w:rsidRPr="00D547F0">
        <w:t>5</w:t>
      </w:r>
      <w:r w:rsidRPr="00D547F0">
        <w:tab/>
      </w:r>
      <w:r w:rsidR="007D3760" w:rsidRPr="00D547F0">
        <w:t xml:space="preserve">que </w:t>
      </w:r>
      <w:r w:rsidR="005741F4" w:rsidRPr="00D547F0">
        <w:t xml:space="preserve">l'administration notificatrice ne peut pas révoquer </w:t>
      </w:r>
      <w:r w:rsidR="007D3760" w:rsidRPr="00D547F0">
        <w:t>l'</w:t>
      </w:r>
      <w:r w:rsidR="005741F4" w:rsidRPr="00D547F0">
        <w:t>i</w:t>
      </w:r>
      <w:r w:rsidR="007D3760" w:rsidRPr="00D547F0">
        <w:t>nvocation de l'article 48 de la Constitution de l'UIT</w:t>
      </w:r>
      <w:r w:rsidRPr="00D547F0">
        <w:t>;</w:t>
      </w:r>
    </w:p>
    <w:p w14:paraId="2B726428" w14:textId="5B1ADB63" w:rsidR="00D422A9" w:rsidRPr="00D547F0" w:rsidRDefault="00D422A9" w:rsidP="00630834">
      <w:pPr>
        <w:rPr>
          <w:rFonts w:cs="Calibri"/>
          <w:sz w:val="22"/>
        </w:rPr>
      </w:pPr>
      <w:r w:rsidRPr="00D547F0">
        <w:t>6</w:t>
      </w:r>
      <w:r w:rsidRPr="00D547F0">
        <w:tab/>
      </w:r>
      <w:r w:rsidR="009F5BC7" w:rsidRPr="00D547F0">
        <w:t>que la simple invocation de l'article 48 de la Constitution de l'UIT par un État Membre</w:t>
      </w:r>
      <w:r w:rsidR="00E349DF" w:rsidRPr="00D547F0">
        <w:t xml:space="preserve"> de l'UIT</w:t>
      </w:r>
      <w:r w:rsidR="009F5BC7" w:rsidRPr="00D547F0">
        <w:t xml:space="preserve"> ne confère pas une reconnaissance ou une protection internationale à une assignation de fréquence qui n'est pas inscrite dans le Fichier de référence international des fréquences,</w:t>
      </w:r>
    </w:p>
    <w:p w14:paraId="5E790B1A" w14:textId="77777777" w:rsidR="00D422A9" w:rsidRPr="00D547F0" w:rsidRDefault="007D3760" w:rsidP="008415A8">
      <w:pPr>
        <w:pStyle w:val="Call"/>
      </w:pPr>
      <w:r w:rsidRPr="00D547F0">
        <w:lastRenderedPageBreak/>
        <w:t>charge la CMR-23</w:t>
      </w:r>
    </w:p>
    <w:p w14:paraId="6431491F" w14:textId="3F40BAA4" w:rsidR="005669E9" w:rsidRPr="00D547F0" w:rsidRDefault="00D422A9" w:rsidP="008415A8">
      <w:pPr>
        <w:keepNext/>
        <w:keepLines/>
      </w:pPr>
      <w:r w:rsidRPr="00D547F0">
        <w:t>1</w:t>
      </w:r>
      <w:r w:rsidRPr="00D547F0">
        <w:tab/>
      </w:r>
      <w:r w:rsidR="005669E9" w:rsidRPr="00D547F0">
        <w:t>conformément au numéro 119 de la Convention de l'UIT</w:t>
      </w:r>
      <w:r w:rsidR="00674B02" w:rsidRPr="00D547F0">
        <w:t>,</w:t>
      </w:r>
      <w:r w:rsidR="00E3688A" w:rsidRPr="00D547F0">
        <w:t xml:space="preserve"> d'inscrire à son ordre du jour l'examen détaillé de la question, </w:t>
      </w:r>
      <w:r w:rsidR="00233C3B" w:rsidRPr="00D547F0">
        <w:t>d</w:t>
      </w:r>
      <w:r w:rsidR="00630834" w:rsidRPr="00D547F0">
        <w:t>'</w:t>
      </w:r>
      <w:r w:rsidR="00233C3B" w:rsidRPr="00D547F0">
        <w:t>apporter</w:t>
      </w:r>
      <w:r w:rsidR="00E3688A" w:rsidRPr="00D547F0">
        <w:t xml:space="preserve"> les</w:t>
      </w:r>
      <w:r w:rsidR="004E073C" w:rsidRPr="00D547F0">
        <w:t xml:space="preserve"> </w:t>
      </w:r>
      <w:r w:rsidR="00233C3B" w:rsidRPr="00D547F0">
        <w:t>modifications</w:t>
      </w:r>
      <w:r w:rsidR="00E3688A" w:rsidRPr="00D547F0">
        <w:t xml:space="preserve"> nécessaires au Règlement des radiocommunications et de fournir des instructions au RRB et au BR, selon qu'il convien</w:t>
      </w:r>
      <w:r w:rsidR="00233C3B" w:rsidRPr="00D547F0">
        <w:t>dra</w:t>
      </w:r>
      <w:r w:rsidR="00E3688A" w:rsidRPr="00D547F0">
        <w:t xml:space="preserve">, afin </w:t>
      </w:r>
      <w:r w:rsidR="00FF2113" w:rsidRPr="00D547F0">
        <w:t>d</w:t>
      </w:r>
      <w:r w:rsidR="00630834" w:rsidRPr="00D547F0">
        <w:t>'</w:t>
      </w:r>
      <w:r w:rsidR="00FF2113" w:rsidRPr="00D547F0">
        <w:t xml:space="preserve">instaurer davantage de </w:t>
      </w:r>
      <w:r w:rsidR="00E3688A" w:rsidRPr="00D547F0">
        <w:t>transparence en ce qui concerne les assignations de fréquence pour lesquelles l'article 48 de la Constitution de l'UIT est invoqué;</w:t>
      </w:r>
    </w:p>
    <w:p w14:paraId="00D11F58" w14:textId="6860663C" w:rsidR="00921C25" w:rsidRPr="00D547F0" w:rsidRDefault="007D3760" w:rsidP="00630834">
      <w:r w:rsidRPr="00D547F0">
        <w:t>2</w:t>
      </w:r>
      <w:r w:rsidRPr="00D547F0">
        <w:tab/>
      </w:r>
      <w:r w:rsidR="00921C25" w:rsidRPr="00D547F0">
        <w:t xml:space="preserve">d'examiner la mise en œuvre du point 3 du </w:t>
      </w:r>
      <w:r w:rsidR="00921C25" w:rsidRPr="00D547F0">
        <w:rPr>
          <w:i/>
        </w:rPr>
        <w:t>décide</w:t>
      </w:r>
      <w:r w:rsidR="00921C25" w:rsidRPr="00D547F0">
        <w:t xml:space="preserve"> et d'élaborer les</w:t>
      </w:r>
      <w:r w:rsidR="004E073C" w:rsidRPr="00D547F0">
        <w:t xml:space="preserve"> </w:t>
      </w:r>
      <w:r w:rsidR="00921C25" w:rsidRPr="00D547F0">
        <w:t>dispositions réglementaires nécessaires,</w:t>
      </w:r>
    </w:p>
    <w:p w14:paraId="2727376E" w14:textId="77777777" w:rsidR="00D422A9" w:rsidRPr="00D547F0" w:rsidRDefault="007D3760" w:rsidP="00630834">
      <w:pPr>
        <w:pStyle w:val="Call"/>
      </w:pPr>
      <w:r w:rsidRPr="00D547F0">
        <w:t>charge le Secrétaire général</w:t>
      </w:r>
    </w:p>
    <w:p w14:paraId="7FBBFBAE" w14:textId="2C5F1A1F" w:rsidR="00AC6EFB" w:rsidRPr="00D547F0" w:rsidRDefault="00AC6EFB" w:rsidP="00630834">
      <w:r w:rsidRPr="00D547F0">
        <w:t>de porter la présente Résolution à l'attention de la CMR-23,</w:t>
      </w:r>
    </w:p>
    <w:p w14:paraId="0655C27F" w14:textId="77777777" w:rsidR="00D422A9" w:rsidRPr="00D547F0" w:rsidRDefault="007D3760" w:rsidP="00630834">
      <w:pPr>
        <w:pStyle w:val="Call"/>
      </w:pPr>
      <w:r w:rsidRPr="00D547F0">
        <w:t>charge le Directeur du Bureau des radiocommunications</w:t>
      </w:r>
    </w:p>
    <w:p w14:paraId="231348F2" w14:textId="69D22BA0" w:rsidR="007D3760" w:rsidRPr="00D547F0" w:rsidRDefault="007D3760" w:rsidP="00630834">
      <w:r w:rsidRPr="00D547F0">
        <w:t xml:space="preserve">d'élaborer un rapport sur la question, comme indiqué dans le </w:t>
      </w:r>
      <w:r w:rsidRPr="00D547F0">
        <w:rPr>
          <w:i/>
          <w:iCs/>
        </w:rPr>
        <w:t>décide</w:t>
      </w:r>
      <w:r w:rsidRPr="00D547F0">
        <w:t xml:space="preserve"> ci-dessus, pour examen par la CMR-23,</w:t>
      </w:r>
    </w:p>
    <w:p w14:paraId="35E23858" w14:textId="77777777" w:rsidR="00D422A9" w:rsidRPr="00D547F0" w:rsidRDefault="007D3760" w:rsidP="00630834">
      <w:pPr>
        <w:pStyle w:val="Call"/>
      </w:pPr>
      <w:r w:rsidRPr="00D547F0">
        <w:rPr>
          <w:color w:val="000000"/>
        </w:rPr>
        <w:t>invite le Comité du Règlement des radiocommunications</w:t>
      </w:r>
    </w:p>
    <w:p w14:paraId="429845EF" w14:textId="1F156675" w:rsidR="00D422A9" w:rsidRPr="00D547F0" w:rsidRDefault="00BE7BFC" w:rsidP="000171A9">
      <w:r w:rsidRPr="00D547F0">
        <w:t>à</w:t>
      </w:r>
      <w:r w:rsidR="004E073C" w:rsidRPr="00D547F0">
        <w:t xml:space="preserve"> </w:t>
      </w:r>
      <w:r w:rsidRPr="00D547F0">
        <w:t>faire rapport sur cette</w:t>
      </w:r>
      <w:r w:rsidR="004E073C" w:rsidRPr="00D547F0">
        <w:t xml:space="preserve"> </w:t>
      </w:r>
      <w:r w:rsidR="007D3760" w:rsidRPr="00D547F0">
        <w:t>question</w:t>
      </w:r>
      <w:r w:rsidRPr="00D547F0">
        <w:t xml:space="preserve"> visée</w:t>
      </w:r>
      <w:r w:rsidR="004E073C" w:rsidRPr="00D547F0">
        <w:t xml:space="preserve"> </w:t>
      </w:r>
      <w:r w:rsidR="007D3760" w:rsidRPr="00D547F0">
        <w:t xml:space="preserve">dans le </w:t>
      </w:r>
      <w:r w:rsidR="007D3760" w:rsidRPr="00D547F0">
        <w:rPr>
          <w:i/>
          <w:iCs/>
        </w:rPr>
        <w:t>décide</w:t>
      </w:r>
      <w:r w:rsidR="007D3760" w:rsidRPr="00D547F0">
        <w:t xml:space="preserve"> ci-dessus, pour examen par la CMR-23.</w:t>
      </w:r>
    </w:p>
    <w:p w14:paraId="66BFC3FA" w14:textId="77777777" w:rsidR="007D3760" w:rsidRPr="00D547F0" w:rsidRDefault="007D3760" w:rsidP="00630834">
      <w:pPr>
        <w:pStyle w:val="Reasons"/>
      </w:pPr>
    </w:p>
    <w:p w14:paraId="65CE4C13" w14:textId="77777777" w:rsidR="00A34059" w:rsidRPr="00D547F0" w:rsidRDefault="00D422A9" w:rsidP="00EC4041">
      <w:pPr>
        <w:jc w:val="center"/>
      </w:pPr>
      <w:r w:rsidRPr="00D547F0">
        <w:t>______________</w:t>
      </w:r>
    </w:p>
    <w:sectPr w:rsidR="00A34059" w:rsidRPr="00D547F0" w:rsidSect="003A0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0001" w14:textId="77777777" w:rsidR="00594CA0" w:rsidRDefault="00594CA0">
      <w:r>
        <w:separator/>
      </w:r>
    </w:p>
  </w:endnote>
  <w:endnote w:type="continuationSeparator" w:id="0">
    <w:p w14:paraId="55C50125" w14:textId="77777777" w:rsidR="00594CA0" w:rsidRDefault="005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44EB" w14:textId="77777777" w:rsidR="00C9311B" w:rsidRDefault="00C93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15C0" w14:textId="617BCB30" w:rsidR="0081273C" w:rsidRPr="00C9311B" w:rsidRDefault="0081273C" w:rsidP="0081273C">
    <w:pPr>
      <w:pStyle w:val="Footer"/>
      <w:rPr>
        <w:color w:val="FFFFFF" w:themeColor="background1"/>
        <w:lang w:val="en-US"/>
      </w:rPr>
    </w:pPr>
    <w:r w:rsidRPr="00C9311B">
      <w:rPr>
        <w:color w:val="FFFFFF" w:themeColor="background1"/>
      </w:rPr>
      <w:fldChar w:fldCharType="begin"/>
    </w:r>
    <w:r w:rsidRPr="00C9311B">
      <w:rPr>
        <w:color w:val="FFFFFF" w:themeColor="background1"/>
        <w:lang w:val="en-US"/>
      </w:rPr>
      <w:instrText xml:space="preserve"> FILENAME \p  \* MERGEFORMAT </w:instrText>
    </w:r>
    <w:r w:rsidRPr="00C9311B">
      <w:rPr>
        <w:color w:val="FFFFFF" w:themeColor="background1"/>
      </w:rPr>
      <w:fldChar w:fldCharType="separate"/>
    </w:r>
    <w:r w:rsidR="008415A8" w:rsidRPr="00C9311B">
      <w:rPr>
        <w:color w:val="FFFFFF" w:themeColor="background1"/>
        <w:lang w:val="en-US"/>
      </w:rPr>
      <w:t>P:\FRA\SG\CONF-SG\PP22\000\044ADD26F.docx</w:t>
    </w:r>
    <w:r w:rsidRPr="00C9311B">
      <w:rPr>
        <w:color w:val="FFFFFF" w:themeColor="background1"/>
      </w:rPr>
      <w:fldChar w:fldCharType="end"/>
    </w:r>
    <w:r w:rsidRPr="00C9311B">
      <w:rPr>
        <w:color w:val="FFFFFF" w:themeColor="background1"/>
        <w:lang w:val="en-US"/>
      </w:rPr>
      <w:t xml:space="preserve"> (510975)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5A6B" w14:textId="77777777" w:rsidR="000C467B" w:rsidRDefault="000D15FB" w:rsidP="0081273C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2EB9" w14:textId="77777777" w:rsidR="00594CA0" w:rsidRDefault="00594CA0">
      <w:r>
        <w:t>____________________</w:t>
      </w:r>
    </w:p>
  </w:footnote>
  <w:footnote w:type="continuationSeparator" w:id="0">
    <w:p w14:paraId="5C1015A3" w14:textId="77777777" w:rsidR="00594CA0" w:rsidRDefault="0059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EE99" w14:textId="77777777" w:rsidR="00C9311B" w:rsidRDefault="00C93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FDD3" w14:textId="16E28980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345F">
      <w:rPr>
        <w:noProof/>
      </w:rPr>
      <w:t>3</w:t>
    </w:r>
    <w:r>
      <w:fldChar w:fldCharType="end"/>
    </w:r>
  </w:p>
  <w:p w14:paraId="75EA416B" w14:textId="77777777" w:rsidR="00BD1614" w:rsidRDefault="00BD1614" w:rsidP="001E2226">
    <w:pPr>
      <w:pStyle w:val="Header"/>
    </w:pPr>
    <w:r>
      <w:t>PP</w:t>
    </w:r>
    <w:r w:rsidR="002A7A1D">
      <w:t>22</w:t>
    </w:r>
    <w:r>
      <w:t>/44(Add.26)-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68B3" w14:textId="77777777" w:rsidR="00C9311B" w:rsidRDefault="00C93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F45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584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7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9E3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724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0E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2B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1E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8D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43375C"/>
    <w:multiLevelType w:val="hybridMultilevel"/>
    <w:tmpl w:val="EE6C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96140">
    <w:abstractNumId w:val="9"/>
  </w:num>
  <w:num w:numId="2" w16cid:durableId="1125545859">
    <w:abstractNumId w:val="7"/>
  </w:num>
  <w:num w:numId="3" w16cid:durableId="1426875977">
    <w:abstractNumId w:val="6"/>
  </w:num>
  <w:num w:numId="4" w16cid:durableId="1678145593">
    <w:abstractNumId w:val="5"/>
  </w:num>
  <w:num w:numId="5" w16cid:durableId="317538967">
    <w:abstractNumId w:val="4"/>
  </w:num>
  <w:num w:numId="6" w16cid:durableId="815489519">
    <w:abstractNumId w:val="8"/>
  </w:num>
  <w:num w:numId="7" w16cid:durableId="1323971886">
    <w:abstractNumId w:val="3"/>
  </w:num>
  <w:num w:numId="8" w16cid:durableId="548028287">
    <w:abstractNumId w:val="2"/>
  </w:num>
  <w:num w:numId="9" w16cid:durableId="1022240823">
    <w:abstractNumId w:val="1"/>
  </w:num>
  <w:num w:numId="10" w16cid:durableId="903565489">
    <w:abstractNumId w:val="0"/>
  </w:num>
  <w:num w:numId="11" w16cid:durableId="1246567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0E23"/>
    <w:rsid w:val="000054D8"/>
    <w:rsid w:val="00013E46"/>
    <w:rsid w:val="000171A9"/>
    <w:rsid w:val="000174E8"/>
    <w:rsid w:val="00020D1E"/>
    <w:rsid w:val="0003518A"/>
    <w:rsid w:val="00060D74"/>
    <w:rsid w:val="000638B0"/>
    <w:rsid w:val="00071451"/>
    <w:rsid w:val="00072D5C"/>
    <w:rsid w:val="0008398C"/>
    <w:rsid w:val="00084308"/>
    <w:rsid w:val="000A2018"/>
    <w:rsid w:val="000B14B6"/>
    <w:rsid w:val="000C467B"/>
    <w:rsid w:val="000C49D9"/>
    <w:rsid w:val="000D15FB"/>
    <w:rsid w:val="000F58F7"/>
    <w:rsid w:val="001051E4"/>
    <w:rsid w:val="001354EA"/>
    <w:rsid w:val="00136FCE"/>
    <w:rsid w:val="00153BA4"/>
    <w:rsid w:val="0017089A"/>
    <w:rsid w:val="001941AD"/>
    <w:rsid w:val="0019732C"/>
    <w:rsid w:val="001A0682"/>
    <w:rsid w:val="001A14EB"/>
    <w:rsid w:val="001A5129"/>
    <w:rsid w:val="001B331E"/>
    <w:rsid w:val="001B33C0"/>
    <w:rsid w:val="001B4D8D"/>
    <w:rsid w:val="001D31B2"/>
    <w:rsid w:val="001E1B9B"/>
    <w:rsid w:val="001E2226"/>
    <w:rsid w:val="001F6233"/>
    <w:rsid w:val="00207316"/>
    <w:rsid w:val="0021094E"/>
    <w:rsid w:val="00213A44"/>
    <w:rsid w:val="002217C8"/>
    <w:rsid w:val="00224280"/>
    <w:rsid w:val="00233C3B"/>
    <w:rsid w:val="002355CD"/>
    <w:rsid w:val="002667EB"/>
    <w:rsid w:val="00266FBD"/>
    <w:rsid w:val="00270B2F"/>
    <w:rsid w:val="002948FD"/>
    <w:rsid w:val="002A0E1B"/>
    <w:rsid w:val="002A3FB8"/>
    <w:rsid w:val="002A7A1D"/>
    <w:rsid w:val="002B2938"/>
    <w:rsid w:val="002C1059"/>
    <w:rsid w:val="002C2F9C"/>
    <w:rsid w:val="002C7A46"/>
    <w:rsid w:val="002F59E1"/>
    <w:rsid w:val="00304353"/>
    <w:rsid w:val="00315509"/>
    <w:rsid w:val="00322DEA"/>
    <w:rsid w:val="0032479D"/>
    <w:rsid w:val="003255EB"/>
    <w:rsid w:val="00331F3D"/>
    <w:rsid w:val="003558CA"/>
    <w:rsid w:val="00355FBD"/>
    <w:rsid w:val="003778BC"/>
    <w:rsid w:val="00381461"/>
    <w:rsid w:val="003838BF"/>
    <w:rsid w:val="00385ECD"/>
    <w:rsid w:val="00391C12"/>
    <w:rsid w:val="00396ADF"/>
    <w:rsid w:val="003A0B7D"/>
    <w:rsid w:val="003A45C2"/>
    <w:rsid w:val="003C4BE2"/>
    <w:rsid w:val="003D147D"/>
    <w:rsid w:val="003D637A"/>
    <w:rsid w:val="003E21C6"/>
    <w:rsid w:val="003E3064"/>
    <w:rsid w:val="003E3724"/>
    <w:rsid w:val="003F0B99"/>
    <w:rsid w:val="003F6A6A"/>
    <w:rsid w:val="004052F7"/>
    <w:rsid w:val="004157B0"/>
    <w:rsid w:val="00421559"/>
    <w:rsid w:val="00430015"/>
    <w:rsid w:val="00443D37"/>
    <w:rsid w:val="00466F95"/>
    <w:rsid w:val="004678D0"/>
    <w:rsid w:val="00482954"/>
    <w:rsid w:val="004872C7"/>
    <w:rsid w:val="00487654"/>
    <w:rsid w:val="00491E9F"/>
    <w:rsid w:val="004951C0"/>
    <w:rsid w:val="004B5142"/>
    <w:rsid w:val="004C2D9F"/>
    <w:rsid w:val="004C7646"/>
    <w:rsid w:val="004D2A78"/>
    <w:rsid w:val="004D32B9"/>
    <w:rsid w:val="004E0514"/>
    <w:rsid w:val="004E073C"/>
    <w:rsid w:val="004E76D3"/>
    <w:rsid w:val="00514964"/>
    <w:rsid w:val="00524001"/>
    <w:rsid w:val="005413AD"/>
    <w:rsid w:val="00554330"/>
    <w:rsid w:val="00564B63"/>
    <w:rsid w:val="005669E9"/>
    <w:rsid w:val="005741F4"/>
    <w:rsid w:val="00575DC7"/>
    <w:rsid w:val="00581133"/>
    <w:rsid w:val="005836C2"/>
    <w:rsid w:val="00594CA0"/>
    <w:rsid w:val="005951ED"/>
    <w:rsid w:val="005A4EFD"/>
    <w:rsid w:val="005A5ABE"/>
    <w:rsid w:val="005C2ECC"/>
    <w:rsid w:val="005C6744"/>
    <w:rsid w:val="005C7ADE"/>
    <w:rsid w:val="005D387F"/>
    <w:rsid w:val="005E419E"/>
    <w:rsid w:val="005F2693"/>
    <w:rsid w:val="005F63BD"/>
    <w:rsid w:val="00603A1D"/>
    <w:rsid w:val="00611CF1"/>
    <w:rsid w:val="006201D9"/>
    <w:rsid w:val="00620B09"/>
    <w:rsid w:val="00624BD1"/>
    <w:rsid w:val="00626071"/>
    <w:rsid w:val="006277DB"/>
    <w:rsid w:val="00630834"/>
    <w:rsid w:val="00635B7B"/>
    <w:rsid w:val="006463AB"/>
    <w:rsid w:val="00655B98"/>
    <w:rsid w:val="00667F3D"/>
    <w:rsid w:val="006710E6"/>
    <w:rsid w:val="00674B02"/>
    <w:rsid w:val="00686973"/>
    <w:rsid w:val="00696B2D"/>
    <w:rsid w:val="006A2656"/>
    <w:rsid w:val="006A3475"/>
    <w:rsid w:val="006A6342"/>
    <w:rsid w:val="006B4335"/>
    <w:rsid w:val="006B6C9C"/>
    <w:rsid w:val="006C40D6"/>
    <w:rsid w:val="006C7AE3"/>
    <w:rsid w:val="006D55E8"/>
    <w:rsid w:val="006D5D37"/>
    <w:rsid w:val="006E1921"/>
    <w:rsid w:val="006E5771"/>
    <w:rsid w:val="006F36F9"/>
    <w:rsid w:val="006F61F8"/>
    <w:rsid w:val="0070576B"/>
    <w:rsid w:val="00712E12"/>
    <w:rsid w:val="00713335"/>
    <w:rsid w:val="00713467"/>
    <w:rsid w:val="007203DE"/>
    <w:rsid w:val="00724DD6"/>
    <w:rsid w:val="00727C2F"/>
    <w:rsid w:val="0073435B"/>
    <w:rsid w:val="00735F13"/>
    <w:rsid w:val="00767BD5"/>
    <w:rsid w:val="0077090F"/>
    <w:rsid w:val="007717F2"/>
    <w:rsid w:val="00772E3B"/>
    <w:rsid w:val="0078134C"/>
    <w:rsid w:val="00784480"/>
    <w:rsid w:val="007A5830"/>
    <w:rsid w:val="007A6424"/>
    <w:rsid w:val="007B26BC"/>
    <w:rsid w:val="007B71D4"/>
    <w:rsid w:val="007B7A8C"/>
    <w:rsid w:val="007D21FB"/>
    <w:rsid w:val="007D3760"/>
    <w:rsid w:val="007E7F85"/>
    <w:rsid w:val="007F1F57"/>
    <w:rsid w:val="008000B7"/>
    <w:rsid w:val="00801256"/>
    <w:rsid w:val="0080428C"/>
    <w:rsid w:val="0081273C"/>
    <w:rsid w:val="00816260"/>
    <w:rsid w:val="00816902"/>
    <w:rsid w:val="008249CB"/>
    <w:rsid w:val="00831C39"/>
    <w:rsid w:val="008415A8"/>
    <w:rsid w:val="008703CB"/>
    <w:rsid w:val="008707E1"/>
    <w:rsid w:val="00886BFF"/>
    <w:rsid w:val="00890AD7"/>
    <w:rsid w:val="008B61AF"/>
    <w:rsid w:val="008C33C2"/>
    <w:rsid w:val="008C6137"/>
    <w:rsid w:val="008E2DB4"/>
    <w:rsid w:val="008E6313"/>
    <w:rsid w:val="00901DD5"/>
    <w:rsid w:val="0090735B"/>
    <w:rsid w:val="00912D5E"/>
    <w:rsid w:val="009214E4"/>
    <w:rsid w:val="00921C25"/>
    <w:rsid w:val="00922944"/>
    <w:rsid w:val="00930B93"/>
    <w:rsid w:val="00934340"/>
    <w:rsid w:val="00940477"/>
    <w:rsid w:val="009505D1"/>
    <w:rsid w:val="0095287C"/>
    <w:rsid w:val="00956DC7"/>
    <w:rsid w:val="00960325"/>
    <w:rsid w:val="00966CD3"/>
    <w:rsid w:val="00980B3B"/>
    <w:rsid w:val="00987A20"/>
    <w:rsid w:val="009A0E15"/>
    <w:rsid w:val="009B7B5E"/>
    <w:rsid w:val="009C5CE8"/>
    <w:rsid w:val="009D3AB4"/>
    <w:rsid w:val="009D4037"/>
    <w:rsid w:val="009E787E"/>
    <w:rsid w:val="009F0592"/>
    <w:rsid w:val="009F09BF"/>
    <w:rsid w:val="009F0F02"/>
    <w:rsid w:val="009F2261"/>
    <w:rsid w:val="009F5BC7"/>
    <w:rsid w:val="00A011A7"/>
    <w:rsid w:val="00A0587B"/>
    <w:rsid w:val="00A12E37"/>
    <w:rsid w:val="00A1345F"/>
    <w:rsid w:val="00A20E72"/>
    <w:rsid w:val="00A246DC"/>
    <w:rsid w:val="00A30A0C"/>
    <w:rsid w:val="00A34059"/>
    <w:rsid w:val="00A40102"/>
    <w:rsid w:val="00A47BAF"/>
    <w:rsid w:val="00A542D3"/>
    <w:rsid w:val="00A55CFA"/>
    <w:rsid w:val="00A5784F"/>
    <w:rsid w:val="00A8436E"/>
    <w:rsid w:val="00A95B66"/>
    <w:rsid w:val="00A9738A"/>
    <w:rsid w:val="00AA1576"/>
    <w:rsid w:val="00AB5763"/>
    <w:rsid w:val="00AC6EFB"/>
    <w:rsid w:val="00AD3AA9"/>
    <w:rsid w:val="00AE0667"/>
    <w:rsid w:val="00B07345"/>
    <w:rsid w:val="00B41E0A"/>
    <w:rsid w:val="00B56316"/>
    <w:rsid w:val="00B5645F"/>
    <w:rsid w:val="00B56DE0"/>
    <w:rsid w:val="00B702AC"/>
    <w:rsid w:val="00B71F12"/>
    <w:rsid w:val="00B76FEC"/>
    <w:rsid w:val="00B771F9"/>
    <w:rsid w:val="00B93ECC"/>
    <w:rsid w:val="00B96B1E"/>
    <w:rsid w:val="00BB2A6F"/>
    <w:rsid w:val="00BC258A"/>
    <w:rsid w:val="00BD1614"/>
    <w:rsid w:val="00BD382C"/>
    <w:rsid w:val="00BD5DA6"/>
    <w:rsid w:val="00BE0D65"/>
    <w:rsid w:val="00BE7BFC"/>
    <w:rsid w:val="00BE7D43"/>
    <w:rsid w:val="00BF0373"/>
    <w:rsid w:val="00BF350D"/>
    <w:rsid w:val="00BF7D25"/>
    <w:rsid w:val="00C010C0"/>
    <w:rsid w:val="00C01C8F"/>
    <w:rsid w:val="00C07B49"/>
    <w:rsid w:val="00C10FF5"/>
    <w:rsid w:val="00C133F6"/>
    <w:rsid w:val="00C20D62"/>
    <w:rsid w:val="00C27621"/>
    <w:rsid w:val="00C345F8"/>
    <w:rsid w:val="00C40689"/>
    <w:rsid w:val="00C40CB5"/>
    <w:rsid w:val="00C507B1"/>
    <w:rsid w:val="00C54CE6"/>
    <w:rsid w:val="00C56DF9"/>
    <w:rsid w:val="00C575E2"/>
    <w:rsid w:val="00C609EA"/>
    <w:rsid w:val="00C7368B"/>
    <w:rsid w:val="00C76DC2"/>
    <w:rsid w:val="00C92746"/>
    <w:rsid w:val="00C9311B"/>
    <w:rsid w:val="00CC009B"/>
    <w:rsid w:val="00CC1169"/>
    <w:rsid w:val="00CC4DC5"/>
    <w:rsid w:val="00CC58F6"/>
    <w:rsid w:val="00CD0EE6"/>
    <w:rsid w:val="00CD53B8"/>
    <w:rsid w:val="00CD68B3"/>
    <w:rsid w:val="00CE1A7C"/>
    <w:rsid w:val="00CE2045"/>
    <w:rsid w:val="00CE4718"/>
    <w:rsid w:val="00CE5F33"/>
    <w:rsid w:val="00CE6950"/>
    <w:rsid w:val="00D00EFF"/>
    <w:rsid w:val="00D0464B"/>
    <w:rsid w:val="00D04DBF"/>
    <w:rsid w:val="00D12C74"/>
    <w:rsid w:val="00D2263F"/>
    <w:rsid w:val="00D2754B"/>
    <w:rsid w:val="00D40BF8"/>
    <w:rsid w:val="00D422A9"/>
    <w:rsid w:val="00D51C4F"/>
    <w:rsid w:val="00D547F0"/>
    <w:rsid w:val="00D56483"/>
    <w:rsid w:val="00D5658F"/>
    <w:rsid w:val="00D56AD6"/>
    <w:rsid w:val="00D5773D"/>
    <w:rsid w:val="00D70019"/>
    <w:rsid w:val="00D73CDE"/>
    <w:rsid w:val="00D74B58"/>
    <w:rsid w:val="00D81E6D"/>
    <w:rsid w:val="00D82ABE"/>
    <w:rsid w:val="00D838DD"/>
    <w:rsid w:val="00D916C8"/>
    <w:rsid w:val="00D92D5E"/>
    <w:rsid w:val="00D941F8"/>
    <w:rsid w:val="00DA4ABA"/>
    <w:rsid w:val="00DA685B"/>
    <w:rsid w:val="00DA742B"/>
    <w:rsid w:val="00DB2853"/>
    <w:rsid w:val="00DC0ADD"/>
    <w:rsid w:val="00DC6B40"/>
    <w:rsid w:val="00DC6F90"/>
    <w:rsid w:val="00DF02AA"/>
    <w:rsid w:val="00DF25C1"/>
    <w:rsid w:val="00DF48F7"/>
    <w:rsid w:val="00DF4964"/>
    <w:rsid w:val="00DF4D73"/>
    <w:rsid w:val="00DF79B0"/>
    <w:rsid w:val="00E07F7A"/>
    <w:rsid w:val="00E1047D"/>
    <w:rsid w:val="00E24852"/>
    <w:rsid w:val="00E33C31"/>
    <w:rsid w:val="00E349DF"/>
    <w:rsid w:val="00E3688A"/>
    <w:rsid w:val="00E443FA"/>
    <w:rsid w:val="00E53947"/>
    <w:rsid w:val="00E54FCE"/>
    <w:rsid w:val="00E60DA1"/>
    <w:rsid w:val="00E61DDD"/>
    <w:rsid w:val="00E7697E"/>
    <w:rsid w:val="00E93D35"/>
    <w:rsid w:val="00E97003"/>
    <w:rsid w:val="00EA45DB"/>
    <w:rsid w:val="00EC4041"/>
    <w:rsid w:val="00ED2CD9"/>
    <w:rsid w:val="00EE02F0"/>
    <w:rsid w:val="00EE16A8"/>
    <w:rsid w:val="00EE50B5"/>
    <w:rsid w:val="00EF0DAB"/>
    <w:rsid w:val="00F00E30"/>
    <w:rsid w:val="00F07DA7"/>
    <w:rsid w:val="00F1700F"/>
    <w:rsid w:val="00F21730"/>
    <w:rsid w:val="00F2300F"/>
    <w:rsid w:val="00F26E32"/>
    <w:rsid w:val="00F510B1"/>
    <w:rsid w:val="00F564C1"/>
    <w:rsid w:val="00F60A7C"/>
    <w:rsid w:val="00F6275C"/>
    <w:rsid w:val="00F7315D"/>
    <w:rsid w:val="00F733C4"/>
    <w:rsid w:val="00F77FA2"/>
    <w:rsid w:val="00F8357A"/>
    <w:rsid w:val="00F85E50"/>
    <w:rsid w:val="00F86F3A"/>
    <w:rsid w:val="00F901A6"/>
    <w:rsid w:val="00FA1B77"/>
    <w:rsid w:val="00FA36AE"/>
    <w:rsid w:val="00FA37B7"/>
    <w:rsid w:val="00FB4B65"/>
    <w:rsid w:val="00FB74B8"/>
    <w:rsid w:val="00FC49E0"/>
    <w:rsid w:val="00FF0484"/>
    <w:rsid w:val="00FF2113"/>
    <w:rsid w:val="00FF3FF3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803C8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7F1F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76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76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654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7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7654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87654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C20D62"/>
    <w:pPr>
      <w:ind w:left="720"/>
      <w:contextualSpacing/>
    </w:pPr>
  </w:style>
  <w:style w:type="paragraph" w:customStyle="1" w:styleId="Title4">
    <w:name w:val="Title 4"/>
    <w:basedOn w:val="Normal"/>
    <w:rsid w:val="008415A8"/>
    <w:pPr>
      <w:spacing w:before="36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cb2795-5b9e-4d79-a4ee-69b16d6a1539">DPM</DPM_x0020_Author>
    <DPM_x0020_File_x0020_name xmlns="d9cb2795-5b9e-4d79-a4ee-69b16d6a1539">S22-PP-C-0044!A26!MSW-F</DPM_x0020_File_x0020_name>
    <DPM_x0020_Version xmlns="d9cb2795-5b9e-4d79-a4ee-69b16d6a153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cb2795-5b9e-4d79-a4ee-69b16d6a1539" targetNamespace="http://schemas.microsoft.com/office/2006/metadata/properties" ma:root="true" ma:fieldsID="d41af5c836d734370eb92e7ee5f83852" ns2:_="" ns3:_="">
    <xsd:import namespace="996b2e75-67fd-4955-a3b0-5ab9934cb50b"/>
    <xsd:import namespace="d9cb2795-5b9e-4d79-a4ee-69b16d6a15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2795-5b9e-4d79-a4ee-69b16d6a15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9cb2795-5b9e-4d79-a4ee-69b16d6a153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cb2795-5b9e-4d79-a4ee-69b16d6a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S22-PP-C-0044!A26!MSW-F</vt:lpstr>
    </vt:vector>
  </TitlesOfParts>
  <Manager/>
  <Company/>
  <LinksUpToDate>false</LinksUpToDate>
  <CharactersWithSpaces>11044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S22-PP-C-0044!A26!MSW-F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2022-09-05T12:21:00Z</dcterms:created>
  <dcterms:modified xsi:type="dcterms:W3CDTF">2022-09-15T09:23:00Z</dcterms:modified>
  <cp:category>Conference document</cp:category>
</cp:coreProperties>
</file>