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9F0E0B" w14:paraId="4484B0C5" w14:textId="77777777" w:rsidTr="006A046E">
        <w:trPr>
          <w:cantSplit/>
        </w:trPr>
        <w:tc>
          <w:tcPr>
            <w:tcW w:w="6911" w:type="dxa"/>
          </w:tcPr>
          <w:p w14:paraId="706F5501" w14:textId="3E73A757" w:rsidR="00BD1614" w:rsidRPr="009F0E0B" w:rsidRDefault="00BD1614" w:rsidP="00327F19">
            <w:pPr>
              <w:rPr>
                <w:b/>
                <w:bCs/>
                <w:position w:val="6"/>
                <w:szCs w:val="24"/>
              </w:rPr>
            </w:pPr>
            <w:bookmarkStart w:id="0" w:name="dbreak"/>
            <w:bookmarkStart w:id="1" w:name="dpp"/>
            <w:bookmarkEnd w:id="0"/>
            <w:bookmarkEnd w:id="1"/>
            <w:r w:rsidRPr="009F0E0B">
              <w:rPr>
                <w:rFonts w:cs="Times"/>
                <w:b/>
                <w:sz w:val="30"/>
                <w:szCs w:val="30"/>
              </w:rPr>
              <w:t>Conférence de plénipotentiaires</w:t>
            </w:r>
            <w:r w:rsidRPr="009F0E0B">
              <w:rPr>
                <w:b/>
                <w:smallCaps/>
                <w:sz w:val="30"/>
                <w:szCs w:val="30"/>
              </w:rPr>
              <w:t xml:space="preserve"> (PP-</w:t>
            </w:r>
            <w:r w:rsidR="002A7A1D" w:rsidRPr="009F0E0B">
              <w:rPr>
                <w:b/>
                <w:smallCaps/>
                <w:sz w:val="30"/>
                <w:szCs w:val="30"/>
              </w:rPr>
              <w:t>22</w:t>
            </w:r>
            <w:r w:rsidRPr="009F0E0B">
              <w:rPr>
                <w:b/>
                <w:smallCaps/>
                <w:sz w:val="30"/>
                <w:szCs w:val="30"/>
              </w:rPr>
              <w:t>)</w:t>
            </w:r>
            <w:r w:rsidRPr="009F0E0B">
              <w:rPr>
                <w:b/>
                <w:smallCaps/>
                <w:sz w:val="36"/>
              </w:rPr>
              <w:br/>
            </w:r>
            <w:r w:rsidR="002A7A1D" w:rsidRPr="009F0E0B">
              <w:rPr>
                <w:rFonts w:cs="Times New Roman Bold"/>
                <w:b/>
                <w:bCs/>
                <w:szCs w:val="24"/>
              </w:rPr>
              <w:t>Bucarest</w:t>
            </w:r>
            <w:r w:rsidRPr="009F0E0B">
              <w:rPr>
                <w:rFonts w:cs="Times New Roman Bold"/>
                <w:b/>
                <w:bCs/>
                <w:szCs w:val="24"/>
              </w:rPr>
              <w:t>, 2</w:t>
            </w:r>
            <w:r w:rsidR="002A7A1D" w:rsidRPr="009F0E0B">
              <w:rPr>
                <w:rFonts w:cs="Times New Roman Bold"/>
                <w:b/>
                <w:bCs/>
                <w:szCs w:val="24"/>
              </w:rPr>
              <w:t>6</w:t>
            </w:r>
            <w:r w:rsidRPr="009F0E0B">
              <w:rPr>
                <w:rFonts w:cs="Times New Roman Bold"/>
                <w:b/>
                <w:bCs/>
                <w:szCs w:val="24"/>
              </w:rPr>
              <w:t xml:space="preserve"> </w:t>
            </w:r>
            <w:r w:rsidR="002A7A1D" w:rsidRPr="009F0E0B">
              <w:rPr>
                <w:rFonts w:cs="Times New Roman Bold"/>
                <w:b/>
                <w:bCs/>
                <w:szCs w:val="24"/>
              </w:rPr>
              <w:t>septembre</w:t>
            </w:r>
            <w:r w:rsidRPr="009F0E0B">
              <w:rPr>
                <w:rFonts w:cs="Times New Roman Bold"/>
                <w:b/>
                <w:bCs/>
                <w:szCs w:val="24"/>
              </w:rPr>
              <w:t xml:space="preserve"> </w:t>
            </w:r>
            <w:r w:rsidR="001E2226" w:rsidRPr="009F0E0B">
              <w:rPr>
                <w:rFonts w:cs="Times New Roman Bold"/>
                <w:b/>
                <w:bCs/>
                <w:szCs w:val="24"/>
              </w:rPr>
              <w:t>–</w:t>
            </w:r>
            <w:r w:rsidRPr="009F0E0B">
              <w:rPr>
                <w:rFonts w:cs="Times New Roman Bold"/>
                <w:b/>
                <w:bCs/>
                <w:szCs w:val="24"/>
              </w:rPr>
              <w:t xml:space="preserve"> </w:t>
            </w:r>
            <w:r w:rsidR="001E2226" w:rsidRPr="009F0E0B">
              <w:rPr>
                <w:rFonts w:cs="Times New Roman Bold"/>
                <w:b/>
                <w:bCs/>
                <w:szCs w:val="24"/>
              </w:rPr>
              <w:t>1</w:t>
            </w:r>
            <w:r w:rsidR="002A7A1D" w:rsidRPr="009F0E0B">
              <w:rPr>
                <w:rFonts w:cs="Times New Roman Bold"/>
                <w:b/>
                <w:bCs/>
                <w:szCs w:val="24"/>
              </w:rPr>
              <w:t>4</w:t>
            </w:r>
            <w:r w:rsidRPr="009F0E0B">
              <w:rPr>
                <w:rFonts w:cs="Times New Roman Bold"/>
                <w:b/>
                <w:bCs/>
                <w:szCs w:val="24"/>
              </w:rPr>
              <w:t xml:space="preserve"> </w:t>
            </w:r>
            <w:r w:rsidR="002A7A1D" w:rsidRPr="009F0E0B">
              <w:rPr>
                <w:rFonts w:cs="Times New Roman Bold"/>
                <w:b/>
                <w:bCs/>
                <w:szCs w:val="24"/>
              </w:rPr>
              <w:t>octobre</w:t>
            </w:r>
            <w:r w:rsidRPr="009F0E0B">
              <w:rPr>
                <w:rFonts w:cs="Times New Roman Bold"/>
                <w:b/>
                <w:bCs/>
                <w:szCs w:val="24"/>
              </w:rPr>
              <w:t xml:space="preserve"> 20</w:t>
            </w:r>
            <w:r w:rsidR="002A7A1D" w:rsidRPr="009F0E0B">
              <w:rPr>
                <w:rFonts w:cs="Times New Roman Bold"/>
                <w:b/>
                <w:bCs/>
                <w:szCs w:val="24"/>
              </w:rPr>
              <w:t>22</w:t>
            </w:r>
          </w:p>
        </w:tc>
        <w:tc>
          <w:tcPr>
            <w:tcW w:w="3120" w:type="dxa"/>
          </w:tcPr>
          <w:p w14:paraId="7A1CF8E0" w14:textId="6FB7D25A" w:rsidR="00BD1614" w:rsidRPr="009F0E0B" w:rsidRDefault="002A7A1D" w:rsidP="00327F19">
            <w:pPr>
              <w:spacing w:before="0"/>
              <w:rPr>
                <w:rFonts w:cstheme="minorHAnsi"/>
              </w:rPr>
            </w:pPr>
            <w:bookmarkStart w:id="2" w:name="ditulogo"/>
            <w:bookmarkEnd w:id="2"/>
            <w:r w:rsidRPr="009F0E0B">
              <w:rPr>
                <w:noProof/>
                <w:lang w:eastAsia="fr-FR"/>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9F0E0B" w14:paraId="3120A8D9" w14:textId="77777777" w:rsidTr="006A046E">
        <w:trPr>
          <w:cantSplit/>
        </w:trPr>
        <w:tc>
          <w:tcPr>
            <w:tcW w:w="6911" w:type="dxa"/>
            <w:tcBorders>
              <w:bottom w:val="single" w:sz="12" w:space="0" w:color="auto"/>
            </w:tcBorders>
          </w:tcPr>
          <w:p w14:paraId="317E5819" w14:textId="77777777" w:rsidR="00BD1614" w:rsidRPr="009F0E0B" w:rsidRDefault="00BD1614" w:rsidP="00327F19">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9F0E0B" w:rsidRDefault="00BD1614" w:rsidP="00327F19">
            <w:pPr>
              <w:spacing w:before="0" w:after="48"/>
              <w:rPr>
                <w:rFonts w:cstheme="minorHAnsi"/>
                <w:b/>
                <w:smallCaps/>
                <w:szCs w:val="24"/>
              </w:rPr>
            </w:pPr>
          </w:p>
        </w:tc>
      </w:tr>
      <w:tr w:rsidR="00BD1614" w:rsidRPr="009F0E0B" w14:paraId="20A2296F" w14:textId="77777777" w:rsidTr="006A046E">
        <w:trPr>
          <w:cantSplit/>
        </w:trPr>
        <w:tc>
          <w:tcPr>
            <w:tcW w:w="6911" w:type="dxa"/>
            <w:tcBorders>
              <w:top w:val="single" w:sz="12" w:space="0" w:color="auto"/>
            </w:tcBorders>
          </w:tcPr>
          <w:p w14:paraId="4CFA6027" w14:textId="77777777" w:rsidR="00BD1614" w:rsidRPr="009F0E0B" w:rsidRDefault="00BD1614" w:rsidP="00327F19">
            <w:pPr>
              <w:spacing w:before="0"/>
              <w:rPr>
                <w:rFonts w:cstheme="minorHAnsi"/>
                <w:b/>
                <w:smallCaps/>
                <w:szCs w:val="24"/>
              </w:rPr>
            </w:pPr>
          </w:p>
        </w:tc>
        <w:tc>
          <w:tcPr>
            <w:tcW w:w="3120" w:type="dxa"/>
            <w:tcBorders>
              <w:top w:val="single" w:sz="12" w:space="0" w:color="auto"/>
            </w:tcBorders>
          </w:tcPr>
          <w:p w14:paraId="3C479168" w14:textId="77777777" w:rsidR="00BD1614" w:rsidRPr="009F0E0B" w:rsidRDefault="00BD1614" w:rsidP="00327F19">
            <w:pPr>
              <w:spacing w:before="0"/>
              <w:rPr>
                <w:rFonts w:cstheme="minorHAnsi"/>
                <w:szCs w:val="24"/>
              </w:rPr>
            </w:pPr>
          </w:p>
        </w:tc>
      </w:tr>
      <w:tr w:rsidR="00BD1614" w:rsidRPr="009F0E0B" w14:paraId="5EBA9561" w14:textId="77777777" w:rsidTr="006A046E">
        <w:trPr>
          <w:cantSplit/>
        </w:trPr>
        <w:tc>
          <w:tcPr>
            <w:tcW w:w="6911" w:type="dxa"/>
          </w:tcPr>
          <w:p w14:paraId="081C5B53" w14:textId="5ADEACCC" w:rsidR="00BD1614" w:rsidRPr="009F0E0B" w:rsidRDefault="00420EF8" w:rsidP="00327F19">
            <w:pPr>
              <w:pStyle w:val="Committee"/>
              <w:framePr w:hSpace="0" w:wrap="auto" w:hAnchor="text" w:yAlign="inline"/>
              <w:spacing w:after="0" w:line="240" w:lineRule="auto"/>
              <w:rPr>
                <w:lang w:val="fr-FR"/>
              </w:rPr>
            </w:pPr>
            <w:r w:rsidRPr="009F0E0B">
              <w:rPr>
                <w:lang w:val="fr-FR"/>
              </w:rPr>
              <w:t>SÉANCE PLÉNIÈRE</w:t>
            </w:r>
          </w:p>
        </w:tc>
        <w:tc>
          <w:tcPr>
            <w:tcW w:w="3120" w:type="dxa"/>
          </w:tcPr>
          <w:p w14:paraId="42E82404" w14:textId="14DC1437" w:rsidR="00BD1614" w:rsidRPr="009F0E0B" w:rsidRDefault="00420EF8" w:rsidP="00327F19">
            <w:pPr>
              <w:spacing w:before="0"/>
              <w:rPr>
                <w:rFonts w:cstheme="minorHAnsi"/>
                <w:szCs w:val="24"/>
              </w:rPr>
            </w:pPr>
            <w:r w:rsidRPr="009F0E0B">
              <w:rPr>
                <w:rFonts w:cstheme="minorHAnsi"/>
                <w:b/>
                <w:szCs w:val="24"/>
              </w:rPr>
              <w:t xml:space="preserve">Document </w:t>
            </w:r>
            <w:r w:rsidR="00B429B3" w:rsidRPr="009F0E0B">
              <w:rPr>
                <w:rFonts w:cstheme="minorHAnsi"/>
                <w:b/>
                <w:szCs w:val="24"/>
              </w:rPr>
              <w:t>46</w:t>
            </w:r>
            <w:r w:rsidRPr="009F0E0B">
              <w:rPr>
                <w:rFonts w:cstheme="minorHAnsi"/>
                <w:b/>
                <w:szCs w:val="24"/>
              </w:rPr>
              <w:t>-F</w:t>
            </w:r>
          </w:p>
        </w:tc>
      </w:tr>
      <w:tr w:rsidR="00BD1614" w:rsidRPr="009F0E0B" w14:paraId="5C605E2F" w14:textId="77777777" w:rsidTr="006A046E">
        <w:trPr>
          <w:cantSplit/>
        </w:trPr>
        <w:tc>
          <w:tcPr>
            <w:tcW w:w="6911" w:type="dxa"/>
          </w:tcPr>
          <w:p w14:paraId="3701819B" w14:textId="20A8E30E" w:rsidR="00BD1614" w:rsidRPr="009F0E0B" w:rsidRDefault="00BD1614" w:rsidP="00327F19">
            <w:pPr>
              <w:spacing w:before="0"/>
              <w:rPr>
                <w:rFonts w:cstheme="minorHAnsi"/>
                <w:b/>
                <w:szCs w:val="24"/>
              </w:rPr>
            </w:pPr>
          </w:p>
        </w:tc>
        <w:tc>
          <w:tcPr>
            <w:tcW w:w="3120" w:type="dxa"/>
          </w:tcPr>
          <w:p w14:paraId="4FD5E934" w14:textId="58B07733" w:rsidR="00BD1614" w:rsidRPr="009F0E0B" w:rsidRDefault="00B429B3" w:rsidP="00327F19">
            <w:pPr>
              <w:spacing w:before="0"/>
              <w:rPr>
                <w:rFonts w:cstheme="minorHAnsi"/>
                <w:b/>
                <w:szCs w:val="24"/>
              </w:rPr>
            </w:pPr>
            <w:r w:rsidRPr="009F0E0B">
              <w:rPr>
                <w:rFonts w:cstheme="minorHAnsi"/>
                <w:b/>
                <w:szCs w:val="24"/>
              </w:rPr>
              <w:t>20 juin</w:t>
            </w:r>
            <w:r w:rsidR="00420EF8" w:rsidRPr="009F0E0B">
              <w:rPr>
                <w:rFonts w:cstheme="minorHAnsi"/>
                <w:b/>
                <w:szCs w:val="24"/>
              </w:rPr>
              <w:t xml:space="preserve"> </w:t>
            </w:r>
            <w:r w:rsidR="00327F19" w:rsidRPr="009F0E0B">
              <w:rPr>
                <w:rFonts w:cstheme="minorHAnsi"/>
                <w:b/>
                <w:szCs w:val="24"/>
              </w:rPr>
              <w:t>2022</w:t>
            </w:r>
          </w:p>
        </w:tc>
      </w:tr>
      <w:tr w:rsidR="00BD1614" w:rsidRPr="009F0E0B" w14:paraId="6B2B4BC1" w14:textId="77777777" w:rsidTr="006A046E">
        <w:trPr>
          <w:cantSplit/>
        </w:trPr>
        <w:tc>
          <w:tcPr>
            <w:tcW w:w="6911" w:type="dxa"/>
          </w:tcPr>
          <w:p w14:paraId="780A194C" w14:textId="77777777" w:rsidR="00BD1614" w:rsidRPr="009F0E0B" w:rsidRDefault="00BD1614" w:rsidP="00327F19">
            <w:pPr>
              <w:spacing w:before="0"/>
              <w:rPr>
                <w:rFonts w:cstheme="minorHAnsi"/>
                <w:b/>
                <w:smallCaps/>
                <w:szCs w:val="24"/>
              </w:rPr>
            </w:pPr>
          </w:p>
        </w:tc>
        <w:tc>
          <w:tcPr>
            <w:tcW w:w="3120" w:type="dxa"/>
          </w:tcPr>
          <w:p w14:paraId="36796BDA" w14:textId="3D9C6896" w:rsidR="00BD1614" w:rsidRPr="009F0E0B" w:rsidRDefault="00420EF8" w:rsidP="00327F19">
            <w:pPr>
              <w:spacing w:before="0"/>
              <w:rPr>
                <w:rFonts w:cstheme="minorHAnsi"/>
                <w:b/>
                <w:szCs w:val="24"/>
              </w:rPr>
            </w:pPr>
            <w:r w:rsidRPr="009F0E0B">
              <w:rPr>
                <w:rFonts w:cstheme="minorHAnsi"/>
                <w:b/>
                <w:szCs w:val="24"/>
              </w:rPr>
              <w:t>Original: anglais</w:t>
            </w:r>
          </w:p>
        </w:tc>
      </w:tr>
      <w:tr w:rsidR="00BD1614" w:rsidRPr="009F0E0B" w14:paraId="4259B884" w14:textId="77777777" w:rsidTr="006A046E">
        <w:trPr>
          <w:cantSplit/>
        </w:trPr>
        <w:tc>
          <w:tcPr>
            <w:tcW w:w="10031" w:type="dxa"/>
            <w:gridSpan w:val="2"/>
          </w:tcPr>
          <w:p w14:paraId="770628D7" w14:textId="77777777" w:rsidR="00BD1614" w:rsidRPr="009F0E0B" w:rsidRDefault="00BD1614" w:rsidP="00327F19">
            <w:pPr>
              <w:spacing w:before="0"/>
              <w:rPr>
                <w:rFonts w:cstheme="minorHAnsi"/>
                <w:b/>
                <w:szCs w:val="24"/>
              </w:rPr>
            </w:pPr>
          </w:p>
        </w:tc>
      </w:tr>
      <w:tr w:rsidR="00BD1614" w:rsidRPr="009F0E0B" w14:paraId="6A9FB924" w14:textId="77777777" w:rsidTr="006A046E">
        <w:trPr>
          <w:cantSplit/>
        </w:trPr>
        <w:tc>
          <w:tcPr>
            <w:tcW w:w="10031" w:type="dxa"/>
            <w:gridSpan w:val="2"/>
          </w:tcPr>
          <w:p w14:paraId="070875E6" w14:textId="55281384" w:rsidR="00BD1614" w:rsidRPr="009F0E0B" w:rsidRDefault="00B429B3" w:rsidP="00327F19">
            <w:pPr>
              <w:pStyle w:val="Source"/>
            </w:pPr>
            <w:bookmarkStart w:id="4" w:name="dsource" w:colFirst="0" w:colLast="0"/>
            <w:bookmarkEnd w:id="3"/>
            <w:r w:rsidRPr="009F0E0B">
              <w:t>Rapport du Conseil</w:t>
            </w:r>
          </w:p>
        </w:tc>
      </w:tr>
      <w:tr w:rsidR="00BD1614" w:rsidRPr="009F0E0B" w14:paraId="534EEA05" w14:textId="77777777" w:rsidTr="006A046E">
        <w:trPr>
          <w:cantSplit/>
        </w:trPr>
        <w:tc>
          <w:tcPr>
            <w:tcW w:w="10031" w:type="dxa"/>
            <w:gridSpan w:val="2"/>
          </w:tcPr>
          <w:p w14:paraId="0C8E89F3" w14:textId="6CBCC271" w:rsidR="00BD1614" w:rsidRPr="009F0E0B" w:rsidRDefault="00B429B3" w:rsidP="00327F19">
            <w:pPr>
              <w:pStyle w:val="Title1"/>
            </w:pPr>
            <w:bookmarkStart w:id="5" w:name="dtitle1" w:colFirst="0" w:colLast="0"/>
            <w:bookmarkEnd w:id="4"/>
            <w:r w:rsidRPr="009F0E0B">
              <w:t xml:space="preserve">Rapport quadriennal du Groupe de travail du Conseil sur </w:t>
            </w:r>
            <w:r w:rsidR="00DB07F2" w:rsidRPr="009F0E0B">
              <w:br/>
            </w:r>
            <w:r w:rsidRPr="009F0E0B">
              <w:t>les ressources financières et les ressources humaines</w:t>
            </w:r>
          </w:p>
        </w:tc>
      </w:tr>
      <w:tr w:rsidR="00BD1614" w:rsidRPr="009F0E0B" w14:paraId="3488B00F" w14:textId="77777777" w:rsidTr="006A046E">
        <w:trPr>
          <w:cantSplit/>
        </w:trPr>
        <w:tc>
          <w:tcPr>
            <w:tcW w:w="10031" w:type="dxa"/>
            <w:gridSpan w:val="2"/>
          </w:tcPr>
          <w:p w14:paraId="48DBD50A" w14:textId="2612F372" w:rsidR="00BD1614" w:rsidRPr="009F0E0B" w:rsidRDefault="00BD1614" w:rsidP="00327F19">
            <w:pPr>
              <w:pStyle w:val="Agendaitem"/>
              <w:rPr>
                <w:lang w:val="fr-FR"/>
              </w:rPr>
            </w:pPr>
            <w:bookmarkStart w:id="6" w:name="dtitle3" w:colFirst="0" w:colLast="0"/>
            <w:bookmarkEnd w:id="5"/>
          </w:p>
        </w:tc>
      </w:tr>
      <w:bookmarkEnd w:id="6"/>
    </w:tbl>
    <w:p w14:paraId="7AD6F79A" w14:textId="5C6C3BFD" w:rsidR="000D15FB" w:rsidRPr="009F0E0B" w:rsidRDefault="000D15FB" w:rsidP="00327F1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B07F2" w:rsidRPr="009F0E0B" w14:paraId="2489B734" w14:textId="77777777" w:rsidTr="00772AD8">
        <w:trPr>
          <w:trHeight w:val="3372"/>
        </w:trPr>
        <w:tc>
          <w:tcPr>
            <w:tcW w:w="8080" w:type="dxa"/>
            <w:tcBorders>
              <w:top w:val="single" w:sz="12" w:space="0" w:color="auto"/>
              <w:left w:val="single" w:sz="12" w:space="0" w:color="auto"/>
              <w:bottom w:val="single" w:sz="12" w:space="0" w:color="auto"/>
              <w:right w:val="single" w:sz="12" w:space="0" w:color="auto"/>
            </w:tcBorders>
          </w:tcPr>
          <w:p w14:paraId="25859A95" w14:textId="77777777" w:rsidR="00DB07F2" w:rsidRPr="009F0E0B" w:rsidRDefault="00DB07F2" w:rsidP="004A4437">
            <w:pPr>
              <w:pStyle w:val="Headingb"/>
              <w:keepNext w:val="0"/>
              <w:keepLines w:val="0"/>
            </w:pPr>
            <w:r w:rsidRPr="009F0E0B">
              <w:t>Résumé</w:t>
            </w:r>
          </w:p>
          <w:p w14:paraId="2E42BD58" w14:textId="0AC23DDD" w:rsidR="00DB07F2" w:rsidRPr="009F0E0B" w:rsidRDefault="00DB07F2" w:rsidP="004A4437">
            <w:r w:rsidRPr="009F0E0B">
              <w:t xml:space="preserve">Conformément à la Décision 11 (Rév. Dubaï 2018) de la Conférence de plénipotentiaires, </w:t>
            </w:r>
            <w:r w:rsidR="00CF0544" w:rsidRPr="009F0E0B">
              <w:t xml:space="preserve">la </w:t>
            </w:r>
            <w:r w:rsidRPr="009F0E0B">
              <w:t>Président</w:t>
            </w:r>
            <w:r w:rsidR="00CF0544" w:rsidRPr="009F0E0B">
              <w:t>e</w:t>
            </w:r>
            <w:r w:rsidRPr="009F0E0B">
              <w:t xml:space="preserve"> du </w:t>
            </w:r>
            <w:r w:rsidR="00CF0544" w:rsidRPr="009F0E0B">
              <w:t>Groupe de travail du Conseil sur les ressources financières et les ressources humaines (GTC-FHR)</w:t>
            </w:r>
            <w:r w:rsidRPr="009F0E0B">
              <w:t xml:space="preserve"> a soumis </w:t>
            </w:r>
            <w:r w:rsidR="00126984" w:rsidRPr="009F0E0B">
              <w:t xml:space="preserve">un </w:t>
            </w:r>
            <w:r w:rsidRPr="009F0E0B">
              <w:t xml:space="preserve">rapport quadriennal du </w:t>
            </w:r>
            <w:r w:rsidR="00126984" w:rsidRPr="009F0E0B">
              <w:t>GTC-FHR</w:t>
            </w:r>
            <w:r w:rsidRPr="009F0E0B">
              <w:t xml:space="preserve"> au Conseil à sa session de 2022</w:t>
            </w:r>
            <w:r w:rsidR="005A67F1" w:rsidRPr="009F0E0B">
              <w:t>,</w:t>
            </w:r>
            <w:r w:rsidRPr="009F0E0B">
              <w:t xml:space="preserve"> pour qu'il l'examine et soumette des recommandations à la Conférence de plénipotentiaires de 2022 </w:t>
            </w:r>
            <w:r w:rsidR="0068604C" w:rsidRPr="009F0E0B">
              <w:t xml:space="preserve">(Document </w:t>
            </w:r>
            <w:hyperlink r:id="rId9" w:history="1">
              <w:r w:rsidR="0068604C" w:rsidRPr="009F0E0B">
                <w:rPr>
                  <w:rStyle w:val="Hyperlink"/>
                </w:rPr>
                <w:t>C22/54</w:t>
              </w:r>
            </w:hyperlink>
            <w:r w:rsidR="0068604C" w:rsidRPr="009F0E0B">
              <w:t>).</w:t>
            </w:r>
          </w:p>
          <w:p w14:paraId="5166A758" w14:textId="203961A6" w:rsidR="00DB07F2" w:rsidRPr="009F0E0B" w:rsidRDefault="00DB07F2" w:rsidP="004A4437">
            <w:r w:rsidRPr="009F0E0B">
              <w:t xml:space="preserve">Le Conseil </w:t>
            </w:r>
            <w:r w:rsidRPr="009F0E0B">
              <w:rPr>
                <w:b/>
                <w:bCs/>
              </w:rPr>
              <w:t>prend note</w:t>
            </w:r>
            <w:r w:rsidRPr="009F0E0B">
              <w:t xml:space="preserve"> du rapport figurant dans le Document C22/54 et </w:t>
            </w:r>
            <w:r w:rsidRPr="009F0E0B">
              <w:rPr>
                <w:b/>
                <w:bCs/>
              </w:rPr>
              <w:t>décide</w:t>
            </w:r>
            <w:r w:rsidRPr="009F0E0B">
              <w:t xml:space="preserve"> de le transmettre à la Conférence de plénipotentiaires.</w:t>
            </w:r>
          </w:p>
          <w:p w14:paraId="6A2EB4A8" w14:textId="22B38FC9" w:rsidR="00DB07F2" w:rsidRPr="009F0E0B" w:rsidRDefault="00DB07F2" w:rsidP="004A4437">
            <w:r w:rsidRPr="009F0E0B">
              <w:t xml:space="preserve">Le présent rapport récapitule les principaux résultats des réunions du </w:t>
            </w:r>
            <w:r w:rsidR="007E7370" w:rsidRPr="009F0E0B">
              <w:t>GTC-FHR</w:t>
            </w:r>
            <w:r w:rsidRPr="009F0E0B">
              <w:t>, tenues entre janvier 2019 et janvier 2022. L'extrait du compte rendu de la huitième séance plénière de la session de 2022 du Conseil, qui reprend les recommandations et les vues des États Membres du Conseil, est reproduit dans l'Annexe 1 du présent rapport.</w:t>
            </w:r>
          </w:p>
          <w:p w14:paraId="293778B5" w14:textId="77777777" w:rsidR="00DB07F2" w:rsidRPr="009F0E0B" w:rsidRDefault="00DB07F2" w:rsidP="004A4437">
            <w:pPr>
              <w:pStyle w:val="Headingb"/>
              <w:keepNext w:val="0"/>
              <w:keepLines w:val="0"/>
            </w:pPr>
            <w:r w:rsidRPr="009F0E0B">
              <w:t>Suite à donner</w:t>
            </w:r>
          </w:p>
          <w:p w14:paraId="501E6F93" w14:textId="7FA2EB9C" w:rsidR="00DB07F2" w:rsidRPr="009F0E0B" w:rsidRDefault="00DB07F2" w:rsidP="004A4437">
            <w:r w:rsidRPr="009F0E0B">
              <w:t xml:space="preserve">La Conférence de plénipotentiaires est invitée à </w:t>
            </w:r>
            <w:r w:rsidRPr="009F0E0B">
              <w:rPr>
                <w:b/>
                <w:bCs/>
              </w:rPr>
              <w:t>examiner</w:t>
            </w:r>
            <w:r w:rsidRPr="009F0E0B">
              <w:t xml:space="preserve"> le présent rapport et à </w:t>
            </w:r>
            <w:r w:rsidRPr="009F0E0B">
              <w:rPr>
                <w:b/>
                <w:bCs/>
              </w:rPr>
              <w:t>prendre les mesures nécessaires, selon qu</w:t>
            </w:r>
            <w:r w:rsidR="004A4437" w:rsidRPr="009F0E0B">
              <w:rPr>
                <w:b/>
                <w:bCs/>
              </w:rPr>
              <w:t>'</w:t>
            </w:r>
            <w:r w:rsidRPr="009F0E0B">
              <w:rPr>
                <w:b/>
                <w:bCs/>
              </w:rPr>
              <w:t>il conviendra</w:t>
            </w:r>
            <w:r w:rsidRPr="009F0E0B">
              <w:t>, notamment en ce qui concerne la poursuite des activités du GTC-FHR pendant les quatre</w:t>
            </w:r>
            <w:r w:rsidR="004A4437" w:rsidRPr="009F0E0B">
              <w:t> </w:t>
            </w:r>
            <w:r w:rsidRPr="009F0E0B">
              <w:t>prochaines années.</w:t>
            </w:r>
          </w:p>
          <w:p w14:paraId="3AAB409B" w14:textId="77777777" w:rsidR="00DB07F2" w:rsidRPr="009F0E0B" w:rsidRDefault="00DB07F2" w:rsidP="004A4437">
            <w:pPr>
              <w:pStyle w:val="Table"/>
              <w:keepNext w:val="0"/>
              <w:spacing w:before="0" w:after="0"/>
              <w:rPr>
                <w:rFonts w:ascii="Calibri" w:hAnsi="Calibri"/>
                <w:caps w:val="0"/>
                <w:sz w:val="22"/>
                <w:lang w:val="fr-FR"/>
              </w:rPr>
            </w:pPr>
            <w:r w:rsidRPr="009F0E0B">
              <w:rPr>
                <w:rFonts w:ascii="Calibri" w:hAnsi="Calibri"/>
                <w:caps w:val="0"/>
                <w:sz w:val="22"/>
                <w:lang w:val="fr-FR"/>
              </w:rPr>
              <w:t>____________</w:t>
            </w:r>
          </w:p>
          <w:p w14:paraId="56DA4ADB" w14:textId="77777777" w:rsidR="00DB07F2" w:rsidRPr="009F0E0B" w:rsidRDefault="00DB07F2" w:rsidP="004A4437">
            <w:pPr>
              <w:pStyle w:val="Headingb"/>
              <w:keepNext w:val="0"/>
              <w:keepLines w:val="0"/>
            </w:pPr>
            <w:r w:rsidRPr="009F0E0B">
              <w:t>Références</w:t>
            </w:r>
          </w:p>
          <w:p w14:paraId="539F6244" w14:textId="76C0B819" w:rsidR="00DB07F2" w:rsidRPr="009F0E0B" w:rsidRDefault="004A1F40" w:rsidP="004A4437">
            <w:pPr>
              <w:spacing w:after="120"/>
              <w:rPr>
                <w:i/>
                <w:iCs/>
              </w:rPr>
            </w:pPr>
            <w:hyperlink r:id="rId10" w:history="1">
              <w:r w:rsidR="00DB07F2" w:rsidRPr="009F0E0B">
                <w:rPr>
                  <w:rStyle w:val="Hyperlink"/>
                  <w:i/>
                  <w:iCs/>
                </w:rPr>
                <w:t>Décision 11 (Rév. Dubaï, 2018) de la Conférence de plénipotentiaires</w:t>
              </w:r>
            </w:hyperlink>
            <w:r w:rsidR="00DB07F2" w:rsidRPr="009F0E0B">
              <w:rPr>
                <w:rStyle w:val="Hyperlink"/>
                <w:color w:val="auto"/>
                <w:u w:val="none"/>
              </w:rPr>
              <w:t xml:space="preserve">, </w:t>
            </w:r>
            <w:hyperlink r:id="rId11" w:history="1">
              <w:r w:rsidR="00DB07F2" w:rsidRPr="009F0E0B">
                <w:rPr>
                  <w:rStyle w:val="Hyperlink"/>
                  <w:i/>
                  <w:iCs/>
                </w:rPr>
                <w:t>Décision 563 du Conseil (modifiée en 2019)</w:t>
              </w:r>
            </w:hyperlink>
            <w:r w:rsidR="004A4437" w:rsidRPr="009F0E0B">
              <w:rPr>
                <w:rStyle w:val="Hyperlink"/>
                <w:i/>
                <w:iCs/>
                <w:color w:val="auto"/>
                <w:u w:val="none"/>
              </w:rPr>
              <w:t>,</w:t>
            </w:r>
            <w:r w:rsidR="00DB07F2" w:rsidRPr="009F0E0B">
              <w:rPr>
                <w:i/>
                <w:iCs/>
              </w:rPr>
              <w:br/>
            </w:r>
            <w:hyperlink r:id="rId12" w:history="1">
              <w:r w:rsidR="00DB07F2" w:rsidRPr="009F0E0B">
                <w:rPr>
                  <w:rStyle w:val="Hyperlink"/>
                  <w:i/>
                  <w:iCs/>
                </w:rPr>
                <w:t>Site web du GTC-FHR</w:t>
              </w:r>
            </w:hyperlink>
            <w:r w:rsidR="004A4437" w:rsidRPr="009F0E0B">
              <w:rPr>
                <w:rStyle w:val="Hyperlink"/>
                <w:i/>
                <w:iCs/>
                <w:color w:val="auto"/>
                <w:u w:val="none"/>
              </w:rPr>
              <w:t>,</w:t>
            </w:r>
            <w:r w:rsidR="00DB07F2" w:rsidRPr="009F0E0B">
              <w:rPr>
                <w:rStyle w:val="Hyperlink"/>
                <w:i/>
                <w:iCs/>
              </w:rPr>
              <w:br/>
            </w:r>
            <w:r w:rsidR="00DB07F2" w:rsidRPr="009F0E0B">
              <w:rPr>
                <w:i/>
                <w:iCs/>
              </w:rPr>
              <w:t xml:space="preserve">Documents </w:t>
            </w:r>
            <w:hyperlink r:id="rId13" w:history="1">
              <w:r w:rsidR="00DB07F2" w:rsidRPr="009F0E0B">
                <w:rPr>
                  <w:rStyle w:val="Hyperlink"/>
                  <w:i/>
                  <w:iCs/>
                </w:rPr>
                <w:t>C22/88</w:t>
              </w:r>
            </w:hyperlink>
            <w:r w:rsidR="00DB07F2" w:rsidRPr="009F0E0B">
              <w:rPr>
                <w:i/>
                <w:iCs/>
              </w:rPr>
              <w:t xml:space="preserve">, </w:t>
            </w:r>
            <w:hyperlink r:id="rId14" w:history="1">
              <w:r w:rsidR="00DB07F2" w:rsidRPr="009F0E0B">
                <w:rPr>
                  <w:rStyle w:val="Hyperlink"/>
                  <w:i/>
                  <w:iCs/>
                </w:rPr>
                <w:t>C22/54</w:t>
              </w:r>
            </w:hyperlink>
            <w:r w:rsidR="00DB07F2" w:rsidRPr="009F0E0B">
              <w:rPr>
                <w:i/>
                <w:iCs/>
              </w:rPr>
              <w:t xml:space="preserve"> et </w:t>
            </w:r>
            <w:hyperlink r:id="rId15" w:history="1">
              <w:r w:rsidR="00DB07F2" w:rsidRPr="009F0E0B">
                <w:rPr>
                  <w:rStyle w:val="Hyperlink"/>
                  <w:i/>
                  <w:iCs/>
                </w:rPr>
                <w:t>C22/93</w:t>
              </w:r>
            </w:hyperlink>
            <w:r w:rsidR="00DB07F2" w:rsidRPr="009F0E0B">
              <w:rPr>
                <w:i/>
                <w:iCs/>
              </w:rPr>
              <w:t xml:space="preserve"> du Conseil</w:t>
            </w:r>
          </w:p>
        </w:tc>
      </w:tr>
    </w:tbl>
    <w:p w14:paraId="23E5CC14" w14:textId="205412B2" w:rsidR="00BD1614" w:rsidRPr="009F0E0B" w:rsidRDefault="00BD1614" w:rsidP="00327F19">
      <w:pPr>
        <w:tabs>
          <w:tab w:val="clear" w:pos="567"/>
          <w:tab w:val="clear" w:pos="1134"/>
          <w:tab w:val="clear" w:pos="1701"/>
          <w:tab w:val="clear" w:pos="2268"/>
          <w:tab w:val="clear" w:pos="2835"/>
        </w:tabs>
        <w:overflowPunct/>
        <w:autoSpaceDE/>
        <w:autoSpaceDN/>
        <w:adjustRightInd/>
        <w:spacing w:before="0"/>
        <w:textAlignment w:val="auto"/>
      </w:pP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DB07F2" w:rsidRPr="009F0E0B" w14:paraId="0BD5DA5B" w14:textId="77777777" w:rsidTr="00772AD8">
        <w:trPr>
          <w:cantSplit/>
        </w:trPr>
        <w:tc>
          <w:tcPr>
            <w:tcW w:w="6912" w:type="dxa"/>
          </w:tcPr>
          <w:p w14:paraId="38985F3E" w14:textId="77777777" w:rsidR="00DB07F2" w:rsidRPr="009F0E0B" w:rsidRDefault="00DB07F2" w:rsidP="00327F19">
            <w:pPr>
              <w:spacing w:before="360"/>
            </w:pPr>
            <w:bookmarkStart w:id="7" w:name="dc06"/>
            <w:bookmarkEnd w:id="7"/>
            <w:r w:rsidRPr="009F0E0B">
              <w:rPr>
                <w:b/>
                <w:bCs/>
                <w:sz w:val="30"/>
                <w:szCs w:val="30"/>
              </w:rPr>
              <w:t>Conseil 2022</w:t>
            </w:r>
            <w:r w:rsidRPr="009F0E0B">
              <w:rPr>
                <w:rFonts w:ascii="Verdana" w:hAnsi="Verdana"/>
                <w:b/>
                <w:bCs/>
                <w:sz w:val="26"/>
                <w:szCs w:val="26"/>
              </w:rPr>
              <w:br/>
            </w:r>
            <w:r w:rsidRPr="009F0E0B">
              <w:rPr>
                <w:b/>
                <w:bCs/>
                <w:sz w:val="28"/>
                <w:szCs w:val="28"/>
              </w:rPr>
              <w:t>Genève, 21-31 mars 2022</w:t>
            </w:r>
          </w:p>
        </w:tc>
        <w:tc>
          <w:tcPr>
            <w:tcW w:w="3261" w:type="dxa"/>
          </w:tcPr>
          <w:p w14:paraId="488AB1DA" w14:textId="77777777" w:rsidR="00DB07F2" w:rsidRPr="009F0E0B" w:rsidRDefault="00DB07F2" w:rsidP="00327F19">
            <w:pPr>
              <w:spacing w:before="0"/>
            </w:pPr>
            <w:r w:rsidRPr="009F0E0B">
              <w:rPr>
                <w:noProof/>
                <w:lang w:eastAsia="fr-FR"/>
              </w:rPr>
              <w:drawing>
                <wp:inline distT="0" distB="0" distL="0" distR="0" wp14:anchorId="34EF4AE7" wp14:editId="5B194E11">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B07F2" w:rsidRPr="009F0E0B" w14:paraId="14F32449" w14:textId="77777777" w:rsidTr="00772AD8">
        <w:trPr>
          <w:cantSplit/>
          <w:trHeight w:val="20"/>
        </w:trPr>
        <w:tc>
          <w:tcPr>
            <w:tcW w:w="6912" w:type="dxa"/>
            <w:tcBorders>
              <w:bottom w:val="single" w:sz="12" w:space="0" w:color="auto"/>
            </w:tcBorders>
            <w:vAlign w:val="center"/>
          </w:tcPr>
          <w:p w14:paraId="26268697" w14:textId="77777777" w:rsidR="00DB07F2" w:rsidRPr="009F0E0B" w:rsidRDefault="00DB07F2" w:rsidP="00327F19">
            <w:pPr>
              <w:spacing w:before="0"/>
              <w:rPr>
                <w:b/>
                <w:bCs/>
                <w:sz w:val="26"/>
                <w:szCs w:val="26"/>
              </w:rPr>
            </w:pPr>
          </w:p>
        </w:tc>
        <w:tc>
          <w:tcPr>
            <w:tcW w:w="3261" w:type="dxa"/>
            <w:tcBorders>
              <w:bottom w:val="single" w:sz="12" w:space="0" w:color="auto"/>
            </w:tcBorders>
          </w:tcPr>
          <w:p w14:paraId="2F0604CE" w14:textId="77777777" w:rsidR="00DB07F2" w:rsidRPr="009F0E0B" w:rsidRDefault="00DB07F2" w:rsidP="00327F19">
            <w:pPr>
              <w:spacing w:before="0"/>
              <w:rPr>
                <w:b/>
                <w:bCs/>
              </w:rPr>
            </w:pPr>
          </w:p>
        </w:tc>
      </w:tr>
      <w:tr w:rsidR="00DB07F2" w:rsidRPr="009F0E0B" w14:paraId="37082C45" w14:textId="77777777" w:rsidTr="00772AD8">
        <w:trPr>
          <w:cantSplit/>
          <w:trHeight w:val="20"/>
        </w:trPr>
        <w:tc>
          <w:tcPr>
            <w:tcW w:w="6912" w:type="dxa"/>
            <w:tcBorders>
              <w:top w:val="single" w:sz="12" w:space="0" w:color="auto"/>
            </w:tcBorders>
          </w:tcPr>
          <w:p w14:paraId="4EC3C901" w14:textId="77777777" w:rsidR="00DB07F2" w:rsidRPr="009F0E0B" w:rsidRDefault="00DB07F2" w:rsidP="00327F19">
            <w:pPr>
              <w:spacing w:before="0"/>
              <w:rPr>
                <w:smallCaps/>
                <w:sz w:val="22"/>
              </w:rPr>
            </w:pPr>
          </w:p>
        </w:tc>
        <w:tc>
          <w:tcPr>
            <w:tcW w:w="3261" w:type="dxa"/>
            <w:tcBorders>
              <w:top w:val="single" w:sz="12" w:space="0" w:color="auto"/>
            </w:tcBorders>
          </w:tcPr>
          <w:p w14:paraId="480305F4" w14:textId="77777777" w:rsidR="00DB07F2" w:rsidRPr="009F0E0B" w:rsidRDefault="00DB07F2" w:rsidP="00327F19">
            <w:pPr>
              <w:spacing w:before="0"/>
              <w:rPr>
                <w:b/>
                <w:bCs/>
              </w:rPr>
            </w:pPr>
          </w:p>
        </w:tc>
      </w:tr>
      <w:tr w:rsidR="00DB07F2" w:rsidRPr="009F0E0B" w14:paraId="04ABE3D8" w14:textId="77777777" w:rsidTr="00772AD8">
        <w:trPr>
          <w:cantSplit/>
          <w:trHeight w:val="20"/>
        </w:trPr>
        <w:tc>
          <w:tcPr>
            <w:tcW w:w="6912" w:type="dxa"/>
            <w:vMerge w:val="restart"/>
          </w:tcPr>
          <w:p w14:paraId="4F97299C" w14:textId="77777777" w:rsidR="00DB07F2" w:rsidRPr="009F0E0B" w:rsidRDefault="00DB07F2" w:rsidP="00327F19">
            <w:pPr>
              <w:spacing w:before="0"/>
              <w:rPr>
                <w:rFonts w:cs="Times"/>
                <w:b/>
                <w:bCs/>
                <w:szCs w:val="24"/>
              </w:rPr>
            </w:pPr>
            <w:bookmarkStart w:id="8" w:name="dnum" w:colFirst="1" w:colLast="1"/>
            <w:bookmarkStart w:id="9" w:name="dmeeting" w:colFirst="0" w:colLast="0"/>
            <w:r w:rsidRPr="009F0E0B">
              <w:rPr>
                <w:rFonts w:cs="Times"/>
                <w:b/>
                <w:bCs/>
                <w:szCs w:val="24"/>
              </w:rPr>
              <w:t>Point de l'ordre du jour: ADM 3</w:t>
            </w:r>
          </w:p>
        </w:tc>
        <w:tc>
          <w:tcPr>
            <w:tcW w:w="3261" w:type="dxa"/>
          </w:tcPr>
          <w:p w14:paraId="752417A4" w14:textId="77777777" w:rsidR="00DB07F2" w:rsidRPr="009F0E0B" w:rsidRDefault="00DB07F2" w:rsidP="00327F19">
            <w:pPr>
              <w:spacing w:before="0"/>
              <w:rPr>
                <w:b/>
                <w:bCs/>
              </w:rPr>
            </w:pPr>
            <w:r w:rsidRPr="009F0E0B">
              <w:rPr>
                <w:b/>
                <w:bCs/>
              </w:rPr>
              <w:t>Document C22/54-F</w:t>
            </w:r>
          </w:p>
        </w:tc>
      </w:tr>
      <w:tr w:rsidR="00DB07F2" w:rsidRPr="009F0E0B" w14:paraId="7BADD1CA" w14:textId="77777777" w:rsidTr="00772AD8">
        <w:trPr>
          <w:cantSplit/>
          <w:trHeight w:val="20"/>
        </w:trPr>
        <w:tc>
          <w:tcPr>
            <w:tcW w:w="6912" w:type="dxa"/>
            <w:vMerge/>
          </w:tcPr>
          <w:p w14:paraId="51509349" w14:textId="77777777" w:rsidR="00DB07F2" w:rsidRPr="009F0E0B" w:rsidRDefault="00DB07F2" w:rsidP="00327F19">
            <w:pPr>
              <w:shd w:val="solid" w:color="FFFFFF" w:fill="FFFFFF"/>
              <w:spacing w:before="180"/>
              <w:rPr>
                <w:smallCaps/>
              </w:rPr>
            </w:pPr>
            <w:bookmarkStart w:id="10" w:name="ddate" w:colFirst="1" w:colLast="1"/>
            <w:bookmarkEnd w:id="8"/>
            <w:bookmarkEnd w:id="9"/>
          </w:p>
        </w:tc>
        <w:tc>
          <w:tcPr>
            <w:tcW w:w="3261" w:type="dxa"/>
          </w:tcPr>
          <w:p w14:paraId="1B2F2BBE" w14:textId="77777777" w:rsidR="00DB07F2" w:rsidRPr="009F0E0B" w:rsidRDefault="00DB07F2" w:rsidP="00327F19">
            <w:pPr>
              <w:spacing w:before="0"/>
              <w:rPr>
                <w:b/>
                <w:bCs/>
              </w:rPr>
            </w:pPr>
            <w:r w:rsidRPr="009F0E0B">
              <w:rPr>
                <w:b/>
                <w:bCs/>
              </w:rPr>
              <w:t>18 février 2022</w:t>
            </w:r>
          </w:p>
        </w:tc>
      </w:tr>
      <w:tr w:rsidR="00DB07F2" w:rsidRPr="009F0E0B" w14:paraId="571E45DF" w14:textId="77777777" w:rsidTr="00772AD8">
        <w:trPr>
          <w:cantSplit/>
          <w:trHeight w:val="20"/>
        </w:trPr>
        <w:tc>
          <w:tcPr>
            <w:tcW w:w="6912" w:type="dxa"/>
            <w:vMerge/>
          </w:tcPr>
          <w:p w14:paraId="5656344F" w14:textId="77777777" w:rsidR="00DB07F2" w:rsidRPr="009F0E0B" w:rsidRDefault="00DB07F2" w:rsidP="00327F19">
            <w:pPr>
              <w:shd w:val="solid" w:color="FFFFFF" w:fill="FFFFFF"/>
              <w:spacing w:before="180"/>
              <w:rPr>
                <w:smallCaps/>
              </w:rPr>
            </w:pPr>
            <w:bookmarkStart w:id="11" w:name="dorlang" w:colFirst="1" w:colLast="1"/>
            <w:bookmarkEnd w:id="10"/>
          </w:p>
        </w:tc>
        <w:tc>
          <w:tcPr>
            <w:tcW w:w="3261" w:type="dxa"/>
          </w:tcPr>
          <w:p w14:paraId="44219357" w14:textId="77777777" w:rsidR="00DB07F2" w:rsidRPr="009F0E0B" w:rsidRDefault="00DB07F2" w:rsidP="00327F19">
            <w:pPr>
              <w:spacing w:before="0"/>
              <w:rPr>
                <w:b/>
                <w:bCs/>
              </w:rPr>
            </w:pPr>
            <w:r w:rsidRPr="009F0E0B">
              <w:rPr>
                <w:b/>
                <w:bCs/>
              </w:rPr>
              <w:t>Original: anglais</w:t>
            </w:r>
          </w:p>
        </w:tc>
      </w:tr>
      <w:bookmarkEnd w:id="11"/>
      <w:tr w:rsidR="00DB07F2" w:rsidRPr="009F0E0B" w14:paraId="17D9EF0E" w14:textId="77777777" w:rsidTr="00772AD8">
        <w:trPr>
          <w:cantSplit/>
        </w:trPr>
        <w:tc>
          <w:tcPr>
            <w:tcW w:w="10173" w:type="dxa"/>
            <w:gridSpan w:val="2"/>
          </w:tcPr>
          <w:p w14:paraId="3F6B70FA" w14:textId="77777777" w:rsidR="00DB07F2" w:rsidRPr="009F0E0B" w:rsidRDefault="00DB07F2" w:rsidP="00327F19">
            <w:pPr>
              <w:pStyle w:val="Source"/>
            </w:pPr>
            <w:r w:rsidRPr="009F0E0B">
              <w:t xml:space="preserve">Rapport de la Présidente du Groupe de travail du Conseil sur les </w:t>
            </w:r>
            <w:r w:rsidRPr="009F0E0B">
              <w:br/>
              <w:t>ressources financières et les ressources humaines (GTC-FHR)</w:t>
            </w:r>
          </w:p>
        </w:tc>
      </w:tr>
      <w:tr w:rsidR="00DB07F2" w:rsidRPr="009F0E0B" w14:paraId="12EFA243" w14:textId="77777777" w:rsidTr="00772AD8">
        <w:trPr>
          <w:cantSplit/>
        </w:trPr>
        <w:tc>
          <w:tcPr>
            <w:tcW w:w="10173" w:type="dxa"/>
            <w:gridSpan w:val="2"/>
          </w:tcPr>
          <w:p w14:paraId="1EB4A376" w14:textId="77777777" w:rsidR="00DB07F2" w:rsidRPr="009F0E0B" w:rsidRDefault="00DB07F2" w:rsidP="00327F19">
            <w:pPr>
              <w:pStyle w:val="Title1"/>
            </w:pPr>
            <w:bookmarkStart w:id="12" w:name="_Hlk98660628"/>
            <w:r w:rsidRPr="009F0E0B">
              <w:t xml:space="preserve">rapport quadriennal du groupe de travail du conseil sur </w:t>
            </w:r>
            <w:r w:rsidRPr="009F0E0B">
              <w:br/>
              <w:t>les ressources financières et les ressources humaines</w:t>
            </w:r>
            <w:bookmarkEnd w:id="12"/>
          </w:p>
        </w:tc>
      </w:tr>
    </w:tbl>
    <w:p w14:paraId="0E30A741" w14:textId="77777777" w:rsidR="00DB07F2" w:rsidRPr="009F0E0B" w:rsidRDefault="00DB07F2" w:rsidP="00327F1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B07F2" w:rsidRPr="009F0E0B" w14:paraId="2B3AFEE7" w14:textId="77777777" w:rsidTr="00772AD8">
        <w:trPr>
          <w:trHeight w:val="3372"/>
        </w:trPr>
        <w:tc>
          <w:tcPr>
            <w:tcW w:w="8080" w:type="dxa"/>
            <w:tcBorders>
              <w:top w:val="single" w:sz="12" w:space="0" w:color="auto"/>
              <w:left w:val="single" w:sz="12" w:space="0" w:color="auto"/>
              <w:bottom w:val="single" w:sz="12" w:space="0" w:color="auto"/>
              <w:right w:val="single" w:sz="12" w:space="0" w:color="auto"/>
            </w:tcBorders>
          </w:tcPr>
          <w:p w14:paraId="7B8D23F4" w14:textId="77777777" w:rsidR="00DB07F2" w:rsidRPr="009F0E0B" w:rsidRDefault="00DB07F2" w:rsidP="00327F19">
            <w:pPr>
              <w:pStyle w:val="Headingb"/>
            </w:pPr>
            <w:r w:rsidRPr="009F0E0B">
              <w:t>Résumé</w:t>
            </w:r>
          </w:p>
          <w:p w14:paraId="70A94272" w14:textId="77777777" w:rsidR="00DB07F2" w:rsidRPr="009F0E0B" w:rsidRDefault="00DB07F2" w:rsidP="00327F19">
            <w:r w:rsidRPr="009F0E0B">
              <w:t>Conformément à la Décision 11 (Rév. Dubaï, 2018) de la Conférence de plénipotentiaires, le présent document contient le rapport quadriennal de la Présidente du Groupe de travail du Conseil sur les ressources financières et les ressources humaines (GTC-FHR) correspondant aux sessions de 2019, 2020, 2021 et 2022 du Conseil.</w:t>
            </w:r>
          </w:p>
          <w:p w14:paraId="28670487" w14:textId="77777777" w:rsidR="00DB07F2" w:rsidRPr="009F0E0B" w:rsidRDefault="00DB07F2" w:rsidP="00327F19">
            <w:r w:rsidRPr="009F0E0B">
              <w:t>Reconnaissant la nécessité de prendre en compte l'importance des questions relatives aux ressources financières et aux ressources humaines entre les sessions du Conseil, en particulier des questions qui nécessitent un réexamen et une modification éventuelle des instruments financiers de l'UIT (Règlement financier et Règles financières) ainsi que des Statut et Règlement du personnel, le Conseil pourrait décider de maintenir ce groupe pour le prochain cycle.</w:t>
            </w:r>
          </w:p>
          <w:p w14:paraId="1325854A" w14:textId="77777777" w:rsidR="00DB07F2" w:rsidRPr="009F0E0B" w:rsidRDefault="00DB07F2" w:rsidP="00327F19">
            <w:r w:rsidRPr="009F0E0B">
              <w:t>Le Groupe de travail du Conseil sur les ressources financières et les ressources humaines présente chaque année un rapport d'activité au Conseil.</w:t>
            </w:r>
          </w:p>
          <w:p w14:paraId="21771DFC" w14:textId="77777777" w:rsidR="00DB07F2" w:rsidRPr="009F0E0B" w:rsidRDefault="00DB07F2" w:rsidP="00327F19">
            <w:pPr>
              <w:pStyle w:val="Headingb"/>
              <w:spacing w:after="120"/>
            </w:pPr>
            <w:r w:rsidRPr="009F0E0B">
              <w:t>Suite à donner</w:t>
            </w:r>
          </w:p>
          <w:p w14:paraId="71C60591" w14:textId="77777777" w:rsidR="00DB07F2" w:rsidRPr="009F0E0B" w:rsidRDefault="00DB07F2" w:rsidP="00327F19">
            <w:r w:rsidRPr="009F0E0B">
              <w:t xml:space="preserve">Le Conseil est invité à </w:t>
            </w:r>
            <w:r w:rsidRPr="009F0E0B">
              <w:rPr>
                <w:b/>
              </w:rPr>
              <w:t>examiner</w:t>
            </w:r>
            <w:r w:rsidRPr="009F0E0B">
              <w:t xml:space="preserve"> le présent rapport et à </w:t>
            </w:r>
            <w:r w:rsidRPr="009F0E0B">
              <w:rPr>
                <w:b/>
              </w:rPr>
              <w:t>soumettre</w:t>
            </w:r>
            <w:r w:rsidRPr="009F0E0B">
              <w:t xml:space="preserve"> ses recommandations à la Conférence de plénipotentiaires selon qu'il convient, notamment en ce qui concerne la poursuite des activités du GTC-FHR pendant les quatre prochaines années.</w:t>
            </w:r>
          </w:p>
          <w:p w14:paraId="54D06E48" w14:textId="77777777" w:rsidR="00DB07F2" w:rsidRPr="009F0E0B" w:rsidRDefault="00DB07F2" w:rsidP="00327F19">
            <w:pPr>
              <w:pStyle w:val="Table"/>
              <w:keepNext w:val="0"/>
              <w:spacing w:before="0" w:after="0"/>
              <w:rPr>
                <w:rFonts w:ascii="Calibri" w:hAnsi="Calibri"/>
                <w:caps w:val="0"/>
                <w:sz w:val="22"/>
                <w:lang w:val="fr-FR"/>
              </w:rPr>
            </w:pPr>
            <w:r w:rsidRPr="009F0E0B">
              <w:rPr>
                <w:rFonts w:ascii="Calibri" w:hAnsi="Calibri"/>
                <w:caps w:val="0"/>
                <w:sz w:val="22"/>
                <w:lang w:val="fr-FR"/>
              </w:rPr>
              <w:t>____________</w:t>
            </w:r>
          </w:p>
          <w:p w14:paraId="5B239B7E" w14:textId="77777777" w:rsidR="00DB07F2" w:rsidRPr="009F0E0B" w:rsidRDefault="00DB07F2" w:rsidP="00327F19">
            <w:pPr>
              <w:pStyle w:val="Headingb"/>
            </w:pPr>
            <w:r w:rsidRPr="009F0E0B">
              <w:t>Références</w:t>
            </w:r>
          </w:p>
          <w:p w14:paraId="00111ABA" w14:textId="77777777" w:rsidR="00DB07F2" w:rsidRPr="009F0E0B" w:rsidRDefault="004A1F40" w:rsidP="00327F19">
            <w:pPr>
              <w:rPr>
                <w:i/>
                <w:iCs/>
              </w:rPr>
            </w:pPr>
            <w:hyperlink r:id="rId16" w:history="1">
              <w:r w:rsidR="00DB07F2" w:rsidRPr="009F0E0B">
                <w:rPr>
                  <w:rStyle w:val="Hyperlink"/>
                  <w:i/>
                  <w:iCs/>
                </w:rPr>
                <w:t>Décision 11 (Rév. Dubaï, 2018) de la Conférence de plénipotentiaires</w:t>
              </w:r>
            </w:hyperlink>
            <w:r w:rsidR="00DB07F2" w:rsidRPr="009F0E0B">
              <w:rPr>
                <w:rStyle w:val="Hyperlink"/>
                <w:color w:val="auto"/>
                <w:u w:val="none"/>
              </w:rPr>
              <w:t xml:space="preserve">, </w:t>
            </w:r>
            <w:hyperlink r:id="rId17" w:history="1">
              <w:r w:rsidR="00DB07F2" w:rsidRPr="009F0E0B">
                <w:rPr>
                  <w:rStyle w:val="Hyperlink"/>
                  <w:i/>
                  <w:iCs/>
                </w:rPr>
                <w:t>Décision 563 du Conseil (modifiée en 2019)</w:t>
              </w:r>
            </w:hyperlink>
            <w:r w:rsidR="00DB07F2" w:rsidRPr="009F0E0B">
              <w:rPr>
                <w:i/>
                <w:iCs/>
              </w:rPr>
              <w:br/>
            </w:r>
            <w:hyperlink r:id="rId18" w:history="1">
              <w:r w:rsidR="00DB07F2" w:rsidRPr="009F0E0B">
                <w:rPr>
                  <w:rStyle w:val="Hyperlink"/>
                  <w:i/>
                  <w:iCs/>
                </w:rPr>
                <w:t>Site web du GTC-FHR</w:t>
              </w:r>
            </w:hyperlink>
          </w:p>
        </w:tc>
      </w:tr>
    </w:tbl>
    <w:p w14:paraId="1151B9A4" w14:textId="77777777" w:rsidR="00DB07F2" w:rsidRPr="009F0E0B" w:rsidRDefault="00DB07F2" w:rsidP="00327F19">
      <w:r w:rsidRPr="009F0E0B">
        <w:br w:type="page"/>
      </w:r>
    </w:p>
    <w:p w14:paraId="074B81E7" w14:textId="77777777" w:rsidR="00DB07F2" w:rsidRPr="009F0E0B" w:rsidRDefault="00DB07F2" w:rsidP="00327F19">
      <w:pPr>
        <w:pStyle w:val="Heading1"/>
      </w:pPr>
      <w:r w:rsidRPr="009F0E0B">
        <w:lastRenderedPageBreak/>
        <w:t>I</w:t>
      </w:r>
      <w:r w:rsidRPr="009F0E0B">
        <w:tab/>
        <w:t>Introduction</w:t>
      </w:r>
    </w:p>
    <w:p w14:paraId="76C32CAB" w14:textId="77777777" w:rsidR="00DB07F2" w:rsidRPr="009F0E0B" w:rsidRDefault="00DB07F2" w:rsidP="00327F19">
      <w:r w:rsidRPr="009F0E0B">
        <w:t>1</w:t>
      </w:r>
      <w:r w:rsidRPr="009F0E0B">
        <w:tab/>
        <w:t>Le Conseil a approuvé le mandat du Groupe de travail du Conseil sur les ressources financières et les ressources humaines par sa Décision 563, modifiée en 2019 (voir l'Annexe 1 de la Décision). Le groupe est ouvert à tous les États Membres et Membres de Secteur.</w:t>
      </w:r>
    </w:p>
    <w:p w14:paraId="38958D57" w14:textId="77777777" w:rsidR="00DB07F2" w:rsidRPr="009F0E0B" w:rsidRDefault="00DB07F2" w:rsidP="00327F19">
      <w:r w:rsidRPr="009F0E0B">
        <w:t>2</w:t>
      </w:r>
      <w:r w:rsidRPr="009F0E0B">
        <w:tab/>
        <w:t>Le Groupe de travail du Conseil sur les ressources financières et les ressources humaines:</w:t>
      </w:r>
    </w:p>
    <w:p w14:paraId="5C5C07C3" w14:textId="77777777" w:rsidR="00DB07F2" w:rsidRPr="009F0E0B" w:rsidRDefault="00DB07F2" w:rsidP="00327F19">
      <w:pPr>
        <w:pStyle w:val="enumlev1"/>
      </w:pPr>
      <w:r w:rsidRPr="009F0E0B">
        <w:t>–</w:t>
      </w:r>
      <w:r w:rsidRPr="009F0E0B">
        <w:tab/>
        <w:t>s'occupe de questions importantes relatives aux ressources financières et aux ressources humaines entre les sessions du Conseil, en particulier des questions qui nécessitent un réexamen et une modification éventuelle des instruments financiers de l'UIT (Règlement financier et Règles financières) ainsi que des Statut et Règlement du personnel;</w:t>
      </w:r>
    </w:p>
    <w:p w14:paraId="51A2B6C7" w14:textId="77777777" w:rsidR="00DB07F2" w:rsidRPr="009F0E0B" w:rsidRDefault="00DB07F2" w:rsidP="00327F19">
      <w:pPr>
        <w:pStyle w:val="enumlev1"/>
      </w:pPr>
      <w:r w:rsidRPr="009F0E0B">
        <w:t>–</w:t>
      </w:r>
      <w:r w:rsidRPr="009F0E0B">
        <w:tab/>
        <w:t>veille à ce que les recommandations pertinentes du Corps commun d'inspection des Nations Unies, du Vérificateur extérieur des comptes et du Comité consultatif indépendant pour les questions de gestion (CCIG) ayant des incidences sur la gestion des ressources financières et des ressources humaines de l'Union soient prises en considération;</w:t>
      </w:r>
    </w:p>
    <w:p w14:paraId="6A4AE28E" w14:textId="77777777" w:rsidR="00DB07F2" w:rsidRPr="009F0E0B" w:rsidRDefault="00DB07F2" w:rsidP="00327F19">
      <w:pPr>
        <w:pStyle w:val="enumlev1"/>
      </w:pPr>
      <w:r w:rsidRPr="009F0E0B">
        <w:t>–</w:t>
      </w:r>
      <w:r w:rsidRPr="009F0E0B">
        <w:tab/>
        <w:t>procède, sur une base annuelle, à une évaluation de la mise en œuvre de la gestion axée sur les résultats, y compris l'établissement d'un ordre de priorité entre les activités et initiatives de l'Union, compte tenu des critères spécifiques identifiés dans le Plan stratégique de l'Union;</w:t>
      </w:r>
    </w:p>
    <w:p w14:paraId="55E261DD" w14:textId="77777777" w:rsidR="00DB07F2" w:rsidRPr="009F0E0B" w:rsidRDefault="00DB07F2" w:rsidP="00327F19">
      <w:pPr>
        <w:pStyle w:val="enumlev1"/>
      </w:pPr>
      <w:r w:rsidRPr="009F0E0B">
        <w:t>–</w:t>
      </w:r>
      <w:r w:rsidRPr="009F0E0B">
        <w:tab/>
        <w:t>maintient des relations étroites avec la direction de l'UIT et le Conseil du personnel afin de déterminer les questions d'intérêt commun, en particulier celles pour lesquelles des avis et des orientations du Conseil sont requis et justifiés.</w:t>
      </w:r>
    </w:p>
    <w:p w14:paraId="68D133EC" w14:textId="77777777" w:rsidR="00DB07F2" w:rsidRPr="009F0E0B" w:rsidRDefault="00DB07F2" w:rsidP="00327F19">
      <w:r w:rsidRPr="009F0E0B">
        <w:t>3</w:t>
      </w:r>
      <w:r w:rsidRPr="009F0E0B">
        <w:tab/>
        <w:t>Les neuvième, dixième et onzième réunions du Groupe de travail sur les ressources financières et les ressources humaines se sont tenues sous la présidence de M. Dietmar Plesse (Allemagne), secondé par six Vice-Présidents, à savoir:</w:t>
      </w:r>
    </w:p>
    <w:p w14:paraId="3CC1E05E" w14:textId="77777777" w:rsidR="00DB07F2" w:rsidRPr="009F0E0B" w:rsidRDefault="00DB07F2" w:rsidP="00327F19">
      <w:pPr>
        <w:pStyle w:val="enumlev1"/>
      </w:pPr>
      <w:r w:rsidRPr="009F0E0B">
        <w:t>–</w:t>
      </w:r>
      <w:r w:rsidRPr="009F0E0B">
        <w:tab/>
        <w:t>Mme Seynabou Seck Cisse (Sénégal)</w:t>
      </w:r>
    </w:p>
    <w:p w14:paraId="74C944BF" w14:textId="77777777" w:rsidR="00DB07F2" w:rsidRPr="009F0E0B" w:rsidRDefault="00DB07F2" w:rsidP="00327F19">
      <w:pPr>
        <w:pStyle w:val="enumlev1"/>
      </w:pPr>
      <w:r w:rsidRPr="009F0E0B">
        <w:t>–</w:t>
      </w:r>
      <w:r w:rsidRPr="009F0E0B">
        <w:tab/>
        <w:t>Mme Vernita D. Harris (États-Unis d'Amérique)</w:t>
      </w:r>
    </w:p>
    <w:p w14:paraId="685F41FB" w14:textId="77777777" w:rsidR="00DB07F2" w:rsidRPr="009F0E0B" w:rsidRDefault="00DB07F2" w:rsidP="00327F19">
      <w:pPr>
        <w:pStyle w:val="enumlev1"/>
      </w:pPr>
      <w:r w:rsidRPr="009F0E0B">
        <w:t>–</w:t>
      </w:r>
      <w:r w:rsidRPr="009F0E0B">
        <w:tab/>
        <w:t>M. Mohamed S. Ali Al Muathen (Émirats arabes unis)</w:t>
      </w:r>
    </w:p>
    <w:p w14:paraId="297317EC" w14:textId="77777777" w:rsidR="00DB07F2" w:rsidRPr="004A1F40" w:rsidRDefault="00DB07F2" w:rsidP="00327F19">
      <w:pPr>
        <w:pStyle w:val="enumlev1"/>
        <w:rPr>
          <w:lang w:val="en-GB"/>
        </w:rPr>
      </w:pPr>
      <w:r w:rsidRPr="004A1F40">
        <w:rPr>
          <w:lang w:val="en-GB"/>
        </w:rPr>
        <w:t>–</w:t>
      </w:r>
      <w:r w:rsidRPr="004A1F40">
        <w:rPr>
          <w:lang w:val="en-GB"/>
        </w:rPr>
        <w:tab/>
        <w:t>Mme Archana Goyal Gulati (Inde)</w:t>
      </w:r>
    </w:p>
    <w:p w14:paraId="3F697520" w14:textId="77777777" w:rsidR="00DB07F2" w:rsidRPr="009F0E0B" w:rsidRDefault="00DB07F2" w:rsidP="00327F19">
      <w:pPr>
        <w:pStyle w:val="enumlev1"/>
      </w:pPr>
      <w:r w:rsidRPr="009F0E0B">
        <w:t>–</w:t>
      </w:r>
      <w:r w:rsidRPr="009F0E0B">
        <w:tab/>
        <w:t>M. Andreiy S. Zhivov (Fédération de Russie)</w:t>
      </w:r>
    </w:p>
    <w:p w14:paraId="4BBF35E6" w14:textId="77777777" w:rsidR="00DB07F2" w:rsidRPr="009F0E0B" w:rsidRDefault="00DB07F2" w:rsidP="00327F19">
      <w:pPr>
        <w:pStyle w:val="enumlev1"/>
      </w:pPr>
      <w:r w:rsidRPr="009F0E0B">
        <w:t>–</w:t>
      </w:r>
      <w:r w:rsidRPr="009F0E0B">
        <w:tab/>
        <w:t>M. Vilem Vesely (République tchèque)</w:t>
      </w:r>
    </w:p>
    <w:p w14:paraId="01839A44" w14:textId="77777777" w:rsidR="00DB07F2" w:rsidRPr="009F0E0B" w:rsidRDefault="00DB07F2" w:rsidP="00327F19">
      <w:r w:rsidRPr="009F0E0B">
        <w:t>4</w:t>
      </w:r>
      <w:r w:rsidRPr="009F0E0B">
        <w:tab/>
        <w:t>Depuis la douzième réunion du GTC-FHR, le groupe est présidé par Mme Vernita D. Harris (États-Unis d'Amérique), secondée par six Vice-Présidents, puis cinq, à savoir:</w:t>
      </w:r>
    </w:p>
    <w:p w14:paraId="30C1D0C9" w14:textId="77777777" w:rsidR="00DB07F2" w:rsidRPr="009F0E0B" w:rsidRDefault="00DB07F2" w:rsidP="00327F19">
      <w:pPr>
        <w:pStyle w:val="enumlev1"/>
      </w:pPr>
      <w:r w:rsidRPr="009F0E0B">
        <w:t>–</w:t>
      </w:r>
      <w:r w:rsidRPr="009F0E0B">
        <w:tab/>
        <w:t>Mme Seynabou Seck Cisse (Sénégal)</w:t>
      </w:r>
    </w:p>
    <w:p w14:paraId="16737DB3" w14:textId="77777777" w:rsidR="00DB07F2" w:rsidRPr="009F0E0B" w:rsidRDefault="00DB07F2" w:rsidP="00327F19">
      <w:pPr>
        <w:pStyle w:val="enumlev1"/>
      </w:pPr>
      <w:r w:rsidRPr="009F0E0B">
        <w:t>–</w:t>
      </w:r>
      <w:r w:rsidRPr="009F0E0B">
        <w:tab/>
        <w:t xml:space="preserve">Mme Xian Persaud (Bahamas) </w:t>
      </w:r>
      <w:r w:rsidRPr="009F0E0B">
        <w:rPr>
          <w:i/>
          <w:iCs/>
        </w:rPr>
        <w:t>(douzième réunion uniquement)</w:t>
      </w:r>
    </w:p>
    <w:p w14:paraId="67A9F05D" w14:textId="77777777" w:rsidR="00DB07F2" w:rsidRPr="009F0E0B" w:rsidRDefault="00DB07F2" w:rsidP="00327F19">
      <w:pPr>
        <w:pStyle w:val="enumlev1"/>
      </w:pPr>
      <w:r w:rsidRPr="009F0E0B">
        <w:t>–</w:t>
      </w:r>
      <w:r w:rsidRPr="009F0E0B">
        <w:tab/>
        <w:t>M. Mohamed S. Ali Al Muathen Al Mazroei (Émirats arabes unis)</w:t>
      </w:r>
    </w:p>
    <w:p w14:paraId="7D77080B" w14:textId="77777777" w:rsidR="00DB07F2" w:rsidRPr="009F0E0B" w:rsidRDefault="00DB07F2" w:rsidP="00327F19">
      <w:pPr>
        <w:pStyle w:val="enumlev1"/>
      </w:pPr>
      <w:r w:rsidRPr="009F0E0B">
        <w:t>–</w:t>
      </w:r>
      <w:r w:rsidRPr="009F0E0B">
        <w:tab/>
        <w:t>Mme Archana Goyal Gulati (Inde)</w:t>
      </w:r>
    </w:p>
    <w:p w14:paraId="5A7C97DD" w14:textId="77777777" w:rsidR="00DB07F2" w:rsidRPr="009F0E0B" w:rsidRDefault="00DB07F2" w:rsidP="00327F19">
      <w:pPr>
        <w:pStyle w:val="enumlev1"/>
      </w:pPr>
      <w:r w:rsidRPr="009F0E0B">
        <w:t>–</w:t>
      </w:r>
      <w:r w:rsidRPr="009F0E0B">
        <w:tab/>
        <w:t>Mme D.V. Kalyuga (Fédération de Russie)</w:t>
      </w:r>
    </w:p>
    <w:p w14:paraId="78DADB83" w14:textId="77777777" w:rsidR="00DB07F2" w:rsidRPr="009F0E0B" w:rsidRDefault="00DB07F2" w:rsidP="00327F19">
      <w:pPr>
        <w:pStyle w:val="enumlev1"/>
      </w:pPr>
      <w:r w:rsidRPr="009F0E0B">
        <w:t>–</w:t>
      </w:r>
      <w:r w:rsidRPr="009F0E0B">
        <w:tab/>
        <w:t>M. Vilem Vesely (République tchèque)</w:t>
      </w:r>
    </w:p>
    <w:p w14:paraId="7F2435CF" w14:textId="77777777" w:rsidR="00DB07F2" w:rsidRPr="009F0E0B" w:rsidRDefault="00DB07F2" w:rsidP="00327F19">
      <w:pPr>
        <w:pStyle w:val="Heading1"/>
      </w:pPr>
      <w:r w:rsidRPr="009F0E0B">
        <w:lastRenderedPageBreak/>
        <w:t>II</w:t>
      </w:r>
      <w:r w:rsidRPr="009F0E0B">
        <w:tab/>
        <w:t>Activités du GTC-FHR</w:t>
      </w:r>
    </w:p>
    <w:p w14:paraId="2B3144E8" w14:textId="77777777" w:rsidR="00DB07F2" w:rsidRPr="009F0E0B" w:rsidRDefault="00DB07F2" w:rsidP="00327F19">
      <w:r w:rsidRPr="009F0E0B">
        <w:t>5</w:t>
      </w:r>
      <w:r w:rsidRPr="009F0E0B">
        <w:tab/>
        <w:t xml:space="preserve">Les principaux résultats de la </w:t>
      </w:r>
      <w:hyperlink r:id="rId19" w:history="1">
        <w:r w:rsidRPr="009F0E0B">
          <w:rPr>
            <w:rStyle w:val="Hyperlink"/>
          </w:rPr>
          <w:t>neuvième réunion</w:t>
        </w:r>
      </w:hyperlink>
      <w:r w:rsidRPr="009F0E0B">
        <w:t xml:space="preserve"> du GTC-FHR, qui s'est tenue les 29 et 30 janvier 2019, sont présentés à l'adresse suivante: </w:t>
      </w:r>
      <w:hyperlink r:id="rId20" w:history="1">
        <w:r w:rsidRPr="009F0E0B">
          <w:rPr>
            <w:rStyle w:val="Hyperlink"/>
          </w:rPr>
          <w:t>https://www.itu.int/md/S19-CLCWGFHR09-C-0015</w:t>
        </w:r>
      </w:hyperlink>
      <w:r w:rsidRPr="009F0E0B">
        <w:rPr>
          <w:rStyle w:val="Hyperlink"/>
        </w:rPr>
        <w:t>.</w:t>
      </w:r>
    </w:p>
    <w:p w14:paraId="1C2D31C1" w14:textId="77777777" w:rsidR="00DB07F2" w:rsidRPr="009F0E0B" w:rsidRDefault="00DB07F2" w:rsidP="00327F19">
      <w:r w:rsidRPr="009F0E0B">
        <w:t>6</w:t>
      </w:r>
      <w:r w:rsidRPr="009F0E0B">
        <w:tab/>
        <w:t xml:space="preserve">Les principaux résultats de la </w:t>
      </w:r>
      <w:hyperlink r:id="rId21" w:history="1">
        <w:r w:rsidRPr="009F0E0B">
          <w:rPr>
            <w:rStyle w:val="Hyperlink"/>
          </w:rPr>
          <w:t>dixième réunion</w:t>
        </w:r>
      </w:hyperlink>
      <w:r w:rsidRPr="009F0E0B">
        <w:t xml:space="preserve"> du GTC-FHR, qui s'est tenue le 18 septembre 2019, sont présentés à l'adresse suivante: </w:t>
      </w:r>
      <w:hyperlink r:id="rId22" w:history="1">
        <w:r w:rsidRPr="009F0E0B">
          <w:rPr>
            <w:rStyle w:val="Hyperlink"/>
          </w:rPr>
          <w:t>https://www.itu.int/md/S19-CWGFHR10-C-0016/en</w:t>
        </w:r>
      </w:hyperlink>
      <w:r w:rsidRPr="009F0E0B">
        <w:rPr>
          <w:rStyle w:val="Hyperlink"/>
        </w:rPr>
        <w:t>.</w:t>
      </w:r>
    </w:p>
    <w:p w14:paraId="0CDA78CE" w14:textId="77777777" w:rsidR="00DB07F2" w:rsidRPr="009F0E0B" w:rsidRDefault="00DB07F2" w:rsidP="00327F19">
      <w:r w:rsidRPr="009F0E0B">
        <w:t>7</w:t>
      </w:r>
      <w:r w:rsidRPr="009F0E0B">
        <w:tab/>
        <w:t xml:space="preserve">Les principaux résultats de la </w:t>
      </w:r>
      <w:hyperlink r:id="rId23" w:history="1">
        <w:r w:rsidRPr="009F0E0B">
          <w:rPr>
            <w:rStyle w:val="Hyperlink"/>
          </w:rPr>
          <w:t>onzième réunion</w:t>
        </w:r>
      </w:hyperlink>
      <w:r w:rsidRPr="009F0E0B">
        <w:t xml:space="preserve"> du GTC-FHR, qui s'est tenue les 3 et 4 février 2020, sont présentés à l'adresse suivante: </w:t>
      </w:r>
      <w:hyperlink r:id="rId24" w:history="1">
        <w:r w:rsidRPr="009F0E0B">
          <w:rPr>
            <w:rStyle w:val="Hyperlink"/>
          </w:rPr>
          <w:t>https://www.itu.int/md/S20-CWGFHR11-C-0020/en</w:t>
        </w:r>
      </w:hyperlink>
      <w:r w:rsidRPr="009F0E0B">
        <w:rPr>
          <w:rStyle w:val="Hyperlink"/>
        </w:rPr>
        <w:t>.</w:t>
      </w:r>
    </w:p>
    <w:p w14:paraId="34593973" w14:textId="77777777" w:rsidR="00DB07F2" w:rsidRPr="009F0E0B" w:rsidRDefault="00DB07F2" w:rsidP="00327F19">
      <w:r w:rsidRPr="009F0E0B">
        <w:t>8</w:t>
      </w:r>
      <w:r w:rsidRPr="009F0E0B">
        <w:tab/>
        <w:t xml:space="preserve">Les principaux résultats de la </w:t>
      </w:r>
      <w:hyperlink r:id="rId25" w:history="1">
        <w:r w:rsidRPr="009F0E0B">
          <w:rPr>
            <w:rStyle w:val="Hyperlink"/>
          </w:rPr>
          <w:t>douzième réunion</w:t>
        </w:r>
      </w:hyperlink>
      <w:r w:rsidRPr="009F0E0B">
        <w:t xml:space="preserve"> (virtuelle) du GTC-FHR, qui s'est tenue les 25 et 26 janvier 2021, sont présentés à l'adresse suivante: </w:t>
      </w:r>
      <w:hyperlink r:id="rId26" w:history="1">
        <w:r w:rsidRPr="009F0E0B">
          <w:rPr>
            <w:rStyle w:val="Hyperlink"/>
          </w:rPr>
          <w:t>https://www.itu.int/md/S21-CWGFHR12-C-0017/en</w:t>
        </w:r>
      </w:hyperlink>
      <w:r w:rsidRPr="009F0E0B">
        <w:rPr>
          <w:rStyle w:val="Hyperlink"/>
        </w:rPr>
        <w:t>.</w:t>
      </w:r>
    </w:p>
    <w:p w14:paraId="5DFDB69C" w14:textId="77777777" w:rsidR="00DB07F2" w:rsidRPr="009F0E0B" w:rsidRDefault="00DB07F2" w:rsidP="00327F19">
      <w:r w:rsidRPr="009F0E0B">
        <w:t>9</w:t>
      </w:r>
      <w:r w:rsidRPr="009F0E0B">
        <w:tab/>
        <w:t xml:space="preserve">Les principaux résultats de la </w:t>
      </w:r>
      <w:hyperlink r:id="rId27" w:history="1">
        <w:r w:rsidRPr="009F0E0B">
          <w:rPr>
            <w:rStyle w:val="Hyperlink"/>
          </w:rPr>
          <w:t>treizième réunion</w:t>
        </w:r>
      </w:hyperlink>
      <w:r w:rsidRPr="009F0E0B">
        <w:t xml:space="preserve"> (virtuelle) du GTC-FHR, qui s'est tenue le 3 juin 2021, sont présentés à l'adresse suivante: </w:t>
      </w:r>
      <w:hyperlink r:id="rId28" w:history="1">
        <w:r w:rsidRPr="009F0E0B">
          <w:rPr>
            <w:rStyle w:val="Hyperlink"/>
          </w:rPr>
          <w:t>https://www.itu.int/md/S21-CWGFHR13-C-0002/en</w:t>
        </w:r>
      </w:hyperlink>
      <w:r w:rsidRPr="009F0E0B">
        <w:rPr>
          <w:rStyle w:val="Hyperlink"/>
        </w:rPr>
        <w:t>.</w:t>
      </w:r>
    </w:p>
    <w:p w14:paraId="69536399" w14:textId="77777777" w:rsidR="00DB07F2" w:rsidRPr="009F0E0B" w:rsidRDefault="00DB07F2" w:rsidP="00327F19">
      <w:r w:rsidRPr="009F0E0B">
        <w:t>10</w:t>
      </w:r>
      <w:r w:rsidRPr="009F0E0B">
        <w:tab/>
        <w:t xml:space="preserve">Les principaux résultats de la </w:t>
      </w:r>
      <w:hyperlink r:id="rId29" w:history="1">
        <w:r w:rsidRPr="009F0E0B">
          <w:rPr>
            <w:rStyle w:val="Hyperlink"/>
          </w:rPr>
          <w:t>quatorzième réunion</w:t>
        </w:r>
      </w:hyperlink>
      <w:r w:rsidRPr="009F0E0B">
        <w:t xml:space="preserve"> (virtuelle) du GTC-FHR, qui s'est tenue les 20 et 21 septembre 2021, sont présentés à l'adresse suivante: </w:t>
      </w:r>
      <w:hyperlink r:id="rId30" w:history="1">
        <w:r w:rsidRPr="009F0E0B">
          <w:rPr>
            <w:rStyle w:val="Hyperlink"/>
          </w:rPr>
          <w:t>https://www.itu.int/md/S21-CWGFHR14-C-0012/en</w:t>
        </w:r>
      </w:hyperlink>
      <w:r w:rsidRPr="009F0E0B">
        <w:rPr>
          <w:rStyle w:val="Hyperlink"/>
        </w:rPr>
        <w:t>.</w:t>
      </w:r>
    </w:p>
    <w:p w14:paraId="3F20D81F" w14:textId="77777777" w:rsidR="00DB07F2" w:rsidRPr="009F0E0B" w:rsidRDefault="00DB07F2" w:rsidP="00327F19">
      <w:r w:rsidRPr="009F0E0B">
        <w:t>11</w:t>
      </w:r>
      <w:r w:rsidRPr="009F0E0B">
        <w:tab/>
        <w:t xml:space="preserve">Les principaux résultats de la </w:t>
      </w:r>
      <w:hyperlink r:id="rId31" w:history="1">
        <w:r w:rsidRPr="009F0E0B">
          <w:rPr>
            <w:rStyle w:val="Hyperlink"/>
          </w:rPr>
          <w:t>quinzième réunion</w:t>
        </w:r>
      </w:hyperlink>
      <w:r w:rsidRPr="009F0E0B">
        <w:t xml:space="preserve"> (virtuelle) du GTC-FHR, qui s'est tenue les 11 et 12 janvier 2022, sont présentés à l'adresse suivante: </w:t>
      </w:r>
      <w:hyperlink r:id="rId32" w:history="1">
        <w:r w:rsidRPr="009F0E0B">
          <w:rPr>
            <w:rStyle w:val="Hyperlink"/>
          </w:rPr>
          <w:t>https://www.itu.int/md/S22-CWGFHR15-C-0022/en</w:t>
        </w:r>
      </w:hyperlink>
      <w:r w:rsidRPr="009F0E0B">
        <w:rPr>
          <w:rStyle w:val="Hyperlink"/>
        </w:rPr>
        <w:t>.</w:t>
      </w:r>
    </w:p>
    <w:p w14:paraId="6A0FFA8C" w14:textId="77777777" w:rsidR="00DB07F2" w:rsidRPr="009F0E0B" w:rsidRDefault="00DB07F2" w:rsidP="00327F19">
      <w:pPr>
        <w:pStyle w:val="Heading1"/>
        <w:rPr>
          <w:rFonts w:cs="Calibri"/>
        </w:rPr>
      </w:pPr>
      <w:r w:rsidRPr="009F0E0B">
        <w:t>III</w:t>
      </w:r>
      <w:r w:rsidRPr="009F0E0B">
        <w:tab/>
        <w:t>Recommandations à l'intention de la PP-22</w:t>
      </w:r>
    </w:p>
    <w:p w14:paraId="020BAC2C" w14:textId="77777777" w:rsidR="00DB07F2" w:rsidRPr="009F0E0B" w:rsidRDefault="00DB07F2" w:rsidP="00327F19">
      <w:r w:rsidRPr="009F0E0B">
        <w:t>12</w:t>
      </w:r>
      <w:r w:rsidRPr="009F0E0B">
        <w:tab/>
        <w:t>Les Conseillers sont invités à examiner le rapport quadriennal de la Présidente du GTC-FHR et à recommander à la Conférence de plénipotentiaires (PP-22) la poursuite des activités du GTC</w:t>
      </w:r>
      <w:r w:rsidRPr="009F0E0B">
        <w:noBreakHyphen/>
        <w:t>FHR pendant les quatre prochaines années.</w:t>
      </w:r>
    </w:p>
    <w:p w14:paraId="3CB508BC" w14:textId="081CD603" w:rsidR="00DB07F2" w:rsidRPr="009F0E0B" w:rsidRDefault="00DB07F2" w:rsidP="00327F19">
      <w:r w:rsidRPr="009F0E0B">
        <w:br w:type="page"/>
      </w:r>
    </w:p>
    <w:p w14:paraId="6F4B6C23" w14:textId="58EDB2CE" w:rsidR="00DB07F2" w:rsidRPr="009F0E0B" w:rsidRDefault="00DB07F2" w:rsidP="00327F19">
      <w:pPr>
        <w:pStyle w:val="AnnexNo"/>
      </w:pPr>
      <w:r w:rsidRPr="009F0E0B">
        <w:lastRenderedPageBreak/>
        <w:t xml:space="preserve">ANNEXE </w:t>
      </w:r>
      <w:r w:rsidR="00B01CBE" w:rsidRPr="009F0E0B">
        <w:t>1</w:t>
      </w:r>
    </w:p>
    <w:p w14:paraId="554AF007" w14:textId="073BE072" w:rsidR="00DB07F2" w:rsidRPr="009F0E0B" w:rsidRDefault="00DB07F2" w:rsidP="00327F19">
      <w:pPr>
        <w:pStyle w:val="Annextitle"/>
      </w:pPr>
      <w:r w:rsidRPr="009F0E0B">
        <w:t xml:space="preserve">Extrait du compte rendu de la huitième séance plénière </w:t>
      </w:r>
      <w:r w:rsidRPr="009F0E0B">
        <w:br/>
        <w:t>de la session de 2022 du Conseil</w:t>
      </w:r>
    </w:p>
    <w:p w14:paraId="4DFDF165" w14:textId="26AC7C8A" w:rsidR="00DB07F2" w:rsidRPr="009F0E0B" w:rsidRDefault="004A4437" w:rsidP="00327F19">
      <w:pPr>
        <w:pStyle w:val="Headingb"/>
        <w:rPr>
          <w:i/>
          <w:iCs/>
        </w:rPr>
      </w:pPr>
      <w:r w:rsidRPr="009F0E0B">
        <w:rPr>
          <w:rFonts w:asciiTheme="minorHAnsi" w:hAnsiTheme="minorHAnsi" w:cs="Calibri"/>
          <w:b w:val="0"/>
          <w:szCs w:val="24"/>
        </w:rPr>
        <w:t>•</w:t>
      </w:r>
      <w:r w:rsidR="00DB07F2" w:rsidRPr="009F0E0B">
        <w:rPr>
          <w:rFonts w:asciiTheme="minorHAnsi" w:hAnsiTheme="minorHAnsi" w:cs="Calibri"/>
          <w:b w:val="0"/>
          <w:szCs w:val="24"/>
        </w:rPr>
        <w:tab/>
      </w:r>
      <w:r w:rsidR="00DB07F2" w:rsidRPr="009F0E0B">
        <w:rPr>
          <w:rFonts w:asciiTheme="minorHAnsi" w:hAnsiTheme="minorHAnsi" w:cs="Calibri"/>
          <w:bCs/>
          <w:i/>
          <w:iCs/>
          <w:szCs w:val="24"/>
        </w:rPr>
        <w:t xml:space="preserve">Rapport de la Présidente du Groupe de travail du Conseil sur les ressources financières et les ressources humaines: </w:t>
      </w:r>
      <w:r w:rsidR="00DB07F2" w:rsidRPr="009F0E0B">
        <w:rPr>
          <w:i/>
          <w:iCs/>
        </w:rPr>
        <w:t>Rapport quadriennal du GTC-FHR (Document </w:t>
      </w:r>
      <w:hyperlink r:id="rId33" w:history="1">
        <w:r w:rsidR="00DB07F2" w:rsidRPr="009F0E0B">
          <w:rPr>
            <w:rStyle w:val="Hyperlink"/>
            <w:i/>
            <w:iCs/>
          </w:rPr>
          <w:t>C22/54</w:t>
        </w:r>
      </w:hyperlink>
      <w:r w:rsidR="00DB07F2" w:rsidRPr="009F0E0B">
        <w:rPr>
          <w:i/>
          <w:iCs/>
        </w:rPr>
        <w:t>)</w:t>
      </w:r>
    </w:p>
    <w:p w14:paraId="22227CF2" w14:textId="77777777" w:rsidR="00DB07F2" w:rsidRPr="009F0E0B" w:rsidRDefault="00DB07F2" w:rsidP="00327F19">
      <w:pPr>
        <w:spacing w:after="120"/>
      </w:pPr>
      <w:r w:rsidRPr="009F0E0B">
        <w:t>2.9</w:t>
      </w:r>
      <w:r w:rsidRPr="009F0E0B">
        <w:tab/>
        <w:t xml:space="preserve">La recommandation suivante est </w:t>
      </w:r>
      <w:r w:rsidRPr="009F0E0B">
        <w:rPr>
          <w:b/>
          <w:bCs/>
        </w:rPr>
        <w:t>approuvée</w:t>
      </w:r>
      <w:r w:rsidRPr="009F0E0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DB07F2" w:rsidRPr="009F0E0B" w14:paraId="0D4F8932" w14:textId="77777777" w:rsidTr="00772AD8">
        <w:tc>
          <w:tcPr>
            <w:tcW w:w="9351" w:type="dxa"/>
            <w:tcBorders>
              <w:top w:val="single" w:sz="4" w:space="0" w:color="auto"/>
              <w:bottom w:val="single" w:sz="4" w:space="0" w:color="auto"/>
            </w:tcBorders>
          </w:tcPr>
          <w:p w14:paraId="20200DCF" w14:textId="77777777" w:rsidR="00DB07F2" w:rsidRPr="009F0E0B" w:rsidRDefault="00DB07F2" w:rsidP="00327F19">
            <w:pPr>
              <w:pStyle w:val="Headingb"/>
              <w:rPr>
                <w:i/>
                <w:iCs/>
              </w:rPr>
            </w:pPr>
            <w:r w:rsidRPr="009F0E0B">
              <w:rPr>
                <w:i/>
                <w:iCs/>
              </w:rPr>
              <w:t>Recommandation</w:t>
            </w:r>
          </w:p>
          <w:p w14:paraId="08BE7307" w14:textId="77777777" w:rsidR="00DB07F2" w:rsidRPr="009F0E0B" w:rsidRDefault="00DB07F2" w:rsidP="00327F19">
            <w:pPr>
              <w:spacing w:after="120"/>
            </w:pPr>
            <w:r w:rsidRPr="009F0E0B">
              <w:t>La Commission recommande au Conseil d'examiner le présent rapport et de soumettre ses recommandations à la Conférence de plénipotentiaires, selon qu'il convient, notamment en ce qui concerne la poursuite des activités du GTC-FHR pendant les quatre prochaines années.</w:t>
            </w:r>
          </w:p>
        </w:tc>
      </w:tr>
    </w:tbl>
    <w:p w14:paraId="5BADC870" w14:textId="77777777" w:rsidR="00DB07F2" w:rsidRPr="009F0E0B" w:rsidRDefault="00DB07F2" w:rsidP="004A4437">
      <w:pPr>
        <w:spacing w:before="360"/>
        <w:jc w:val="center"/>
      </w:pPr>
      <w:r w:rsidRPr="009F0E0B">
        <w:t>______________</w:t>
      </w:r>
    </w:p>
    <w:sectPr w:rsidR="00DB07F2" w:rsidRPr="009F0E0B" w:rsidSect="003A0B7D">
      <w:headerReference w:type="default" r:id="rId34"/>
      <w:footerReference w:type="default" r:id="rId35"/>
      <w:footerReference w:type="first" r:id="rId3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870" w14:textId="5C659779" w:rsidR="00DB07F2" w:rsidRPr="004A1F40" w:rsidRDefault="007E7370" w:rsidP="00DB07F2">
    <w:pPr>
      <w:pStyle w:val="Footer"/>
      <w:rPr>
        <w:color w:val="D9D9D9" w:themeColor="background1" w:themeShade="D9"/>
        <w:lang w:val="en-US"/>
      </w:rPr>
    </w:pPr>
    <w:r w:rsidRPr="004A1F40">
      <w:rPr>
        <w:color w:val="D9D9D9" w:themeColor="background1" w:themeShade="D9"/>
      </w:rPr>
      <w:fldChar w:fldCharType="begin"/>
    </w:r>
    <w:r w:rsidRPr="004A1F40">
      <w:rPr>
        <w:color w:val="D9D9D9" w:themeColor="background1" w:themeShade="D9"/>
        <w:lang w:val="en-US"/>
      </w:rPr>
      <w:instrText xml:space="preserve"> FILENAME \p  \* MERGEFORMAT </w:instrText>
    </w:r>
    <w:r w:rsidRPr="004A1F40">
      <w:rPr>
        <w:color w:val="D9D9D9" w:themeColor="background1" w:themeShade="D9"/>
      </w:rPr>
      <w:fldChar w:fldCharType="separate"/>
    </w:r>
    <w:r w:rsidR="00BA5506" w:rsidRPr="004A1F40">
      <w:rPr>
        <w:color w:val="D9D9D9" w:themeColor="background1" w:themeShade="D9"/>
        <w:lang w:val="en-US"/>
      </w:rPr>
      <w:t>P:\FRA\SG\CONF-SG\PP22\000\046F.docx</w:t>
    </w:r>
    <w:r w:rsidRPr="004A1F40">
      <w:rPr>
        <w:color w:val="D9D9D9" w:themeColor="background1" w:themeShade="D9"/>
      </w:rPr>
      <w:fldChar w:fldCharType="end"/>
    </w:r>
    <w:r w:rsidR="00DB07F2" w:rsidRPr="004A1F40">
      <w:rPr>
        <w:color w:val="D9D9D9" w:themeColor="background1" w:themeShade="D9"/>
        <w:lang w:val="en-US"/>
      </w:rPr>
      <w:t xml:space="preserve"> (508029)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621D7D9C" w:rsidR="00BD1614" w:rsidRDefault="00BD1614" w:rsidP="00BD1614">
    <w:pPr>
      <w:pStyle w:val="Header"/>
    </w:pPr>
    <w:r>
      <w:fldChar w:fldCharType="begin"/>
    </w:r>
    <w:r>
      <w:instrText xml:space="preserve"> PAGE </w:instrText>
    </w:r>
    <w:r>
      <w:fldChar w:fldCharType="separate"/>
    </w:r>
    <w:r w:rsidR="007E7370">
      <w:rPr>
        <w:noProof/>
      </w:rPr>
      <w:t>2</w:t>
    </w:r>
    <w:r>
      <w:fldChar w:fldCharType="end"/>
    </w:r>
  </w:p>
  <w:p w14:paraId="650D8FD2" w14:textId="2F0D856B" w:rsidR="00BD1614" w:rsidRDefault="00BD1614" w:rsidP="001E2226">
    <w:pPr>
      <w:pStyle w:val="Header"/>
    </w:pPr>
    <w:r>
      <w:t>PP</w:t>
    </w:r>
    <w:r w:rsidR="002A7A1D">
      <w:t>22</w:t>
    </w:r>
    <w:r>
      <w:t>/</w:t>
    </w:r>
    <w:r w:rsidR="00DB07F2">
      <w:t>46</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847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2FE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26E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B65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E4B9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708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3AC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E2D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2B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6B83C"/>
    <w:lvl w:ilvl="0">
      <w:start w:val="1"/>
      <w:numFmt w:val="bullet"/>
      <w:lvlText w:val=""/>
      <w:lvlJc w:val="left"/>
      <w:pPr>
        <w:tabs>
          <w:tab w:val="num" w:pos="360"/>
        </w:tabs>
        <w:ind w:left="360" w:hanging="360"/>
      </w:pPr>
      <w:rPr>
        <w:rFonts w:ascii="Symbol" w:hAnsi="Symbol" w:hint="default"/>
      </w:rPr>
    </w:lvl>
  </w:abstractNum>
  <w:num w:numId="1" w16cid:durableId="1718047336">
    <w:abstractNumId w:val="9"/>
  </w:num>
  <w:num w:numId="2" w16cid:durableId="1812865779">
    <w:abstractNumId w:val="7"/>
  </w:num>
  <w:num w:numId="3" w16cid:durableId="546841637">
    <w:abstractNumId w:val="6"/>
  </w:num>
  <w:num w:numId="4" w16cid:durableId="836573621">
    <w:abstractNumId w:val="5"/>
  </w:num>
  <w:num w:numId="5" w16cid:durableId="439228539">
    <w:abstractNumId w:val="4"/>
  </w:num>
  <w:num w:numId="6" w16cid:durableId="158079941">
    <w:abstractNumId w:val="8"/>
  </w:num>
  <w:num w:numId="7" w16cid:durableId="764500015">
    <w:abstractNumId w:val="3"/>
  </w:num>
  <w:num w:numId="8" w16cid:durableId="1102650307">
    <w:abstractNumId w:val="2"/>
  </w:num>
  <w:num w:numId="9" w16cid:durableId="1510027254">
    <w:abstractNumId w:val="1"/>
  </w:num>
  <w:num w:numId="10" w16cid:durableId="43505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476AB"/>
    <w:rsid w:val="00060D74"/>
    <w:rsid w:val="00072D5C"/>
    <w:rsid w:val="0008398C"/>
    <w:rsid w:val="00084308"/>
    <w:rsid w:val="000B14B6"/>
    <w:rsid w:val="000C467B"/>
    <w:rsid w:val="000D15FB"/>
    <w:rsid w:val="000F58F7"/>
    <w:rsid w:val="001051E4"/>
    <w:rsid w:val="0012698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27F19"/>
    <w:rsid w:val="00355FBD"/>
    <w:rsid w:val="00381461"/>
    <w:rsid w:val="00391C12"/>
    <w:rsid w:val="003A0B7D"/>
    <w:rsid w:val="003A45C2"/>
    <w:rsid w:val="003C4BE2"/>
    <w:rsid w:val="003D147D"/>
    <w:rsid w:val="003D637A"/>
    <w:rsid w:val="00420EF8"/>
    <w:rsid w:val="00430015"/>
    <w:rsid w:val="004678D0"/>
    <w:rsid w:val="00482954"/>
    <w:rsid w:val="004951C0"/>
    <w:rsid w:val="004A1F40"/>
    <w:rsid w:val="004A4437"/>
    <w:rsid w:val="004C7646"/>
    <w:rsid w:val="00524001"/>
    <w:rsid w:val="00564B63"/>
    <w:rsid w:val="00575DC7"/>
    <w:rsid w:val="005836C2"/>
    <w:rsid w:val="005A4EFD"/>
    <w:rsid w:val="005A5ABE"/>
    <w:rsid w:val="005A67F1"/>
    <w:rsid w:val="005B2F87"/>
    <w:rsid w:val="005C2ECC"/>
    <w:rsid w:val="005C6744"/>
    <w:rsid w:val="005E419E"/>
    <w:rsid w:val="005F63BD"/>
    <w:rsid w:val="00611CF1"/>
    <w:rsid w:val="006201D9"/>
    <w:rsid w:val="006277DB"/>
    <w:rsid w:val="00635B7B"/>
    <w:rsid w:val="00655B98"/>
    <w:rsid w:val="006710E6"/>
    <w:rsid w:val="0068604C"/>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7E7370"/>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9F0E0B"/>
    <w:rsid w:val="00A20E72"/>
    <w:rsid w:val="00A246DC"/>
    <w:rsid w:val="00A47BAF"/>
    <w:rsid w:val="00A542D3"/>
    <w:rsid w:val="00A5784F"/>
    <w:rsid w:val="00A8436E"/>
    <w:rsid w:val="00A95B66"/>
    <w:rsid w:val="00AE0667"/>
    <w:rsid w:val="00B01CBE"/>
    <w:rsid w:val="00B41E0A"/>
    <w:rsid w:val="00B429B3"/>
    <w:rsid w:val="00B56DE0"/>
    <w:rsid w:val="00B71F12"/>
    <w:rsid w:val="00B76FEC"/>
    <w:rsid w:val="00B96B1E"/>
    <w:rsid w:val="00BA5506"/>
    <w:rsid w:val="00BB2A6F"/>
    <w:rsid w:val="00BD1614"/>
    <w:rsid w:val="00BD382C"/>
    <w:rsid w:val="00BD5DA6"/>
    <w:rsid w:val="00BF7D25"/>
    <w:rsid w:val="00C010C0"/>
    <w:rsid w:val="00C40CB5"/>
    <w:rsid w:val="00C54CE6"/>
    <w:rsid w:val="00C575E2"/>
    <w:rsid w:val="00C7368B"/>
    <w:rsid w:val="00C92746"/>
    <w:rsid w:val="00CC4DC5"/>
    <w:rsid w:val="00CE1A7C"/>
    <w:rsid w:val="00CF0544"/>
    <w:rsid w:val="00D0464B"/>
    <w:rsid w:val="00D12C74"/>
    <w:rsid w:val="00D2263F"/>
    <w:rsid w:val="00D56483"/>
    <w:rsid w:val="00D5658F"/>
    <w:rsid w:val="00D56AD6"/>
    <w:rsid w:val="00D70019"/>
    <w:rsid w:val="00D74B58"/>
    <w:rsid w:val="00D82ABE"/>
    <w:rsid w:val="00DA4ABA"/>
    <w:rsid w:val="00DA685B"/>
    <w:rsid w:val="00DA742B"/>
    <w:rsid w:val="00DB07F2"/>
    <w:rsid w:val="00DF25C1"/>
    <w:rsid w:val="00DF48F7"/>
    <w:rsid w:val="00DF4964"/>
    <w:rsid w:val="00DF4D73"/>
    <w:rsid w:val="00DF79B0"/>
    <w:rsid w:val="00E1047D"/>
    <w:rsid w:val="00E443FA"/>
    <w:rsid w:val="00E54FCE"/>
    <w:rsid w:val="00E60DA1"/>
    <w:rsid w:val="00E93D35"/>
    <w:rsid w:val="00EA45DB"/>
    <w:rsid w:val="00EB5611"/>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Table">
    <w:name w:val="Table_#"/>
    <w:basedOn w:val="Normal"/>
    <w:next w:val="Normal"/>
    <w:rsid w:val="00DB07F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DB07F2"/>
    <w:rPr>
      <w:color w:val="605E5C"/>
      <w:shd w:val="clear" w:color="auto" w:fill="E1DFDD"/>
    </w:rPr>
  </w:style>
  <w:style w:type="paragraph" w:styleId="Revision">
    <w:name w:val="Revision"/>
    <w:hidden/>
    <w:uiPriority w:val="99"/>
    <w:semiHidden/>
    <w:rsid w:val="005B2F87"/>
    <w:rPr>
      <w:rFonts w:ascii="Calibri" w:hAnsi="Calibri"/>
      <w:sz w:val="24"/>
      <w:lang w:val="fr-FR" w:eastAsia="en-US"/>
    </w:rPr>
  </w:style>
  <w:style w:type="character" w:styleId="FollowedHyperlink">
    <w:name w:val="FollowedHyperlink"/>
    <w:basedOn w:val="DefaultParagraphFont"/>
    <w:semiHidden/>
    <w:unhideWhenUsed/>
    <w:rsid w:val="004A44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CL-C-0088/en" TargetMode="External"/><Relationship Id="rId18" Type="http://schemas.openxmlformats.org/officeDocument/2006/relationships/hyperlink" Target="https://www.itu.int/en/council/cwg-fhr/Pages/default.aspx" TargetMode="External"/><Relationship Id="rId26" Type="http://schemas.openxmlformats.org/officeDocument/2006/relationships/hyperlink" Target="https://www.itu.int/md/S21-CWGFHR12-C-0017/en" TargetMode="External"/><Relationship Id="rId21" Type="http://schemas.openxmlformats.org/officeDocument/2006/relationships/hyperlink" Target="https://www.itu.int/md/S19-CWGFHR10-C"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council/cwg-fhr/Pages/default.aspx" TargetMode="External"/><Relationship Id="rId17" Type="http://schemas.openxmlformats.org/officeDocument/2006/relationships/hyperlink" Target="https://www.itu.int/md/S19-CL-C-0142/fr" TargetMode="External"/><Relationship Id="rId25" Type="http://schemas.openxmlformats.org/officeDocument/2006/relationships/hyperlink" Target="https://www.itu.int/md/S21-CWGFHR12-C/fr" TargetMode="External"/><Relationship Id="rId33" Type="http://schemas.openxmlformats.org/officeDocument/2006/relationships/hyperlink" Target="http://www.itu.int/md/S22-CL-C-0054/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Documents/basic-texts/DEC-011-F.pdf" TargetMode="External"/><Relationship Id="rId20" Type="http://schemas.openxmlformats.org/officeDocument/2006/relationships/hyperlink" Target="https://www.itu.int/md/S19-CLCWGFHR09-C-0015" TargetMode="External"/><Relationship Id="rId29" Type="http://schemas.openxmlformats.org/officeDocument/2006/relationships/hyperlink" Target="https://www.itu.int/md/S21-CWGFHR14-C/fr"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19-CL-C-0142/fr" TargetMode="External"/><Relationship Id="rId24" Type="http://schemas.openxmlformats.org/officeDocument/2006/relationships/hyperlink" Target="https://www.itu.int/md/S20-CWGFHR11-C-0020/fr" TargetMode="External"/><Relationship Id="rId32" Type="http://schemas.openxmlformats.org/officeDocument/2006/relationships/hyperlink" Target="https://www.itu.int/md/S22-CWGFHR15-C-0022/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2-CL-C-0093/en" TargetMode="External"/><Relationship Id="rId23" Type="http://schemas.openxmlformats.org/officeDocument/2006/relationships/hyperlink" Target="https://www.itu.int/md/S20-CWGFHR11-C/fr" TargetMode="External"/><Relationship Id="rId28" Type="http://schemas.openxmlformats.org/officeDocument/2006/relationships/hyperlink" Target="https://www.itu.int/md/S21-CWGFHR13-C-0002/en" TargetMode="External"/><Relationship Id="rId36" Type="http://schemas.openxmlformats.org/officeDocument/2006/relationships/footer" Target="footer2.xml"/><Relationship Id="rId10" Type="http://schemas.openxmlformats.org/officeDocument/2006/relationships/hyperlink" Target="https://www.itu.int/en/council/Documents/basic-texts/DEC-011-F.pdf" TargetMode="External"/><Relationship Id="rId19" Type="http://schemas.openxmlformats.org/officeDocument/2006/relationships/hyperlink" Target="https://www.itu.int/md/S19-CLCWGFHR09-C/fr" TargetMode="External"/><Relationship Id="rId31" Type="http://schemas.openxmlformats.org/officeDocument/2006/relationships/hyperlink" Target="https://www.itu.int/md/S22-CWGFHR15-C/fr" TargetMode="External"/><Relationship Id="rId4" Type="http://schemas.openxmlformats.org/officeDocument/2006/relationships/settings" Target="settings.xml"/><Relationship Id="rId9" Type="http://schemas.openxmlformats.org/officeDocument/2006/relationships/hyperlink" Target="http://www.itu.int/md/S22-CL-C-0054/en" TargetMode="External"/><Relationship Id="rId14" Type="http://schemas.openxmlformats.org/officeDocument/2006/relationships/hyperlink" Target="https://www.itu.int/md/S22-CL-C-0054/en" TargetMode="External"/><Relationship Id="rId22" Type="http://schemas.openxmlformats.org/officeDocument/2006/relationships/hyperlink" Target="https://www.itu.int/md/S19-CWGFHR10-C-0016/en" TargetMode="External"/><Relationship Id="rId27" Type="http://schemas.openxmlformats.org/officeDocument/2006/relationships/hyperlink" Target="https://www.itu.int/md/S21-CWGFHR13-C/fr" TargetMode="External"/><Relationship Id="rId30" Type="http://schemas.openxmlformats.org/officeDocument/2006/relationships/hyperlink" Target="https://www.itu.int/md/S21-CWGFHR14-C-0012/en"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8492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quadriennal du Groupe de travail du Conseil sur les ressources financières et les ressources humaines</dc:title>
  <dc:subject>Plenipotentiary Conference (PP-22)</dc:subject>
  <dc:creator>Manias, Michel</dc:creator>
  <cp:keywords>PP-22, PP22</cp:keywords>
  <dc:description/>
  <cp:lastModifiedBy>Brouard, Ricarda</cp:lastModifiedBy>
  <cp:revision>2</cp:revision>
  <dcterms:created xsi:type="dcterms:W3CDTF">2022-07-07T07:15:00Z</dcterms:created>
  <dcterms:modified xsi:type="dcterms:W3CDTF">2022-07-07T07:15:00Z</dcterms:modified>
  <cp:category>Conference document</cp:category>
</cp:coreProperties>
</file>