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17EDC" w14:paraId="557C9A32" w14:textId="77777777" w:rsidTr="00682B62">
        <w:trPr>
          <w:cantSplit/>
        </w:trPr>
        <w:tc>
          <w:tcPr>
            <w:tcW w:w="6911" w:type="dxa"/>
          </w:tcPr>
          <w:p w14:paraId="1289A62C" w14:textId="77777777" w:rsidR="00255FA1" w:rsidRPr="00617EDC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17ED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617EDC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617ED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617ED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617EDC">
              <w:rPr>
                <w:b/>
                <w:bCs/>
                <w:szCs w:val="24"/>
              </w:rPr>
              <w:t>Bucarest</w:t>
            </w:r>
            <w:r w:rsidRPr="00617EDC">
              <w:rPr>
                <w:rStyle w:val="PageNumber"/>
                <w:b/>
                <w:bCs/>
                <w:szCs w:val="24"/>
              </w:rPr>
              <w:t xml:space="preserve">, </w:t>
            </w:r>
            <w:r w:rsidRPr="00617EDC">
              <w:rPr>
                <w:rStyle w:val="PageNumber"/>
                <w:b/>
                <w:szCs w:val="24"/>
              </w:rPr>
              <w:t>2</w:t>
            </w:r>
            <w:r w:rsidR="009D1BE0" w:rsidRPr="00617EDC">
              <w:rPr>
                <w:rStyle w:val="PageNumber"/>
                <w:b/>
                <w:szCs w:val="24"/>
              </w:rPr>
              <w:t>6</w:t>
            </w:r>
            <w:r w:rsidRPr="00617EDC">
              <w:rPr>
                <w:rStyle w:val="PageNumber"/>
                <w:b/>
                <w:szCs w:val="24"/>
              </w:rPr>
              <w:t xml:space="preserve"> de </w:t>
            </w:r>
            <w:r w:rsidR="009D1BE0" w:rsidRPr="00617EDC">
              <w:rPr>
                <w:rStyle w:val="PageNumber"/>
                <w:b/>
                <w:szCs w:val="24"/>
              </w:rPr>
              <w:t>septiembre</w:t>
            </w:r>
            <w:r w:rsidRPr="00617EDC">
              <w:rPr>
                <w:rStyle w:val="PageNumber"/>
                <w:b/>
                <w:szCs w:val="24"/>
              </w:rPr>
              <w:t xml:space="preserve"> </w:t>
            </w:r>
            <w:r w:rsidR="00491A25" w:rsidRPr="00617EDC">
              <w:rPr>
                <w:rStyle w:val="PageNumber"/>
                <w:b/>
                <w:szCs w:val="24"/>
              </w:rPr>
              <w:t>–</w:t>
            </w:r>
            <w:r w:rsidRPr="00617EDC">
              <w:rPr>
                <w:rStyle w:val="PageNumber"/>
                <w:b/>
                <w:szCs w:val="24"/>
              </w:rPr>
              <w:t xml:space="preserve"> </w:t>
            </w:r>
            <w:r w:rsidR="00C43474" w:rsidRPr="00617EDC">
              <w:rPr>
                <w:rStyle w:val="PageNumber"/>
                <w:b/>
                <w:szCs w:val="24"/>
              </w:rPr>
              <w:t>1</w:t>
            </w:r>
            <w:r w:rsidR="009D1BE0" w:rsidRPr="00617EDC">
              <w:rPr>
                <w:rStyle w:val="PageNumber"/>
                <w:b/>
                <w:szCs w:val="24"/>
              </w:rPr>
              <w:t>4</w:t>
            </w:r>
            <w:r w:rsidRPr="00617EDC">
              <w:rPr>
                <w:rStyle w:val="PageNumber"/>
                <w:b/>
                <w:szCs w:val="24"/>
              </w:rPr>
              <w:t xml:space="preserve"> de </w:t>
            </w:r>
            <w:r w:rsidR="009D1BE0" w:rsidRPr="00617EDC">
              <w:rPr>
                <w:rStyle w:val="PageNumber"/>
                <w:b/>
                <w:szCs w:val="24"/>
              </w:rPr>
              <w:t>octubre</w:t>
            </w:r>
            <w:r w:rsidRPr="00617EDC">
              <w:rPr>
                <w:rStyle w:val="PageNumber"/>
                <w:b/>
                <w:szCs w:val="24"/>
              </w:rPr>
              <w:t xml:space="preserve"> de 2</w:t>
            </w:r>
            <w:r w:rsidR="009D1BE0" w:rsidRPr="00617EDC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45B896C3" w14:textId="77777777" w:rsidR="00255FA1" w:rsidRPr="00617EDC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17EDC">
              <w:rPr>
                <w:noProof/>
              </w:rPr>
              <w:drawing>
                <wp:inline distT="0" distB="0" distL="0" distR="0" wp14:anchorId="56BF429E" wp14:editId="026B927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17EDC" w14:paraId="5CE9C8C0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8344476" w14:textId="77777777" w:rsidR="00255FA1" w:rsidRPr="00617EDC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833239A" w14:textId="77777777" w:rsidR="00255FA1" w:rsidRPr="00617EDC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617EDC" w14:paraId="0A8246C0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FC746B1" w14:textId="77777777" w:rsidR="00255FA1" w:rsidRPr="00617EDC" w:rsidRDefault="00255FA1" w:rsidP="002F56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AEFBF14" w14:textId="77777777" w:rsidR="00255FA1" w:rsidRPr="00617EDC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7B068C" w:rsidRPr="00617EDC" w14:paraId="5A8966CF" w14:textId="77777777" w:rsidTr="00682B62">
        <w:trPr>
          <w:cantSplit/>
        </w:trPr>
        <w:tc>
          <w:tcPr>
            <w:tcW w:w="6911" w:type="dxa"/>
          </w:tcPr>
          <w:p w14:paraId="42E0D731" w14:textId="77777777" w:rsidR="007B068C" w:rsidRPr="00617EDC" w:rsidRDefault="007B068C" w:rsidP="007B068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617EDC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6AC496B" w14:textId="44C007F8" w:rsidR="007B068C" w:rsidRPr="00617EDC" w:rsidRDefault="007B068C" w:rsidP="007B068C">
            <w:pPr>
              <w:spacing w:before="0"/>
              <w:rPr>
                <w:rFonts w:cstheme="minorHAnsi"/>
                <w:szCs w:val="24"/>
              </w:rPr>
            </w:pPr>
            <w:r w:rsidRPr="00617EDC">
              <w:rPr>
                <w:rFonts w:cstheme="minorHAnsi"/>
                <w:b/>
                <w:szCs w:val="24"/>
              </w:rPr>
              <w:t xml:space="preserve">Documento </w:t>
            </w:r>
            <w:r w:rsidR="00DC36DC" w:rsidRPr="00617EDC">
              <w:rPr>
                <w:rFonts w:cstheme="minorHAnsi"/>
                <w:b/>
                <w:szCs w:val="24"/>
              </w:rPr>
              <w:t>46</w:t>
            </w:r>
            <w:r w:rsidRPr="00617EDC">
              <w:rPr>
                <w:rFonts w:cstheme="minorHAnsi"/>
                <w:b/>
                <w:szCs w:val="24"/>
              </w:rPr>
              <w:t>-S</w:t>
            </w:r>
          </w:p>
        </w:tc>
      </w:tr>
      <w:tr w:rsidR="007B068C" w:rsidRPr="00617EDC" w14:paraId="4F50AFB9" w14:textId="77777777" w:rsidTr="00682B62">
        <w:trPr>
          <w:cantSplit/>
        </w:trPr>
        <w:tc>
          <w:tcPr>
            <w:tcW w:w="6911" w:type="dxa"/>
          </w:tcPr>
          <w:p w14:paraId="643A0457" w14:textId="77777777" w:rsidR="007B068C" w:rsidRPr="00617EDC" w:rsidRDefault="007B068C" w:rsidP="007B068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20C56216" w14:textId="0C72C079" w:rsidR="007B068C" w:rsidRPr="00617EDC" w:rsidRDefault="00DC36DC" w:rsidP="007B068C">
            <w:pPr>
              <w:spacing w:before="0"/>
              <w:rPr>
                <w:rFonts w:cstheme="minorHAnsi"/>
                <w:b/>
                <w:szCs w:val="24"/>
              </w:rPr>
            </w:pPr>
            <w:r w:rsidRPr="00617EDC">
              <w:rPr>
                <w:b/>
              </w:rPr>
              <w:t>20</w:t>
            </w:r>
            <w:r w:rsidR="007B068C" w:rsidRPr="00617EDC">
              <w:rPr>
                <w:b/>
              </w:rPr>
              <w:t xml:space="preserve"> de junio de 2022</w:t>
            </w:r>
          </w:p>
        </w:tc>
      </w:tr>
      <w:tr w:rsidR="007B068C" w:rsidRPr="00617EDC" w14:paraId="4C17072A" w14:textId="77777777" w:rsidTr="00682B62">
        <w:trPr>
          <w:cantSplit/>
        </w:trPr>
        <w:tc>
          <w:tcPr>
            <w:tcW w:w="6911" w:type="dxa"/>
          </w:tcPr>
          <w:p w14:paraId="65721BDB" w14:textId="77777777" w:rsidR="007B068C" w:rsidRPr="00617EDC" w:rsidRDefault="007B068C" w:rsidP="007B068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65A37D9E" w14:textId="426A9FBC" w:rsidR="007B068C" w:rsidRPr="00617EDC" w:rsidRDefault="007B068C" w:rsidP="007B068C">
            <w:pPr>
              <w:spacing w:before="0"/>
              <w:rPr>
                <w:rFonts w:cstheme="minorHAnsi"/>
                <w:b/>
                <w:szCs w:val="24"/>
              </w:rPr>
            </w:pPr>
            <w:r w:rsidRPr="00617EDC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617EDC" w14:paraId="41E1C850" w14:textId="77777777" w:rsidTr="00682B62">
        <w:trPr>
          <w:cantSplit/>
        </w:trPr>
        <w:tc>
          <w:tcPr>
            <w:tcW w:w="10031" w:type="dxa"/>
            <w:gridSpan w:val="2"/>
          </w:tcPr>
          <w:p w14:paraId="2A7ABE43" w14:textId="77777777" w:rsidR="00255FA1" w:rsidRPr="00617EDC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617EDC" w14:paraId="44186A69" w14:textId="77777777" w:rsidTr="00682B62">
        <w:trPr>
          <w:cantSplit/>
        </w:trPr>
        <w:tc>
          <w:tcPr>
            <w:tcW w:w="10031" w:type="dxa"/>
            <w:gridSpan w:val="2"/>
          </w:tcPr>
          <w:p w14:paraId="0DCE72D7" w14:textId="630DEA82" w:rsidR="00255FA1" w:rsidRPr="00617EDC" w:rsidRDefault="007B068C" w:rsidP="005D57AF">
            <w:pPr>
              <w:pStyle w:val="Source"/>
            </w:pPr>
            <w:bookmarkStart w:id="4" w:name="dsource" w:colFirst="0" w:colLast="0"/>
            <w:bookmarkStart w:id="5" w:name="_Hlk107384221"/>
            <w:bookmarkEnd w:id="3"/>
            <w:r w:rsidRPr="00617EDC">
              <w:t xml:space="preserve">Informe del </w:t>
            </w:r>
            <w:r w:rsidRPr="005D57AF">
              <w:t>Consejo</w:t>
            </w:r>
          </w:p>
        </w:tc>
      </w:tr>
      <w:tr w:rsidR="00255FA1" w:rsidRPr="00617EDC" w14:paraId="47C0BD77" w14:textId="77777777" w:rsidTr="00682B62">
        <w:trPr>
          <w:cantSplit/>
        </w:trPr>
        <w:tc>
          <w:tcPr>
            <w:tcW w:w="10031" w:type="dxa"/>
            <w:gridSpan w:val="2"/>
          </w:tcPr>
          <w:p w14:paraId="77B722D8" w14:textId="5E565F02" w:rsidR="00255FA1" w:rsidRPr="00617EDC" w:rsidRDefault="00DC36DC" w:rsidP="00DC36DC">
            <w:pPr>
              <w:pStyle w:val="Title1"/>
            </w:pPr>
            <w:bookmarkStart w:id="6" w:name="dtitle1" w:colFirst="0" w:colLast="0"/>
            <w:bookmarkEnd w:id="4"/>
            <w:r w:rsidRPr="00617EDC">
              <w:t>INFORME CUATRIENAL DEL GRUPO DE TRABAJO DEL CONSEJO</w:t>
            </w:r>
            <w:r w:rsidR="005D57AF">
              <w:t xml:space="preserve"> </w:t>
            </w:r>
            <w:r w:rsidRPr="00617EDC">
              <w:br/>
              <w:t>SOBRE RECURSOS HUMANOS Y FINANCIEROS</w:t>
            </w:r>
          </w:p>
        </w:tc>
      </w:tr>
      <w:bookmarkEnd w:id="6"/>
      <w:bookmarkEnd w:id="5"/>
    </w:tbl>
    <w:p w14:paraId="7CFCA125" w14:textId="77777777" w:rsidR="00705144" w:rsidRPr="00617EDC" w:rsidRDefault="00705144" w:rsidP="00007B7A"/>
    <w:tbl>
      <w:tblPr>
        <w:tblW w:w="8362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2"/>
      </w:tblGrid>
      <w:tr w:rsidR="007B068C" w:rsidRPr="00617EDC" w14:paraId="2287EFE8" w14:textId="77777777" w:rsidTr="00705144">
        <w:trPr>
          <w:trHeight w:val="3372"/>
        </w:trPr>
        <w:tc>
          <w:tcPr>
            <w:tcW w:w="8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1ACAA" w14:textId="77777777" w:rsidR="007B068C" w:rsidRPr="00617EDC" w:rsidRDefault="007B068C" w:rsidP="001D2655">
            <w:pPr>
              <w:pStyle w:val="Headingb"/>
            </w:pPr>
            <w:bookmarkStart w:id="7" w:name="_Hlk107298384"/>
            <w:r w:rsidRPr="00617EDC">
              <w:t>Resumen</w:t>
            </w:r>
          </w:p>
          <w:p w14:paraId="2709C40F" w14:textId="3581268F" w:rsidR="007B068C" w:rsidRPr="00617EDC" w:rsidRDefault="007B068C" w:rsidP="009049AD">
            <w:r w:rsidRPr="00617EDC">
              <w:t xml:space="preserve">De acuerdo con la Decisión 11 </w:t>
            </w:r>
            <w:r w:rsidR="001D2655" w:rsidRPr="00617EDC">
              <w:t>(Rev. Dubái</w:t>
            </w:r>
            <w:r w:rsidR="005D57AF">
              <w:t>,</w:t>
            </w:r>
            <w:r w:rsidR="001D2655" w:rsidRPr="00617EDC">
              <w:t xml:space="preserve"> 2018) </w:t>
            </w:r>
            <w:r w:rsidRPr="00617EDC">
              <w:t xml:space="preserve">de la </w:t>
            </w:r>
            <w:r w:rsidR="00DC36DC" w:rsidRPr="00617EDC">
              <w:t>Conferencia de Plenipotenciarios</w:t>
            </w:r>
            <w:r w:rsidRPr="00617EDC">
              <w:t xml:space="preserve">, </w:t>
            </w:r>
            <w:r w:rsidR="00DC36DC" w:rsidRPr="00617EDC">
              <w:t>la Presidenta del Grupo de Trabajo del Consejo sobre Recursos Financieros y Humanos (GTC-RHF)</w:t>
            </w:r>
            <w:r w:rsidRPr="00617EDC">
              <w:t xml:space="preserve"> presentó un informe cuatrienal del </w:t>
            </w:r>
            <w:r w:rsidR="00DC36DC" w:rsidRPr="00617EDC">
              <w:t xml:space="preserve">GTC-RHF </w:t>
            </w:r>
            <w:r w:rsidRPr="00617EDC">
              <w:t>a la reunión de 2022 del Consejo para que éste lo examinara y presentara recomendaciones</w:t>
            </w:r>
            <w:r w:rsidR="0009418D" w:rsidRPr="00617EDC">
              <w:t xml:space="preserve"> </w:t>
            </w:r>
            <w:r w:rsidRPr="00617EDC">
              <w:t>a la Conferencia de Plenipotenciarios de 2022</w:t>
            </w:r>
            <w:r w:rsidR="0009418D" w:rsidRPr="00617EDC">
              <w:t xml:space="preserve"> (Documento</w:t>
            </w:r>
            <w:r w:rsidR="005D57AF">
              <w:t> </w:t>
            </w:r>
            <w:hyperlink r:id="rId9" w:history="1">
              <w:r w:rsidR="0009418D" w:rsidRPr="00617EDC">
                <w:rPr>
                  <w:rStyle w:val="Hyperlink"/>
                </w:rPr>
                <w:t>C22/54</w:t>
              </w:r>
            </w:hyperlink>
            <w:r w:rsidR="0009418D" w:rsidRPr="00617EDC">
              <w:t>)</w:t>
            </w:r>
            <w:r w:rsidRPr="00617EDC">
              <w:t>.</w:t>
            </w:r>
          </w:p>
          <w:p w14:paraId="3CB3462C" w14:textId="7055B016" w:rsidR="007B068C" w:rsidRPr="00617EDC" w:rsidRDefault="007B068C" w:rsidP="009049AD">
            <w:r w:rsidRPr="00617EDC">
              <w:t xml:space="preserve">El Consejo </w:t>
            </w:r>
            <w:r w:rsidRPr="00617EDC">
              <w:rPr>
                <w:b/>
                <w:bCs/>
              </w:rPr>
              <w:t>tomó nota</w:t>
            </w:r>
            <w:r w:rsidRPr="00617EDC">
              <w:t xml:space="preserve"> del informe contenido en el Documento C22/5</w:t>
            </w:r>
            <w:r w:rsidR="0009418D" w:rsidRPr="00617EDC">
              <w:t>4</w:t>
            </w:r>
            <w:r w:rsidRPr="00617EDC">
              <w:t xml:space="preserve"> y </w:t>
            </w:r>
            <w:r w:rsidRPr="00617EDC">
              <w:rPr>
                <w:b/>
                <w:bCs/>
              </w:rPr>
              <w:t>acordó</w:t>
            </w:r>
            <w:r w:rsidRPr="00617EDC">
              <w:t xml:space="preserve"> transmitirlo a la Conferencia de Plenipotenciarios.</w:t>
            </w:r>
          </w:p>
          <w:p w14:paraId="4497CDD7" w14:textId="1C470575" w:rsidR="007B068C" w:rsidRPr="00617EDC" w:rsidRDefault="007B068C" w:rsidP="00343C38">
            <w:r w:rsidRPr="00617EDC">
              <w:t xml:space="preserve">En el Informe se resumen los principales resultados de las reuniones del </w:t>
            </w:r>
            <w:r w:rsidR="0009418D" w:rsidRPr="00617EDC">
              <w:t xml:space="preserve">GTC-RHF </w:t>
            </w:r>
            <w:r w:rsidRPr="00617EDC">
              <w:t xml:space="preserve">celebradas entre </w:t>
            </w:r>
            <w:r w:rsidR="0009418D" w:rsidRPr="00617EDC">
              <w:t>enero</w:t>
            </w:r>
            <w:r w:rsidRPr="00617EDC">
              <w:t xml:space="preserve"> de 2019 y enero de 2022. El extracto del resumen de los debates de la </w:t>
            </w:r>
            <w:r w:rsidR="0009418D" w:rsidRPr="00617EDC">
              <w:t>octava</w:t>
            </w:r>
            <w:r w:rsidRPr="00617EDC">
              <w:t xml:space="preserve"> sesión plenaria del Consejo de 2022 en el que se refleja la recomendaci</w:t>
            </w:r>
            <w:r w:rsidR="0009418D" w:rsidRPr="00617EDC">
              <w:t xml:space="preserve">ón </w:t>
            </w:r>
            <w:r w:rsidRPr="00617EDC">
              <w:t xml:space="preserve">de los Estados </w:t>
            </w:r>
            <w:r w:rsidR="003A7263" w:rsidRPr="00617EDC">
              <w:t xml:space="preserve">Miembros </w:t>
            </w:r>
            <w:r w:rsidRPr="00617EDC">
              <w:t>del Consejo se adjunta al presente informe como Anexo 1.</w:t>
            </w:r>
          </w:p>
          <w:p w14:paraId="0EC0925E" w14:textId="77777777" w:rsidR="007B068C" w:rsidRPr="00617EDC" w:rsidRDefault="007B068C" w:rsidP="001D2655">
            <w:pPr>
              <w:pStyle w:val="Headingb"/>
            </w:pPr>
            <w:r w:rsidRPr="00617EDC">
              <w:t>Acción solicitada</w:t>
            </w:r>
          </w:p>
          <w:p w14:paraId="0CBBCAC9" w14:textId="1B2DD93A" w:rsidR="007B068C" w:rsidRPr="00617EDC" w:rsidRDefault="007B068C" w:rsidP="009049AD">
            <w:r w:rsidRPr="00617EDC">
              <w:t xml:space="preserve">Se invita a la Conferencia de Plenipotenciarios a que </w:t>
            </w:r>
            <w:r w:rsidRPr="00617EDC">
              <w:rPr>
                <w:b/>
                <w:bCs/>
              </w:rPr>
              <w:t>examine</w:t>
            </w:r>
            <w:r w:rsidRPr="00617EDC">
              <w:t xml:space="preserve"> este informe y </w:t>
            </w:r>
            <w:r w:rsidRPr="00617EDC">
              <w:rPr>
                <w:b/>
                <w:bCs/>
              </w:rPr>
              <w:t>tome las medidas necesarias, según proceda</w:t>
            </w:r>
            <w:r w:rsidR="0009418D" w:rsidRPr="00617EDC">
              <w:t>, en particular sobre la continuación de las actividades del GTC-RHF en los próximos cuatro años.</w:t>
            </w:r>
          </w:p>
          <w:p w14:paraId="1B5F420F" w14:textId="77777777" w:rsidR="007B068C" w:rsidRPr="00617EDC" w:rsidRDefault="007B068C" w:rsidP="009049AD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17EDC">
              <w:rPr>
                <w:caps w:val="0"/>
                <w:sz w:val="22"/>
                <w:lang w:val="es-ES_tradnl"/>
              </w:rPr>
              <w:t>____________</w:t>
            </w:r>
          </w:p>
          <w:p w14:paraId="30760667" w14:textId="4E1A733C" w:rsidR="007B068C" w:rsidRPr="00617EDC" w:rsidRDefault="007B068C" w:rsidP="001D2655">
            <w:pPr>
              <w:pStyle w:val="Headingb"/>
            </w:pPr>
            <w:r w:rsidRPr="00617EDC">
              <w:t>Referencia</w:t>
            </w:r>
            <w:r w:rsidR="002F56B1" w:rsidRPr="00617EDC">
              <w:t>s</w:t>
            </w:r>
          </w:p>
          <w:bookmarkStart w:id="8" w:name="lt_pId020"/>
          <w:p w14:paraId="326D349B" w14:textId="49B7F27A" w:rsidR="0009418D" w:rsidRPr="005D57AF" w:rsidRDefault="005D57AF" w:rsidP="007B6B96">
            <w:pPr>
              <w:rPr>
                <w:i/>
                <w:iCs/>
              </w:rPr>
            </w:pPr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HYPERLINK "https://www.itu.int/en/council/Documents/basic-texts/DEC-011-S.pdf"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09418D" w:rsidRPr="005D57AF">
              <w:rPr>
                <w:rStyle w:val="Hyperlink"/>
                <w:i/>
                <w:iCs/>
              </w:rPr>
              <w:t>Decisión 11 (Rev. Dubái, 2018)</w:t>
            </w:r>
            <w:r>
              <w:rPr>
                <w:i/>
                <w:iCs/>
              </w:rPr>
              <w:fldChar w:fldCharType="end"/>
            </w:r>
            <w:r w:rsidR="0009418D" w:rsidRPr="005D57AF">
              <w:rPr>
                <w:i/>
                <w:iCs/>
              </w:rPr>
              <w:t xml:space="preserve"> </w:t>
            </w:r>
            <w:r w:rsidR="007B6B96">
              <w:rPr>
                <w:i/>
                <w:iCs/>
              </w:rPr>
              <w:t xml:space="preserve">de la </w:t>
            </w:r>
            <w:r w:rsidR="007B6B96" w:rsidRPr="005D57AF">
              <w:rPr>
                <w:i/>
                <w:iCs/>
              </w:rPr>
              <w:t>Conferencia de Plenipotenciarios</w:t>
            </w:r>
            <w:r w:rsidR="007B6B96">
              <w:rPr>
                <w:i/>
                <w:iCs/>
              </w:rPr>
              <w:t xml:space="preserve">, </w:t>
            </w:r>
            <w:hyperlink r:id="rId10" w:history="1">
              <w:r w:rsidRPr="005D57AF">
                <w:rPr>
                  <w:rStyle w:val="Hyperlink"/>
                  <w:i/>
                  <w:iCs/>
                </w:rPr>
                <w:t>Acuerdo</w:t>
              </w:r>
              <w:r w:rsidR="007B6B96">
                <w:rPr>
                  <w:rStyle w:val="Hyperlink"/>
                  <w:i/>
                  <w:iCs/>
                </w:rPr>
                <w:t> </w:t>
              </w:r>
              <w:r w:rsidRPr="005D57AF">
                <w:rPr>
                  <w:rStyle w:val="Hyperlink"/>
                  <w:i/>
                  <w:iCs/>
                </w:rPr>
                <w:t>563</w:t>
              </w:r>
              <w:r w:rsidR="007B6B96">
                <w:rPr>
                  <w:rStyle w:val="Hyperlink"/>
                  <w:i/>
                  <w:iCs/>
                </w:rPr>
                <w:t> </w:t>
              </w:r>
              <w:r w:rsidRPr="005D57AF">
                <w:rPr>
                  <w:rStyle w:val="Hyperlink"/>
                  <w:i/>
                  <w:iCs/>
                </w:rPr>
                <w:t>(modificado en 2019)</w:t>
              </w:r>
            </w:hyperlink>
            <w:bookmarkEnd w:id="8"/>
            <w:r w:rsidR="007B6B96">
              <w:rPr>
                <w:i/>
                <w:iCs/>
              </w:rPr>
              <w:br/>
            </w:r>
            <w:hyperlink r:id="rId11" w:history="1">
              <w:r w:rsidR="0009418D" w:rsidRPr="00617EDC">
                <w:rPr>
                  <w:rStyle w:val="Hyperlink"/>
                  <w:i/>
                  <w:iCs/>
                </w:rPr>
                <w:t>Sitio web del GTC-RHF</w:t>
              </w:r>
            </w:hyperlink>
            <w:bookmarkStart w:id="9" w:name="lt_pId026"/>
            <w:r w:rsidR="007B6B96">
              <w:rPr>
                <w:i/>
                <w:iCs/>
              </w:rPr>
              <w:br/>
            </w:r>
            <w:r w:rsidR="00396F0E" w:rsidRPr="005D57AF">
              <w:rPr>
                <w:i/>
                <w:iCs/>
              </w:rPr>
              <w:t xml:space="preserve">Documentos </w:t>
            </w:r>
            <w:hyperlink r:id="rId12" w:history="1">
              <w:r w:rsidR="00396F0E" w:rsidRPr="005D57AF">
                <w:rPr>
                  <w:rStyle w:val="Hyperlink"/>
                  <w:i/>
                  <w:iCs/>
                </w:rPr>
                <w:t>C22/88</w:t>
              </w:r>
            </w:hyperlink>
            <w:r w:rsidR="0009418D" w:rsidRPr="005D57AF">
              <w:rPr>
                <w:i/>
                <w:iCs/>
              </w:rPr>
              <w:t>;</w:t>
            </w:r>
            <w:bookmarkEnd w:id="9"/>
            <w:r w:rsidR="0009418D" w:rsidRPr="005D57AF">
              <w:rPr>
                <w:i/>
                <w:iCs/>
              </w:rPr>
              <w:t xml:space="preserve"> </w:t>
            </w:r>
            <w:bookmarkStart w:id="10" w:name="lt_pId027"/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HYPERLINK "https://www.itu.int/md/S22-CL-C-0054/es"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09418D" w:rsidRPr="005D57AF">
              <w:rPr>
                <w:rStyle w:val="Hyperlink"/>
                <w:i/>
                <w:iCs/>
              </w:rPr>
              <w:t>C22/54</w:t>
            </w:r>
            <w:r>
              <w:rPr>
                <w:i/>
                <w:iCs/>
              </w:rPr>
              <w:fldChar w:fldCharType="end"/>
            </w:r>
            <w:r w:rsidR="0009418D" w:rsidRPr="005D57AF">
              <w:rPr>
                <w:i/>
                <w:iCs/>
              </w:rPr>
              <w:t>;</w:t>
            </w:r>
            <w:bookmarkEnd w:id="10"/>
            <w:r w:rsidR="0009418D" w:rsidRPr="005D57AF">
              <w:rPr>
                <w:i/>
                <w:iCs/>
              </w:rPr>
              <w:t xml:space="preserve"> </w:t>
            </w:r>
            <w:bookmarkStart w:id="11" w:name="lt_pId028"/>
            <w:r>
              <w:rPr>
                <w:i/>
                <w:iCs/>
              </w:rPr>
              <w:fldChar w:fldCharType="begin"/>
            </w:r>
            <w:r>
              <w:rPr>
                <w:i/>
                <w:iCs/>
              </w:rPr>
              <w:instrText xml:space="preserve"> HYPERLINK "https://www.itu.int/md/S22-CL-C-0093/es"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 w:rsidR="0009418D" w:rsidRPr="005D57AF">
              <w:rPr>
                <w:rStyle w:val="Hyperlink"/>
                <w:i/>
                <w:iCs/>
              </w:rPr>
              <w:t>C22/93</w:t>
            </w:r>
            <w:bookmarkEnd w:id="11"/>
            <w:r>
              <w:rPr>
                <w:i/>
                <w:iCs/>
              </w:rPr>
              <w:fldChar w:fldCharType="end"/>
            </w:r>
            <w:r w:rsidR="00396F0E" w:rsidRPr="005D57AF">
              <w:rPr>
                <w:i/>
                <w:iCs/>
              </w:rPr>
              <w:t xml:space="preserve"> del Consejo</w:t>
            </w:r>
          </w:p>
        </w:tc>
      </w:tr>
      <w:bookmarkEnd w:id="7"/>
    </w:tbl>
    <w:p w14:paraId="5B7DF4B7" w14:textId="6ADBAD06" w:rsidR="002F56B1" w:rsidRPr="00617EDC" w:rsidRDefault="002F56B1" w:rsidP="00007B7A">
      <w:r w:rsidRPr="00617EDC">
        <w:br w:type="page"/>
      </w:r>
    </w:p>
    <w:p w14:paraId="303C7A91" w14:textId="77777777" w:rsidR="005C13F1" w:rsidRPr="00617EDC" w:rsidRDefault="005C13F1" w:rsidP="00F37311"/>
    <w:tbl>
      <w:tblPr>
        <w:tblpPr w:leftFromText="180" w:rightFromText="180" w:vertAnchor="page" w:horzAnchor="margin" w:tblpY="1175"/>
        <w:tblW w:w="10030" w:type="dxa"/>
        <w:tblLayout w:type="fixed"/>
        <w:tblLook w:val="0000" w:firstRow="0" w:lastRow="0" w:firstColumn="0" w:lastColumn="0" w:noHBand="0" w:noVBand="0"/>
      </w:tblPr>
      <w:tblGrid>
        <w:gridCol w:w="6887"/>
        <w:gridCol w:w="3143"/>
      </w:tblGrid>
      <w:tr w:rsidR="007A4614" w:rsidRPr="00617EDC" w14:paraId="75962F6D" w14:textId="77777777" w:rsidTr="005C13F1">
        <w:trPr>
          <w:cantSplit/>
        </w:trPr>
        <w:tc>
          <w:tcPr>
            <w:tcW w:w="6887" w:type="dxa"/>
          </w:tcPr>
          <w:p w14:paraId="7869277E" w14:textId="77777777" w:rsidR="007A4614" w:rsidRPr="00617EDC" w:rsidRDefault="007A4614" w:rsidP="004E2614">
            <w:pPr>
              <w:spacing w:before="360"/>
              <w:rPr>
                <w:szCs w:val="24"/>
              </w:rPr>
            </w:pPr>
            <w:r w:rsidRPr="00617EDC">
              <w:rPr>
                <w:b/>
                <w:bCs/>
                <w:sz w:val="30"/>
                <w:szCs w:val="30"/>
              </w:rPr>
              <w:t>Consejo 2022</w:t>
            </w:r>
            <w:r w:rsidRPr="00617EDC">
              <w:rPr>
                <w:b/>
                <w:bCs/>
                <w:sz w:val="26"/>
                <w:szCs w:val="26"/>
              </w:rPr>
              <w:br/>
              <w:t>Ginebra, 21-31 de marzo de 2022</w:t>
            </w:r>
          </w:p>
        </w:tc>
        <w:tc>
          <w:tcPr>
            <w:tcW w:w="3143" w:type="dxa"/>
          </w:tcPr>
          <w:p w14:paraId="751D06AE" w14:textId="77777777" w:rsidR="007A4614" w:rsidRPr="00617EDC" w:rsidRDefault="007A4614" w:rsidP="004E2614">
            <w:pPr>
              <w:spacing w:before="0"/>
              <w:rPr>
                <w:szCs w:val="24"/>
              </w:rPr>
            </w:pPr>
            <w:r w:rsidRPr="00617EDC">
              <w:rPr>
                <w:noProof/>
              </w:rPr>
              <w:drawing>
                <wp:inline distT="0" distB="0" distL="0" distR="0" wp14:anchorId="03CF7A27" wp14:editId="498DD600">
                  <wp:extent cx="682402" cy="720000"/>
                  <wp:effectExtent l="0" t="0" r="3810" b="444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614" w:rsidRPr="00617EDC" w14:paraId="152EC54A" w14:textId="77777777" w:rsidTr="005C13F1">
        <w:trPr>
          <w:cantSplit/>
          <w:trHeight w:val="20"/>
        </w:trPr>
        <w:tc>
          <w:tcPr>
            <w:tcW w:w="10030" w:type="dxa"/>
            <w:gridSpan w:val="2"/>
            <w:tcBorders>
              <w:bottom w:val="single" w:sz="12" w:space="0" w:color="auto"/>
            </w:tcBorders>
          </w:tcPr>
          <w:p w14:paraId="1DA6704C" w14:textId="77777777" w:rsidR="007A4614" w:rsidRPr="00617EDC" w:rsidRDefault="007A4614" w:rsidP="004E261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A4614" w:rsidRPr="00617EDC" w14:paraId="1B9ACA2A" w14:textId="77777777" w:rsidTr="005C13F1">
        <w:trPr>
          <w:cantSplit/>
          <w:trHeight w:val="20"/>
        </w:trPr>
        <w:tc>
          <w:tcPr>
            <w:tcW w:w="6887" w:type="dxa"/>
            <w:tcBorders>
              <w:top w:val="single" w:sz="12" w:space="0" w:color="auto"/>
            </w:tcBorders>
          </w:tcPr>
          <w:p w14:paraId="3E536BC5" w14:textId="77777777" w:rsidR="007A4614" w:rsidRPr="00617EDC" w:rsidRDefault="007A4614" w:rsidP="00F37311">
            <w:pPr>
              <w:tabs>
                <w:tab w:val="clear" w:pos="2268"/>
                <w:tab w:val="left" w:pos="2269"/>
              </w:tabs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43" w:type="dxa"/>
            <w:tcBorders>
              <w:top w:val="single" w:sz="12" w:space="0" w:color="auto"/>
            </w:tcBorders>
          </w:tcPr>
          <w:p w14:paraId="215A2DC6" w14:textId="77777777" w:rsidR="007A4614" w:rsidRPr="00617EDC" w:rsidRDefault="007A4614" w:rsidP="004E261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7A4614" w:rsidRPr="00617EDC" w14:paraId="2BA255B0" w14:textId="77777777" w:rsidTr="005C13F1">
        <w:trPr>
          <w:cantSplit/>
          <w:trHeight w:val="20"/>
        </w:trPr>
        <w:tc>
          <w:tcPr>
            <w:tcW w:w="6887" w:type="dxa"/>
            <w:shd w:val="clear" w:color="auto" w:fill="auto"/>
          </w:tcPr>
          <w:p w14:paraId="1C4A80CE" w14:textId="2AEAD93A" w:rsidR="007A4614" w:rsidRPr="00617EDC" w:rsidRDefault="005730B0" w:rsidP="004E261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12" w:name="dnum" w:colFirst="1" w:colLast="1"/>
            <w:bookmarkStart w:id="13" w:name="dmeeting" w:colFirst="0" w:colLast="0"/>
            <w:r w:rsidRPr="00617EDC">
              <w:rPr>
                <w:rFonts w:cs="Times"/>
                <w:b/>
                <w:szCs w:val="24"/>
              </w:rPr>
              <w:t>Punto del orden del día: ADM 3</w:t>
            </w:r>
          </w:p>
        </w:tc>
        <w:tc>
          <w:tcPr>
            <w:tcW w:w="3143" w:type="dxa"/>
          </w:tcPr>
          <w:p w14:paraId="713C269D" w14:textId="417EB417" w:rsidR="007A4614" w:rsidRPr="00617EDC" w:rsidRDefault="007A4614" w:rsidP="004E2614">
            <w:pPr>
              <w:spacing w:before="0"/>
              <w:rPr>
                <w:b/>
                <w:bCs/>
                <w:szCs w:val="24"/>
              </w:rPr>
            </w:pPr>
            <w:r w:rsidRPr="00617EDC">
              <w:rPr>
                <w:b/>
                <w:bCs/>
                <w:szCs w:val="24"/>
              </w:rPr>
              <w:t>Documento C22/5</w:t>
            </w:r>
            <w:r w:rsidR="005730B0" w:rsidRPr="00617EDC">
              <w:rPr>
                <w:b/>
                <w:bCs/>
                <w:szCs w:val="24"/>
              </w:rPr>
              <w:t>4</w:t>
            </w:r>
            <w:r w:rsidRPr="00617EDC">
              <w:rPr>
                <w:b/>
                <w:bCs/>
                <w:szCs w:val="24"/>
              </w:rPr>
              <w:t>-S</w:t>
            </w:r>
          </w:p>
        </w:tc>
      </w:tr>
      <w:tr w:rsidR="007A4614" w:rsidRPr="00617EDC" w14:paraId="2247D8E7" w14:textId="77777777" w:rsidTr="005C13F1">
        <w:trPr>
          <w:cantSplit/>
          <w:trHeight w:val="20"/>
        </w:trPr>
        <w:tc>
          <w:tcPr>
            <w:tcW w:w="6887" w:type="dxa"/>
            <w:shd w:val="clear" w:color="auto" w:fill="auto"/>
          </w:tcPr>
          <w:p w14:paraId="0DBE1622" w14:textId="77777777" w:rsidR="007A4614" w:rsidRPr="00617EDC" w:rsidRDefault="007A4614" w:rsidP="004E261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14" w:name="ddate" w:colFirst="1" w:colLast="1"/>
            <w:bookmarkEnd w:id="12"/>
            <w:bookmarkEnd w:id="13"/>
          </w:p>
        </w:tc>
        <w:tc>
          <w:tcPr>
            <w:tcW w:w="3143" w:type="dxa"/>
          </w:tcPr>
          <w:p w14:paraId="5063DDFB" w14:textId="317872A8" w:rsidR="007A4614" w:rsidRPr="00617EDC" w:rsidRDefault="003A7263" w:rsidP="004E2614">
            <w:pPr>
              <w:spacing w:before="0"/>
              <w:rPr>
                <w:b/>
                <w:bCs/>
                <w:szCs w:val="24"/>
              </w:rPr>
            </w:pPr>
            <w:r w:rsidRPr="00617EDC">
              <w:rPr>
                <w:b/>
                <w:bCs/>
                <w:szCs w:val="24"/>
              </w:rPr>
              <w:t>18</w:t>
            </w:r>
            <w:r w:rsidR="007A4614" w:rsidRPr="00617EDC">
              <w:rPr>
                <w:b/>
                <w:bCs/>
                <w:szCs w:val="24"/>
              </w:rPr>
              <w:t xml:space="preserve"> de </w:t>
            </w:r>
            <w:r w:rsidRPr="00617EDC">
              <w:rPr>
                <w:b/>
                <w:bCs/>
                <w:szCs w:val="24"/>
              </w:rPr>
              <w:t>febrero</w:t>
            </w:r>
            <w:r w:rsidR="007A4614" w:rsidRPr="00617EDC">
              <w:rPr>
                <w:b/>
                <w:bCs/>
                <w:szCs w:val="24"/>
              </w:rPr>
              <w:t xml:space="preserve"> de 2022</w:t>
            </w:r>
          </w:p>
        </w:tc>
      </w:tr>
      <w:tr w:rsidR="007A4614" w:rsidRPr="00617EDC" w14:paraId="6382AF09" w14:textId="77777777" w:rsidTr="005C13F1">
        <w:trPr>
          <w:cantSplit/>
          <w:trHeight w:val="20"/>
        </w:trPr>
        <w:tc>
          <w:tcPr>
            <w:tcW w:w="6887" w:type="dxa"/>
            <w:shd w:val="clear" w:color="auto" w:fill="auto"/>
          </w:tcPr>
          <w:p w14:paraId="3958CCEB" w14:textId="77777777" w:rsidR="007A4614" w:rsidRPr="00617EDC" w:rsidRDefault="007A4614" w:rsidP="004E261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15" w:name="dorlang" w:colFirst="1" w:colLast="1"/>
            <w:bookmarkEnd w:id="14"/>
          </w:p>
        </w:tc>
        <w:tc>
          <w:tcPr>
            <w:tcW w:w="3143" w:type="dxa"/>
          </w:tcPr>
          <w:p w14:paraId="1EBA134A" w14:textId="77777777" w:rsidR="007A4614" w:rsidRPr="00617EDC" w:rsidRDefault="007A4614" w:rsidP="004E2614">
            <w:pPr>
              <w:spacing w:before="0"/>
              <w:rPr>
                <w:b/>
                <w:bCs/>
                <w:szCs w:val="24"/>
              </w:rPr>
            </w:pPr>
            <w:r w:rsidRPr="00617EDC">
              <w:rPr>
                <w:b/>
                <w:bCs/>
                <w:szCs w:val="24"/>
              </w:rPr>
              <w:t>Original: inglés</w:t>
            </w:r>
          </w:p>
        </w:tc>
      </w:tr>
      <w:bookmarkEnd w:id="15"/>
      <w:tr w:rsidR="007A4614" w:rsidRPr="00617EDC" w14:paraId="7AE0DC1C" w14:textId="77777777" w:rsidTr="005C13F1">
        <w:trPr>
          <w:cantSplit/>
          <w:trHeight w:val="657"/>
        </w:trPr>
        <w:tc>
          <w:tcPr>
            <w:tcW w:w="10030" w:type="dxa"/>
            <w:gridSpan w:val="2"/>
          </w:tcPr>
          <w:p w14:paraId="397FE780" w14:textId="63D1DF6F" w:rsidR="007A4614" w:rsidRPr="00617EDC" w:rsidRDefault="005730B0" w:rsidP="00F37311">
            <w:pPr>
              <w:pStyle w:val="Source"/>
            </w:pPr>
            <w:r w:rsidRPr="00617EDC">
              <w:t>Informe del Presidente del Grupo de Trabajo del Consejo</w:t>
            </w:r>
            <w:r w:rsidRPr="00617EDC">
              <w:br/>
              <w:t>sobre Recursos Humanos y Financieros (GTC-RHF)</w:t>
            </w:r>
          </w:p>
        </w:tc>
      </w:tr>
      <w:tr w:rsidR="007A4614" w:rsidRPr="00617EDC" w14:paraId="1BBF9D14" w14:textId="77777777" w:rsidTr="005C13F1">
        <w:trPr>
          <w:cantSplit/>
        </w:trPr>
        <w:tc>
          <w:tcPr>
            <w:tcW w:w="10030" w:type="dxa"/>
            <w:gridSpan w:val="2"/>
          </w:tcPr>
          <w:p w14:paraId="1F690A5F" w14:textId="601CEE13" w:rsidR="007A4614" w:rsidRPr="00617EDC" w:rsidRDefault="005730B0" w:rsidP="002F56B1">
            <w:pPr>
              <w:pStyle w:val="Title1"/>
            </w:pPr>
            <w:bookmarkStart w:id="16" w:name="lt_pId012"/>
            <w:bookmarkStart w:id="17" w:name="_Hlk95296803"/>
            <w:r w:rsidRPr="00617EDC">
              <w:t>INFORME CUA</w:t>
            </w:r>
            <w:r w:rsidR="00614CC9">
              <w:t>T</w:t>
            </w:r>
            <w:r w:rsidRPr="00617EDC">
              <w:t>RIENAL DEL GRUPO DE TRABAJO DEL CONSEJO</w:t>
            </w:r>
            <w:r w:rsidRPr="00617EDC">
              <w:br/>
              <w:t>SOBRE RECURSOS HUMANOS Y FINANCIEROS</w:t>
            </w:r>
            <w:bookmarkEnd w:id="16"/>
            <w:bookmarkEnd w:id="17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730B0" w:rsidRPr="00617EDC" w14:paraId="389A03D2" w14:textId="77777777" w:rsidTr="0044348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6A627" w14:textId="77777777" w:rsidR="005730B0" w:rsidRPr="00617EDC" w:rsidRDefault="005730B0" w:rsidP="0044348F">
            <w:pPr>
              <w:pStyle w:val="Headingb"/>
            </w:pPr>
            <w:r w:rsidRPr="00617EDC">
              <w:t>Resumen</w:t>
            </w:r>
          </w:p>
          <w:p w14:paraId="3150EC74" w14:textId="77777777" w:rsidR="005730B0" w:rsidRPr="00617EDC" w:rsidRDefault="005730B0" w:rsidP="007B6B96">
            <w:bookmarkStart w:id="18" w:name="lt_pId015"/>
            <w:r w:rsidRPr="00617EDC">
              <w:t>De conformidad con la Decisión 11 (Rev. Dubái, 2018), este documento presenta el informe al Consejo del Presidente del Grupo de Trabajo del Consejo sobre Recursos Humanos y Financieros (GTC-RHF) correspondiente al cuatrienio 2019, 2020, 2021 y 2022.</w:t>
            </w:r>
          </w:p>
          <w:bookmarkEnd w:id="18"/>
          <w:p w14:paraId="088BE028" w14:textId="77777777" w:rsidR="005730B0" w:rsidRPr="00617EDC" w:rsidRDefault="005730B0" w:rsidP="0044348F">
            <w:r w:rsidRPr="00617EDC">
              <w:t>El Consejo, reconociendo la necesidad de tener en cuenta la importancia de los asuntos relativos a recursos humanos y financieros entre las reuniones del Consejo, en particular los que requieren el examen y la posible modificación de los instrumentos financieros de la UIT (Reglamento Financiero y Reglas Financieras), así como del Estatuto y Reglamento del Personal, podría decidir el mantenimiento de este grupo durante el próximo periodo.</w:t>
            </w:r>
          </w:p>
          <w:p w14:paraId="792312FA" w14:textId="77777777" w:rsidR="005730B0" w:rsidRPr="00617EDC" w:rsidRDefault="005730B0" w:rsidP="0044348F">
            <w:r w:rsidRPr="00617EDC">
              <w:t>El Grupo de Trabajo del Consejo sobre Recursos Humanos y Financieros presenta al Consejo un informe anual sobre sus actividades.</w:t>
            </w:r>
          </w:p>
          <w:p w14:paraId="519C06B7" w14:textId="77777777" w:rsidR="005730B0" w:rsidRPr="00617EDC" w:rsidRDefault="005730B0" w:rsidP="0044348F">
            <w:pPr>
              <w:pStyle w:val="Headingb"/>
            </w:pPr>
            <w:r w:rsidRPr="00617EDC">
              <w:t>Acción solicitada</w:t>
            </w:r>
          </w:p>
          <w:p w14:paraId="69BA8B18" w14:textId="77777777" w:rsidR="005730B0" w:rsidRPr="00617EDC" w:rsidRDefault="005730B0" w:rsidP="0044348F">
            <w:bookmarkStart w:id="19" w:name="lt_pId019"/>
            <w:r w:rsidRPr="00617EDC">
              <w:t xml:space="preserve">Se invita al Consejo a </w:t>
            </w:r>
            <w:r w:rsidRPr="007B6B96">
              <w:rPr>
                <w:b/>
                <w:bCs/>
              </w:rPr>
              <w:t>examinar</w:t>
            </w:r>
            <w:r w:rsidRPr="00617EDC">
              <w:t xml:space="preserve"> el presente informe y a </w:t>
            </w:r>
            <w:r w:rsidRPr="007B6B96">
              <w:rPr>
                <w:b/>
                <w:bCs/>
              </w:rPr>
              <w:t>presentar</w:t>
            </w:r>
            <w:r w:rsidRPr="00617EDC">
              <w:t xml:space="preserve"> sus recomendaciones a la Conferencia de Plenipotenciarios, según proceda, en particular en relación con la continuación de las actividades del GTC-RHF durante los próximos cuatro años</w:t>
            </w:r>
            <w:r w:rsidRPr="007B6B96">
              <w:t>.</w:t>
            </w:r>
            <w:bookmarkEnd w:id="19"/>
          </w:p>
          <w:p w14:paraId="34771826" w14:textId="77777777" w:rsidR="005730B0" w:rsidRPr="00617EDC" w:rsidRDefault="005730B0" w:rsidP="0044348F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17EDC">
              <w:rPr>
                <w:caps w:val="0"/>
                <w:sz w:val="22"/>
                <w:lang w:val="es-ES_tradnl"/>
              </w:rPr>
              <w:t>____________</w:t>
            </w:r>
          </w:p>
          <w:p w14:paraId="57E62A04" w14:textId="77777777" w:rsidR="005730B0" w:rsidRPr="00617EDC" w:rsidRDefault="005730B0" w:rsidP="0044348F">
            <w:pPr>
              <w:pStyle w:val="Headingb"/>
            </w:pPr>
            <w:r w:rsidRPr="00617EDC">
              <w:t>Referencias</w:t>
            </w:r>
          </w:p>
          <w:p w14:paraId="33E6CED8" w14:textId="7BCB9642" w:rsidR="005730B0" w:rsidRPr="00617EDC" w:rsidRDefault="002B4431" w:rsidP="007B6B96">
            <w:pPr>
              <w:spacing w:after="120"/>
              <w:rPr>
                <w:i/>
                <w:iCs/>
              </w:rPr>
            </w:pPr>
            <w:hyperlink r:id="rId13" w:history="1">
              <w:r w:rsidR="007B6B96" w:rsidRPr="007B6B96">
                <w:rPr>
                  <w:rStyle w:val="Hyperlink"/>
                  <w:i/>
                  <w:iCs/>
                </w:rPr>
                <w:t>Decisión 11 (Rev. Dubái, 2018)</w:t>
              </w:r>
            </w:hyperlink>
            <w:r w:rsidR="007B6B96" w:rsidRPr="007B6B96">
              <w:rPr>
                <w:i/>
                <w:iCs/>
              </w:rPr>
              <w:t xml:space="preserve"> de la Conferencia de Plenipotenciarios, </w:t>
            </w:r>
            <w:hyperlink r:id="rId14" w:history="1">
              <w:r w:rsidR="007B6B96" w:rsidRPr="007B6B96">
                <w:rPr>
                  <w:rStyle w:val="Hyperlink"/>
                  <w:i/>
                  <w:iCs/>
                </w:rPr>
                <w:t>Acuerdo 563 (modificado en 2019)</w:t>
              </w:r>
            </w:hyperlink>
            <w:r w:rsidR="005730B0" w:rsidRPr="00617EDC">
              <w:rPr>
                <w:i/>
                <w:iCs/>
              </w:rPr>
              <w:br/>
            </w:r>
            <w:hyperlink r:id="rId15" w:history="1">
              <w:bookmarkStart w:id="20" w:name="lt_pId023"/>
              <w:r w:rsidR="005730B0" w:rsidRPr="00617EDC">
                <w:rPr>
                  <w:rStyle w:val="Hyperlink"/>
                  <w:i/>
                  <w:iCs/>
                </w:rPr>
                <w:t>Sitio web del GTC-RHF</w:t>
              </w:r>
              <w:bookmarkEnd w:id="20"/>
            </w:hyperlink>
          </w:p>
        </w:tc>
      </w:tr>
    </w:tbl>
    <w:p w14:paraId="6CC93335" w14:textId="77777777" w:rsidR="005730B0" w:rsidRPr="00617EDC" w:rsidRDefault="005730B0" w:rsidP="007B6B96">
      <w:r w:rsidRPr="00617EDC">
        <w:br w:type="page"/>
      </w:r>
    </w:p>
    <w:p w14:paraId="3C266AB1" w14:textId="3E4B7A9E" w:rsidR="00834841" w:rsidRPr="00617EDC" w:rsidRDefault="00142174" w:rsidP="00142174">
      <w:pPr>
        <w:pStyle w:val="Heading1"/>
      </w:pPr>
      <w:bookmarkStart w:id="21" w:name="_Hlk107299927"/>
      <w:r w:rsidRPr="00617EDC">
        <w:lastRenderedPageBreak/>
        <w:t>I</w:t>
      </w:r>
      <w:r w:rsidRPr="00617EDC">
        <w:tab/>
      </w:r>
      <w:r w:rsidR="00834841" w:rsidRPr="00617EDC">
        <w:t>Introducción</w:t>
      </w:r>
      <w:bookmarkEnd w:id="21"/>
    </w:p>
    <w:p w14:paraId="4AEA1C92" w14:textId="56D9858F" w:rsidR="00834841" w:rsidRPr="00617EDC" w:rsidRDefault="00834841" w:rsidP="00142174">
      <w:pPr>
        <w:rPr>
          <w:color w:val="000000"/>
        </w:rPr>
      </w:pPr>
      <w:bookmarkStart w:id="22" w:name="_Hlk107299987"/>
      <w:r w:rsidRPr="00617EDC">
        <w:rPr>
          <w:color w:val="000000"/>
        </w:rPr>
        <w:t>1</w:t>
      </w:r>
      <w:r w:rsidRPr="00617EDC">
        <w:rPr>
          <w:color w:val="000000"/>
        </w:rPr>
        <w:tab/>
      </w:r>
      <w:r w:rsidRPr="00617EDC">
        <w:t>El mandato del Grupo de Trabajo del Consejo sobre Recursos Humanos y Financieros fue aprobado en virtud del Acuerdo 563, modificado en 2019 (véase el Anexo 1 al Acuerdo). El Grupo está abierto a todos los Estados Miembros y Miembros del Sector.</w:t>
      </w:r>
      <w:bookmarkEnd w:id="22"/>
    </w:p>
    <w:p w14:paraId="1742A151" w14:textId="77777777" w:rsidR="005730B0" w:rsidRPr="00617EDC" w:rsidRDefault="005730B0" w:rsidP="00142174">
      <w:pPr>
        <w:rPr>
          <w:color w:val="000000"/>
        </w:rPr>
      </w:pPr>
      <w:bookmarkStart w:id="23" w:name="_Hlk107300000"/>
      <w:r w:rsidRPr="00617EDC">
        <w:rPr>
          <w:color w:val="000000"/>
        </w:rPr>
        <w:t>2</w:t>
      </w:r>
      <w:r w:rsidRPr="00617EDC">
        <w:rPr>
          <w:color w:val="000000"/>
        </w:rPr>
        <w:tab/>
        <w:t>El Grupo de Trabajo del Consejo sobre Recursos Humanos y Financieros:</w:t>
      </w:r>
      <w:bookmarkEnd w:id="23"/>
    </w:p>
    <w:p w14:paraId="690A53BB" w14:textId="0BEECC2A" w:rsidR="005730B0" w:rsidRPr="00617EDC" w:rsidRDefault="00142174" w:rsidP="00142174">
      <w:pPr>
        <w:pStyle w:val="enumlev1"/>
        <w:rPr>
          <w:color w:val="000000"/>
        </w:rPr>
      </w:pPr>
      <w:bookmarkStart w:id="24" w:name="_Hlk107300010"/>
      <w:r w:rsidRPr="00617EDC">
        <w:t>–</w:t>
      </w:r>
      <w:r w:rsidRPr="00617EDC">
        <w:tab/>
      </w:r>
      <w:r w:rsidR="005730B0" w:rsidRPr="00617EDC">
        <w:t>aborda importantes asuntos relativos a recursos humanos y financieros entre reuniones del Consejo, en particular los que requieren el examen y la posible modificación de los instrumentos financieros de la UIT (Reglamento Financiero y Reglas Financieras), así como del Estatuto y Reglamento del Personal;</w:t>
      </w:r>
    </w:p>
    <w:p w14:paraId="44812497" w14:textId="254468C9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garantiza que se tengan en cuenta las recomendaciones pertinentes de la Dependencia Común de Inspección de las Naciones Unidas, del Auditor Externo y del Comité Asesor Independiente de Gestión (CAIG) que afectan la gestión de los recursos humanos y financieros de la Unión;</w:t>
      </w:r>
    </w:p>
    <w:p w14:paraId="74C89736" w14:textId="06E382C3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lleva a cabo una evaluación anual de la aplicación de la gestión basada en los resultados, incluida la asignación de prioridades con respecto a las actividades e iniciativas de la Unión, teniendo en cuenta los criterios específicos establecidos en el Plan Estratégico de la Unión</w:t>
      </w:r>
      <w:r w:rsidR="006127F0">
        <w:t>;</w:t>
      </w:r>
    </w:p>
    <w:p w14:paraId="23EB1DEF" w14:textId="1DE6F5B5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mantiene una estrecha colaboración con la Dirección de la UIT y el Consejo del Personal con miras a identificar cuestiones que son un motivo común de inquietud, y respecto de las cuales se necesita y justifica el asesoramiento y la orientación del Consejo.</w:t>
      </w:r>
      <w:bookmarkEnd w:id="24"/>
    </w:p>
    <w:p w14:paraId="0DE8262E" w14:textId="77777777" w:rsidR="005730B0" w:rsidRPr="00617EDC" w:rsidRDefault="005730B0" w:rsidP="00142174">
      <w:bookmarkStart w:id="25" w:name="_Hlk107300060"/>
      <w:r w:rsidRPr="00617EDC">
        <w:t>3</w:t>
      </w:r>
      <w:r w:rsidRPr="00617EDC">
        <w:tab/>
      </w:r>
      <w:bookmarkStart w:id="26" w:name="lt_pId035"/>
      <w:r w:rsidRPr="00617EDC">
        <w:t>El Grupo de Trabajo del Consejo sobre Recursos Humanos y Financieros celebró sus reuniones 9ª, 10ª y 11ª bajo la presidencia del Sr. Dietmar Plesse (Alemania) asistido por los seis Vicepresidentes siguientes</w:t>
      </w:r>
      <w:bookmarkEnd w:id="26"/>
      <w:r w:rsidRPr="00617EDC">
        <w:t>:</w:t>
      </w:r>
      <w:bookmarkEnd w:id="25"/>
    </w:p>
    <w:p w14:paraId="1E0D69B6" w14:textId="27DB0E9E" w:rsidR="005730B0" w:rsidRPr="00617EDC" w:rsidRDefault="00142174" w:rsidP="00142174">
      <w:pPr>
        <w:pStyle w:val="enumlev1"/>
      </w:pPr>
      <w:bookmarkStart w:id="27" w:name="_Hlk107300074"/>
      <w:r w:rsidRPr="00617EDC">
        <w:t>–</w:t>
      </w:r>
      <w:r w:rsidRPr="00617EDC">
        <w:tab/>
      </w:r>
      <w:r w:rsidR="005730B0" w:rsidRPr="00617EDC">
        <w:t>Sra. Seynabou Seck Cisse (Senegal)</w:t>
      </w:r>
    </w:p>
    <w:p w14:paraId="039D2B09" w14:textId="5993A083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Sra. Vernita D. Harris (Estados Unidos de América)</w:t>
      </w:r>
    </w:p>
    <w:p w14:paraId="3F88A96C" w14:textId="7C6AE327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Sr. Mohamed S. Ali Al Muathen (Emiratos Árabes Unidos)</w:t>
      </w:r>
    </w:p>
    <w:p w14:paraId="78D87411" w14:textId="3286ECD8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Sra. Archana Goyal Gulati (India)</w:t>
      </w:r>
    </w:p>
    <w:p w14:paraId="22E9963B" w14:textId="0C7FF232" w:rsidR="005730B0" w:rsidRPr="00617EDC" w:rsidRDefault="00142174" w:rsidP="00142174">
      <w:pPr>
        <w:pStyle w:val="enumlev1"/>
      </w:pPr>
      <w:bookmarkStart w:id="28" w:name="lt_pId040"/>
      <w:r w:rsidRPr="00617EDC">
        <w:t>–</w:t>
      </w:r>
      <w:r w:rsidRPr="00617EDC">
        <w:tab/>
      </w:r>
      <w:r w:rsidR="005730B0" w:rsidRPr="00617EDC">
        <w:t>Sr. Andreiy S. Zhivov (Federación de Rusia)</w:t>
      </w:r>
      <w:bookmarkEnd w:id="28"/>
    </w:p>
    <w:p w14:paraId="76351831" w14:textId="43DD7FE4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Sr. Vilem Vesely (República Checa)</w:t>
      </w:r>
      <w:bookmarkEnd w:id="27"/>
    </w:p>
    <w:p w14:paraId="6DEE09EE" w14:textId="77777777" w:rsidR="005730B0" w:rsidRPr="00617EDC" w:rsidRDefault="005730B0" w:rsidP="00142174">
      <w:bookmarkStart w:id="29" w:name="_Hlk107300114"/>
      <w:r w:rsidRPr="00617EDC">
        <w:t>4</w:t>
      </w:r>
      <w:r w:rsidRPr="00617EDC">
        <w:tab/>
      </w:r>
      <w:bookmarkStart w:id="30" w:name="lt_pId043"/>
      <w:r w:rsidRPr="00617EDC">
        <w:t>Desde su reunión 12ª del GTC-RHF, el Grupo ha sido presidido por la Sra. Vernita D. Harris (Estados Unidos de América) asistida por seis y posteriormente cinco Vicepresidentes, a saber:</w:t>
      </w:r>
      <w:bookmarkEnd w:id="30"/>
      <w:bookmarkEnd w:id="29"/>
    </w:p>
    <w:p w14:paraId="5FFFF2A9" w14:textId="3E33D3BC" w:rsidR="005730B0" w:rsidRPr="00617EDC" w:rsidRDefault="00142174" w:rsidP="00142174">
      <w:pPr>
        <w:pStyle w:val="enumlev1"/>
      </w:pPr>
      <w:bookmarkStart w:id="31" w:name="_Hlk107300239"/>
      <w:r w:rsidRPr="00617EDC">
        <w:t>–</w:t>
      </w:r>
      <w:r w:rsidRPr="00617EDC">
        <w:tab/>
      </w:r>
      <w:r w:rsidR="005730B0" w:rsidRPr="00617EDC">
        <w:t>Sra. Seynabou Seck Cisse (Senegal)</w:t>
      </w:r>
    </w:p>
    <w:p w14:paraId="790D1954" w14:textId="5878E5CD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 xml:space="preserve">Sra. Xian Persaud (Bahamas) </w:t>
      </w:r>
      <w:r w:rsidR="005730B0" w:rsidRPr="006127F0">
        <w:rPr>
          <w:i/>
          <w:iCs/>
        </w:rPr>
        <w:t>(solamente en la reunión</w:t>
      </w:r>
      <w:r w:rsidR="006127F0">
        <w:rPr>
          <w:i/>
          <w:iCs/>
        </w:rPr>
        <w:t xml:space="preserve"> </w:t>
      </w:r>
      <w:r w:rsidR="005730B0" w:rsidRPr="006127F0">
        <w:rPr>
          <w:i/>
          <w:iCs/>
        </w:rPr>
        <w:t>12ª)</w:t>
      </w:r>
    </w:p>
    <w:p w14:paraId="0691A6DA" w14:textId="6088C986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Sr. Mohamed S. Ali Al Muathen Al Mazroei (Emiratos Árabes Unidos)</w:t>
      </w:r>
    </w:p>
    <w:p w14:paraId="1CBAAC13" w14:textId="17F6C9D6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Sra. Archana Goyal Gulati (India)</w:t>
      </w:r>
    </w:p>
    <w:p w14:paraId="40681531" w14:textId="1BC500BD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Sra. Ms D.V. Kalyuga (Federación de Rusia)</w:t>
      </w:r>
    </w:p>
    <w:p w14:paraId="7401CCCB" w14:textId="525012EF" w:rsidR="005730B0" w:rsidRPr="00617EDC" w:rsidRDefault="00142174" w:rsidP="00142174">
      <w:pPr>
        <w:pStyle w:val="enumlev1"/>
      </w:pPr>
      <w:r w:rsidRPr="00617EDC">
        <w:t>–</w:t>
      </w:r>
      <w:r w:rsidRPr="00617EDC">
        <w:tab/>
      </w:r>
      <w:r w:rsidR="005730B0" w:rsidRPr="00617EDC">
        <w:t>Sr. Vilem Vesely (República Checa)</w:t>
      </w:r>
      <w:bookmarkStart w:id="32" w:name="lt_pId050"/>
    </w:p>
    <w:p w14:paraId="041A7957" w14:textId="6FBBF313" w:rsidR="005730B0" w:rsidRPr="00617EDC" w:rsidRDefault="00142174" w:rsidP="00142174">
      <w:pPr>
        <w:pStyle w:val="Heading1"/>
      </w:pPr>
      <w:bookmarkStart w:id="33" w:name="_Hlk107300264"/>
      <w:bookmarkEnd w:id="31"/>
      <w:r w:rsidRPr="00617EDC">
        <w:lastRenderedPageBreak/>
        <w:t>II</w:t>
      </w:r>
      <w:r w:rsidRPr="00617EDC">
        <w:tab/>
      </w:r>
      <w:r w:rsidR="005730B0" w:rsidRPr="00617EDC">
        <w:t>Actividades del GTC-RHF</w:t>
      </w:r>
      <w:bookmarkEnd w:id="32"/>
      <w:bookmarkEnd w:id="33"/>
    </w:p>
    <w:p w14:paraId="06ADC02C" w14:textId="3114C09E" w:rsidR="005730B0" w:rsidRPr="00617EDC" w:rsidRDefault="005730B0" w:rsidP="00142174">
      <w:pPr>
        <w:keepNext/>
        <w:keepLines/>
      </w:pPr>
      <w:bookmarkStart w:id="34" w:name="_Hlk107300294"/>
      <w:r w:rsidRPr="00617EDC">
        <w:t>5</w:t>
      </w:r>
      <w:r w:rsidRPr="00617EDC">
        <w:tab/>
      </w:r>
      <w:bookmarkStart w:id="35" w:name="lt_pId052"/>
      <w:r w:rsidRPr="00617EDC">
        <w:t xml:space="preserve">Los principales resultados de la </w:t>
      </w:r>
      <w:hyperlink r:id="rId16" w:history="1">
        <w:r w:rsidRPr="00617EDC">
          <w:rPr>
            <w:rStyle w:val="Hyperlink"/>
          </w:rPr>
          <w:t>9</w:t>
        </w:r>
        <w:r w:rsidRPr="00617EDC">
          <w:rPr>
            <w:rStyle w:val="Hyperlink"/>
            <w:rFonts w:cs="Calibri"/>
          </w:rPr>
          <w:t>ª</w:t>
        </w:r>
        <w:r w:rsidRPr="00617EDC">
          <w:rPr>
            <w:rStyle w:val="Hyperlink"/>
          </w:rPr>
          <w:t xml:space="preserve"> reunión</w:t>
        </w:r>
      </w:hyperlink>
      <w:r w:rsidRPr="00617EDC">
        <w:t xml:space="preserve"> del GTC-RHF celebrada el 29 y 30 de enero de</w:t>
      </w:r>
      <w:r w:rsidR="00617EDC">
        <w:t> </w:t>
      </w:r>
      <w:r w:rsidRPr="00617EDC">
        <w:t xml:space="preserve">2019 figuran en </w:t>
      </w:r>
      <w:hyperlink r:id="rId17" w:history="1">
        <w:r w:rsidRPr="00617EDC">
          <w:rPr>
            <w:rStyle w:val="Hyperlink"/>
          </w:rPr>
          <w:t>https://www.itu.int/md/S19-CLCWGFHR09-C-0015/e</w:t>
        </w:r>
      </w:hyperlink>
      <w:bookmarkEnd w:id="35"/>
      <w:r w:rsidRPr="00617EDC">
        <w:rPr>
          <w:rStyle w:val="Hyperlink"/>
        </w:rPr>
        <w:t>s</w:t>
      </w:r>
      <w:r w:rsidRPr="00617EDC">
        <w:t>.</w:t>
      </w:r>
    </w:p>
    <w:p w14:paraId="52B208FD" w14:textId="042E2A65" w:rsidR="005730B0" w:rsidRPr="00617EDC" w:rsidRDefault="005730B0" w:rsidP="00142174">
      <w:r w:rsidRPr="00617EDC">
        <w:t>6</w:t>
      </w:r>
      <w:r w:rsidRPr="00617EDC">
        <w:tab/>
      </w:r>
      <w:bookmarkStart w:id="36" w:name="lt_pId054"/>
      <w:r w:rsidRPr="00617EDC">
        <w:t xml:space="preserve">Los principales resultados de la </w:t>
      </w:r>
      <w:hyperlink r:id="rId18" w:history="1">
        <w:r w:rsidRPr="00617EDC">
          <w:rPr>
            <w:rStyle w:val="Hyperlink"/>
          </w:rPr>
          <w:t>10</w:t>
        </w:r>
        <w:r w:rsidRPr="00617EDC">
          <w:rPr>
            <w:rStyle w:val="Hyperlink"/>
            <w:vertAlign w:val="superscript"/>
          </w:rPr>
          <w:t>a</w:t>
        </w:r>
        <w:r w:rsidRPr="00617EDC">
          <w:rPr>
            <w:rStyle w:val="Hyperlink"/>
          </w:rPr>
          <w:t xml:space="preserve"> reunión</w:t>
        </w:r>
      </w:hyperlink>
      <w:r w:rsidRPr="00617EDC">
        <w:t xml:space="preserve"> del GTC-RHF celebrada el 18</w:t>
      </w:r>
      <w:r w:rsidR="00617EDC">
        <w:t xml:space="preserve"> </w:t>
      </w:r>
      <w:r w:rsidRPr="00617EDC">
        <w:t xml:space="preserve">de septiembre de 2019, figuran en </w:t>
      </w:r>
      <w:hyperlink r:id="rId19" w:history="1">
        <w:r w:rsidRPr="00617EDC">
          <w:rPr>
            <w:rStyle w:val="Hyperlink"/>
          </w:rPr>
          <w:t>https://www.itu.int/md/S19-CWGFHR10-C-0016/es</w:t>
        </w:r>
      </w:hyperlink>
      <w:bookmarkEnd w:id="36"/>
      <w:r w:rsidRPr="00617EDC">
        <w:t>.</w:t>
      </w:r>
    </w:p>
    <w:p w14:paraId="130FA3CF" w14:textId="7A1D129F" w:rsidR="005730B0" w:rsidRPr="00617EDC" w:rsidRDefault="005730B0" w:rsidP="00142174">
      <w:r w:rsidRPr="00617EDC">
        <w:t>7</w:t>
      </w:r>
      <w:r w:rsidRPr="00617EDC">
        <w:tab/>
      </w:r>
      <w:bookmarkStart w:id="37" w:name="lt_pId056"/>
      <w:r w:rsidRPr="00617EDC">
        <w:t xml:space="preserve">Los principales resultados de la </w:t>
      </w:r>
      <w:hyperlink r:id="rId20" w:history="1">
        <w:r w:rsidRPr="00617EDC">
          <w:rPr>
            <w:rStyle w:val="Hyperlink"/>
          </w:rPr>
          <w:t>11ª reunión</w:t>
        </w:r>
      </w:hyperlink>
      <w:r w:rsidRPr="00617EDC">
        <w:t xml:space="preserve"> del GTC-RHF celebrada el 3 y 4 de febrero de</w:t>
      </w:r>
      <w:r w:rsidR="00617EDC">
        <w:t> </w:t>
      </w:r>
      <w:r w:rsidRPr="00617EDC">
        <w:t xml:space="preserve">2020, figuran en </w:t>
      </w:r>
      <w:hyperlink r:id="rId21" w:history="1">
        <w:r w:rsidRPr="00617EDC">
          <w:rPr>
            <w:rStyle w:val="Hyperlink"/>
          </w:rPr>
          <w:t>https://www.itu.int/md/S20-CWGFHR11-C-0020/es</w:t>
        </w:r>
      </w:hyperlink>
      <w:bookmarkEnd w:id="37"/>
      <w:r w:rsidRPr="00617EDC">
        <w:t>.</w:t>
      </w:r>
    </w:p>
    <w:p w14:paraId="5A0C0421" w14:textId="1E7BECC5" w:rsidR="005730B0" w:rsidRPr="00617EDC" w:rsidRDefault="005730B0" w:rsidP="00142174">
      <w:r w:rsidRPr="00617EDC">
        <w:t>8</w:t>
      </w:r>
      <w:r w:rsidRPr="00617EDC">
        <w:tab/>
      </w:r>
      <w:bookmarkStart w:id="38" w:name="lt_pId058"/>
      <w:r w:rsidRPr="00617EDC">
        <w:t xml:space="preserve">Los principales resultados de la </w:t>
      </w:r>
      <w:hyperlink r:id="rId22" w:history="1">
        <w:r w:rsidRPr="00617EDC">
          <w:rPr>
            <w:rStyle w:val="Hyperlink"/>
          </w:rPr>
          <w:t>12</w:t>
        </w:r>
        <w:r w:rsidRPr="00617EDC">
          <w:rPr>
            <w:rStyle w:val="Hyperlink"/>
            <w:vertAlign w:val="superscript"/>
          </w:rPr>
          <w:t>a</w:t>
        </w:r>
        <w:r w:rsidRPr="00617EDC">
          <w:rPr>
            <w:rStyle w:val="Hyperlink"/>
          </w:rPr>
          <w:t xml:space="preserve"> reunión</w:t>
        </w:r>
      </w:hyperlink>
      <w:r w:rsidRPr="00617EDC">
        <w:t xml:space="preserve"> (</w:t>
      </w:r>
      <w:r w:rsidR="00EF0E4B" w:rsidRPr="00617EDC">
        <w:t>v</w:t>
      </w:r>
      <w:r w:rsidRPr="00617EDC">
        <w:t>irtual) del GTC-RHF celebrada el 25 y 26 de</w:t>
      </w:r>
      <w:r w:rsidR="00617EDC">
        <w:t> </w:t>
      </w:r>
      <w:r w:rsidRPr="00617EDC">
        <w:t xml:space="preserve">enero de 2021, figuran en </w:t>
      </w:r>
      <w:hyperlink r:id="rId23" w:history="1">
        <w:r w:rsidRPr="00617EDC">
          <w:rPr>
            <w:rStyle w:val="Hyperlink"/>
          </w:rPr>
          <w:t>https://www.itu.int/md/S21-CWGFHR12-C-0017/es</w:t>
        </w:r>
      </w:hyperlink>
      <w:bookmarkEnd w:id="38"/>
      <w:r w:rsidRPr="00617EDC">
        <w:t>.</w:t>
      </w:r>
    </w:p>
    <w:p w14:paraId="1A074E37" w14:textId="3FB6A968" w:rsidR="005730B0" w:rsidRPr="00617EDC" w:rsidRDefault="005730B0" w:rsidP="00142174">
      <w:r w:rsidRPr="00617EDC">
        <w:t>9</w:t>
      </w:r>
      <w:r w:rsidRPr="00617EDC">
        <w:tab/>
      </w:r>
      <w:bookmarkStart w:id="39" w:name="lt_pId060"/>
      <w:proofErr w:type="gramStart"/>
      <w:r w:rsidRPr="00617EDC">
        <w:t>Los</w:t>
      </w:r>
      <w:proofErr w:type="gramEnd"/>
      <w:r w:rsidRPr="00617EDC">
        <w:t xml:space="preserve"> principales resultados de la </w:t>
      </w:r>
      <w:hyperlink r:id="rId24" w:history="1">
        <w:r w:rsidRPr="00617EDC">
          <w:rPr>
            <w:rStyle w:val="Hyperlink"/>
          </w:rPr>
          <w:t>13</w:t>
        </w:r>
        <w:r w:rsidR="006127F0">
          <w:rPr>
            <w:rStyle w:val="Hyperlink"/>
          </w:rPr>
          <w:t>ª</w:t>
        </w:r>
        <w:r w:rsidRPr="00617EDC">
          <w:rPr>
            <w:rStyle w:val="Hyperlink"/>
          </w:rPr>
          <w:t xml:space="preserve"> reunión</w:t>
        </w:r>
      </w:hyperlink>
      <w:r w:rsidRPr="00617EDC">
        <w:t xml:space="preserve"> (</w:t>
      </w:r>
      <w:r w:rsidR="00EF0E4B" w:rsidRPr="00617EDC">
        <w:t>v</w:t>
      </w:r>
      <w:r w:rsidRPr="00617EDC">
        <w:t>irtual) del GTC-RHF celebrada el 3 de junio de</w:t>
      </w:r>
      <w:r w:rsidR="00617EDC">
        <w:t> </w:t>
      </w:r>
      <w:r w:rsidRPr="00617EDC">
        <w:t xml:space="preserve">2021, figuran en </w:t>
      </w:r>
      <w:bookmarkEnd w:id="39"/>
      <w:r w:rsidR="00614CC9">
        <w:fldChar w:fldCharType="begin"/>
      </w:r>
      <w:r w:rsidR="00614CC9">
        <w:instrText>HYPERLINK "https://www.itu.int/md/S21-CWGFHR13-C-0002/es"</w:instrText>
      </w:r>
      <w:r w:rsidR="00614CC9">
        <w:fldChar w:fldCharType="separate"/>
      </w:r>
      <w:r w:rsidR="00614CC9">
        <w:rPr>
          <w:rStyle w:val="Hyperlink"/>
        </w:rPr>
        <w:t>https://www.itu.int/md/S21-CWGFHR13-C-0002/es</w:t>
      </w:r>
      <w:r w:rsidR="00614CC9">
        <w:fldChar w:fldCharType="end"/>
      </w:r>
      <w:r w:rsidRPr="00617EDC">
        <w:t>.</w:t>
      </w:r>
    </w:p>
    <w:p w14:paraId="255060DC" w14:textId="26EE94BE" w:rsidR="005730B0" w:rsidRPr="00617EDC" w:rsidRDefault="005730B0" w:rsidP="00142174">
      <w:r w:rsidRPr="00617EDC">
        <w:t>10</w:t>
      </w:r>
      <w:r w:rsidRPr="00617EDC">
        <w:tab/>
      </w:r>
      <w:bookmarkStart w:id="40" w:name="lt_pId062"/>
      <w:r w:rsidRPr="00617EDC">
        <w:t xml:space="preserve">Los principales resultados de la </w:t>
      </w:r>
      <w:hyperlink r:id="rId25" w:history="1">
        <w:r w:rsidRPr="00617EDC">
          <w:rPr>
            <w:rStyle w:val="Hyperlink"/>
          </w:rPr>
          <w:t>14</w:t>
        </w:r>
        <w:r w:rsidRPr="00617EDC">
          <w:rPr>
            <w:rStyle w:val="Hyperlink"/>
            <w:vertAlign w:val="superscript"/>
          </w:rPr>
          <w:t>a</w:t>
        </w:r>
        <w:r w:rsidRPr="00617EDC">
          <w:rPr>
            <w:rStyle w:val="Hyperlink"/>
          </w:rPr>
          <w:t xml:space="preserve"> reunión</w:t>
        </w:r>
      </w:hyperlink>
      <w:r w:rsidRPr="00617EDC">
        <w:t xml:space="preserve"> (</w:t>
      </w:r>
      <w:r w:rsidR="00EF0E4B" w:rsidRPr="00617EDC">
        <w:t>v</w:t>
      </w:r>
      <w:r w:rsidRPr="00617EDC">
        <w:t>irtual) del GTC-RHF celebrada el 20</w:t>
      </w:r>
      <w:r w:rsidR="00617EDC">
        <w:t xml:space="preserve"> </w:t>
      </w:r>
      <w:r w:rsidRPr="00617EDC">
        <w:t>y 21 de</w:t>
      </w:r>
      <w:r w:rsidR="00617EDC">
        <w:t> </w:t>
      </w:r>
      <w:r w:rsidRPr="00617EDC">
        <w:t xml:space="preserve">septiembre de 2021, figuran en </w:t>
      </w:r>
      <w:hyperlink r:id="rId26" w:history="1">
        <w:r w:rsidRPr="00617EDC">
          <w:rPr>
            <w:rStyle w:val="Hyperlink"/>
          </w:rPr>
          <w:t>https://www.itu.int/md/S21-CWGFHR14-C-0012/es</w:t>
        </w:r>
      </w:hyperlink>
      <w:bookmarkEnd w:id="40"/>
      <w:r w:rsidRPr="00617EDC">
        <w:t>.</w:t>
      </w:r>
    </w:p>
    <w:p w14:paraId="17A09956" w14:textId="3ACDBB26" w:rsidR="005730B0" w:rsidRPr="00617EDC" w:rsidRDefault="005730B0" w:rsidP="00142174">
      <w:r w:rsidRPr="00617EDC">
        <w:t>11</w:t>
      </w:r>
      <w:r w:rsidRPr="00617EDC">
        <w:tab/>
      </w:r>
      <w:bookmarkStart w:id="41" w:name="lt_pId064"/>
      <w:r w:rsidRPr="00617EDC">
        <w:t xml:space="preserve">Los principales resultados de la </w:t>
      </w:r>
      <w:hyperlink r:id="rId27" w:history="1">
        <w:r w:rsidRPr="00617EDC">
          <w:rPr>
            <w:rStyle w:val="Hyperlink"/>
          </w:rPr>
          <w:t>15</w:t>
        </w:r>
        <w:r w:rsidRPr="00617EDC">
          <w:rPr>
            <w:rStyle w:val="Hyperlink"/>
            <w:vertAlign w:val="superscript"/>
          </w:rPr>
          <w:t>a</w:t>
        </w:r>
        <w:r w:rsidRPr="00617EDC">
          <w:rPr>
            <w:rStyle w:val="Hyperlink"/>
          </w:rPr>
          <w:t xml:space="preserve"> reunión</w:t>
        </w:r>
      </w:hyperlink>
      <w:r w:rsidRPr="00617EDC">
        <w:t xml:space="preserve"> (</w:t>
      </w:r>
      <w:r w:rsidR="00EF0E4B" w:rsidRPr="00617EDC">
        <w:t>v</w:t>
      </w:r>
      <w:r w:rsidRPr="00617EDC">
        <w:t>irtual) del GTC-RHF, celebrada el 11 y 12 de</w:t>
      </w:r>
      <w:r w:rsidR="00617EDC">
        <w:t> </w:t>
      </w:r>
      <w:r w:rsidRPr="00617EDC">
        <w:t xml:space="preserve">enero de 2022, figuran en </w:t>
      </w:r>
      <w:hyperlink r:id="rId28" w:history="1">
        <w:r w:rsidRPr="00617EDC">
          <w:rPr>
            <w:rStyle w:val="Hyperlink"/>
          </w:rPr>
          <w:t>https://www.itu.int/md/S22-CWGFHR15-C-0022/es</w:t>
        </w:r>
      </w:hyperlink>
      <w:bookmarkEnd w:id="41"/>
      <w:r w:rsidRPr="00617EDC">
        <w:t>.</w:t>
      </w:r>
      <w:bookmarkEnd w:id="34"/>
    </w:p>
    <w:p w14:paraId="072741AD" w14:textId="4D2EA342" w:rsidR="005730B0" w:rsidRPr="00617EDC" w:rsidRDefault="00617EDC" w:rsidP="00617EDC">
      <w:pPr>
        <w:pStyle w:val="Heading1"/>
      </w:pPr>
      <w:bookmarkStart w:id="42" w:name="lt_pId065"/>
      <w:r>
        <w:t>III</w:t>
      </w:r>
      <w:r>
        <w:tab/>
      </w:r>
      <w:r w:rsidR="005730B0" w:rsidRPr="00617EDC">
        <w:t>Recomendaciones a la PP-22</w:t>
      </w:r>
      <w:bookmarkEnd w:id="42"/>
    </w:p>
    <w:p w14:paraId="7627DEDF" w14:textId="2F24E474" w:rsidR="00D61B94" w:rsidRPr="00617EDC" w:rsidRDefault="005730B0" w:rsidP="00614CC9">
      <w:pPr>
        <w:rPr>
          <w:b/>
          <w:bCs/>
        </w:rPr>
      </w:pPr>
      <w:bookmarkStart w:id="43" w:name="_Hlk107300680"/>
      <w:r w:rsidRPr="00617EDC">
        <w:t>12</w:t>
      </w:r>
      <w:r w:rsidRPr="00617EDC">
        <w:tab/>
      </w:r>
      <w:bookmarkStart w:id="44" w:name="lt_pId067"/>
      <w:r w:rsidRPr="00617EDC">
        <w:t>Se invita a los consejeros a examinar el Informe cuatrienal del Presidente del GTC-RHF y recomendar a la Conferencia de Plenipotenciarios (PP-22) la continuación de las actividades del</w:t>
      </w:r>
      <w:bookmarkEnd w:id="44"/>
      <w:r w:rsidR="00617EDC">
        <w:t> </w:t>
      </w:r>
      <w:r w:rsidRPr="00617EDC">
        <w:t xml:space="preserve">GTC-RHF </w:t>
      </w:r>
      <w:bookmarkStart w:id="45" w:name="lt_pId068"/>
      <w:r w:rsidRPr="00617EDC">
        <w:t>durante los próximos cuatro años.</w:t>
      </w:r>
      <w:bookmarkEnd w:id="45"/>
      <w:bookmarkEnd w:id="43"/>
    </w:p>
    <w:p w14:paraId="34A2A12E" w14:textId="77777777" w:rsidR="00D61B94" w:rsidRPr="00617EDC" w:rsidRDefault="00D61B94" w:rsidP="00D61B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617EDC">
        <w:br w:type="page"/>
      </w:r>
    </w:p>
    <w:p w14:paraId="5E0E31F5" w14:textId="31416E6A" w:rsidR="00D61B94" w:rsidRPr="00617EDC" w:rsidRDefault="00D61B94" w:rsidP="00142174">
      <w:pPr>
        <w:pStyle w:val="AnnexNo"/>
      </w:pPr>
      <w:bookmarkStart w:id="46" w:name="_Hlk107300696"/>
      <w:r w:rsidRPr="00617EDC">
        <w:lastRenderedPageBreak/>
        <w:t>ANEXO 1</w:t>
      </w:r>
      <w:bookmarkEnd w:id="46"/>
    </w:p>
    <w:p w14:paraId="3CF67594" w14:textId="4F149BEE" w:rsidR="00D61B94" w:rsidRPr="00617EDC" w:rsidRDefault="00D61B94" w:rsidP="00617EDC">
      <w:pPr>
        <w:pStyle w:val="Annextitle"/>
      </w:pPr>
      <w:bookmarkStart w:id="47" w:name="_Hlk107300724"/>
      <w:r w:rsidRPr="00617EDC">
        <w:t xml:space="preserve">Extracto del Resumen de los debates de la </w:t>
      </w:r>
      <w:r w:rsidR="00614CC9">
        <w:t xml:space="preserve">octava </w:t>
      </w:r>
      <w:r w:rsidR="00142174" w:rsidRPr="00617EDC">
        <w:br/>
      </w:r>
      <w:r w:rsidRPr="00617EDC">
        <w:t>sesión plenaria del Consejo de 2022</w:t>
      </w:r>
      <w:bookmarkEnd w:id="47"/>
    </w:p>
    <w:p w14:paraId="56097366" w14:textId="62A0DE75" w:rsidR="00D61B94" w:rsidRPr="00617EDC" w:rsidRDefault="00614CC9" w:rsidP="00614CC9">
      <w:pPr>
        <w:pStyle w:val="Headingb"/>
        <w:rPr>
          <w:sz w:val="22"/>
          <w:szCs w:val="22"/>
        </w:rPr>
      </w:pPr>
      <w:bookmarkStart w:id="48" w:name="_Hlk107300761"/>
      <w:r>
        <w:sym w:font="Wingdings" w:char="F0D8"/>
      </w:r>
      <w:r>
        <w:tab/>
      </w:r>
      <w:r w:rsidR="00D61B94" w:rsidRPr="00614CC9">
        <w:rPr>
          <w:i/>
          <w:iCs/>
        </w:rPr>
        <w:t xml:space="preserve">Informe del Presidente del Grupo de Trabajo del Consejo sobre Recursos Humanos y Financieros (GTC-RHF) (Documento </w:t>
      </w:r>
      <w:hyperlink r:id="rId29" w:history="1">
        <w:r w:rsidR="00D61B94" w:rsidRPr="00614CC9">
          <w:rPr>
            <w:rStyle w:val="Hyperlink"/>
            <w:i/>
            <w:iCs/>
          </w:rPr>
          <w:t>C22/54</w:t>
        </w:r>
      </w:hyperlink>
      <w:r w:rsidR="00D61B94" w:rsidRPr="00614CC9">
        <w:rPr>
          <w:i/>
          <w:iCs/>
        </w:rPr>
        <w:t>)</w:t>
      </w:r>
      <w:bookmarkEnd w:id="48"/>
    </w:p>
    <w:p w14:paraId="439CF894" w14:textId="684B975E" w:rsidR="00D61B94" w:rsidRPr="00617EDC" w:rsidRDefault="00D61B94" w:rsidP="00142174">
      <w:pPr>
        <w:spacing w:after="120"/>
      </w:pPr>
      <w:r w:rsidRPr="00617EDC">
        <w:t>2.9</w:t>
      </w:r>
      <w:r w:rsidRPr="00617EDC">
        <w:tab/>
        <w:t xml:space="preserve">Se </w:t>
      </w:r>
      <w:r w:rsidRPr="00617EDC">
        <w:rPr>
          <w:b/>
          <w:bCs/>
        </w:rPr>
        <w:t>aprueba</w:t>
      </w:r>
      <w:r w:rsidRPr="00617EDC">
        <w:t xml:space="preserve"> la siguiente recomendación: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D61B94" w:rsidRPr="00617EDC" w14:paraId="49251CE4" w14:textId="77777777" w:rsidTr="0044348F"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</w:tcPr>
          <w:p w14:paraId="77F92E83" w14:textId="7C1C5392" w:rsidR="00D61B94" w:rsidRPr="00617EDC" w:rsidRDefault="00D61B94" w:rsidP="00142174">
            <w:pPr>
              <w:pStyle w:val="Headingb"/>
            </w:pPr>
            <w:r w:rsidRPr="00617EDC">
              <w:t>Recomendación</w:t>
            </w:r>
          </w:p>
          <w:p w14:paraId="2D7A553F" w14:textId="777E93E7" w:rsidR="00D61B94" w:rsidRPr="00617EDC" w:rsidRDefault="00D61B94" w:rsidP="00614CC9">
            <w:pPr>
              <w:spacing w:after="120"/>
            </w:pPr>
            <w:r w:rsidRPr="00617EDC">
              <w:t>La Comisión recomienda al Consejo que examine este Informe y someta sus recomendaciones a la Conferencia de Plenipotenciarios según proceda, en particular sobre la continuación de las actividades del GTC-RHF en los próximos cuatro años.</w:t>
            </w:r>
          </w:p>
        </w:tc>
      </w:tr>
    </w:tbl>
    <w:p w14:paraId="2FD229DA" w14:textId="77777777" w:rsidR="00D61B94" w:rsidRPr="00617EDC" w:rsidRDefault="00D61B94" w:rsidP="00D61B94">
      <w:pPr>
        <w:pStyle w:val="Reasons"/>
      </w:pPr>
    </w:p>
    <w:p w14:paraId="375DD6CB" w14:textId="4DFD0D37" w:rsidR="0060334D" w:rsidRPr="00617EDC" w:rsidRDefault="00D61B94" w:rsidP="00142174">
      <w:pPr>
        <w:jc w:val="center"/>
      </w:pPr>
      <w:r w:rsidRPr="00617EDC">
        <w:t>______________</w:t>
      </w:r>
    </w:p>
    <w:sectPr w:rsidR="0060334D" w:rsidRPr="00617EDC" w:rsidSect="00A70E95">
      <w:headerReference w:type="default" r:id="rId30"/>
      <w:footerReference w:type="default" r:id="rId31"/>
      <w:footerReference w:type="first" r:id="rId3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8851" w14:textId="77777777" w:rsidR="00415F5C" w:rsidRDefault="00415F5C">
      <w:r>
        <w:separator/>
      </w:r>
    </w:p>
  </w:endnote>
  <w:endnote w:type="continuationSeparator" w:id="0">
    <w:p w14:paraId="27964ECB" w14:textId="77777777" w:rsidR="00415F5C" w:rsidRDefault="0041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BCD3" w14:textId="731BCC5B" w:rsidR="00F77DAB" w:rsidRPr="00142174" w:rsidRDefault="00142174" w:rsidP="00142174">
    <w:pPr>
      <w:pStyle w:val="Footer"/>
      <w:rPr>
        <w:szCs w:val="16"/>
        <w:lang w:val="en-US"/>
      </w:rPr>
    </w:pPr>
    <w:r w:rsidRPr="002B4431">
      <w:rPr>
        <w:color w:val="F2F2F2" w:themeColor="background1" w:themeShade="F2"/>
        <w:szCs w:val="16"/>
      </w:rPr>
      <w:fldChar w:fldCharType="begin"/>
    </w:r>
    <w:r w:rsidRPr="002B4431">
      <w:rPr>
        <w:color w:val="F2F2F2" w:themeColor="background1" w:themeShade="F2"/>
        <w:szCs w:val="16"/>
      </w:rPr>
      <w:instrText xml:space="preserve"> FILENAME \p  \* MERGEFORMAT </w:instrText>
    </w:r>
    <w:r w:rsidRPr="002B4431">
      <w:rPr>
        <w:color w:val="F2F2F2" w:themeColor="background1" w:themeShade="F2"/>
        <w:szCs w:val="16"/>
      </w:rPr>
      <w:fldChar w:fldCharType="separate"/>
    </w:r>
    <w:r w:rsidRPr="002B4431">
      <w:rPr>
        <w:color w:val="F2F2F2" w:themeColor="background1" w:themeShade="F2"/>
        <w:szCs w:val="16"/>
      </w:rPr>
      <w:t>P:\ESP\SG\CONF-SG\PP22\000\046S.docx</w:t>
    </w:r>
    <w:r w:rsidRPr="002B4431">
      <w:rPr>
        <w:color w:val="F2F2F2" w:themeColor="background1" w:themeShade="F2"/>
        <w:szCs w:val="16"/>
      </w:rPr>
      <w:fldChar w:fldCharType="end"/>
    </w:r>
    <w:r w:rsidRPr="002B4431">
      <w:rPr>
        <w:color w:val="F2F2F2" w:themeColor="background1" w:themeShade="F2"/>
        <w:szCs w:val="16"/>
      </w:rPr>
      <w:t xml:space="preserve"> (508029)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6C27" w14:textId="77777777" w:rsidR="007B732E" w:rsidRDefault="007B732E" w:rsidP="007B732E">
    <w:pPr>
      <w:pStyle w:val="Footer"/>
      <w:jc w:val="center"/>
    </w:pPr>
    <w:r w:rsidRPr="007B732E">
      <w:rPr>
        <w:rFonts w:ascii="Symbol" w:hAnsi="Symbol"/>
        <w:caps w:val="0"/>
        <w:noProof w:val="0"/>
        <w:sz w:val="22"/>
      </w:rPr>
      <w:sym w:font="Symbol" w:char="F0B7"/>
    </w:r>
    <w:r w:rsidRPr="007B732E">
      <w:rPr>
        <w:caps w:val="0"/>
        <w:noProof w:val="0"/>
        <w:sz w:val="20"/>
      </w:rPr>
      <w:t xml:space="preserve"> </w:t>
    </w:r>
    <w:r w:rsidRPr="007B732E">
      <w:rPr>
        <w:caps w:val="0"/>
        <w:noProof w:val="0"/>
        <w:color w:val="0000FF"/>
        <w:sz w:val="22"/>
        <w:szCs w:val="22"/>
        <w:u w:val="single"/>
      </w:rPr>
      <w:t>www.itu.int/plenipotentiary/</w:t>
    </w:r>
    <w:r w:rsidRPr="007B732E">
      <w:rPr>
        <w:caps w:val="0"/>
        <w:noProof w:val="0"/>
        <w:sz w:val="20"/>
      </w:rPr>
      <w:t xml:space="preserve"> </w:t>
    </w:r>
    <w:r w:rsidRPr="007B732E">
      <w:rPr>
        <w:rFonts w:ascii="Symbol" w:hAnsi="Symbol"/>
        <w:caps w:val="0"/>
        <w:noProof w:val="0"/>
        <w:sz w:val="22"/>
      </w:rPr>
      <w:sym w:font="Symbol" w:char="F0B7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5877" w14:textId="77777777" w:rsidR="00415F5C" w:rsidRDefault="00415F5C">
      <w:r>
        <w:t>____________________</w:t>
      </w:r>
    </w:p>
  </w:footnote>
  <w:footnote w:type="continuationSeparator" w:id="0">
    <w:p w14:paraId="11918516" w14:textId="77777777" w:rsidR="00415F5C" w:rsidRDefault="0041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CC3A" w14:textId="5B1604C9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7E65">
      <w:rPr>
        <w:noProof/>
      </w:rPr>
      <w:t>2</w:t>
    </w:r>
    <w:r>
      <w:fldChar w:fldCharType="end"/>
    </w:r>
  </w:p>
  <w:p w14:paraId="798E990B" w14:textId="673E5E93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7B732E">
      <w:t>46</w:t>
    </w:r>
    <w:r w:rsidR="009A443B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C77"/>
    <w:multiLevelType w:val="hybridMultilevel"/>
    <w:tmpl w:val="7DDAA3C8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3877B82"/>
    <w:multiLevelType w:val="hybridMultilevel"/>
    <w:tmpl w:val="FC329868"/>
    <w:lvl w:ilvl="0" w:tplc="7772DF5C">
      <w:start w:val="1"/>
      <w:numFmt w:val="upperRoman"/>
      <w:lvlText w:val="%1."/>
      <w:lvlJc w:val="left"/>
      <w:rPr>
        <w:rFonts w:hint="default"/>
      </w:rPr>
    </w:lvl>
    <w:lvl w:ilvl="1" w:tplc="5720D1BA" w:tentative="1">
      <w:start w:val="1"/>
      <w:numFmt w:val="lowerLetter"/>
      <w:lvlText w:val="%2."/>
      <w:lvlJc w:val="left"/>
      <w:pPr>
        <w:ind w:left="1440" w:hanging="360"/>
      </w:pPr>
    </w:lvl>
    <w:lvl w:ilvl="2" w:tplc="6204A822" w:tentative="1">
      <w:start w:val="1"/>
      <w:numFmt w:val="lowerRoman"/>
      <w:lvlText w:val="%3."/>
      <w:lvlJc w:val="right"/>
      <w:pPr>
        <w:ind w:left="2160" w:hanging="180"/>
      </w:pPr>
    </w:lvl>
    <w:lvl w:ilvl="3" w:tplc="B8E4A650" w:tentative="1">
      <w:start w:val="1"/>
      <w:numFmt w:val="decimal"/>
      <w:lvlText w:val="%4."/>
      <w:lvlJc w:val="left"/>
      <w:pPr>
        <w:ind w:left="2880" w:hanging="360"/>
      </w:pPr>
    </w:lvl>
    <w:lvl w:ilvl="4" w:tplc="F32C7F8A" w:tentative="1">
      <w:start w:val="1"/>
      <w:numFmt w:val="lowerLetter"/>
      <w:lvlText w:val="%5."/>
      <w:lvlJc w:val="left"/>
      <w:pPr>
        <w:ind w:left="3600" w:hanging="360"/>
      </w:pPr>
    </w:lvl>
    <w:lvl w:ilvl="5" w:tplc="7222E25A" w:tentative="1">
      <w:start w:val="1"/>
      <w:numFmt w:val="lowerRoman"/>
      <w:lvlText w:val="%6."/>
      <w:lvlJc w:val="right"/>
      <w:pPr>
        <w:ind w:left="4320" w:hanging="180"/>
      </w:pPr>
    </w:lvl>
    <w:lvl w:ilvl="6" w:tplc="2334071A" w:tentative="1">
      <w:start w:val="1"/>
      <w:numFmt w:val="decimal"/>
      <w:lvlText w:val="%7."/>
      <w:lvlJc w:val="left"/>
      <w:pPr>
        <w:ind w:left="5040" w:hanging="360"/>
      </w:pPr>
    </w:lvl>
    <w:lvl w:ilvl="7" w:tplc="BF801DBE" w:tentative="1">
      <w:start w:val="1"/>
      <w:numFmt w:val="lowerLetter"/>
      <w:lvlText w:val="%8."/>
      <w:lvlJc w:val="left"/>
      <w:pPr>
        <w:ind w:left="5760" w:hanging="360"/>
      </w:pPr>
    </w:lvl>
    <w:lvl w:ilvl="8" w:tplc="829C3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3101E"/>
    <w:multiLevelType w:val="hybridMultilevel"/>
    <w:tmpl w:val="5AC6F946"/>
    <w:lvl w:ilvl="0" w:tplc="0C60073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DC20FFC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A3A6B80C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53D0B29E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D336771E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63AF1D4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750DC02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D93442C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D46FE4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27377134">
    <w:abstractNumId w:val="1"/>
  </w:num>
  <w:num w:numId="2" w16cid:durableId="409815778">
    <w:abstractNumId w:val="2"/>
  </w:num>
  <w:num w:numId="3" w16cid:durableId="22495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07B7A"/>
    <w:rsid w:val="000507CA"/>
    <w:rsid w:val="000863AB"/>
    <w:rsid w:val="0009418D"/>
    <w:rsid w:val="000A1523"/>
    <w:rsid w:val="000B1752"/>
    <w:rsid w:val="0010546D"/>
    <w:rsid w:val="00135F93"/>
    <w:rsid w:val="00142174"/>
    <w:rsid w:val="001632E3"/>
    <w:rsid w:val="001D2655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B4431"/>
    <w:rsid w:val="002C6527"/>
    <w:rsid w:val="002E44FC"/>
    <w:rsid w:val="002F56B1"/>
    <w:rsid w:val="00343C38"/>
    <w:rsid w:val="003707E5"/>
    <w:rsid w:val="00375610"/>
    <w:rsid w:val="00391611"/>
    <w:rsid w:val="00396F0E"/>
    <w:rsid w:val="00397E65"/>
    <w:rsid w:val="003A7263"/>
    <w:rsid w:val="003D0027"/>
    <w:rsid w:val="003E6E73"/>
    <w:rsid w:val="00415F5C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614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4CFB"/>
    <w:rsid w:val="00567ED5"/>
    <w:rsid w:val="005730B0"/>
    <w:rsid w:val="005C13F1"/>
    <w:rsid w:val="005D1164"/>
    <w:rsid w:val="005D57AF"/>
    <w:rsid w:val="005D6488"/>
    <w:rsid w:val="005F6278"/>
    <w:rsid w:val="00601280"/>
    <w:rsid w:val="0060334D"/>
    <w:rsid w:val="006127F0"/>
    <w:rsid w:val="00614CC9"/>
    <w:rsid w:val="00617EDC"/>
    <w:rsid w:val="00641DBD"/>
    <w:rsid w:val="006426C0"/>
    <w:rsid w:val="006455D2"/>
    <w:rsid w:val="006537F3"/>
    <w:rsid w:val="006B5512"/>
    <w:rsid w:val="006C190D"/>
    <w:rsid w:val="00705144"/>
    <w:rsid w:val="00720686"/>
    <w:rsid w:val="00737EFF"/>
    <w:rsid w:val="00750806"/>
    <w:rsid w:val="00776173"/>
    <w:rsid w:val="00785284"/>
    <w:rsid w:val="007875D2"/>
    <w:rsid w:val="007A4614"/>
    <w:rsid w:val="007B068C"/>
    <w:rsid w:val="007B6B96"/>
    <w:rsid w:val="007B732E"/>
    <w:rsid w:val="007D61E2"/>
    <w:rsid w:val="007F6EBC"/>
    <w:rsid w:val="00834841"/>
    <w:rsid w:val="008413F0"/>
    <w:rsid w:val="00871334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70821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26F55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61B94"/>
    <w:rsid w:val="00D86EAD"/>
    <w:rsid w:val="00D9053E"/>
    <w:rsid w:val="00DC36DC"/>
    <w:rsid w:val="00E05D81"/>
    <w:rsid w:val="00E37F17"/>
    <w:rsid w:val="00E53DFC"/>
    <w:rsid w:val="00E66FC3"/>
    <w:rsid w:val="00E677DD"/>
    <w:rsid w:val="00E77F17"/>
    <w:rsid w:val="00E809D8"/>
    <w:rsid w:val="00E921EC"/>
    <w:rsid w:val="00EB23D0"/>
    <w:rsid w:val="00EC395A"/>
    <w:rsid w:val="00EF0E4B"/>
    <w:rsid w:val="00F01632"/>
    <w:rsid w:val="00F04858"/>
    <w:rsid w:val="00F13AA4"/>
    <w:rsid w:val="00F3510D"/>
    <w:rsid w:val="00F37311"/>
    <w:rsid w:val="00F43C07"/>
    <w:rsid w:val="00F43D44"/>
    <w:rsid w:val="00F77DAB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53939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customStyle="1" w:styleId="Table">
    <w:name w:val="Table_#"/>
    <w:basedOn w:val="Normal"/>
    <w:next w:val="Normal"/>
    <w:rsid w:val="007B068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6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D26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30B0"/>
    <w:pPr>
      <w:ind w:left="720"/>
      <w:contextualSpacing/>
    </w:pPr>
    <w:rPr>
      <w:rFonts w:eastAsia="SimSun"/>
      <w:lang w:val="en-GB"/>
    </w:rPr>
  </w:style>
  <w:style w:type="paragraph" w:styleId="NormalWeb">
    <w:name w:val="Normal (Web)"/>
    <w:basedOn w:val="Normal"/>
    <w:uiPriority w:val="99"/>
    <w:unhideWhenUsed/>
    <w:rsid w:val="005730B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/DEC-011-S.pdf" TargetMode="External"/><Relationship Id="rId18" Type="http://schemas.openxmlformats.org/officeDocument/2006/relationships/hyperlink" Target="https://www.itu.int/md/S19-CWGFHR10-C/es" TargetMode="External"/><Relationship Id="rId26" Type="http://schemas.openxmlformats.org/officeDocument/2006/relationships/hyperlink" Target="https://www.itu.int/md/S21-CWGFHR14-C-0012/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0-CWGFHR11-C-0020/e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88/es" TargetMode="External"/><Relationship Id="rId17" Type="http://schemas.openxmlformats.org/officeDocument/2006/relationships/hyperlink" Target="https://www.itu.int/md/S19-CLCWGFHR09-C-0015/es" TargetMode="External"/><Relationship Id="rId25" Type="http://schemas.openxmlformats.org/officeDocument/2006/relationships/hyperlink" Target="https://www.itu.int/md/S21-CWGFHR14-C/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CWGFHR09-C/es" TargetMode="External"/><Relationship Id="rId20" Type="http://schemas.openxmlformats.org/officeDocument/2006/relationships/hyperlink" Target="https://www.itu.int/md/S20-CWGFHR11-C/es" TargetMode="External"/><Relationship Id="rId29" Type="http://schemas.openxmlformats.org/officeDocument/2006/relationships/hyperlink" Target="https://www.itu.int/md/S22-CL-C-0054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cwg-fhr/Pages/default.aspx" TargetMode="External"/><Relationship Id="rId24" Type="http://schemas.openxmlformats.org/officeDocument/2006/relationships/hyperlink" Target="https://www.itu.int/md/S21-CWGFHR13-C/e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cwg-fhr/Pages/default.aspx" TargetMode="External"/><Relationship Id="rId23" Type="http://schemas.openxmlformats.org/officeDocument/2006/relationships/hyperlink" Target="https://www.itu.int/md/S21-CWGFHR12-C-0017/es" TargetMode="External"/><Relationship Id="rId28" Type="http://schemas.openxmlformats.org/officeDocument/2006/relationships/hyperlink" Target="https://www.itu.int/md/S22-CWGFHR15-C-0022/es" TargetMode="External"/><Relationship Id="rId10" Type="http://schemas.openxmlformats.org/officeDocument/2006/relationships/hyperlink" Target="https://www.itu.int/md/S19-CL-C-0142/es" TargetMode="External"/><Relationship Id="rId19" Type="http://schemas.openxmlformats.org/officeDocument/2006/relationships/hyperlink" Target="https://www.itu.int/md/S19-CWGFHR10-C-0016/e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54/es" TargetMode="External"/><Relationship Id="rId14" Type="http://schemas.openxmlformats.org/officeDocument/2006/relationships/hyperlink" Target="https://www.itu.int/md/S19-CL-C-0142/es" TargetMode="External"/><Relationship Id="rId22" Type="http://schemas.openxmlformats.org/officeDocument/2006/relationships/hyperlink" Target="https://www.itu.int/md/S21-CWGFHR12-C/es" TargetMode="External"/><Relationship Id="rId27" Type="http://schemas.openxmlformats.org/officeDocument/2006/relationships/hyperlink" Target="https://www.itu.int/md/S22-CWGFHR15-C/es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CC64-C424-447F-9079-B3B0940F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7921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ITU</Company>
  <LinksUpToDate>false</LinksUpToDate>
  <CharactersWithSpaces>9035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Consejo: Informe cuatrienal del Grupo de Trabajo del Consejo sobre Recursos Humanos y Financieros</dc:title>
  <dc:subject>Plenipotentiary Conference (PP-22)</dc:subject>
  <dc:creator>Spanish</dc:creator>
  <cp:keywords>PP22, PP-22</cp:keywords>
  <dc:description/>
  <cp:lastModifiedBy>Xue, Kun</cp:lastModifiedBy>
  <cp:revision>2</cp:revision>
  <dcterms:created xsi:type="dcterms:W3CDTF">2022-06-29T06:38:00Z</dcterms:created>
  <dcterms:modified xsi:type="dcterms:W3CDTF">2022-06-29T06:38:00Z</dcterms:modified>
  <cp:category>Conference document</cp:category>
</cp:coreProperties>
</file>