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D064F" w14:paraId="4484B0C5" w14:textId="77777777" w:rsidTr="006A046E">
        <w:trPr>
          <w:cantSplit/>
        </w:trPr>
        <w:tc>
          <w:tcPr>
            <w:tcW w:w="6911" w:type="dxa"/>
          </w:tcPr>
          <w:p w14:paraId="706F5501" w14:textId="3E73A757" w:rsidR="00BD1614" w:rsidRPr="001D064F" w:rsidRDefault="00BD1614" w:rsidP="002A7A1D">
            <w:pPr>
              <w:rPr>
                <w:b/>
                <w:bCs/>
                <w:position w:val="6"/>
                <w:szCs w:val="24"/>
              </w:rPr>
            </w:pPr>
            <w:bookmarkStart w:id="0" w:name="dbreak"/>
            <w:bookmarkStart w:id="1" w:name="dpp"/>
            <w:bookmarkEnd w:id="0"/>
            <w:bookmarkEnd w:id="1"/>
            <w:r w:rsidRPr="001D064F">
              <w:rPr>
                <w:rFonts w:cs="Times"/>
                <w:b/>
                <w:sz w:val="30"/>
                <w:szCs w:val="30"/>
              </w:rPr>
              <w:t>Conférence de plénipotentiaires</w:t>
            </w:r>
            <w:r w:rsidRPr="001D064F">
              <w:rPr>
                <w:b/>
                <w:smallCaps/>
                <w:sz w:val="30"/>
                <w:szCs w:val="30"/>
              </w:rPr>
              <w:t xml:space="preserve"> (PP-</w:t>
            </w:r>
            <w:r w:rsidR="002A7A1D" w:rsidRPr="001D064F">
              <w:rPr>
                <w:b/>
                <w:smallCaps/>
                <w:sz w:val="30"/>
                <w:szCs w:val="30"/>
              </w:rPr>
              <w:t>22</w:t>
            </w:r>
            <w:r w:rsidRPr="001D064F">
              <w:rPr>
                <w:b/>
                <w:smallCaps/>
                <w:sz w:val="30"/>
                <w:szCs w:val="30"/>
              </w:rPr>
              <w:t>)</w:t>
            </w:r>
            <w:r w:rsidRPr="001D064F">
              <w:rPr>
                <w:b/>
                <w:smallCaps/>
                <w:sz w:val="36"/>
              </w:rPr>
              <w:br/>
            </w:r>
            <w:r w:rsidR="002A7A1D" w:rsidRPr="001D064F">
              <w:rPr>
                <w:rFonts w:cs="Times New Roman Bold"/>
                <w:b/>
                <w:bCs/>
                <w:szCs w:val="24"/>
              </w:rPr>
              <w:t>Bucarest</w:t>
            </w:r>
            <w:r w:rsidRPr="001D064F">
              <w:rPr>
                <w:rFonts w:cs="Times New Roman Bold"/>
                <w:b/>
                <w:bCs/>
                <w:szCs w:val="24"/>
              </w:rPr>
              <w:t>, 2</w:t>
            </w:r>
            <w:r w:rsidR="002A7A1D" w:rsidRPr="001D064F">
              <w:rPr>
                <w:rFonts w:cs="Times New Roman Bold"/>
                <w:b/>
                <w:bCs/>
                <w:szCs w:val="24"/>
              </w:rPr>
              <w:t>6</w:t>
            </w:r>
            <w:r w:rsidRPr="001D064F">
              <w:rPr>
                <w:rFonts w:cs="Times New Roman Bold"/>
                <w:b/>
                <w:bCs/>
                <w:szCs w:val="24"/>
              </w:rPr>
              <w:t xml:space="preserve"> </w:t>
            </w:r>
            <w:r w:rsidR="002A7A1D" w:rsidRPr="001D064F">
              <w:rPr>
                <w:rFonts w:cs="Times New Roman Bold"/>
                <w:b/>
                <w:bCs/>
                <w:szCs w:val="24"/>
              </w:rPr>
              <w:t>septembre</w:t>
            </w:r>
            <w:r w:rsidRPr="001D064F">
              <w:rPr>
                <w:rFonts w:cs="Times New Roman Bold"/>
                <w:b/>
                <w:bCs/>
                <w:szCs w:val="24"/>
              </w:rPr>
              <w:t xml:space="preserve"> </w:t>
            </w:r>
            <w:r w:rsidR="001E2226" w:rsidRPr="001D064F">
              <w:rPr>
                <w:rFonts w:cs="Times New Roman Bold"/>
                <w:b/>
                <w:bCs/>
                <w:szCs w:val="24"/>
              </w:rPr>
              <w:t>–</w:t>
            </w:r>
            <w:r w:rsidRPr="001D064F">
              <w:rPr>
                <w:rFonts w:cs="Times New Roman Bold"/>
                <w:b/>
                <w:bCs/>
                <w:szCs w:val="24"/>
              </w:rPr>
              <w:t xml:space="preserve"> </w:t>
            </w:r>
            <w:r w:rsidR="001E2226" w:rsidRPr="001D064F">
              <w:rPr>
                <w:rFonts w:cs="Times New Roman Bold"/>
                <w:b/>
                <w:bCs/>
                <w:szCs w:val="24"/>
              </w:rPr>
              <w:t>1</w:t>
            </w:r>
            <w:r w:rsidR="002A7A1D" w:rsidRPr="001D064F">
              <w:rPr>
                <w:rFonts w:cs="Times New Roman Bold"/>
                <w:b/>
                <w:bCs/>
                <w:szCs w:val="24"/>
              </w:rPr>
              <w:t>4</w:t>
            </w:r>
            <w:r w:rsidRPr="001D064F">
              <w:rPr>
                <w:rFonts w:cs="Times New Roman Bold"/>
                <w:b/>
                <w:bCs/>
                <w:szCs w:val="24"/>
              </w:rPr>
              <w:t xml:space="preserve"> </w:t>
            </w:r>
            <w:r w:rsidR="002A7A1D" w:rsidRPr="001D064F">
              <w:rPr>
                <w:rFonts w:cs="Times New Roman Bold"/>
                <w:b/>
                <w:bCs/>
                <w:szCs w:val="24"/>
              </w:rPr>
              <w:t>octobre</w:t>
            </w:r>
            <w:r w:rsidRPr="001D064F">
              <w:rPr>
                <w:rFonts w:cs="Times New Roman Bold"/>
                <w:b/>
                <w:bCs/>
                <w:szCs w:val="24"/>
              </w:rPr>
              <w:t xml:space="preserve"> 20</w:t>
            </w:r>
            <w:r w:rsidR="002A7A1D" w:rsidRPr="001D064F">
              <w:rPr>
                <w:rFonts w:cs="Times New Roman Bold"/>
                <w:b/>
                <w:bCs/>
                <w:szCs w:val="24"/>
              </w:rPr>
              <w:t>22</w:t>
            </w:r>
          </w:p>
        </w:tc>
        <w:tc>
          <w:tcPr>
            <w:tcW w:w="3120" w:type="dxa"/>
          </w:tcPr>
          <w:p w14:paraId="7A1CF8E0" w14:textId="6FB7D25A" w:rsidR="00BD1614" w:rsidRPr="001D064F" w:rsidRDefault="002A7A1D" w:rsidP="006A046E">
            <w:pPr>
              <w:spacing w:before="0" w:line="240" w:lineRule="atLeast"/>
              <w:rPr>
                <w:rFonts w:cstheme="minorHAnsi"/>
              </w:rPr>
            </w:pPr>
            <w:bookmarkStart w:id="2" w:name="ditulogo"/>
            <w:bookmarkEnd w:id="2"/>
            <w:r w:rsidRPr="001D064F">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1D064F" w14:paraId="3120A8D9" w14:textId="77777777" w:rsidTr="006A046E">
        <w:trPr>
          <w:cantSplit/>
        </w:trPr>
        <w:tc>
          <w:tcPr>
            <w:tcW w:w="6911" w:type="dxa"/>
            <w:tcBorders>
              <w:bottom w:val="single" w:sz="12" w:space="0" w:color="auto"/>
            </w:tcBorders>
          </w:tcPr>
          <w:p w14:paraId="317E5819" w14:textId="77777777" w:rsidR="00BD1614" w:rsidRPr="001D064F"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57068B73" w14:textId="77777777" w:rsidR="00BD1614" w:rsidRPr="001D064F" w:rsidRDefault="00BD1614" w:rsidP="000F58F7">
            <w:pPr>
              <w:spacing w:before="0" w:after="48" w:line="240" w:lineRule="atLeast"/>
              <w:rPr>
                <w:rFonts w:cstheme="minorHAnsi"/>
                <w:b/>
                <w:smallCaps/>
                <w:szCs w:val="24"/>
              </w:rPr>
            </w:pPr>
          </w:p>
        </w:tc>
      </w:tr>
      <w:tr w:rsidR="00BD1614" w:rsidRPr="001D064F" w14:paraId="20A2296F" w14:textId="77777777" w:rsidTr="006A046E">
        <w:trPr>
          <w:cantSplit/>
        </w:trPr>
        <w:tc>
          <w:tcPr>
            <w:tcW w:w="6911" w:type="dxa"/>
            <w:tcBorders>
              <w:top w:val="single" w:sz="12" w:space="0" w:color="auto"/>
            </w:tcBorders>
          </w:tcPr>
          <w:p w14:paraId="4CFA6027" w14:textId="77777777" w:rsidR="00BD1614" w:rsidRPr="001D064F" w:rsidRDefault="00BD1614" w:rsidP="003D637A">
            <w:pPr>
              <w:spacing w:before="0"/>
              <w:rPr>
                <w:rFonts w:cstheme="minorHAnsi"/>
                <w:b/>
                <w:smallCaps/>
                <w:szCs w:val="24"/>
              </w:rPr>
            </w:pPr>
          </w:p>
        </w:tc>
        <w:tc>
          <w:tcPr>
            <w:tcW w:w="3120" w:type="dxa"/>
            <w:tcBorders>
              <w:top w:val="single" w:sz="12" w:space="0" w:color="auto"/>
            </w:tcBorders>
          </w:tcPr>
          <w:p w14:paraId="3C479168" w14:textId="77777777" w:rsidR="00BD1614" w:rsidRPr="001D064F" w:rsidRDefault="00BD1614" w:rsidP="003D637A">
            <w:pPr>
              <w:spacing w:before="0"/>
              <w:rPr>
                <w:rFonts w:cstheme="minorHAnsi"/>
                <w:szCs w:val="24"/>
              </w:rPr>
            </w:pPr>
          </w:p>
        </w:tc>
      </w:tr>
      <w:tr w:rsidR="00BD1614" w:rsidRPr="001D064F" w14:paraId="5EBA9561" w14:textId="77777777" w:rsidTr="006A046E">
        <w:trPr>
          <w:cantSplit/>
        </w:trPr>
        <w:tc>
          <w:tcPr>
            <w:tcW w:w="6911" w:type="dxa"/>
          </w:tcPr>
          <w:p w14:paraId="081C5B53" w14:textId="5ADEACCC" w:rsidR="00BD1614" w:rsidRPr="001D064F" w:rsidRDefault="00420EF8" w:rsidP="003D637A">
            <w:pPr>
              <w:pStyle w:val="Committee"/>
              <w:framePr w:hSpace="0" w:wrap="auto" w:hAnchor="text" w:yAlign="inline"/>
              <w:spacing w:after="0" w:line="240" w:lineRule="auto"/>
              <w:rPr>
                <w:lang w:val="fr-FR"/>
              </w:rPr>
            </w:pPr>
            <w:r w:rsidRPr="001D064F">
              <w:rPr>
                <w:lang w:val="fr-FR"/>
              </w:rPr>
              <w:t>SÉANCE PLÉNIÈRE</w:t>
            </w:r>
          </w:p>
        </w:tc>
        <w:tc>
          <w:tcPr>
            <w:tcW w:w="3120" w:type="dxa"/>
          </w:tcPr>
          <w:p w14:paraId="42E82404" w14:textId="01325651" w:rsidR="00BD1614" w:rsidRPr="001D064F" w:rsidRDefault="00420EF8" w:rsidP="003D637A">
            <w:pPr>
              <w:spacing w:before="0"/>
              <w:rPr>
                <w:rFonts w:cstheme="minorHAnsi"/>
                <w:szCs w:val="24"/>
              </w:rPr>
            </w:pPr>
            <w:r w:rsidRPr="001D064F">
              <w:rPr>
                <w:rFonts w:cstheme="minorHAnsi"/>
                <w:b/>
                <w:szCs w:val="24"/>
              </w:rPr>
              <w:t xml:space="preserve">Document </w:t>
            </w:r>
            <w:r w:rsidR="00E14781" w:rsidRPr="001D064F">
              <w:rPr>
                <w:rFonts w:cstheme="minorHAnsi"/>
                <w:b/>
                <w:szCs w:val="24"/>
              </w:rPr>
              <w:t>61</w:t>
            </w:r>
            <w:r w:rsidRPr="001D064F">
              <w:rPr>
                <w:rFonts w:cstheme="minorHAnsi"/>
                <w:b/>
                <w:szCs w:val="24"/>
              </w:rPr>
              <w:t>-F</w:t>
            </w:r>
          </w:p>
        </w:tc>
      </w:tr>
      <w:tr w:rsidR="00BD1614" w:rsidRPr="001D064F" w14:paraId="5C605E2F" w14:textId="77777777" w:rsidTr="006A046E">
        <w:trPr>
          <w:cantSplit/>
        </w:trPr>
        <w:tc>
          <w:tcPr>
            <w:tcW w:w="6911" w:type="dxa"/>
          </w:tcPr>
          <w:p w14:paraId="3701819B" w14:textId="20A8E30E" w:rsidR="00BD1614" w:rsidRPr="001D064F" w:rsidRDefault="00BD1614" w:rsidP="003D637A">
            <w:pPr>
              <w:spacing w:before="0"/>
              <w:rPr>
                <w:rFonts w:cstheme="minorHAnsi"/>
                <w:b/>
                <w:szCs w:val="24"/>
              </w:rPr>
            </w:pPr>
          </w:p>
        </w:tc>
        <w:tc>
          <w:tcPr>
            <w:tcW w:w="3120" w:type="dxa"/>
          </w:tcPr>
          <w:p w14:paraId="4FD5E934" w14:textId="3ADDE01A" w:rsidR="00BD1614" w:rsidRPr="001D064F" w:rsidRDefault="00E14781" w:rsidP="003D637A">
            <w:pPr>
              <w:spacing w:before="0"/>
              <w:rPr>
                <w:rFonts w:cstheme="minorHAnsi"/>
                <w:b/>
                <w:szCs w:val="24"/>
              </w:rPr>
            </w:pPr>
            <w:r w:rsidRPr="001D064F">
              <w:rPr>
                <w:rFonts w:cstheme="minorHAnsi"/>
                <w:b/>
                <w:szCs w:val="24"/>
              </w:rPr>
              <w:t>11 juillet</w:t>
            </w:r>
            <w:r w:rsidR="00420EF8" w:rsidRPr="001D064F">
              <w:rPr>
                <w:rFonts w:cstheme="minorHAnsi"/>
                <w:b/>
                <w:szCs w:val="24"/>
              </w:rPr>
              <w:t xml:space="preserve"> 202</w:t>
            </w:r>
            <w:r w:rsidRPr="001D064F">
              <w:rPr>
                <w:rFonts w:cstheme="minorHAnsi"/>
                <w:b/>
                <w:szCs w:val="24"/>
              </w:rPr>
              <w:t>2</w:t>
            </w:r>
          </w:p>
        </w:tc>
      </w:tr>
      <w:tr w:rsidR="00BD1614" w:rsidRPr="001D064F" w14:paraId="6B2B4BC1" w14:textId="77777777" w:rsidTr="006A046E">
        <w:trPr>
          <w:cantSplit/>
        </w:trPr>
        <w:tc>
          <w:tcPr>
            <w:tcW w:w="6911" w:type="dxa"/>
          </w:tcPr>
          <w:p w14:paraId="780A194C" w14:textId="77777777" w:rsidR="00BD1614" w:rsidRPr="001D064F" w:rsidRDefault="00BD1614" w:rsidP="003D637A">
            <w:pPr>
              <w:spacing w:before="0"/>
              <w:rPr>
                <w:rFonts w:cstheme="minorHAnsi"/>
                <w:b/>
                <w:smallCaps/>
                <w:szCs w:val="24"/>
              </w:rPr>
            </w:pPr>
          </w:p>
        </w:tc>
        <w:tc>
          <w:tcPr>
            <w:tcW w:w="3120" w:type="dxa"/>
          </w:tcPr>
          <w:p w14:paraId="36796BDA" w14:textId="3D9C6896" w:rsidR="00BD1614" w:rsidRPr="001D064F" w:rsidRDefault="00420EF8" w:rsidP="003D637A">
            <w:pPr>
              <w:spacing w:before="0"/>
              <w:rPr>
                <w:rFonts w:cstheme="minorHAnsi"/>
                <w:b/>
                <w:szCs w:val="24"/>
              </w:rPr>
            </w:pPr>
            <w:r w:rsidRPr="001D064F">
              <w:rPr>
                <w:rFonts w:cstheme="minorHAnsi"/>
                <w:b/>
                <w:szCs w:val="24"/>
              </w:rPr>
              <w:t>Original: anglais</w:t>
            </w:r>
          </w:p>
        </w:tc>
      </w:tr>
      <w:tr w:rsidR="00BD1614" w:rsidRPr="001D064F" w14:paraId="4259B884" w14:textId="77777777" w:rsidTr="006A046E">
        <w:trPr>
          <w:cantSplit/>
        </w:trPr>
        <w:tc>
          <w:tcPr>
            <w:tcW w:w="10031" w:type="dxa"/>
            <w:gridSpan w:val="2"/>
          </w:tcPr>
          <w:p w14:paraId="770628D7" w14:textId="77777777" w:rsidR="00BD1614" w:rsidRPr="001D064F" w:rsidRDefault="00BD1614" w:rsidP="006A046E">
            <w:pPr>
              <w:spacing w:before="0" w:line="240" w:lineRule="atLeast"/>
              <w:rPr>
                <w:rFonts w:cstheme="minorHAnsi"/>
                <w:b/>
                <w:szCs w:val="24"/>
              </w:rPr>
            </w:pPr>
          </w:p>
        </w:tc>
      </w:tr>
      <w:tr w:rsidR="00BD1614" w:rsidRPr="001D064F" w14:paraId="6A9FB924" w14:textId="77777777" w:rsidTr="006A046E">
        <w:trPr>
          <w:cantSplit/>
        </w:trPr>
        <w:tc>
          <w:tcPr>
            <w:tcW w:w="10031" w:type="dxa"/>
            <w:gridSpan w:val="2"/>
          </w:tcPr>
          <w:p w14:paraId="070875E6" w14:textId="0ACF7983" w:rsidR="00BD1614" w:rsidRPr="001D064F" w:rsidRDefault="00E14781" w:rsidP="006A046E">
            <w:pPr>
              <w:pStyle w:val="Source"/>
            </w:pPr>
            <w:bookmarkStart w:id="4" w:name="dsource" w:colFirst="0" w:colLast="0"/>
            <w:bookmarkEnd w:id="3"/>
            <w:r w:rsidRPr="001D064F">
              <w:rPr>
                <w:sz w:val="26"/>
                <w:szCs w:val="26"/>
              </w:rPr>
              <w:t>Contribution du Secrétaire général</w:t>
            </w:r>
          </w:p>
        </w:tc>
      </w:tr>
      <w:tr w:rsidR="00BD1614" w:rsidRPr="001D064F" w14:paraId="534EEA05" w14:textId="77777777" w:rsidTr="006A046E">
        <w:trPr>
          <w:cantSplit/>
        </w:trPr>
        <w:tc>
          <w:tcPr>
            <w:tcW w:w="10031" w:type="dxa"/>
            <w:gridSpan w:val="2"/>
          </w:tcPr>
          <w:p w14:paraId="0C8E89F3" w14:textId="261B1F4B" w:rsidR="00BD1614" w:rsidRPr="001D064F" w:rsidRDefault="00E14781" w:rsidP="006A046E">
            <w:pPr>
              <w:pStyle w:val="Title1"/>
            </w:pPr>
            <w:bookmarkStart w:id="5" w:name="dtitle1" w:colFirst="0" w:colLast="0"/>
            <w:bookmarkEnd w:id="4"/>
            <w:r w:rsidRPr="001D064F">
              <w:t xml:space="preserve">ANALYSE DE LA PARTICIPATION ET DES DROITS DE MEMBRE POUR LES ENTITÉS DES PAYS LES MOINS AVANCÉS, DES PAYS EN DÉVELOPPEMENT SANS LITTORAL, </w:t>
            </w:r>
            <w:r w:rsidR="004E2734" w:rsidRPr="001D064F">
              <w:br/>
            </w:r>
            <w:r w:rsidRPr="001D064F">
              <w:t xml:space="preserve">DES PETITS ÉTATS INSULAIRES EN DÉVELOPPEMENT </w:t>
            </w:r>
            <w:r w:rsidR="004E2734" w:rsidRPr="001D064F">
              <w:br/>
            </w:r>
            <w:r w:rsidRPr="001D064F">
              <w:t>ET DES PAYS AYANT DES BESOINS PARTICULIERS</w:t>
            </w:r>
          </w:p>
        </w:tc>
      </w:tr>
      <w:tr w:rsidR="00BD1614" w:rsidRPr="001D064F" w14:paraId="37DA32CE" w14:textId="77777777" w:rsidTr="006A046E">
        <w:trPr>
          <w:cantSplit/>
        </w:trPr>
        <w:tc>
          <w:tcPr>
            <w:tcW w:w="10031" w:type="dxa"/>
            <w:gridSpan w:val="2"/>
          </w:tcPr>
          <w:p w14:paraId="1574AB3E" w14:textId="16D0A4D2" w:rsidR="00BD1614" w:rsidRPr="001D064F" w:rsidRDefault="00BD1614" w:rsidP="00B933FE">
            <w:pPr>
              <w:pStyle w:val="Title2"/>
              <w:spacing w:after="240"/>
            </w:pPr>
            <w:bookmarkStart w:id="6" w:name="dtitle2" w:colFirst="0" w:colLast="0"/>
            <w:bookmarkEnd w:id="5"/>
          </w:p>
        </w:tc>
      </w:tr>
    </w:tbl>
    <w:tbl>
      <w:tblPr>
        <w:tblW w:w="808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14781" w:rsidRPr="001D064F" w14:paraId="5C2A8D29" w14:textId="77777777" w:rsidTr="00E14781">
        <w:trPr>
          <w:trHeight w:val="3372"/>
        </w:trPr>
        <w:tc>
          <w:tcPr>
            <w:tcW w:w="8080" w:type="dxa"/>
            <w:tcBorders>
              <w:top w:val="single" w:sz="12" w:space="0" w:color="auto"/>
              <w:left w:val="single" w:sz="12" w:space="0" w:color="auto"/>
              <w:bottom w:val="single" w:sz="12" w:space="0" w:color="auto"/>
              <w:right w:val="single" w:sz="12" w:space="0" w:color="auto"/>
            </w:tcBorders>
          </w:tcPr>
          <w:p w14:paraId="1E1CCA88" w14:textId="77777777" w:rsidR="00E14781" w:rsidRPr="001D064F" w:rsidRDefault="00E14781" w:rsidP="00EA124C">
            <w:pPr>
              <w:pStyle w:val="Headingb"/>
              <w:spacing w:before="120" w:after="120"/>
              <w:rPr>
                <w:szCs w:val="24"/>
              </w:rPr>
            </w:pPr>
            <w:bookmarkStart w:id="7" w:name="_Hlk112232619"/>
            <w:bookmarkEnd w:id="6"/>
            <w:r w:rsidRPr="001D064F">
              <w:rPr>
                <w:szCs w:val="24"/>
              </w:rPr>
              <w:t>Résumé</w:t>
            </w:r>
          </w:p>
          <w:p w14:paraId="51927CE0" w14:textId="7010B542" w:rsidR="00E14781" w:rsidRPr="001D064F" w:rsidRDefault="00E14781" w:rsidP="00B933FE">
            <w:pPr>
              <w:rPr>
                <w:color w:val="000000" w:themeColor="text1"/>
              </w:rPr>
            </w:pPr>
            <w:r w:rsidRPr="001D064F">
              <w:rPr>
                <w:rFonts w:eastAsia="MS Mincho"/>
                <w:lang w:eastAsia="zh-CN"/>
              </w:rPr>
              <w:t xml:space="preserve">À la suite de la contribution </w:t>
            </w:r>
            <w:hyperlink r:id="rId9">
              <w:r w:rsidRPr="001D064F">
                <w:rPr>
                  <w:rStyle w:val="Hyperlink"/>
                  <w:szCs w:val="24"/>
                  <w:lang w:eastAsia="zh-CN"/>
                </w:rPr>
                <w:t>C22/79</w:t>
              </w:r>
            </w:hyperlink>
            <w:r w:rsidRPr="001D064F">
              <w:rPr>
                <w:rFonts w:eastAsia="MS Mincho"/>
                <w:lang w:eastAsia="zh-CN"/>
              </w:rPr>
              <w:t xml:space="preserve"> de l'Inde, concernant la participation des membres issus du secteur privé et des établissements universitaires aux travaux des Secteurs de l'UIT, l'accent étant mis sur les pays les moins avancés (PMA), les pays en développement sans littoral (PDSL), les petits États insulaires en développement (PEID) et les pays ayant des besoins particuliers, le Conseil a demandé au Secrétariat d'étudier et d'analyser les recommandations formulées par l'Inde et de porter cette question à l'attention de la Conférence de plénipotentiaires de 2022 (</w:t>
            </w:r>
            <w:r w:rsidRPr="001D064F">
              <w:rPr>
                <w:rFonts w:eastAsia="Calibri" w:cs="Calibri"/>
                <w:color w:val="000000" w:themeColor="text1"/>
              </w:rPr>
              <w:t>PP-22).</w:t>
            </w:r>
          </w:p>
          <w:p w14:paraId="78EAA0DF" w14:textId="331D3848" w:rsidR="00E14781" w:rsidRPr="001D064F" w:rsidRDefault="00E14781" w:rsidP="00B933FE">
            <w:pPr>
              <w:spacing w:after="120"/>
              <w:rPr>
                <w:color w:val="000000" w:themeColor="text1"/>
                <w:sz w:val="22"/>
                <w:szCs w:val="22"/>
              </w:rPr>
            </w:pPr>
            <w:r w:rsidRPr="001D064F">
              <w:rPr>
                <w:rFonts w:eastAsia="Calibri" w:cs="Calibri"/>
                <w:color w:val="000000" w:themeColor="text1"/>
              </w:rPr>
              <w:t>Le présent document fournit quelques statistiques concernant la participation des membres et présente la composition des trois Secteurs, la structure des droits que doivent acquitter les membres, les initiatives de sensibilisation menées par chaque Secteur pour accroître la participation des membres issus du secteur privé et des établissements universitaires, ainsi qu'une analyse des effets qu'auraient les modifications qui pourraient être apportées aux droits acquittés par les entités des pays relevant de ces catégories. Des informations additionnelles relatives aux programmes et aux initiatives pertinents de chacun des Secteurs seront présentées à la session de 2023 du Conseil en vue d'étayer un examen plus approfondi des propositions formulées par l'Inde.</w:t>
            </w:r>
          </w:p>
        </w:tc>
      </w:tr>
    </w:tbl>
    <w:p w14:paraId="2B8B097B" w14:textId="77777777" w:rsidR="00B933FE" w:rsidRPr="001D064F" w:rsidRDefault="00B933FE"/>
    <w:tbl>
      <w:tblPr>
        <w:tblW w:w="808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933FE" w:rsidRPr="001D064F" w14:paraId="461B9760" w14:textId="77777777" w:rsidTr="00B933FE">
        <w:trPr>
          <w:trHeight w:val="2806"/>
        </w:trPr>
        <w:tc>
          <w:tcPr>
            <w:tcW w:w="8080" w:type="dxa"/>
            <w:tcBorders>
              <w:top w:val="single" w:sz="12" w:space="0" w:color="auto"/>
              <w:left w:val="single" w:sz="12" w:space="0" w:color="auto"/>
              <w:bottom w:val="single" w:sz="12" w:space="0" w:color="auto"/>
              <w:right w:val="single" w:sz="12" w:space="0" w:color="auto"/>
            </w:tcBorders>
          </w:tcPr>
          <w:p w14:paraId="4175AE00" w14:textId="77777777" w:rsidR="00B933FE" w:rsidRPr="001D064F" w:rsidRDefault="00B933FE" w:rsidP="00B933FE">
            <w:pPr>
              <w:pStyle w:val="Headingb"/>
              <w:spacing w:before="120" w:after="120"/>
              <w:rPr>
                <w:szCs w:val="24"/>
              </w:rPr>
            </w:pPr>
            <w:r w:rsidRPr="001D064F">
              <w:rPr>
                <w:szCs w:val="24"/>
              </w:rPr>
              <w:lastRenderedPageBreak/>
              <w:t>Suite à donner</w:t>
            </w:r>
          </w:p>
          <w:p w14:paraId="5AA0FFF4" w14:textId="77777777" w:rsidR="00B933FE" w:rsidRPr="001D064F" w:rsidRDefault="00B933FE" w:rsidP="00B933FE">
            <w:pPr>
              <w:rPr>
                <w:rFonts w:eastAsia="MS Mincho"/>
                <w:lang w:eastAsia="zh-CN"/>
              </w:rPr>
            </w:pPr>
            <w:r w:rsidRPr="001D064F">
              <w:rPr>
                <w:rFonts w:eastAsia="MS Mincho"/>
                <w:lang w:eastAsia="zh-CN"/>
              </w:rPr>
              <w:t xml:space="preserve">La Conférence de plénipotentiaires est invitée à </w:t>
            </w:r>
            <w:r w:rsidRPr="001D064F">
              <w:rPr>
                <w:rFonts w:eastAsia="MS Mincho"/>
                <w:b/>
                <w:bCs/>
                <w:lang w:eastAsia="zh-CN"/>
              </w:rPr>
              <w:t xml:space="preserve">prendre note </w:t>
            </w:r>
            <w:r w:rsidRPr="001D064F">
              <w:rPr>
                <w:rFonts w:eastAsia="MS Mincho"/>
                <w:lang w:eastAsia="zh-CN"/>
              </w:rPr>
              <w:t>du présent rapport.</w:t>
            </w:r>
          </w:p>
          <w:p w14:paraId="6D881831" w14:textId="77777777" w:rsidR="00B933FE" w:rsidRPr="001D064F" w:rsidRDefault="00B933FE" w:rsidP="00B933FE">
            <w:pPr>
              <w:pStyle w:val="Table"/>
              <w:keepNext w:val="0"/>
              <w:spacing w:before="120"/>
              <w:rPr>
                <w:rFonts w:ascii="Calibri" w:hAnsi="Calibri"/>
                <w:caps w:val="0"/>
                <w:szCs w:val="24"/>
                <w:lang w:val="fr-FR"/>
              </w:rPr>
            </w:pPr>
            <w:r w:rsidRPr="001D064F">
              <w:rPr>
                <w:rFonts w:ascii="Calibri" w:hAnsi="Calibri"/>
                <w:caps w:val="0"/>
                <w:szCs w:val="24"/>
                <w:lang w:val="fr-FR"/>
              </w:rPr>
              <w:t>____________</w:t>
            </w:r>
          </w:p>
          <w:p w14:paraId="191506DD" w14:textId="77777777" w:rsidR="00B933FE" w:rsidRPr="001D064F" w:rsidRDefault="00B933FE" w:rsidP="00B933FE">
            <w:pPr>
              <w:pStyle w:val="Headingb"/>
              <w:spacing w:before="120" w:after="120"/>
              <w:rPr>
                <w:szCs w:val="24"/>
              </w:rPr>
            </w:pPr>
            <w:r w:rsidRPr="001D064F">
              <w:rPr>
                <w:szCs w:val="24"/>
              </w:rPr>
              <w:t>Références</w:t>
            </w:r>
          </w:p>
          <w:p w14:paraId="4EDE6D80" w14:textId="56B517E3" w:rsidR="00B933FE" w:rsidRPr="001D064F" w:rsidRDefault="00B933FE" w:rsidP="00B933FE">
            <w:pPr>
              <w:rPr>
                <w:i/>
                <w:iCs/>
                <w:szCs w:val="24"/>
              </w:rPr>
            </w:pPr>
            <w:r w:rsidRPr="001D064F">
              <w:rPr>
                <w:i/>
                <w:iCs/>
              </w:rPr>
              <w:t xml:space="preserve">Document </w:t>
            </w:r>
            <w:hyperlink r:id="rId10" w:history="1">
              <w:r w:rsidRPr="001D064F">
                <w:rPr>
                  <w:rStyle w:val="Hyperlink"/>
                  <w:i/>
                  <w:iCs/>
                  <w:szCs w:val="24"/>
                </w:rPr>
                <w:t>C22/79</w:t>
              </w:r>
              <w:r w:rsidRPr="001D064F">
                <w:rPr>
                  <w:i/>
                  <w:iCs/>
                  <w:lang w:eastAsia="zh-CN"/>
                </w:rPr>
                <w:t>,</w:t>
              </w:r>
            </w:hyperlink>
            <w:r w:rsidRPr="001D064F">
              <w:rPr>
                <w:i/>
                <w:iCs/>
                <w:lang w:eastAsia="zh-CN"/>
              </w:rPr>
              <w:t xml:space="preserve"> Résolution 16 (Rév. Kigali, 2022) de la CMDT et </w:t>
            </w:r>
            <w:hyperlink r:id="rId11" w:history="1">
              <w:r w:rsidRPr="001D064F">
                <w:rPr>
                  <w:rStyle w:val="Hyperlink"/>
                  <w:i/>
                  <w:iCs/>
                  <w:szCs w:val="24"/>
                  <w:lang w:eastAsia="zh-CN"/>
                </w:rPr>
                <w:t>Résolution 30</w:t>
              </w:r>
            </w:hyperlink>
            <w:r w:rsidRPr="001D064F">
              <w:rPr>
                <w:rStyle w:val="Hyperlink"/>
                <w:i/>
                <w:iCs/>
                <w:color w:val="auto"/>
                <w:szCs w:val="24"/>
                <w:u w:val="none"/>
                <w:lang w:eastAsia="zh-CN"/>
              </w:rPr>
              <w:t xml:space="preserve"> (Rév. Dubaï, 2018) de la PP</w:t>
            </w:r>
          </w:p>
        </w:tc>
      </w:tr>
      <w:bookmarkEnd w:id="7"/>
    </w:tbl>
    <w:p w14:paraId="5D746CD5" w14:textId="77777777" w:rsidR="00E14781" w:rsidRPr="001D064F" w:rsidRDefault="00E14781" w:rsidP="00E60DA1"/>
    <w:p w14:paraId="23E5CC14" w14:textId="77777777" w:rsidR="00BD1614" w:rsidRPr="001D064F" w:rsidRDefault="00BD1614">
      <w:pPr>
        <w:tabs>
          <w:tab w:val="clear" w:pos="567"/>
          <w:tab w:val="clear" w:pos="1134"/>
          <w:tab w:val="clear" w:pos="1701"/>
          <w:tab w:val="clear" w:pos="2268"/>
          <w:tab w:val="clear" w:pos="2835"/>
        </w:tabs>
        <w:overflowPunct/>
        <w:autoSpaceDE/>
        <w:autoSpaceDN/>
        <w:adjustRightInd/>
        <w:spacing w:before="0"/>
        <w:textAlignment w:val="auto"/>
      </w:pPr>
      <w:r w:rsidRPr="001D064F">
        <w:br w:type="page"/>
      </w:r>
    </w:p>
    <w:p w14:paraId="7D99B8EC" w14:textId="77777777" w:rsidR="00E14781" w:rsidRPr="001D064F" w:rsidRDefault="00E14781" w:rsidP="00E14781">
      <w:pPr>
        <w:rPr>
          <w:color w:val="FF0000"/>
          <w:sz w:val="22"/>
          <w:szCs w:val="22"/>
        </w:rPr>
      </w:pPr>
      <w:r w:rsidRPr="001D064F">
        <w:rPr>
          <w:rFonts w:eastAsia="Calibri" w:cs="Calibri"/>
          <w:color w:val="FF0000"/>
          <w:sz w:val="17"/>
          <w:szCs w:val="17"/>
        </w:rPr>
        <w:lastRenderedPageBreak/>
        <w:t>(Toutes les données sont au 31 décembre 2021)</w:t>
      </w:r>
    </w:p>
    <w:p w14:paraId="0D582681" w14:textId="77777777" w:rsidR="00E14781" w:rsidRPr="001D064F" w:rsidRDefault="00E14781" w:rsidP="00E14781">
      <w:pPr>
        <w:pStyle w:val="Headingb"/>
      </w:pPr>
      <w:r w:rsidRPr="001D064F">
        <w:t xml:space="preserve">Composition et statistiques globales </w:t>
      </w:r>
    </w:p>
    <w:p w14:paraId="09C9E494" w14:textId="3EDDDDC3" w:rsidR="00E14781" w:rsidRPr="001D064F" w:rsidRDefault="00E14781" w:rsidP="00992D75">
      <w:pPr>
        <w:spacing w:after="240"/>
      </w:pPr>
      <w:r w:rsidRPr="001D064F">
        <w:t>Alors que 47% des États Membres appartiennent à la catégorie des PMA (pays les moins avancés), des</w:t>
      </w:r>
      <w:r w:rsidR="00D01854" w:rsidRPr="001D064F">
        <w:t> </w:t>
      </w:r>
      <w:r w:rsidRPr="001D064F">
        <w:t>PDSL (pays en développement sans littoral), des PEID (petits États insulaires en développement) et des pays ayant des besoins particuliers, seuls 6% des Membres de Secteur, des Associés et des établissements universitaires participant aux travaux de l'UIT sont originaires de ces pays.</w:t>
      </w:r>
    </w:p>
    <w:tbl>
      <w:tblPr>
        <w:tblW w:w="7901" w:type="dxa"/>
        <w:jc w:val="center"/>
        <w:tblLook w:val="04A0" w:firstRow="1" w:lastRow="0" w:firstColumn="1" w:lastColumn="0" w:noHBand="0" w:noVBand="1"/>
      </w:tblPr>
      <w:tblGrid>
        <w:gridCol w:w="2671"/>
        <w:gridCol w:w="960"/>
        <w:gridCol w:w="960"/>
        <w:gridCol w:w="1020"/>
        <w:gridCol w:w="1330"/>
        <w:gridCol w:w="960"/>
      </w:tblGrid>
      <w:tr w:rsidR="00E14781" w:rsidRPr="001D064F" w14:paraId="12473578" w14:textId="77777777" w:rsidTr="00992D75">
        <w:trPr>
          <w:trHeight w:val="315"/>
          <w:jc w:val="center"/>
        </w:trPr>
        <w:tc>
          <w:tcPr>
            <w:tcW w:w="2671" w:type="dxa"/>
            <w:tcBorders>
              <w:top w:val="single" w:sz="8" w:space="0" w:color="auto"/>
              <w:left w:val="single" w:sz="4" w:space="0" w:color="auto"/>
              <w:bottom w:val="single" w:sz="4" w:space="0" w:color="auto"/>
              <w:right w:val="single" w:sz="4" w:space="0" w:color="auto"/>
            </w:tcBorders>
            <w:shd w:val="clear" w:color="000000" w:fill="4472C4"/>
            <w:noWrap/>
            <w:vAlign w:val="center"/>
            <w:hideMark/>
          </w:tcPr>
          <w:p w14:paraId="7EB7A968" w14:textId="77777777" w:rsidR="00E14781" w:rsidRPr="001D064F" w:rsidRDefault="00E14781" w:rsidP="00D01854">
            <w:pPr>
              <w:pStyle w:val="Tablehead"/>
              <w:rPr>
                <w:color w:val="FFFFFF" w:themeColor="background1"/>
                <w:sz w:val="20"/>
                <w:lang w:eastAsia="en-GB"/>
              </w:rPr>
            </w:pPr>
            <w:r w:rsidRPr="001D064F">
              <w:rPr>
                <w:color w:val="FFFFFF" w:themeColor="background1"/>
                <w:sz w:val="20"/>
                <w:lang w:eastAsia="en-GB"/>
              </w:rPr>
              <w:t>Paramètre/Catégorie de pays</w:t>
            </w:r>
          </w:p>
        </w:tc>
        <w:tc>
          <w:tcPr>
            <w:tcW w:w="960" w:type="dxa"/>
            <w:tcBorders>
              <w:top w:val="single" w:sz="8" w:space="0" w:color="auto"/>
              <w:left w:val="nil"/>
              <w:bottom w:val="single" w:sz="4" w:space="0" w:color="auto"/>
              <w:right w:val="single" w:sz="4" w:space="0" w:color="auto"/>
            </w:tcBorders>
            <w:shd w:val="clear" w:color="000000" w:fill="4472C4"/>
            <w:noWrap/>
            <w:vAlign w:val="center"/>
            <w:hideMark/>
          </w:tcPr>
          <w:p w14:paraId="66EAE9D3" w14:textId="77777777" w:rsidR="00E14781" w:rsidRPr="001D064F" w:rsidRDefault="00E14781" w:rsidP="00D01854">
            <w:pPr>
              <w:pStyle w:val="Tablehead"/>
              <w:rPr>
                <w:color w:val="FFFFFF" w:themeColor="background1"/>
                <w:sz w:val="20"/>
                <w:lang w:eastAsia="en-GB"/>
              </w:rPr>
            </w:pPr>
            <w:r w:rsidRPr="001D064F">
              <w:rPr>
                <w:color w:val="FFFFFF" w:themeColor="background1"/>
                <w:sz w:val="20"/>
                <w:lang w:eastAsia="en-GB"/>
              </w:rPr>
              <w:t>PMA</w:t>
            </w:r>
          </w:p>
        </w:tc>
        <w:tc>
          <w:tcPr>
            <w:tcW w:w="960" w:type="dxa"/>
            <w:tcBorders>
              <w:top w:val="single" w:sz="8" w:space="0" w:color="auto"/>
              <w:left w:val="nil"/>
              <w:bottom w:val="single" w:sz="4" w:space="0" w:color="auto"/>
              <w:right w:val="single" w:sz="4" w:space="0" w:color="auto"/>
            </w:tcBorders>
            <w:shd w:val="clear" w:color="000000" w:fill="4472C4"/>
            <w:noWrap/>
            <w:vAlign w:val="center"/>
            <w:hideMark/>
          </w:tcPr>
          <w:p w14:paraId="5D1924FC" w14:textId="77777777" w:rsidR="00E14781" w:rsidRPr="001D064F" w:rsidRDefault="00E14781" w:rsidP="00D01854">
            <w:pPr>
              <w:pStyle w:val="Tablehead"/>
              <w:rPr>
                <w:color w:val="FFFFFF" w:themeColor="background1"/>
                <w:sz w:val="20"/>
                <w:lang w:eastAsia="en-GB"/>
              </w:rPr>
            </w:pPr>
            <w:r w:rsidRPr="001D064F">
              <w:rPr>
                <w:color w:val="FFFFFF" w:themeColor="background1"/>
                <w:sz w:val="20"/>
                <w:lang w:eastAsia="en-GB"/>
              </w:rPr>
              <w:t>PDSL</w:t>
            </w:r>
          </w:p>
        </w:tc>
        <w:tc>
          <w:tcPr>
            <w:tcW w:w="1020" w:type="dxa"/>
            <w:tcBorders>
              <w:top w:val="single" w:sz="8" w:space="0" w:color="auto"/>
              <w:left w:val="nil"/>
              <w:bottom w:val="single" w:sz="4" w:space="0" w:color="auto"/>
              <w:right w:val="single" w:sz="4" w:space="0" w:color="auto"/>
            </w:tcBorders>
            <w:shd w:val="clear" w:color="000000" w:fill="4472C4"/>
            <w:noWrap/>
            <w:vAlign w:val="center"/>
            <w:hideMark/>
          </w:tcPr>
          <w:p w14:paraId="28ACAF84" w14:textId="77777777" w:rsidR="00E14781" w:rsidRPr="001D064F" w:rsidRDefault="00E14781" w:rsidP="00D01854">
            <w:pPr>
              <w:pStyle w:val="Tablehead"/>
              <w:rPr>
                <w:color w:val="FFFFFF" w:themeColor="background1"/>
                <w:sz w:val="20"/>
                <w:lang w:eastAsia="en-GB"/>
              </w:rPr>
            </w:pPr>
            <w:r w:rsidRPr="001D064F">
              <w:rPr>
                <w:color w:val="FFFFFF" w:themeColor="background1"/>
                <w:sz w:val="20"/>
                <w:lang w:eastAsia="en-GB"/>
              </w:rPr>
              <w:t>PEID</w:t>
            </w:r>
          </w:p>
        </w:tc>
        <w:tc>
          <w:tcPr>
            <w:tcW w:w="1330" w:type="dxa"/>
            <w:tcBorders>
              <w:top w:val="single" w:sz="8" w:space="0" w:color="auto"/>
              <w:left w:val="nil"/>
              <w:bottom w:val="single" w:sz="4" w:space="0" w:color="auto"/>
              <w:right w:val="nil"/>
            </w:tcBorders>
            <w:shd w:val="clear" w:color="000000" w:fill="4472C4"/>
            <w:noWrap/>
            <w:vAlign w:val="center"/>
            <w:hideMark/>
          </w:tcPr>
          <w:p w14:paraId="03D617E0" w14:textId="77777777" w:rsidR="00E14781" w:rsidRPr="001D064F" w:rsidRDefault="00E14781" w:rsidP="00D01854">
            <w:pPr>
              <w:pStyle w:val="Tablehead"/>
              <w:rPr>
                <w:color w:val="FFFFFF" w:themeColor="background1"/>
                <w:sz w:val="20"/>
                <w:lang w:eastAsia="en-GB"/>
              </w:rPr>
            </w:pPr>
            <w:r w:rsidRPr="001D064F">
              <w:rPr>
                <w:color w:val="FFFFFF" w:themeColor="background1"/>
                <w:sz w:val="20"/>
                <w:lang w:eastAsia="en-GB"/>
              </w:rPr>
              <w:t>Pays ayant des besoins particuliers</w:t>
            </w:r>
          </w:p>
        </w:tc>
        <w:tc>
          <w:tcPr>
            <w:tcW w:w="960" w:type="dxa"/>
            <w:tcBorders>
              <w:top w:val="single" w:sz="8" w:space="0" w:color="auto"/>
              <w:left w:val="single" w:sz="8" w:space="0" w:color="auto"/>
              <w:bottom w:val="single" w:sz="4" w:space="0" w:color="auto"/>
              <w:right w:val="single" w:sz="8" w:space="0" w:color="auto"/>
            </w:tcBorders>
            <w:shd w:val="clear" w:color="000000" w:fill="4472C4"/>
            <w:noWrap/>
            <w:vAlign w:val="center"/>
            <w:hideMark/>
          </w:tcPr>
          <w:p w14:paraId="475E9356" w14:textId="77777777" w:rsidR="00E14781" w:rsidRPr="001D064F" w:rsidRDefault="00E14781" w:rsidP="00D01854">
            <w:pPr>
              <w:pStyle w:val="Tablehead"/>
              <w:rPr>
                <w:color w:val="FFFFFF" w:themeColor="background1"/>
                <w:sz w:val="20"/>
                <w:lang w:eastAsia="en-GB"/>
              </w:rPr>
            </w:pPr>
            <w:r w:rsidRPr="001D064F">
              <w:rPr>
                <w:color w:val="FFFFFF" w:themeColor="background1"/>
                <w:sz w:val="20"/>
                <w:lang w:eastAsia="en-GB"/>
              </w:rPr>
              <w:t>TOTAL</w:t>
            </w:r>
          </w:p>
        </w:tc>
      </w:tr>
      <w:tr w:rsidR="00E14781" w:rsidRPr="001D064F" w14:paraId="29E3BE55" w14:textId="77777777" w:rsidTr="00992D75">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bottom"/>
            <w:hideMark/>
          </w:tcPr>
          <w:p w14:paraId="50DAED4C" w14:textId="77777777" w:rsidR="00E14781" w:rsidRPr="001D064F" w:rsidRDefault="00E14781" w:rsidP="00D01854">
            <w:pPr>
              <w:pStyle w:val="Tabletext"/>
              <w:rPr>
                <w:i/>
                <w:iCs/>
                <w:color w:val="FFFFFF" w:themeColor="background1"/>
                <w:sz w:val="20"/>
                <w:lang w:eastAsia="en-GB"/>
              </w:rPr>
            </w:pPr>
            <w:r w:rsidRPr="001D064F">
              <w:rPr>
                <w:i/>
                <w:iCs/>
                <w:color w:val="FFFFFF" w:themeColor="background1"/>
                <w:sz w:val="20"/>
                <w:lang w:eastAsia="en-GB"/>
              </w:rPr>
              <w:t>Pays représentés</w:t>
            </w:r>
          </w:p>
        </w:tc>
        <w:tc>
          <w:tcPr>
            <w:tcW w:w="960" w:type="dxa"/>
            <w:tcBorders>
              <w:top w:val="nil"/>
              <w:left w:val="nil"/>
              <w:bottom w:val="single" w:sz="4" w:space="0" w:color="auto"/>
              <w:right w:val="single" w:sz="4" w:space="0" w:color="auto"/>
            </w:tcBorders>
            <w:shd w:val="clear" w:color="000000" w:fill="D9E1F2"/>
            <w:noWrap/>
            <w:vAlign w:val="bottom"/>
            <w:hideMark/>
          </w:tcPr>
          <w:p w14:paraId="79CE58FE"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20</w:t>
            </w:r>
          </w:p>
        </w:tc>
        <w:tc>
          <w:tcPr>
            <w:tcW w:w="960" w:type="dxa"/>
            <w:tcBorders>
              <w:top w:val="nil"/>
              <w:left w:val="nil"/>
              <w:bottom w:val="single" w:sz="4" w:space="0" w:color="auto"/>
              <w:right w:val="single" w:sz="4" w:space="0" w:color="auto"/>
            </w:tcBorders>
            <w:shd w:val="clear" w:color="000000" w:fill="D9E1F2"/>
            <w:noWrap/>
            <w:vAlign w:val="bottom"/>
            <w:hideMark/>
          </w:tcPr>
          <w:p w14:paraId="7C39070C"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16</w:t>
            </w:r>
          </w:p>
        </w:tc>
        <w:tc>
          <w:tcPr>
            <w:tcW w:w="1020" w:type="dxa"/>
            <w:tcBorders>
              <w:top w:val="nil"/>
              <w:left w:val="nil"/>
              <w:bottom w:val="single" w:sz="4" w:space="0" w:color="auto"/>
              <w:right w:val="single" w:sz="4" w:space="0" w:color="auto"/>
            </w:tcBorders>
            <w:shd w:val="clear" w:color="000000" w:fill="D9E1F2"/>
            <w:noWrap/>
            <w:vAlign w:val="bottom"/>
            <w:hideMark/>
          </w:tcPr>
          <w:p w14:paraId="32D06473"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11</w:t>
            </w:r>
          </w:p>
        </w:tc>
        <w:tc>
          <w:tcPr>
            <w:tcW w:w="1330" w:type="dxa"/>
            <w:tcBorders>
              <w:top w:val="nil"/>
              <w:left w:val="nil"/>
              <w:bottom w:val="single" w:sz="4" w:space="0" w:color="auto"/>
              <w:right w:val="nil"/>
            </w:tcBorders>
            <w:shd w:val="clear" w:color="000000" w:fill="D9E1F2"/>
            <w:noWrap/>
            <w:vAlign w:val="bottom"/>
            <w:hideMark/>
          </w:tcPr>
          <w:p w14:paraId="7FAA6AD0"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6</w:t>
            </w:r>
          </w:p>
        </w:tc>
        <w:tc>
          <w:tcPr>
            <w:tcW w:w="960" w:type="dxa"/>
            <w:tcBorders>
              <w:top w:val="single" w:sz="8" w:space="0" w:color="auto"/>
              <w:left w:val="single" w:sz="8" w:space="0" w:color="auto"/>
              <w:bottom w:val="single" w:sz="4" w:space="0" w:color="auto"/>
              <w:right w:val="single" w:sz="8" w:space="0" w:color="auto"/>
            </w:tcBorders>
            <w:shd w:val="clear" w:color="000000" w:fill="D9E1F2"/>
            <w:noWrap/>
            <w:vAlign w:val="bottom"/>
            <w:hideMark/>
          </w:tcPr>
          <w:p w14:paraId="47D0A200"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36</w:t>
            </w:r>
          </w:p>
        </w:tc>
      </w:tr>
      <w:tr w:rsidR="00E14781" w:rsidRPr="001D064F" w14:paraId="752FD846" w14:textId="77777777" w:rsidTr="00992D75">
        <w:trPr>
          <w:trHeight w:val="300"/>
          <w:jc w:val="center"/>
        </w:trPr>
        <w:tc>
          <w:tcPr>
            <w:tcW w:w="2671" w:type="dxa"/>
            <w:tcBorders>
              <w:top w:val="nil"/>
              <w:left w:val="single" w:sz="4" w:space="0" w:color="auto"/>
              <w:bottom w:val="single" w:sz="4" w:space="0" w:color="auto"/>
              <w:right w:val="single" w:sz="4" w:space="0" w:color="auto"/>
            </w:tcBorders>
            <w:shd w:val="clear" w:color="000000" w:fill="4472C4"/>
            <w:noWrap/>
            <w:vAlign w:val="bottom"/>
            <w:hideMark/>
          </w:tcPr>
          <w:p w14:paraId="21097EAD" w14:textId="77777777" w:rsidR="00E14781" w:rsidRPr="001D064F" w:rsidRDefault="00E14781" w:rsidP="00D01854">
            <w:pPr>
              <w:pStyle w:val="Tabletext"/>
              <w:rPr>
                <w:i/>
                <w:iCs/>
                <w:color w:val="FFFFFF" w:themeColor="background1"/>
                <w:sz w:val="20"/>
                <w:lang w:eastAsia="en-GB"/>
              </w:rPr>
            </w:pPr>
            <w:r w:rsidRPr="001D064F">
              <w:rPr>
                <w:i/>
                <w:iCs/>
                <w:color w:val="FFFFFF" w:themeColor="background1"/>
                <w:sz w:val="20"/>
                <w:lang w:eastAsia="en-GB"/>
              </w:rPr>
              <w:t>Membres</w:t>
            </w:r>
          </w:p>
        </w:tc>
        <w:tc>
          <w:tcPr>
            <w:tcW w:w="960" w:type="dxa"/>
            <w:tcBorders>
              <w:top w:val="nil"/>
              <w:left w:val="nil"/>
              <w:bottom w:val="single" w:sz="4" w:space="0" w:color="auto"/>
              <w:right w:val="single" w:sz="4" w:space="0" w:color="auto"/>
            </w:tcBorders>
            <w:shd w:val="clear" w:color="auto" w:fill="auto"/>
            <w:noWrap/>
            <w:vAlign w:val="bottom"/>
            <w:hideMark/>
          </w:tcPr>
          <w:p w14:paraId="044D6461"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28109330"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24</w:t>
            </w:r>
          </w:p>
        </w:tc>
        <w:tc>
          <w:tcPr>
            <w:tcW w:w="1020" w:type="dxa"/>
            <w:tcBorders>
              <w:top w:val="nil"/>
              <w:left w:val="nil"/>
              <w:bottom w:val="single" w:sz="4" w:space="0" w:color="auto"/>
              <w:right w:val="single" w:sz="4" w:space="0" w:color="auto"/>
            </w:tcBorders>
            <w:shd w:val="clear" w:color="auto" w:fill="auto"/>
            <w:noWrap/>
            <w:vAlign w:val="bottom"/>
            <w:hideMark/>
          </w:tcPr>
          <w:p w14:paraId="1EEB69E3"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19</w:t>
            </w:r>
          </w:p>
        </w:tc>
        <w:tc>
          <w:tcPr>
            <w:tcW w:w="1330" w:type="dxa"/>
            <w:tcBorders>
              <w:top w:val="nil"/>
              <w:left w:val="nil"/>
              <w:bottom w:val="single" w:sz="4" w:space="0" w:color="auto"/>
              <w:right w:val="nil"/>
            </w:tcBorders>
            <w:shd w:val="clear" w:color="auto" w:fill="auto"/>
            <w:noWrap/>
            <w:vAlign w:val="bottom"/>
            <w:hideMark/>
          </w:tcPr>
          <w:p w14:paraId="4849EDF3"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73A5DDD"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63</w:t>
            </w:r>
          </w:p>
        </w:tc>
      </w:tr>
      <w:tr w:rsidR="00E14781" w:rsidRPr="001D064F" w14:paraId="4C5E8195" w14:textId="77777777" w:rsidTr="00992D75">
        <w:trPr>
          <w:trHeight w:val="315"/>
          <w:jc w:val="center"/>
        </w:trPr>
        <w:tc>
          <w:tcPr>
            <w:tcW w:w="2671" w:type="dxa"/>
            <w:tcBorders>
              <w:top w:val="nil"/>
              <w:left w:val="single" w:sz="4" w:space="0" w:color="auto"/>
              <w:bottom w:val="single" w:sz="8" w:space="0" w:color="auto"/>
              <w:right w:val="single" w:sz="4" w:space="0" w:color="auto"/>
            </w:tcBorders>
            <w:shd w:val="clear" w:color="000000" w:fill="4472C4"/>
            <w:noWrap/>
            <w:vAlign w:val="bottom"/>
            <w:hideMark/>
          </w:tcPr>
          <w:p w14:paraId="4788F256" w14:textId="77777777" w:rsidR="00E14781" w:rsidRPr="001D064F" w:rsidRDefault="00E14781" w:rsidP="00D01854">
            <w:pPr>
              <w:pStyle w:val="Tabletext"/>
              <w:rPr>
                <w:i/>
                <w:iCs/>
                <w:color w:val="FFFFFF" w:themeColor="background1"/>
                <w:sz w:val="20"/>
                <w:lang w:eastAsia="en-GB"/>
              </w:rPr>
            </w:pPr>
            <w:r w:rsidRPr="001D064F">
              <w:rPr>
                <w:i/>
                <w:iCs/>
                <w:color w:val="FFFFFF" w:themeColor="background1"/>
                <w:sz w:val="20"/>
                <w:lang w:eastAsia="en-GB"/>
              </w:rPr>
              <w:t>Adhésions</w:t>
            </w:r>
          </w:p>
        </w:tc>
        <w:tc>
          <w:tcPr>
            <w:tcW w:w="960" w:type="dxa"/>
            <w:tcBorders>
              <w:top w:val="nil"/>
              <w:left w:val="nil"/>
              <w:bottom w:val="single" w:sz="8" w:space="0" w:color="auto"/>
              <w:right w:val="single" w:sz="4" w:space="0" w:color="auto"/>
            </w:tcBorders>
            <w:shd w:val="clear" w:color="000000" w:fill="D9E1F2"/>
            <w:noWrap/>
            <w:vAlign w:val="bottom"/>
            <w:hideMark/>
          </w:tcPr>
          <w:p w14:paraId="6BC59F49"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40</w:t>
            </w:r>
          </w:p>
        </w:tc>
        <w:tc>
          <w:tcPr>
            <w:tcW w:w="960" w:type="dxa"/>
            <w:tcBorders>
              <w:top w:val="nil"/>
              <w:left w:val="nil"/>
              <w:bottom w:val="single" w:sz="8" w:space="0" w:color="auto"/>
              <w:right w:val="single" w:sz="4" w:space="0" w:color="auto"/>
            </w:tcBorders>
            <w:shd w:val="clear" w:color="000000" w:fill="D9E1F2"/>
            <w:noWrap/>
            <w:vAlign w:val="bottom"/>
            <w:hideMark/>
          </w:tcPr>
          <w:p w14:paraId="177CAFC1"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27</w:t>
            </w:r>
          </w:p>
        </w:tc>
        <w:tc>
          <w:tcPr>
            <w:tcW w:w="1020" w:type="dxa"/>
            <w:tcBorders>
              <w:top w:val="nil"/>
              <w:left w:val="nil"/>
              <w:bottom w:val="single" w:sz="8" w:space="0" w:color="auto"/>
              <w:right w:val="single" w:sz="4" w:space="0" w:color="auto"/>
            </w:tcBorders>
            <w:shd w:val="clear" w:color="000000" w:fill="D9E1F2"/>
            <w:noWrap/>
            <w:vAlign w:val="bottom"/>
            <w:hideMark/>
          </w:tcPr>
          <w:p w14:paraId="256F38E3"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24</w:t>
            </w:r>
          </w:p>
        </w:tc>
        <w:tc>
          <w:tcPr>
            <w:tcW w:w="1330" w:type="dxa"/>
            <w:tcBorders>
              <w:top w:val="nil"/>
              <w:left w:val="nil"/>
              <w:bottom w:val="single" w:sz="8" w:space="0" w:color="auto"/>
              <w:right w:val="nil"/>
            </w:tcBorders>
            <w:shd w:val="clear" w:color="000000" w:fill="D9E1F2"/>
            <w:noWrap/>
            <w:vAlign w:val="bottom"/>
            <w:hideMark/>
          </w:tcPr>
          <w:p w14:paraId="36E611AA"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8</w:t>
            </w:r>
          </w:p>
        </w:tc>
        <w:tc>
          <w:tcPr>
            <w:tcW w:w="960" w:type="dxa"/>
            <w:tcBorders>
              <w:top w:val="nil"/>
              <w:left w:val="single" w:sz="8" w:space="0" w:color="auto"/>
              <w:bottom w:val="single" w:sz="8" w:space="0" w:color="auto"/>
              <w:right w:val="single" w:sz="8" w:space="0" w:color="auto"/>
            </w:tcBorders>
            <w:shd w:val="clear" w:color="000000" w:fill="D9E1F2"/>
            <w:noWrap/>
            <w:vAlign w:val="bottom"/>
            <w:hideMark/>
          </w:tcPr>
          <w:p w14:paraId="33407F40" w14:textId="77777777" w:rsidR="00E14781" w:rsidRPr="001D064F" w:rsidRDefault="00E14781" w:rsidP="00D01854">
            <w:pPr>
              <w:pStyle w:val="Tabletext"/>
              <w:jc w:val="center"/>
              <w:rPr>
                <w:b/>
                <w:bCs/>
                <w:color w:val="000000"/>
                <w:sz w:val="20"/>
                <w:lang w:eastAsia="en-GB"/>
              </w:rPr>
            </w:pPr>
            <w:r w:rsidRPr="001D064F">
              <w:rPr>
                <w:b/>
                <w:bCs/>
                <w:color w:val="000000"/>
                <w:sz w:val="20"/>
                <w:lang w:eastAsia="en-GB"/>
              </w:rPr>
              <w:t>76</w:t>
            </w:r>
          </w:p>
        </w:tc>
      </w:tr>
    </w:tbl>
    <w:p w14:paraId="609E07F8" w14:textId="77777777" w:rsidR="00E14781" w:rsidRPr="001D064F" w:rsidRDefault="00E14781" w:rsidP="00992D75">
      <w:pPr>
        <w:pStyle w:val="Tabletitle"/>
        <w:spacing w:before="240" w:after="240"/>
      </w:pPr>
      <w:r w:rsidRPr="001D064F">
        <w:t>Tableau 1: Composition et statistiques globales</w:t>
      </w:r>
    </w:p>
    <w:p w14:paraId="29A4A2F1" w14:textId="77777777" w:rsidR="00E14781" w:rsidRPr="001D064F" w:rsidRDefault="00E14781" w:rsidP="00D01854">
      <w:r w:rsidRPr="001D064F">
        <w:t>Parmi les États Membres, 49 sont des PMA, 31 des PDSL, 37 des PEID et 13 des pays ayant des besoins particuliers.</w:t>
      </w:r>
    </w:p>
    <w:p w14:paraId="2C0BB5F8" w14:textId="5B936C8A" w:rsidR="00E14781" w:rsidRPr="001D064F" w:rsidRDefault="00E14781" w:rsidP="00D01854">
      <w:r w:rsidRPr="001D064F">
        <w:t>Au total, 91 États Membres tombent dans une ou plusieurs de ces catégories. 60% de ces États</w:t>
      </w:r>
      <w:r w:rsidR="00D01854" w:rsidRPr="001D064F">
        <w:t> </w:t>
      </w:r>
      <w:r w:rsidRPr="001D064F">
        <w:t>Membres ne comptent aucun Membre de Secteur, Associé ou établissement universitaire.</w:t>
      </w:r>
    </w:p>
    <w:p w14:paraId="5850AA55" w14:textId="77777777" w:rsidR="00E14781" w:rsidRPr="001D064F" w:rsidRDefault="00E14781" w:rsidP="00D01854">
      <w:r w:rsidRPr="001D064F">
        <w:t>Comme indiqué dans le Tableau 1 ci-dessus, on recense 32 membres issus de 20 PMA, qui représentent 40 adhésions. On compte 24 membres issus de 16 PDSL représentant 27 adhésions et 19 Membres issus de 11 PDSL représentant 24 adhésions. Enfin, 8 membres sont issus de 6 pays ayant des besoins particuliers, et représentent 8 adhésions.</w:t>
      </w:r>
    </w:p>
    <w:p w14:paraId="41D2DBEE" w14:textId="02415BF9" w:rsidR="00BD1614" w:rsidRPr="001D064F" w:rsidRDefault="00E14781" w:rsidP="00D01854">
      <w:pPr>
        <w:rPr>
          <w:rFonts w:eastAsia="Calibri" w:cs="Calibri"/>
        </w:rPr>
      </w:pPr>
      <w:r w:rsidRPr="001D064F">
        <w:rPr>
          <w:rFonts w:eastAsia="Calibri" w:cs="Calibri"/>
        </w:rPr>
        <w:t xml:space="preserve">Pour une ventilation détaillée de ces statistiques </w:t>
      </w:r>
      <w:r w:rsidRPr="001D064F">
        <w:rPr>
          <w:rFonts w:eastAsia="Calibri" w:cs="Calibri"/>
          <w:i/>
          <w:iCs/>
        </w:rPr>
        <w:t>par Secteur</w:t>
      </w:r>
      <w:r w:rsidRPr="001D064F">
        <w:rPr>
          <w:rFonts w:eastAsia="Calibri" w:cs="Calibri"/>
        </w:rPr>
        <w:t>, veuillez vous reporter à l'Annexe 1.</w:t>
      </w:r>
    </w:p>
    <w:p w14:paraId="16B33569" w14:textId="50450F6A" w:rsidR="00E14781" w:rsidRPr="001D064F" w:rsidRDefault="00E14781" w:rsidP="00E14781">
      <w:pPr>
        <w:pStyle w:val="Headingb"/>
      </w:pPr>
      <w:r w:rsidRPr="001D064F">
        <w:t>Évolution de la composition de l'UIT</w:t>
      </w:r>
    </w:p>
    <w:p w14:paraId="470CA12E" w14:textId="42C4AF6A" w:rsidR="00E14781" w:rsidRPr="001D064F" w:rsidRDefault="00E14781" w:rsidP="00D01854">
      <w:r w:rsidRPr="001D064F">
        <w:t>Comme il ressort de la Figure 1 ci-dessous, le nombre de Membres de Secteur, d'Associés et d'établissements universitaires a augmenté de manière régulière jusqu'au milieu des années 2000, puis a baissé pendant quelques années, avant de repartir à la hausse de 2010 à 2016 et de diminuer chaque année depuis. Le nombre de Membres de Secteur est resté stable entre 2013 et</w:t>
      </w:r>
      <w:r w:rsidR="00D01854" w:rsidRPr="001D064F">
        <w:t> </w:t>
      </w:r>
      <w:r w:rsidRPr="001D064F">
        <w:t>2017, avant d'accuser une chute ces dernières années. La création de la catégorie des établissements universitaires participant aux travaux de l'UIT a été le principal facteur de progression de 2010 à 2016.</w:t>
      </w:r>
    </w:p>
    <w:p w14:paraId="2F14F4B9" w14:textId="1A24F681" w:rsidR="00E14781" w:rsidRPr="001D064F" w:rsidRDefault="002708BF" w:rsidP="00E14781">
      <w:r w:rsidRPr="001D064F">
        <w:rPr>
          <w:rFonts w:asciiTheme="minorHAnsi" w:eastAsiaTheme="minorEastAsia" w:hAnsiTheme="minorHAnsi" w:cstheme="minorBidi"/>
          <w:noProof/>
          <w:color w:val="000000" w:themeColor="text1"/>
          <w:sz w:val="20"/>
        </w:rPr>
        <w:lastRenderedPageBreak/>
        <mc:AlternateContent>
          <mc:Choice Requires="wps">
            <w:drawing>
              <wp:anchor distT="0" distB="0" distL="114300" distR="114300" simplePos="0" relativeHeight="251661312" behindDoc="0" locked="0" layoutInCell="1" allowOverlap="1" wp14:anchorId="42A1F7AC" wp14:editId="70444760">
                <wp:simplePos x="0" y="0"/>
                <wp:positionH relativeFrom="column">
                  <wp:posOffset>1024890</wp:posOffset>
                </wp:positionH>
                <wp:positionV relativeFrom="paragraph">
                  <wp:posOffset>1223645</wp:posOffset>
                </wp:positionV>
                <wp:extent cx="607695" cy="163830"/>
                <wp:effectExtent l="0" t="0" r="1905" b="7620"/>
                <wp:wrapNone/>
                <wp:docPr id="7" name="Text Box 7"/>
                <wp:cNvGraphicFramePr/>
                <a:graphic xmlns:a="http://schemas.openxmlformats.org/drawingml/2006/main">
                  <a:graphicData uri="http://schemas.microsoft.com/office/word/2010/wordprocessingShape">
                    <wps:wsp>
                      <wps:cNvSpPr txBox="1"/>
                      <wps:spPr>
                        <a:xfrm>
                          <a:off x="0" y="0"/>
                          <a:ext cx="607695" cy="163830"/>
                        </a:xfrm>
                        <a:prstGeom prst="rect">
                          <a:avLst/>
                        </a:prstGeom>
                        <a:solidFill>
                          <a:sysClr val="window" lastClr="FFFFFF"/>
                        </a:solidFill>
                        <a:ln w="6350">
                          <a:noFill/>
                        </a:ln>
                      </wps:spPr>
                      <wps:txbx>
                        <w:txbxContent>
                          <w:p w14:paraId="01669E8D" w14:textId="77777777" w:rsidR="002708BF" w:rsidRPr="00FB6BFE" w:rsidRDefault="002708BF" w:rsidP="002708BF">
                            <w:pPr>
                              <w:spacing w:before="0"/>
                              <w:rPr>
                                <w:b/>
                                <w:bCs/>
                                <w:sz w:val="10"/>
                                <w:szCs w:val="10"/>
                                <w:lang w:val="fr-CH"/>
                              </w:rPr>
                            </w:pPr>
                            <w:r>
                              <w:rPr>
                                <w:b/>
                                <w:bCs/>
                                <w:color w:val="7F7F7F" w:themeColor="text1" w:themeTint="80"/>
                                <w:sz w:val="10"/>
                                <w:szCs w:val="10"/>
                                <w:lang w:val="fr-CH"/>
                              </w:rPr>
                              <w:t>Établissement universitaire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1F7AC" id="_x0000_t202" coordsize="21600,21600" o:spt="202" path="m,l,21600r21600,l21600,xe">
                <v:stroke joinstyle="miter"/>
                <v:path gradientshapeok="t" o:connecttype="rect"/>
              </v:shapetype>
              <v:shape id="Text Box 7" o:spid="_x0000_s1026" type="#_x0000_t202" style="position:absolute;margin-left:80.7pt;margin-top:96.35pt;width:47.8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" fillcolor="window" stroked="f" strokeweight=".5pt">
                <v:textbox inset="0,0,0,0">
                  <w:txbxContent>
                    <w:p w14:paraId="01669E8D" w14:textId="77777777" w:rsidR="002708BF" w:rsidRPr="00FB6BFE" w:rsidRDefault="002708BF" w:rsidP="002708BF">
                      <w:pPr>
                        <w:spacing w:before="0"/>
                        <w:rPr>
                          <w:b/>
                          <w:bCs/>
                          <w:sz w:val="10"/>
                          <w:szCs w:val="10"/>
                          <w:lang w:val="fr-CH"/>
                        </w:rPr>
                      </w:pPr>
                      <w:r>
                        <w:rPr>
                          <w:b/>
                          <w:bCs/>
                          <w:color w:val="7F7F7F" w:themeColor="text1" w:themeTint="80"/>
                          <w:sz w:val="10"/>
                          <w:szCs w:val="10"/>
                          <w:lang w:val="fr-CH"/>
                        </w:rPr>
                        <w:t>Établissement universitaire</w:t>
                      </w:r>
                    </w:p>
                  </w:txbxContent>
                </v:textbox>
              </v:shape>
            </w:pict>
          </mc:Fallback>
        </mc:AlternateContent>
      </w:r>
      <w:r w:rsidRPr="001D064F">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3360" behindDoc="0" locked="0" layoutInCell="1" allowOverlap="1" wp14:anchorId="65953E9B" wp14:editId="41F5A5F6">
                <wp:simplePos x="0" y="0"/>
                <wp:positionH relativeFrom="column">
                  <wp:posOffset>1024255</wp:posOffset>
                </wp:positionH>
                <wp:positionV relativeFrom="paragraph">
                  <wp:posOffset>1128395</wp:posOffset>
                </wp:positionV>
                <wp:extent cx="453390" cy="9525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390" cy="95250"/>
                        </a:xfrm>
                        <a:prstGeom prst="rect">
                          <a:avLst/>
                        </a:prstGeom>
                        <a:solidFill>
                          <a:sysClr val="window" lastClr="FFFFFF"/>
                        </a:solidFill>
                        <a:ln w="6350">
                          <a:noFill/>
                        </a:ln>
                      </wps:spPr>
                      <wps:txbx>
                        <w:txbxContent>
                          <w:p w14:paraId="3655D44D" w14:textId="77777777" w:rsidR="002708BF" w:rsidRPr="00530936" w:rsidRDefault="002708BF" w:rsidP="002708BF">
                            <w:pPr>
                              <w:spacing w:before="0"/>
                              <w:rPr>
                                <w:b/>
                                <w:bCs/>
                                <w:sz w:val="10"/>
                                <w:szCs w:val="10"/>
                              </w:rPr>
                            </w:pPr>
                            <w:r>
                              <w:rPr>
                                <w:b/>
                                <w:bCs/>
                                <w:color w:val="7F7F7F" w:themeColor="text1" w:themeTint="80"/>
                                <w:sz w:val="10"/>
                                <w:szCs w:val="10"/>
                              </w:rPr>
                              <w:t>Associé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3E9B" id="Text Box 6" o:spid="_x0000_s1027" type="#_x0000_t202" style="position:absolute;margin-left:80.65pt;margin-top:88.85pt;width:35.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" fillcolor="window" stroked="f" strokeweight=".5pt">
                <v:textbox inset="0,0,0,0">
                  <w:txbxContent>
                    <w:p w14:paraId="3655D44D" w14:textId="77777777" w:rsidR="002708BF" w:rsidRPr="00530936" w:rsidRDefault="002708BF" w:rsidP="002708BF">
                      <w:pPr>
                        <w:spacing w:before="0"/>
                        <w:rPr>
                          <w:b/>
                          <w:bCs/>
                          <w:sz w:val="10"/>
                          <w:szCs w:val="10"/>
                        </w:rPr>
                      </w:pPr>
                      <w:r>
                        <w:rPr>
                          <w:b/>
                          <w:bCs/>
                          <w:color w:val="7F7F7F" w:themeColor="text1" w:themeTint="80"/>
                          <w:sz w:val="10"/>
                          <w:szCs w:val="10"/>
                        </w:rPr>
                        <w:t>Associé</w:t>
                      </w:r>
                    </w:p>
                  </w:txbxContent>
                </v:textbox>
              </v:shape>
            </w:pict>
          </mc:Fallback>
        </mc:AlternateContent>
      </w:r>
      <w:r w:rsidRPr="001D064F">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7456" behindDoc="0" locked="0" layoutInCell="1" allowOverlap="1" wp14:anchorId="1B9B8260" wp14:editId="32D4031C">
                <wp:simplePos x="0" y="0"/>
                <wp:positionH relativeFrom="column">
                  <wp:posOffset>930303</wp:posOffset>
                </wp:positionH>
                <wp:positionV relativeFrom="paragraph">
                  <wp:posOffset>866140</wp:posOffset>
                </wp:positionV>
                <wp:extent cx="685800" cy="1104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685800" cy="110490"/>
                        </a:xfrm>
                        <a:prstGeom prst="rect">
                          <a:avLst/>
                        </a:prstGeom>
                        <a:solidFill>
                          <a:schemeClr val="lt1"/>
                        </a:solidFill>
                        <a:ln w="6350">
                          <a:noFill/>
                        </a:ln>
                      </wps:spPr>
                      <wps:txbx>
                        <w:txbxContent>
                          <w:p w14:paraId="402D08AB" w14:textId="77777777" w:rsidR="002708BF" w:rsidRPr="00FB6BFE" w:rsidRDefault="002708BF" w:rsidP="002708BF">
                            <w:pPr>
                              <w:spacing w:before="0"/>
                              <w:rPr>
                                <w:b/>
                                <w:bCs/>
                                <w:sz w:val="10"/>
                                <w:szCs w:val="10"/>
                                <w:lang w:val="fr-CH"/>
                              </w:rPr>
                            </w:pPr>
                            <w:r>
                              <w:rPr>
                                <w:b/>
                                <w:bCs/>
                                <w:color w:val="7F7F7F" w:themeColor="text1" w:themeTint="80"/>
                                <w:sz w:val="10"/>
                                <w:szCs w:val="10"/>
                                <w:lang w:val="fr-CH"/>
                              </w:rPr>
                              <w:t>Type de membre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8260" id="Text Box 3" o:spid="_x0000_s1028" type="#_x0000_t202" style="position:absolute;margin-left:73.25pt;margin-top:68.2pt;width:54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" fillcolor="white [3201]" stroked="f" strokeweight=".5pt">
                <v:textbox inset="0,0,0,0">
                  <w:txbxContent>
                    <w:p w14:paraId="402D08AB" w14:textId="77777777" w:rsidR="002708BF" w:rsidRPr="00FB6BFE" w:rsidRDefault="002708BF" w:rsidP="002708BF">
                      <w:pPr>
                        <w:spacing w:before="0"/>
                        <w:rPr>
                          <w:b/>
                          <w:bCs/>
                          <w:sz w:val="10"/>
                          <w:szCs w:val="10"/>
                          <w:lang w:val="fr-CH"/>
                        </w:rPr>
                      </w:pPr>
                      <w:r>
                        <w:rPr>
                          <w:b/>
                          <w:bCs/>
                          <w:color w:val="7F7F7F" w:themeColor="text1" w:themeTint="80"/>
                          <w:sz w:val="10"/>
                          <w:szCs w:val="10"/>
                          <w:lang w:val="fr-CH"/>
                        </w:rPr>
                        <w:t>Type de membre</w:t>
                      </w:r>
                    </w:p>
                  </w:txbxContent>
                </v:textbox>
              </v:shape>
            </w:pict>
          </mc:Fallback>
        </mc:AlternateContent>
      </w:r>
      <w:r w:rsidRPr="001D064F">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65408" behindDoc="0" locked="0" layoutInCell="1" allowOverlap="1" wp14:anchorId="4DA262EB" wp14:editId="1711733B">
                <wp:simplePos x="0" y="0"/>
                <wp:positionH relativeFrom="column">
                  <wp:posOffset>1017767</wp:posOffset>
                </wp:positionH>
                <wp:positionV relativeFrom="paragraph">
                  <wp:posOffset>1017214</wp:posOffset>
                </wp:positionV>
                <wp:extent cx="565554" cy="95140"/>
                <wp:effectExtent l="0" t="0" r="6350" b="635"/>
                <wp:wrapNone/>
                <wp:docPr id="5" name="Text Box 5"/>
                <wp:cNvGraphicFramePr/>
                <a:graphic xmlns:a="http://schemas.openxmlformats.org/drawingml/2006/main">
                  <a:graphicData uri="http://schemas.microsoft.com/office/word/2010/wordprocessingShape">
                    <wps:wsp>
                      <wps:cNvSpPr txBox="1"/>
                      <wps:spPr>
                        <a:xfrm>
                          <a:off x="0" y="0"/>
                          <a:ext cx="565554" cy="95140"/>
                        </a:xfrm>
                        <a:prstGeom prst="rect">
                          <a:avLst/>
                        </a:prstGeom>
                        <a:solidFill>
                          <a:schemeClr val="lt1"/>
                        </a:solidFill>
                        <a:ln w="6350">
                          <a:noFill/>
                        </a:ln>
                      </wps:spPr>
                      <wps:txbx>
                        <w:txbxContent>
                          <w:p w14:paraId="7246FED4" w14:textId="77777777" w:rsidR="002708BF" w:rsidRPr="00FB6BFE" w:rsidRDefault="002708BF" w:rsidP="002708BF">
                            <w:pPr>
                              <w:spacing w:before="0"/>
                              <w:rPr>
                                <w:b/>
                                <w:bCs/>
                                <w:sz w:val="10"/>
                                <w:szCs w:val="10"/>
                                <w:lang w:val="fr-CH"/>
                              </w:rPr>
                            </w:pPr>
                            <w:r>
                              <w:rPr>
                                <w:b/>
                                <w:bCs/>
                                <w:color w:val="7F7F7F" w:themeColor="text1" w:themeTint="80"/>
                                <w:sz w:val="10"/>
                                <w:szCs w:val="10"/>
                                <w:lang w:val="fr-CH"/>
                              </w:rPr>
                              <w:t>Membre de Secteur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262EB" id="Text Box 5" o:spid="_x0000_s1029" type="#_x0000_t202" style="position:absolute;margin-left:80.15pt;margin-top:80.1pt;width:44.5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" fillcolor="white [3201]" stroked="f" strokeweight=".5pt">
                <v:textbox inset="0,0,0,0">
                  <w:txbxContent>
                    <w:p w14:paraId="7246FED4" w14:textId="77777777" w:rsidR="002708BF" w:rsidRPr="00FB6BFE" w:rsidRDefault="002708BF" w:rsidP="002708BF">
                      <w:pPr>
                        <w:spacing w:before="0"/>
                        <w:rPr>
                          <w:b/>
                          <w:bCs/>
                          <w:sz w:val="10"/>
                          <w:szCs w:val="10"/>
                          <w:lang w:val="fr-CH"/>
                        </w:rPr>
                      </w:pPr>
                      <w:r>
                        <w:rPr>
                          <w:b/>
                          <w:bCs/>
                          <w:color w:val="7F7F7F" w:themeColor="text1" w:themeTint="80"/>
                          <w:sz w:val="10"/>
                          <w:szCs w:val="10"/>
                          <w:lang w:val="fr-CH"/>
                        </w:rPr>
                        <w:t>Membre de Secteur</w:t>
                      </w:r>
                    </w:p>
                  </w:txbxContent>
                </v:textbox>
              </v:shape>
            </w:pict>
          </mc:Fallback>
        </mc:AlternateContent>
      </w:r>
      <w:r w:rsidR="00E14781" w:rsidRPr="001D064F">
        <w:rPr>
          <w:rFonts w:asciiTheme="minorHAnsi" w:eastAsiaTheme="minorEastAsia" w:hAnsiTheme="minorHAnsi" w:cstheme="minorBidi"/>
          <w:noProof/>
          <w:color w:val="000000" w:themeColor="text1"/>
          <w:sz w:val="20"/>
        </w:rPr>
        <mc:AlternateContent>
          <mc:Choice Requires="wps">
            <w:drawing>
              <wp:anchor distT="0" distB="0" distL="114300" distR="114300" simplePos="0" relativeHeight="251659264" behindDoc="0" locked="0" layoutInCell="1" allowOverlap="1" wp14:anchorId="0EC333F1" wp14:editId="4651FE36">
                <wp:simplePos x="0" y="0"/>
                <wp:positionH relativeFrom="margin">
                  <wp:align>left</wp:align>
                </wp:positionH>
                <wp:positionV relativeFrom="paragraph">
                  <wp:posOffset>-139624</wp:posOffset>
                </wp:positionV>
                <wp:extent cx="2515921" cy="3327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15921" cy="332740"/>
                        </a:xfrm>
                        <a:prstGeom prst="rect">
                          <a:avLst/>
                        </a:prstGeom>
                        <a:solidFill>
                          <a:schemeClr val="lt1"/>
                        </a:solidFill>
                        <a:ln w="6350">
                          <a:noFill/>
                        </a:ln>
                      </wps:spPr>
                      <wps:txbx>
                        <w:txbxContent>
                          <w:p w14:paraId="199329C0" w14:textId="77777777" w:rsidR="00E14781" w:rsidRPr="00FB6BFE" w:rsidRDefault="00E14781" w:rsidP="00E14781">
                            <w:pPr>
                              <w:spacing w:before="0"/>
                              <w:rPr>
                                <w:lang w:val="fr-CH"/>
                              </w:rPr>
                            </w:pPr>
                            <w:r w:rsidRPr="00FB6BFE">
                              <w:rPr>
                                <w:b/>
                                <w:bCs/>
                                <w:sz w:val="14"/>
                                <w:szCs w:val="14"/>
                                <w:lang w:val="fr-CH"/>
                              </w:rPr>
                              <w:t xml:space="preserve">Évolution </w:t>
                            </w:r>
                            <w:r>
                              <w:rPr>
                                <w:b/>
                                <w:bCs/>
                                <w:sz w:val="14"/>
                                <w:szCs w:val="14"/>
                                <w:lang w:val="fr-CH"/>
                              </w:rPr>
                              <w:t>du nombre</w:t>
                            </w:r>
                            <w:r w:rsidRPr="00FB6BFE">
                              <w:rPr>
                                <w:b/>
                                <w:bCs/>
                                <w:sz w:val="14"/>
                                <w:szCs w:val="14"/>
                                <w:lang w:val="fr-CH"/>
                              </w:rPr>
                              <w:t xml:space="preserve"> </w:t>
                            </w:r>
                            <w:r>
                              <w:rPr>
                                <w:b/>
                                <w:bCs/>
                                <w:sz w:val="14"/>
                                <w:szCs w:val="14"/>
                                <w:lang w:val="fr-CH"/>
                              </w:rPr>
                              <w:t>de membres originaires des PMA, des PDSL, des PEID et des pays ayant des besoins particuliers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33F1" id="Text Box 1" o:spid="_x0000_s1030" type="#_x0000_t202" style="position:absolute;margin-left:0;margin-top:-11pt;width:198.1pt;height:2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" fillcolor="white [3201]" stroked="f" strokeweight=".5pt">
                <v:textbox>
                  <w:txbxContent>
                    <w:p w14:paraId="199329C0" w14:textId="77777777" w:rsidR="00E14781" w:rsidRPr="00FB6BFE" w:rsidRDefault="00E14781" w:rsidP="00E14781">
                      <w:pPr>
                        <w:spacing w:before="0"/>
                        <w:rPr>
                          <w:lang w:val="fr-CH"/>
                        </w:rPr>
                      </w:pPr>
                      <w:r w:rsidRPr="00FB6BFE">
                        <w:rPr>
                          <w:b/>
                          <w:bCs/>
                          <w:sz w:val="14"/>
                          <w:szCs w:val="14"/>
                          <w:lang w:val="fr-CH"/>
                        </w:rPr>
                        <w:t xml:space="preserve">Évolution </w:t>
                      </w:r>
                      <w:r>
                        <w:rPr>
                          <w:b/>
                          <w:bCs/>
                          <w:sz w:val="14"/>
                          <w:szCs w:val="14"/>
                          <w:lang w:val="fr-CH"/>
                        </w:rPr>
                        <w:t>du nombre</w:t>
                      </w:r>
                      <w:r w:rsidRPr="00FB6BFE">
                        <w:rPr>
                          <w:b/>
                          <w:bCs/>
                          <w:sz w:val="14"/>
                          <w:szCs w:val="14"/>
                          <w:lang w:val="fr-CH"/>
                        </w:rPr>
                        <w:t xml:space="preserve"> </w:t>
                      </w:r>
                      <w:r>
                        <w:rPr>
                          <w:b/>
                          <w:bCs/>
                          <w:sz w:val="14"/>
                          <w:szCs w:val="14"/>
                          <w:lang w:val="fr-CH"/>
                        </w:rPr>
                        <w:t>de membres originaires des PMA, des PDSL, des PEID et des pays ayant des besoins particuliers</w:t>
                      </w:r>
                    </w:p>
                  </w:txbxContent>
                </v:textbox>
                <w10:wrap anchorx="margin"/>
              </v:shape>
            </w:pict>
          </mc:Fallback>
        </mc:AlternateContent>
      </w:r>
      <w:r w:rsidR="00E14781" w:rsidRPr="001D064F">
        <w:rPr>
          <w:rFonts w:asciiTheme="minorHAnsi" w:eastAsiaTheme="minorEastAsia" w:hAnsiTheme="minorHAnsi" w:cstheme="minorBidi"/>
          <w:noProof/>
          <w:color w:val="000000" w:themeColor="text1"/>
          <w:sz w:val="20"/>
        </w:rPr>
        <w:drawing>
          <wp:inline distT="0" distB="0" distL="0" distR="0" wp14:anchorId="78D408EF" wp14:editId="7967C0BE">
            <wp:extent cx="5939790" cy="4659630"/>
            <wp:effectExtent l="0" t="0" r="3810" b="7620"/>
            <wp:docPr id="4" name="Pictur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659630"/>
                    </a:xfrm>
                    <a:prstGeom prst="rect">
                      <a:avLst/>
                    </a:prstGeom>
                    <a:noFill/>
                    <a:ln>
                      <a:noFill/>
                    </a:ln>
                  </pic:spPr>
                </pic:pic>
              </a:graphicData>
            </a:graphic>
          </wp:inline>
        </w:drawing>
      </w:r>
    </w:p>
    <w:p w14:paraId="0343B033" w14:textId="4A768B75" w:rsidR="00E14781" w:rsidRPr="001D064F" w:rsidRDefault="00E14781" w:rsidP="002708BF">
      <w:pPr>
        <w:pStyle w:val="Tabletitle"/>
        <w:spacing w:before="240" w:after="240"/>
        <w:rPr>
          <w:szCs w:val="24"/>
        </w:rPr>
      </w:pPr>
      <w:r w:rsidRPr="001D064F">
        <w:rPr>
          <w:szCs w:val="24"/>
        </w:rPr>
        <w:t>Figure 1: Évolution du nombre de membres originaires des</w:t>
      </w:r>
      <w:r w:rsidR="002708BF" w:rsidRPr="001D064F">
        <w:rPr>
          <w:szCs w:val="24"/>
        </w:rPr>
        <w:t xml:space="preserve"> </w:t>
      </w:r>
      <w:r w:rsidRPr="001D064F">
        <w:rPr>
          <w:szCs w:val="24"/>
        </w:rPr>
        <w:t xml:space="preserve">PMA, des PDSL, </w:t>
      </w:r>
      <w:r w:rsidR="002708BF" w:rsidRPr="001D064F">
        <w:rPr>
          <w:szCs w:val="24"/>
        </w:rPr>
        <w:br/>
      </w:r>
      <w:r w:rsidRPr="001D064F">
        <w:rPr>
          <w:szCs w:val="24"/>
        </w:rPr>
        <w:t>des PEID et des pays ayant des besoins particuliers</w:t>
      </w:r>
    </w:p>
    <w:p w14:paraId="00C0D9AE" w14:textId="77777777" w:rsidR="00E14781" w:rsidRPr="001D064F" w:rsidRDefault="00E14781" w:rsidP="00E14781">
      <w:pPr>
        <w:pStyle w:val="Headingb"/>
      </w:pPr>
      <w:r w:rsidRPr="001D064F">
        <w:t>Fidélisation des Membres</w:t>
      </w:r>
    </w:p>
    <w:p w14:paraId="016B88A9" w14:textId="217B7A5F" w:rsidR="00E14781" w:rsidRPr="001D064F" w:rsidRDefault="00E14781" w:rsidP="00E14781">
      <w:r w:rsidRPr="001D064F">
        <w:t>Depuis la dernière Conférence de plénipotentiaires en 2018, l'UIT a perdu 13 Membres de Secteur, Associés et établissements universitaires originaires de ces pays en raison de dénonciations. Depuis la Conférence de plénipotentiaires de 2014, ce chiffre s'élève à 31 entités. Actuellement, 15 entités comptant pour 17 adhésions sont suspendues pour défaut de paiement de leurs contributions.</w:t>
      </w:r>
    </w:p>
    <w:p w14:paraId="15666176" w14:textId="39D23F05" w:rsidR="00E14781" w:rsidRPr="001D064F" w:rsidRDefault="00E14781" w:rsidP="00E14781">
      <w:pPr>
        <w:pStyle w:val="Headingb"/>
      </w:pPr>
      <w:r w:rsidRPr="001D064F">
        <w:t>Demandes d'adhésion de Membres potentiels en attente</w:t>
      </w:r>
    </w:p>
    <w:p w14:paraId="13B5B556" w14:textId="40D0D14F" w:rsidR="00E14781" w:rsidRPr="001D064F" w:rsidRDefault="00E14781" w:rsidP="00E14781">
      <w:r w:rsidRPr="001D064F">
        <w:t>Depuis 2014, 32 demandes d'adhésion provenant d'entreprises et d'établissements universitaires originaires de ces pays reçues par l'UIT attendent toujours d'être approuvées par l'administration nationale. Alors que le temps passe, ces perspectives ont très peu de chances de se concrétiser.</w:t>
      </w:r>
    </w:p>
    <w:p w14:paraId="25FA9A51" w14:textId="19FEEE5E" w:rsidR="002708BF" w:rsidRPr="001D064F" w:rsidRDefault="002708BF">
      <w:pPr>
        <w:tabs>
          <w:tab w:val="clear" w:pos="567"/>
          <w:tab w:val="clear" w:pos="1134"/>
          <w:tab w:val="clear" w:pos="1701"/>
          <w:tab w:val="clear" w:pos="2268"/>
          <w:tab w:val="clear" w:pos="2835"/>
        </w:tabs>
        <w:overflowPunct/>
        <w:autoSpaceDE/>
        <w:autoSpaceDN/>
        <w:adjustRightInd/>
        <w:spacing w:before="0"/>
        <w:textAlignment w:val="auto"/>
      </w:pPr>
      <w:r w:rsidRPr="001D064F">
        <w:br w:type="page"/>
      </w:r>
    </w:p>
    <w:p w14:paraId="3CFA57AE" w14:textId="77777777" w:rsidR="00E14781" w:rsidRPr="001D064F" w:rsidRDefault="00E14781" w:rsidP="00E14781">
      <w:pPr>
        <w:pStyle w:val="Headingb"/>
      </w:pPr>
      <w:r w:rsidRPr="001D064F">
        <w:lastRenderedPageBreak/>
        <w:t>Autres formes de participation</w:t>
      </w:r>
    </w:p>
    <w:p w14:paraId="6276D12E" w14:textId="2181E82A" w:rsidR="00E14781" w:rsidRPr="001D064F" w:rsidRDefault="00E14781" w:rsidP="00E14781">
      <w:r w:rsidRPr="001D064F">
        <w:t xml:space="preserve">Au total, 85 entités de ces pays participent aux activités de l'UIT en tant qu'entité </w:t>
      </w:r>
      <w:r w:rsidR="006764D2" w:rsidRPr="001D064F">
        <w:t>"</w:t>
      </w:r>
      <w:r w:rsidRPr="001D064F">
        <w:t>rattachée à l'administration</w:t>
      </w:r>
      <w:r w:rsidR="006764D2" w:rsidRPr="001D064F">
        <w:t>"</w:t>
      </w:r>
      <w:r w:rsidRPr="001D064F">
        <w:t xml:space="preserve"> au sein de la délégation nationale. Outre les régulateurs nationaux, les radiodiffuseurs publics et d'autres entités publiques, ce chiffre comprend quelque 23 entreprises du secteur privé, principalement des opérateurs de télécommunication, qui pourraient participer en tant que Membres de Secteur payant des droits mais qui, pour le moment, participent sans verser de contribution financière au sein de la délégation nationale.</w:t>
      </w:r>
    </w:p>
    <w:p w14:paraId="2E9D1080" w14:textId="1B6A2913" w:rsidR="00E14781" w:rsidRPr="001D064F" w:rsidRDefault="00E14781" w:rsidP="00E14781">
      <w:pPr>
        <w:pStyle w:val="Headingb"/>
        <w:ind w:left="0" w:firstLine="0"/>
      </w:pPr>
      <w:r w:rsidRPr="001D064F">
        <w:t>Dispositions actuelles applicables aux entités des pays en développement s'acquittant de contributions financières réduites</w:t>
      </w:r>
    </w:p>
    <w:p w14:paraId="5A8ECA07" w14:textId="0FB45FB0" w:rsidR="00E14781" w:rsidRPr="001D064F" w:rsidRDefault="00E14781" w:rsidP="00E14781">
      <w:r w:rsidRPr="001D064F">
        <w:t>Les Membres de Secteur, les Associés et les établissements universitaires paient des contributions pour participer en tant que membres aux travaux de l'UIT. Un aperçu de ces contributions est donné dans l'Annexe 2. Il existe plusieurs dispositions différentes au titre desquelles les entités des pays en développement bénéficient de contributions réduites.</w:t>
      </w:r>
    </w:p>
    <w:p w14:paraId="32E94BFB" w14:textId="120DE71E" w:rsidR="00E14781" w:rsidRPr="001D064F" w:rsidRDefault="00E14781" w:rsidP="00E14781">
      <w:r w:rsidRPr="001D064F">
        <w:t>Les droits de participation au Secteur du développement des télécommunications de l'UIT (UIT-D) en tant que Membre de Secteur ou Associé (7</w:t>
      </w:r>
      <w:r w:rsidR="006764D2" w:rsidRPr="001D064F">
        <w:t> </w:t>
      </w:r>
      <w:r w:rsidRPr="001D064F">
        <w:t>950 CHF et 3</w:t>
      </w:r>
      <w:r w:rsidR="006764D2" w:rsidRPr="001D064F">
        <w:t> </w:t>
      </w:r>
      <w:r w:rsidRPr="001D064F">
        <w:t>975 CHF, respectivement) sont globalement inférieurs à ceux demandés pour les Secteurs des radiocommunications (UIT-R) et de la normalisation des télécommunications (UIT-T) (31</w:t>
      </w:r>
      <w:r w:rsidR="006764D2" w:rsidRPr="001D064F">
        <w:t> </w:t>
      </w:r>
      <w:r w:rsidRPr="001D064F">
        <w:t>800 CHF et 10</w:t>
      </w:r>
      <w:r w:rsidR="006764D2" w:rsidRPr="001D064F">
        <w:t> </w:t>
      </w:r>
      <w:r w:rsidRPr="001D064F">
        <w:t>600 CHF, respectivement), mais les entités des pays en développement bénéficient en plus d'une réduction de 50% sur les droits normaux de participation aux travaux de l'UIT-D (3</w:t>
      </w:r>
      <w:r w:rsidR="006764D2" w:rsidRPr="001D064F">
        <w:t> </w:t>
      </w:r>
      <w:r w:rsidRPr="001D064F">
        <w:t>975 CHF et 1</w:t>
      </w:r>
      <w:r w:rsidR="006764D2" w:rsidRPr="001D064F">
        <w:t> </w:t>
      </w:r>
      <w:r w:rsidRPr="001D064F">
        <w:t>978,50 CHF, respectivement).</w:t>
      </w:r>
    </w:p>
    <w:p w14:paraId="3B14A311" w14:textId="3570D427" w:rsidR="00E14781" w:rsidRPr="001D064F" w:rsidRDefault="00E14781" w:rsidP="00E14781">
      <w:r w:rsidRPr="001D064F">
        <w:t>En vertu de la Résolution 170 (Guadalajara, 2010) de la Conférence de plénipotentiaires, les entités des pays en développement "à faible revenu", c'est-à-dire les pays dont le revenu annuel par habitant est inférieur à 2</w:t>
      </w:r>
      <w:r w:rsidR="006764D2" w:rsidRPr="001D064F">
        <w:t> </w:t>
      </w:r>
      <w:r w:rsidRPr="001D064F">
        <w:t>000 USD (selon la définition du Programme des Nations Unies pour le développement, PNUD), sont autorisées à participer aux travaux de l'UIT-R et de l'UIT-T moyennant une contribution financière réduite. Ces entités s'acquittent d'une contribution réduite d'un montant de 3</w:t>
      </w:r>
      <w:r w:rsidR="006764D2" w:rsidRPr="001D064F">
        <w:t> </w:t>
      </w:r>
      <w:r w:rsidRPr="001D064F">
        <w:t>975 CHF pour participer aux travaux de l'UIT-R et de l'UIT-T en tant que Membre de Secteur. Les entités des pays en développement versent le même montant pour être Membre du Secteur de l'UIT-D. Fin de 2021, sept entités et cinq entités s'acquittaient d'une contribution réduite pour participer aux travaux de l'UIT-R et de l'UIT-T, respectivement.</w:t>
      </w:r>
    </w:p>
    <w:p w14:paraId="21C09693" w14:textId="56619D30" w:rsidR="00E14781" w:rsidRPr="001D064F" w:rsidRDefault="00E14781" w:rsidP="00E14781">
      <w:r w:rsidRPr="001D064F">
        <w:t>Conformément à la Résolution 209 (Dubaï, 2018) de la Conférence de plénipotentiaires, pour participer aux travaux d'une commission d'études de l'UIT-R ou de l'UIT-T, les petites et moyennes entreprises (PME) remplissant les conditions requises versent désormais une contribution de</w:t>
      </w:r>
      <w:r w:rsidR="006764D2" w:rsidRPr="001D064F">
        <w:t> </w:t>
      </w:r>
      <w:r w:rsidRPr="001D064F">
        <w:t>3</w:t>
      </w:r>
      <w:r w:rsidR="006764D2" w:rsidRPr="001D064F">
        <w:t> </w:t>
      </w:r>
      <w:r w:rsidRPr="001D064F">
        <w:t>975</w:t>
      </w:r>
      <w:r w:rsidR="006764D2" w:rsidRPr="001D064F">
        <w:t> </w:t>
      </w:r>
      <w:r w:rsidRPr="001D064F">
        <w:t>CHF par an si elles sont issues de pays développés, tandis que celles issues des pays en développement versent 1</w:t>
      </w:r>
      <w:r w:rsidR="006764D2" w:rsidRPr="001D064F">
        <w:t> </w:t>
      </w:r>
      <w:r w:rsidRPr="001D064F">
        <w:t>987,50</w:t>
      </w:r>
      <w:r w:rsidR="006764D2" w:rsidRPr="001D064F">
        <w:t> </w:t>
      </w:r>
      <w:r w:rsidRPr="001D064F">
        <w:t>CHF par an, alors que le montant normal des droits s'élève à</w:t>
      </w:r>
      <w:r w:rsidR="006764D2" w:rsidRPr="001D064F">
        <w:t> </w:t>
      </w:r>
      <w:r w:rsidRPr="001D064F">
        <w:t>10</w:t>
      </w:r>
      <w:r w:rsidR="006764D2" w:rsidRPr="001D064F">
        <w:t> </w:t>
      </w:r>
      <w:r w:rsidRPr="001D064F">
        <w:t>600</w:t>
      </w:r>
      <w:r w:rsidR="006764D2" w:rsidRPr="001D064F">
        <w:t> </w:t>
      </w:r>
      <w:r w:rsidRPr="001D064F">
        <w:t>CHF pour l'UIT-R et l'UIT-T. Les Associés participant aux travaux des Commissions d'études de l'UIT-D acquittent déjà ces montants. Les États Membres accordent le statut de PME selon les définitions nationales, mais la Conférence de plénipotentiaires (Dubaï, 2018) a limité le nombre maximum d'employés à 250 et, à sa session de 2019, le Conseil a fixé le montant maximal de leurs recettes annuelles à 15 millions CHF. Bien que 51 PME soient devenues membres de l'UIT, 43 prenant part aux travaux de l'UIT-T et 8 aux travaux de l'UIT-R, seulement deux entités sont issues de pays qui relèvent de la catégorie des PMA, des PDSL, des PEID ou des pays ayant des besoins particuliers.</w:t>
      </w:r>
    </w:p>
    <w:p w14:paraId="745D3F3E" w14:textId="78DC3743" w:rsidR="00E14781" w:rsidRPr="001D064F" w:rsidRDefault="00E14781" w:rsidP="002708BF">
      <w:pPr>
        <w:keepLines/>
      </w:pPr>
      <w:r w:rsidRPr="001D064F">
        <w:lastRenderedPageBreak/>
        <w:t>Aux termes de la Résolution 169 (Rév. Dubaï, 2018) de la Conférence de plénipotentiaires, les établissements universitaires des pays développés peuvent participer aux travaux des trois Secteurs moyennant une contribution annuelle réduite de 3 975 CHF, tandis que les établissements universitaires des pays en développement sont redevables d'un montant de</w:t>
      </w:r>
      <w:r w:rsidR="006764D2" w:rsidRPr="001D064F">
        <w:t> </w:t>
      </w:r>
      <w:r w:rsidRPr="001D064F">
        <w:t>1</w:t>
      </w:r>
      <w:r w:rsidR="006764D2" w:rsidRPr="001D064F">
        <w:t> </w:t>
      </w:r>
      <w:r w:rsidRPr="001D064F">
        <w:t>987,50 CHF par an. Sur un total de 161 établissements universitaires participant aux travaux de l'UIT en tant que membres, 12 sont issus de pays relevant de la catégorie des PMA, des PDSL, des PEID ou des pays ayant des besoins particuliers.</w:t>
      </w:r>
    </w:p>
    <w:p w14:paraId="3850366B" w14:textId="4902D8BB" w:rsidR="00E14781" w:rsidRPr="001D064F" w:rsidRDefault="00E14781" w:rsidP="00E14781">
      <w:pPr>
        <w:pStyle w:val="Headingb"/>
      </w:pPr>
      <w:r w:rsidRPr="001D064F">
        <w:t>Effets qu'auraient des modifications des droits d'adhésion</w:t>
      </w:r>
    </w:p>
    <w:p w14:paraId="78447B50" w14:textId="17559A04" w:rsidR="00E14781" w:rsidRPr="001D064F" w:rsidRDefault="00E14781" w:rsidP="00E14781">
      <w:r w:rsidRPr="001D064F">
        <w:t>Au total, 76 membres sont issus d'un État Membre appartenant à la catégorie des PMA, des PDSL, des PEID et des pays ayant des besoins particuliers (57 Membres de Secteur, 7 Associés et 12</w:t>
      </w:r>
      <w:r w:rsidR="002708BF" w:rsidRPr="001D064F">
        <w:t> </w:t>
      </w:r>
      <w:r w:rsidRPr="001D064F">
        <w:t>établissements universitaires). Parmi eux, 13 Membres de Secteur seraient concernés par une réduction des droits d'adhésion de 31</w:t>
      </w:r>
      <w:r w:rsidR="006764D2" w:rsidRPr="001D064F">
        <w:t> </w:t>
      </w:r>
      <w:r w:rsidRPr="001D064F">
        <w:t>800 CHF à 3</w:t>
      </w:r>
      <w:r w:rsidR="006764D2" w:rsidRPr="001D064F">
        <w:t> </w:t>
      </w:r>
      <w:r w:rsidRPr="001D064F">
        <w:t>975 CHF, si la Conférence de plénipotentiaires devait réviser sa Résolution 170 (Rév. Busan, 2014) pour élargir à ces pays la possibilité de bénéficier de contributions réduites. Cela engendrerait une perte potentielle de recettes de</w:t>
      </w:r>
      <w:r w:rsidR="00D01854" w:rsidRPr="001D064F">
        <w:t> </w:t>
      </w:r>
      <w:r w:rsidRPr="001D064F">
        <w:t>361</w:t>
      </w:r>
      <w:r w:rsidR="00D01854" w:rsidRPr="001D064F">
        <w:t> </w:t>
      </w:r>
      <w:r w:rsidRPr="001D064F">
        <w:t>725 CHF par an.</w:t>
      </w:r>
    </w:p>
    <w:p w14:paraId="763BA119" w14:textId="10F774F1" w:rsidR="00E14781" w:rsidRPr="001D064F" w:rsidRDefault="00E14781" w:rsidP="00E14781">
      <w:r w:rsidRPr="001D064F">
        <w:t>Les établissements universitaires bénéficient déjà de contributions réduites en vertu de la Résolution 169 (Rév. Dubaï, 2018) de la Conférence de plénipotentiaires. Si les établissements universitaires issus de ces pays devaient être exemptés des droits d'adhésion, comme l'a suggéré une délégation lors de l'examen du Document C22/79 à la session de 2022 du Conseil, la perte potentielle de recettes se monterait à 23</w:t>
      </w:r>
      <w:r w:rsidR="006764D2" w:rsidRPr="001D064F">
        <w:t> </w:t>
      </w:r>
      <w:r w:rsidRPr="001D064F">
        <w:t>850 CHF par an, ce qui nécessiterait que la Conférence de plénipotentiaires modifie sa Résolution 169 (Rév. Dubaï, 2018).</w:t>
      </w:r>
    </w:p>
    <w:p w14:paraId="2A796290" w14:textId="31B4DC16" w:rsidR="00E14781" w:rsidRPr="001D064F" w:rsidRDefault="00E14781" w:rsidP="00E14781">
      <w:r w:rsidRPr="001D064F">
        <w:t>Si la modification proposée pour les contributions des membres ne devait s'appliquer qu'aux membres issus des PMA, cinq Membres de Secteur seraient concernés, ce qui engendrerait une perte potentielle de recettes de 139</w:t>
      </w:r>
      <w:r w:rsidR="006764D2" w:rsidRPr="001D064F">
        <w:t> </w:t>
      </w:r>
      <w:r w:rsidRPr="001D064F">
        <w:t>125 CHF par an. S'agissant des établissements universitaires, quatre Membres seraient concernés, ce qui représenterait une perte potentielle de recettes de</w:t>
      </w:r>
      <w:r w:rsidR="006764D2" w:rsidRPr="001D064F">
        <w:t> </w:t>
      </w:r>
      <w:r w:rsidRPr="001D064F">
        <w:t>7</w:t>
      </w:r>
      <w:r w:rsidR="006764D2" w:rsidRPr="001D064F">
        <w:t> </w:t>
      </w:r>
      <w:r w:rsidRPr="001D064F">
        <w:t>950</w:t>
      </w:r>
      <w:r w:rsidR="006764D2" w:rsidRPr="001D064F">
        <w:t> </w:t>
      </w:r>
      <w:r w:rsidRPr="001D064F">
        <w:t>CHF par an.</w:t>
      </w:r>
    </w:p>
    <w:p w14:paraId="561B4528" w14:textId="263CD0AB" w:rsidR="00E14781" w:rsidRPr="001D064F" w:rsidRDefault="00E14781" w:rsidP="00E14781">
      <w:pPr>
        <w:pStyle w:val="Headingb"/>
      </w:pPr>
      <w:r w:rsidRPr="001D064F">
        <w:t xml:space="preserve">Initiatives de mobilisation et de sensibilisation à l'échelle de l'UIT et par Secteur </w:t>
      </w:r>
    </w:p>
    <w:p w14:paraId="6F39053E" w14:textId="276AC7C2" w:rsidR="00E14781" w:rsidRPr="001D064F" w:rsidRDefault="00E14781" w:rsidP="00E14781">
      <w:r w:rsidRPr="001D064F">
        <w:t xml:space="preserve">Le Secrétariat de l'UIT met en œuvre une stratégie coordonnée à l'échelle de l'UIT pour toucher de nouveaux publics, en vue d'accroître le nombre de membres de l'UIT et de diversifier la composition de l'organisation tout en adoptant une approche axée sur les clients pour améliorer les services fournis aux membres, de sorte qu'ils jouent un rôle actif dans les activités de l'UIT et en tirent parti. Un élément important de cette approche coordonnée centrée sur la sensibilisation a été le renforcement des capacités internes et la mise en œuvre de campagnes de marketing numérique et de webinaires publics en vue d'atteindre de nouveaux publics, dans des domaines aussi divers que les politiques et la réglementation, les statistiques, le Règlement des radiocommunications, les télécommunications par satellite, la radiodiffusion, l'automobile et la finance, pour ne citer que ces exemples. </w:t>
      </w:r>
    </w:p>
    <w:p w14:paraId="7CC72295" w14:textId="5197FB05" w:rsidR="00E14781" w:rsidRPr="001D064F" w:rsidRDefault="00E14781" w:rsidP="00E14781">
      <w:r w:rsidRPr="001D064F">
        <w:t>Chaque Bureau a pris des initiatives spécifiques pour contribuer à cette stratégie relative aux membres à l'échelle de l'UIT, dont voici un échantillon:</w:t>
      </w:r>
    </w:p>
    <w:p w14:paraId="033D5F1A" w14:textId="42498806" w:rsidR="00E14781" w:rsidRPr="001D064F" w:rsidRDefault="00E14781" w:rsidP="00E14781">
      <w:pPr>
        <w:pStyle w:val="enumlev1"/>
      </w:pPr>
      <w:r w:rsidRPr="001D064F">
        <w:t>1</w:t>
      </w:r>
      <w:r w:rsidR="00992D75" w:rsidRPr="001D064F">
        <w:t>)</w:t>
      </w:r>
      <w:r w:rsidRPr="001D064F">
        <w:tab/>
        <w:t xml:space="preserve">UIT-R: Au nombre des activités de promotion figurent la diffusion d'informations et l'assistance aux membres, la publication des produits de l'UIT-R, l'organisation de séminaires et d'ateliers et la participation à ces manifestations ainsi que la conception d'outils de communication et de promotion. L'objectif de ces activités est de faire en sorte que les résultats des activités menées par le Secteur de l'UIT-R (réglementations, Recommandations, </w:t>
      </w:r>
      <w:r w:rsidRPr="001D064F">
        <w:lastRenderedPageBreak/>
        <w:t>Rapports et Manuels) soient diffusés dans le monde entier pour qu'ils puissent servir de base à la formulation de politiques et à la prise de décisions aux niveaux national et régional concernant l'utilisation du spectre des fréquences radioélectriques. Des séminaires mondiaux et régionaux sur les radiocommunications ont été organisés pour présenter les mises à jour figurant dans l'édition de 2020 du Règlement des radiocommunications (et les décisions prises par la CMR-19), ainsi que les Règles de procédure associées. Avec des partenaires régionaux, le Bureau des radiocommunications (BR) a aidé les pays en développement à utiliser de manière efficace et équitable la radiodiffusion analogique et à affecter de nouvelles fréquences à la radiodiffusion MF. En collaboration avec le Bureau de développement des télécommunications (BDT), le BR a élaboré le programme de formation sur la gestion du spectre. Il a également organisé trois webinaires sur les satellites en 2021, lesquels ont rassemblé 5</w:t>
      </w:r>
      <w:r w:rsidR="00CE1F3B" w:rsidRPr="001D064F">
        <w:t> </w:t>
      </w:r>
      <w:r w:rsidRPr="001D064F">
        <w:t>500 participants de 135 pays, un véritable record, parmi lesquels figuraient de nouveaux acteurs du secteur privé et des milieux universitaires. Les webinaires ont été l'occasion pour les participants d'obtenir des informations à jour sur la situation technique et réglementaire actuelle ainsi que sur les tendances observées dans le secteur des télécommunications par satellite.</w:t>
      </w:r>
    </w:p>
    <w:p w14:paraId="64761BEB" w14:textId="19F41D62" w:rsidR="00E14781" w:rsidRPr="001D064F" w:rsidRDefault="00E14781" w:rsidP="00E14781">
      <w:pPr>
        <w:pStyle w:val="enumlev1"/>
      </w:pPr>
      <w:r w:rsidRPr="001D064F">
        <w:t>2</w:t>
      </w:r>
      <w:r w:rsidR="00992D75" w:rsidRPr="001D064F">
        <w:t>)</w:t>
      </w:r>
      <w:r w:rsidRPr="001D064F">
        <w:tab/>
        <w:t>L'UIT-T organise un certain nombre d'activités auxquelles des entités non-membres peuvent prendre part, telles que les travaux des groupes spécialisés, des ateliers, des séminaires, des webinaires, le programme pour la réduction de l'écart en matière de normalisation, le Journal de l'UIT sur les technologies futures et les technologies en évolution, ainsi que des manifestations annuelles comme le Sommet mondial sur l'intelligence artificielle au service du bien social, la manifestation Kaléidoscope de l'UIT et les Colloques sur la voiture branchée de demain. L'UIT-T propose également des moyens de participation à distance pour un grand nombre de ses activités afin de répondre aux besoins d'un public international. Ces activités permettent aux entités non-membres de se familiariser avec les travaux de l'UIT-T, l'objectif étant de les encourager à prendre part aux travaux de l'UIT-T en tant que Membre de Secteur, Associé ou établissement universitaire participant aux travaux de l'UIT.</w:t>
      </w:r>
    </w:p>
    <w:p w14:paraId="2219FE69" w14:textId="05A46C04" w:rsidR="00E14781" w:rsidRPr="001D064F" w:rsidRDefault="00E14781" w:rsidP="00E14781">
      <w:pPr>
        <w:pStyle w:val="enumlev1"/>
      </w:pPr>
      <w:r w:rsidRPr="001D064F">
        <w:t>3</w:t>
      </w:r>
      <w:r w:rsidR="00992D75" w:rsidRPr="001D064F">
        <w:t>)</w:t>
      </w:r>
      <w:r w:rsidRPr="001D064F">
        <w:tab/>
        <w:t>L'UIT-D a mis en œuvre un certain nombre d'initiatives de mobilisation qui visent à attirer, à soutenir et à fidéliser les Membres de Secteur et les établissements universitaires. Le Groupe consultatif de professionnels chargé des questions de développement (IAGDI) a été mis sur pied pour favoriser l'échange d'informations et aider à identifier les priorités et les obstacles en matière de réglementation. L'initiative Know Your Members (À la rencontre des Membres) offre un cadre qui donne au secteur privé et a établissement universitaires la possibilité d'interagir avec la haute direction du BDT pour échanger des vues sur la coordination, la mobilisation et les partenariats en faveur du développement de manière régulière, donner suite aux suggestions des membres et écouter leurs préoccupations, le cas échéant. Les discussions sur les technologies (TECH TALKS) sont une initiative visant à mobiliser les établissements universitaires et le secteur privé, dans le cadre de laquelle ils peuvent présenter leurs technologies, leurs initiatives et leurs projets de développement les plus récents. En outre, à cette occasion, le BDT présente ses projets et initiatives en cours et invite les établissements universitaires et le secteur privé à y prendre part.</w:t>
      </w:r>
    </w:p>
    <w:p w14:paraId="1678372F" w14:textId="445A5036" w:rsidR="00E14781" w:rsidRPr="001D064F" w:rsidRDefault="00E14781">
      <w:pPr>
        <w:tabs>
          <w:tab w:val="clear" w:pos="567"/>
          <w:tab w:val="clear" w:pos="1134"/>
          <w:tab w:val="clear" w:pos="1701"/>
          <w:tab w:val="clear" w:pos="2268"/>
          <w:tab w:val="clear" w:pos="2835"/>
        </w:tabs>
        <w:overflowPunct/>
        <w:autoSpaceDE/>
        <w:autoSpaceDN/>
        <w:adjustRightInd/>
        <w:spacing w:before="0"/>
        <w:textAlignment w:val="auto"/>
      </w:pPr>
      <w:r w:rsidRPr="001D064F">
        <w:br w:type="page"/>
      </w:r>
    </w:p>
    <w:p w14:paraId="38B09B3E" w14:textId="77777777" w:rsidR="00E14781" w:rsidRPr="001D064F" w:rsidRDefault="00E14781" w:rsidP="00CE1F3B">
      <w:pPr>
        <w:pStyle w:val="AnnexNo"/>
      </w:pPr>
      <w:r w:rsidRPr="001D064F">
        <w:lastRenderedPageBreak/>
        <w:t>ANNEXE 1</w:t>
      </w:r>
    </w:p>
    <w:p w14:paraId="6A4067F9" w14:textId="77777777" w:rsidR="00E14781" w:rsidRPr="001D064F" w:rsidRDefault="00E14781" w:rsidP="00CE1F3B">
      <w:pPr>
        <w:pStyle w:val="Annextitle"/>
        <w:rPr>
          <w:sz w:val="24"/>
          <w:szCs w:val="24"/>
        </w:rPr>
      </w:pPr>
      <w:r w:rsidRPr="001D064F">
        <w:rPr>
          <w:sz w:val="24"/>
          <w:szCs w:val="24"/>
        </w:rPr>
        <w:t>Nombre total de membres par Secteur</w:t>
      </w:r>
    </w:p>
    <w:tbl>
      <w:tblPr>
        <w:tblW w:w="8235"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8"/>
        <w:gridCol w:w="1610"/>
        <w:gridCol w:w="1319"/>
        <w:gridCol w:w="1087"/>
        <w:gridCol w:w="1131"/>
        <w:gridCol w:w="1450"/>
      </w:tblGrid>
      <w:tr w:rsidR="00CE1F3B" w:rsidRPr="001D064F" w14:paraId="7704AAB8" w14:textId="77777777" w:rsidTr="00CE1F3B">
        <w:trPr>
          <w:trHeight w:val="249"/>
        </w:trPr>
        <w:tc>
          <w:tcPr>
            <w:tcW w:w="1638" w:type="dxa"/>
            <w:shd w:val="clear" w:color="auto" w:fill="4472C4"/>
            <w:noWrap/>
            <w:vAlign w:val="center"/>
            <w:hideMark/>
          </w:tcPr>
          <w:p w14:paraId="43E19C1D" w14:textId="77777777" w:rsidR="00E14781" w:rsidRPr="001D064F" w:rsidRDefault="00E14781" w:rsidP="00412C07">
            <w:pPr>
              <w:pStyle w:val="Tablehead"/>
              <w:spacing w:before="0" w:after="0"/>
              <w:rPr>
                <w:color w:val="FFFFFF" w:themeColor="background1"/>
                <w:lang w:eastAsia="en-GB"/>
              </w:rPr>
            </w:pPr>
            <w:r w:rsidRPr="001D064F">
              <w:rPr>
                <w:color w:val="FFFFFF" w:themeColor="background1"/>
                <w:lang w:eastAsia="en-GB"/>
              </w:rPr>
              <w:t>Secteur</w:t>
            </w:r>
          </w:p>
        </w:tc>
        <w:tc>
          <w:tcPr>
            <w:tcW w:w="1610" w:type="dxa"/>
            <w:shd w:val="clear" w:color="auto" w:fill="4472C4"/>
            <w:noWrap/>
            <w:vAlign w:val="center"/>
            <w:hideMark/>
          </w:tcPr>
          <w:p w14:paraId="412EEA83" w14:textId="77777777" w:rsidR="00E14781" w:rsidRPr="001D064F" w:rsidRDefault="00E14781" w:rsidP="00412C07">
            <w:pPr>
              <w:pStyle w:val="Tablehead"/>
              <w:spacing w:before="0" w:after="0"/>
              <w:rPr>
                <w:color w:val="FFFFFF" w:themeColor="background1"/>
                <w:lang w:eastAsia="en-GB"/>
              </w:rPr>
            </w:pPr>
            <w:r w:rsidRPr="001D064F">
              <w:rPr>
                <w:color w:val="FFFFFF" w:themeColor="background1"/>
                <w:lang w:eastAsia="en-GB"/>
              </w:rPr>
              <w:t>Paramètre</w:t>
            </w:r>
          </w:p>
        </w:tc>
        <w:tc>
          <w:tcPr>
            <w:tcW w:w="1319" w:type="dxa"/>
            <w:shd w:val="clear" w:color="auto" w:fill="4472C4"/>
            <w:noWrap/>
            <w:vAlign w:val="center"/>
            <w:hideMark/>
          </w:tcPr>
          <w:p w14:paraId="3FE78599" w14:textId="77777777" w:rsidR="00E14781" w:rsidRPr="001D064F" w:rsidRDefault="00E14781" w:rsidP="00412C07">
            <w:pPr>
              <w:pStyle w:val="Tablehead"/>
              <w:spacing w:before="0" w:after="0"/>
              <w:rPr>
                <w:color w:val="FFFFFF" w:themeColor="background1"/>
                <w:lang w:eastAsia="en-GB"/>
              </w:rPr>
            </w:pPr>
            <w:r w:rsidRPr="001D064F">
              <w:rPr>
                <w:color w:val="FFFFFF" w:themeColor="background1"/>
                <w:lang w:eastAsia="en-GB"/>
              </w:rPr>
              <w:t>PMA</w:t>
            </w:r>
          </w:p>
        </w:tc>
        <w:tc>
          <w:tcPr>
            <w:tcW w:w="1087" w:type="dxa"/>
            <w:shd w:val="clear" w:color="auto" w:fill="4472C4"/>
            <w:noWrap/>
            <w:vAlign w:val="center"/>
            <w:hideMark/>
          </w:tcPr>
          <w:p w14:paraId="2FFD088A" w14:textId="77777777" w:rsidR="00E14781" w:rsidRPr="001D064F" w:rsidRDefault="00E14781" w:rsidP="00412C07">
            <w:pPr>
              <w:pStyle w:val="Tablehead"/>
              <w:spacing w:before="0" w:after="0"/>
              <w:rPr>
                <w:color w:val="FFFFFF" w:themeColor="background1"/>
                <w:lang w:eastAsia="en-GB"/>
              </w:rPr>
            </w:pPr>
            <w:r w:rsidRPr="001D064F">
              <w:rPr>
                <w:color w:val="FFFFFF" w:themeColor="background1"/>
                <w:lang w:eastAsia="en-GB"/>
              </w:rPr>
              <w:t>PDSL</w:t>
            </w:r>
          </w:p>
        </w:tc>
        <w:tc>
          <w:tcPr>
            <w:tcW w:w="1131" w:type="dxa"/>
            <w:shd w:val="clear" w:color="auto" w:fill="4472C4"/>
            <w:noWrap/>
            <w:vAlign w:val="center"/>
            <w:hideMark/>
          </w:tcPr>
          <w:p w14:paraId="193D5453" w14:textId="77777777" w:rsidR="00E14781" w:rsidRPr="001D064F" w:rsidRDefault="00E14781" w:rsidP="00412C07">
            <w:pPr>
              <w:pStyle w:val="Tablehead"/>
              <w:spacing w:before="0" w:after="0"/>
              <w:rPr>
                <w:color w:val="FFFFFF" w:themeColor="background1"/>
                <w:lang w:eastAsia="en-GB"/>
              </w:rPr>
            </w:pPr>
            <w:r w:rsidRPr="001D064F">
              <w:rPr>
                <w:color w:val="FFFFFF" w:themeColor="background1"/>
                <w:lang w:eastAsia="en-GB"/>
              </w:rPr>
              <w:t>PEID</w:t>
            </w:r>
          </w:p>
        </w:tc>
        <w:tc>
          <w:tcPr>
            <w:tcW w:w="1450" w:type="dxa"/>
            <w:shd w:val="clear" w:color="auto" w:fill="4472C4"/>
            <w:noWrap/>
            <w:vAlign w:val="center"/>
            <w:hideMark/>
          </w:tcPr>
          <w:p w14:paraId="60D8C4D9" w14:textId="77777777" w:rsidR="00E14781" w:rsidRPr="001D064F" w:rsidRDefault="00E14781" w:rsidP="00412C07">
            <w:pPr>
              <w:pStyle w:val="Tablehead"/>
              <w:spacing w:before="0" w:after="0"/>
              <w:rPr>
                <w:color w:val="FFFFFF" w:themeColor="background1"/>
                <w:lang w:eastAsia="en-GB"/>
              </w:rPr>
            </w:pPr>
            <w:r w:rsidRPr="001D064F">
              <w:rPr>
                <w:color w:val="FFFFFF" w:themeColor="background1"/>
                <w:lang w:eastAsia="en-GB"/>
              </w:rPr>
              <w:t>Pays ayant des besoins particuliers</w:t>
            </w:r>
          </w:p>
        </w:tc>
      </w:tr>
      <w:tr w:rsidR="00E14781" w:rsidRPr="001D064F" w14:paraId="4FA160BD" w14:textId="77777777" w:rsidTr="00EA124C">
        <w:trPr>
          <w:trHeight w:val="249"/>
        </w:trPr>
        <w:tc>
          <w:tcPr>
            <w:tcW w:w="1638" w:type="dxa"/>
            <w:vMerge w:val="restart"/>
            <w:shd w:val="clear" w:color="auto" w:fill="4472C4"/>
            <w:noWrap/>
            <w:vAlign w:val="center"/>
            <w:hideMark/>
          </w:tcPr>
          <w:p w14:paraId="091658A5" w14:textId="77777777" w:rsidR="00E14781" w:rsidRPr="001D064F" w:rsidRDefault="00E14781" w:rsidP="00412C07">
            <w:pPr>
              <w:pStyle w:val="Tabletext"/>
              <w:spacing w:before="0" w:after="0"/>
              <w:jc w:val="center"/>
              <w:rPr>
                <w:b/>
                <w:bCs/>
                <w:color w:val="FFFFFF" w:themeColor="background1"/>
                <w:sz w:val="20"/>
                <w:lang w:eastAsia="en-GB"/>
              </w:rPr>
            </w:pPr>
            <w:r w:rsidRPr="001D064F">
              <w:rPr>
                <w:b/>
                <w:bCs/>
                <w:color w:val="FFFFFF" w:themeColor="background1"/>
                <w:sz w:val="20"/>
                <w:lang w:eastAsia="en-GB"/>
              </w:rPr>
              <w:t>UIT-R</w:t>
            </w:r>
          </w:p>
        </w:tc>
        <w:tc>
          <w:tcPr>
            <w:tcW w:w="1610" w:type="dxa"/>
            <w:shd w:val="clear" w:color="auto" w:fill="4472C4"/>
            <w:noWrap/>
            <w:vAlign w:val="bottom"/>
            <w:hideMark/>
          </w:tcPr>
          <w:p w14:paraId="395378E6"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Pays représentés</w:t>
            </w:r>
          </w:p>
        </w:tc>
        <w:tc>
          <w:tcPr>
            <w:tcW w:w="1319" w:type="dxa"/>
            <w:shd w:val="clear" w:color="auto" w:fill="D9E1F2"/>
            <w:noWrap/>
            <w:vAlign w:val="bottom"/>
            <w:hideMark/>
          </w:tcPr>
          <w:p w14:paraId="5251E9EB"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6</w:t>
            </w:r>
          </w:p>
        </w:tc>
        <w:tc>
          <w:tcPr>
            <w:tcW w:w="1087" w:type="dxa"/>
            <w:shd w:val="clear" w:color="auto" w:fill="D9E1F2"/>
            <w:noWrap/>
            <w:vAlign w:val="bottom"/>
            <w:hideMark/>
          </w:tcPr>
          <w:p w14:paraId="2B87B876"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w:t>
            </w:r>
          </w:p>
        </w:tc>
        <w:tc>
          <w:tcPr>
            <w:tcW w:w="1131" w:type="dxa"/>
            <w:shd w:val="clear" w:color="auto" w:fill="D9E1F2"/>
            <w:noWrap/>
            <w:vAlign w:val="bottom"/>
            <w:hideMark/>
          </w:tcPr>
          <w:p w14:paraId="10BC436A"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3</w:t>
            </w:r>
          </w:p>
        </w:tc>
        <w:tc>
          <w:tcPr>
            <w:tcW w:w="1450" w:type="dxa"/>
            <w:shd w:val="clear" w:color="auto" w:fill="D9E1F2"/>
            <w:noWrap/>
            <w:vAlign w:val="bottom"/>
            <w:hideMark/>
          </w:tcPr>
          <w:p w14:paraId="2172E3FF"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0</w:t>
            </w:r>
          </w:p>
        </w:tc>
      </w:tr>
      <w:tr w:rsidR="00E14781" w:rsidRPr="001D064F" w14:paraId="6B56B72B" w14:textId="77777777" w:rsidTr="00EA124C">
        <w:trPr>
          <w:trHeight w:val="249"/>
        </w:trPr>
        <w:tc>
          <w:tcPr>
            <w:tcW w:w="1638" w:type="dxa"/>
            <w:vMerge/>
            <w:vAlign w:val="center"/>
            <w:hideMark/>
          </w:tcPr>
          <w:p w14:paraId="7D0907DA"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5E7F2430"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Membres</w:t>
            </w:r>
          </w:p>
        </w:tc>
        <w:tc>
          <w:tcPr>
            <w:tcW w:w="1319" w:type="dxa"/>
            <w:shd w:val="clear" w:color="auto" w:fill="auto"/>
            <w:noWrap/>
            <w:vAlign w:val="bottom"/>
            <w:hideMark/>
          </w:tcPr>
          <w:p w14:paraId="4E9C3827"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6</w:t>
            </w:r>
          </w:p>
        </w:tc>
        <w:tc>
          <w:tcPr>
            <w:tcW w:w="1087" w:type="dxa"/>
            <w:shd w:val="clear" w:color="auto" w:fill="auto"/>
            <w:noWrap/>
            <w:vAlign w:val="bottom"/>
            <w:hideMark/>
          </w:tcPr>
          <w:p w14:paraId="5A230D87"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w:t>
            </w:r>
          </w:p>
        </w:tc>
        <w:tc>
          <w:tcPr>
            <w:tcW w:w="1131" w:type="dxa"/>
            <w:shd w:val="clear" w:color="auto" w:fill="auto"/>
            <w:noWrap/>
            <w:vAlign w:val="bottom"/>
            <w:hideMark/>
          </w:tcPr>
          <w:p w14:paraId="0DCADA53"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3</w:t>
            </w:r>
          </w:p>
        </w:tc>
        <w:tc>
          <w:tcPr>
            <w:tcW w:w="1450" w:type="dxa"/>
            <w:shd w:val="clear" w:color="auto" w:fill="auto"/>
            <w:noWrap/>
            <w:vAlign w:val="bottom"/>
            <w:hideMark/>
          </w:tcPr>
          <w:p w14:paraId="3A26534E"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0</w:t>
            </w:r>
          </w:p>
        </w:tc>
      </w:tr>
      <w:tr w:rsidR="00E14781" w:rsidRPr="001D064F" w14:paraId="408D0021" w14:textId="77777777" w:rsidTr="00EA124C">
        <w:trPr>
          <w:trHeight w:val="261"/>
        </w:trPr>
        <w:tc>
          <w:tcPr>
            <w:tcW w:w="1638" w:type="dxa"/>
            <w:vMerge/>
            <w:vAlign w:val="center"/>
            <w:hideMark/>
          </w:tcPr>
          <w:p w14:paraId="78BDD2AC"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2547F99C"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Adhésions</w:t>
            </w:r>
          </w:p>
        </w:tc>
        <w:tc>
          <w:tcPr>
            <w:tcW w:w="1319" w:type="dxa"/>
            <w:shd w:val="clear" w:color="auto" w:fill="D9E1F2"/>
            <w:noWrap/>
            <w:vAlign w:val="bottom"/>
            <w:hideMark/>
          </w:tcPr>
          <w:p w14:paraId="553FA984"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6</w:t>
            </w:r>
          </w:p>
        </w:tc>
        <w:tc>
          <w:tcPr>
            <w:tcW w:w="1087" w:type="dxa"/>
            <w:shd w:val="clear" w:color="auto" w:fill="D9E1F2"/>
            <w:noWrap/>
            <w:vAlign w:val="bottom"/>
            <w:hideMark/>
          </w:tcPr>
          <w:p w14:paraId="0657109D"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w:t>
            </w:r>
          </w:p>
        </w:tc>
        <w:tc>
          <w:tcPr>
            <w:tcW w:w="1131" w:type="dxa"/>
            <w:shd w:val="clear" w:color="auto" w:fill="D9E1F2"/>
            <w:noWrap/>
            <w:vAlign w:val="bottom"/>
            <w:hideMark/>
          </w:tcPr>
          <w:p w14:paraId="5524FA7A"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3</w:t>
            </w:r>
          </w:p>
        </w:tc>
        <w:tc>
          <w:tcPr>
            <w:tcW w:w="1450" w:type="dxa"/>
            <w:shd w:val="clear" w:color="auto" w:fill="D9E1F2"/>
            <w:noWrap/>
            <w:vAlign w:val="bottom"/>
            <w:hideMark/>
          </w:tcPr>
          <w:p w14:paraId="06A9F0F1"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0</w:t>
            </w:r>
          </w:p>
        </w:tc>
      </w:tr>
      <w:tr w:rsidR="00E14781" w:rsidRPr="001D064F" w14:paraId="4D372845" w14:textId="77777777" w:rsidTr="00EA124C">
        <w:trPr>
          <w:trHeight w:val="249"/>
        </w:trPr>
        <w:tc>
          <w:tcPr>
            <w:tcW w:w="1638" w:type="dxa"/>
            <w:vMerge w:val="restart"/>
            <w:shd w:val="clear" w:color="auto" w:fill="4472C4"/>
            <w:noWrap/>
            <w:vAlign w:val="center"/>
            <w:hideMark/>
          </w:tcPr>
          <w:p w14:paraId="7C4ABCC3" w14:textId="77777777" w:rsidR="00E14781" w:rsidRPr="001D064F" w:rsidRDefault="00E14781" w:rsidP="00412C07">
            <w:pPr>
              <w:pStyle w:val="Tabletext"/>
              <w:spacing w:before="0" w:after="0"/>
              <w:jc w:val="center"/>
              <w:rPr>
                <w:b/>
                <w:bCs/>
                <w:color w:val="FFFFFF" w:themeColor="background1"/>
                <w:sz w:val="20"/>
                <w:lang w:eastAsia="en-GB"/>
              </w:rPr>
            </w:pPr>
            <w:r w:rsidRPr="001D064F">
              <w:rPr>
                <w:b/>
                <w:bCs/>
                <w:color w:val="FFFFFF" w:themeColor="background1"/>
                <w:sz w:val="20"/>
                <w:lang w:eastAsia="en-GB"/>
              </w:rPr>
              <w:t>UIT-T</w:t>
            </w:r>
          </w:p>
        </w:tc>
        <w:tc>
          <w:tcPr>
            <w:tcW w:w="1610" w:type="dxa"/>
            <w:shd w:val="clear" w:color="auto" w:fill="4472C4"/>
            <w:noWrap/>
            <w:vAlign w:val="bottom"/>
            <w:hideMark/>
          </w:tcPr>
          <w:p w14:paraId="5A388FAE"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Pays représentés</w:t>
            </w:r>
          </w:p>
        </w:tc>
        <w:tc>
          <w:tcPr>
            <w:tcW w:w="1319" w:type="dxa"/>
            <w:shd w:val="clear" w:color="auto" w:fill="auto"/>
            <w:noWrap/>
            <w:vAlign w:val="bottom"/>
            <w:hideMark/>
          </w:tcPr>
          <w:p w14:paraId="46ECF661"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7</w:t>
            </w:r>
          </w:p>
        </w:tc>
        <w:tc>
          <w:tcPr>
            <w:tcW w:w="1087" w:type="dxa"/>
            <w:shd w:val="clear" w:color="auto" w:fill="auto"/>
            <w:noWrap/>
            <w:vAlign w:val="bottom"/>
            <w:hideMark/>
          </w:tcPr>
          <w:p w14:paraId="0BB4BDDC"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131" w:type="dxa"/>
            <w:shd w:val="clear" w:color="auto" w:fill="auto"/>
            <w:noWrap/>
            <w:vAlign w:val="bottom"/>
            <w:hideMark/>
          </w:tcPr>
          <w:p w14:paraId="2FE45380"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5</w:t>
            </w:r>
          </w:p>
        </w:tc>
        <w:tc>
          <w:tcPr>
            <w:tcW w:w="1450" w:type="dxa"/>
            <w:shd w:val="clear" w:color="auto" w:fill="auto"/>
            <w:noWrap/>
            <w:vAlign w:val="bottom"/>
            <w:hideMark/>
          </w:tcPr>
          <w:p w14:paraId="65642047"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w:t>
            </w:r>
          </w:p>
        </w:tc>
      </w:tr>
      <w:tr w:rsidR="00E14781" w:rsidRPr="001D064F" w14:paraId="174C84C7" w14:textId="77777777" w:rsidTr="00EA124C">
        <w:trPr>
          <w:trHeight w:val="249"/>
        </w:trPr>
        <w:tc>
          <w:tcPr>
            <w:tcW w:w="1638" w:type="dxa"/>
            <w:vMerge/>
            <w:vAlign w:val="center"/>
            <w:hideMark/>
          </w:tcPr>
          <w:p w14:paraId="5810CF28"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17E8278C"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Membres</w:t>
            </w:r>
          </w:p>
        </w:tc>
        <w:tc>
          <w:tcPr>
            <w:tcW w:w="1319" w:type="dxa"/>
            <w:shd w:val="clear" w:color="auto" w:fill="D9E1F2"/>
            <w:noWrap/>
            <w:vAlign w:val="bottom"/>
            <w:hideMark/>
          </w:tcPr>
          <w:p w14:paraId="4041DC8F"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8</w:t>
            </w:r>
          </w:p>
        </w:tc>
        <w:tc>
          <w:tcPr>
            <w:tcW w:w="1087" w:type="dxa"/>
            <w:shd w:val="clear" w:color="auto" w:fill="D9E1F2"/>
            <w:noWrap/>
            <w:vAlign w:val="bottom"/>
            <w:hideMark/>
          </w:tcPr>
          <w:p w14:paraId="39B7245B"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131" w:type="dxa"/>
            <w:shd w:val="clear" w:color="auto" w:fill="D9E1F2"/>
            <w:noWrap/>
            <w:vAlign w:val="bottom"/>
            <w:hideMark/>
          </w:tcPr>
          <w:p w14:paraId="41FA78B2"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7</w:t>
            </w:r>
          </w:p>
        </w:tc>
        <w:tc>
          <w:tcPr>
            <w:tcW w:w="1450" w:type="dxa"/>
            <w:shd w:val="clear" w:color="auto" w:fill="D9E1F2"/>
            <w:noWrap/>
            <w:vAlign w:val="bottom"/>
            <w:hideMark/>
          </w:tcPr>
          <w:p w14:paraId="40F52300"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w:t>
            </w:r>
          </w:p>
        </w:tc>
      </w:tr>
      <w:tr w:rsidR="00E14781" w:rsidRPr="001D064F" w14:paraId="661E5B13" w14:textId="77777777" w:rsidTr="00EA124C">
        <w:trPr>
          <w:trHeight w:val="261"/>
        </w:trPr>
        <w:tc>
          <w:tcPr>
            <w:tcW w:w="1638" w:type="dxa"/>
            <w:vMerge/>
            <w:vAlign w:val="center"/>
            <w:hideMark/>
          </w:tcPr>
          <w:p w14:paraId="6D8E8E99"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1101684A"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Adhésions</w:t>
            </w:r>
          </w:p>
        </w:tc>
        <w:tc>
          <w:tcPr>
            <w:tcW w:w="1319" w:type="dxa"/>
            <w:shd w:val="clear" w:color="auto" w:fill="auto"/>
            <w:noWrap/>
            <w:vAlign w:val="bottom"/>
            <w:hideMark/>
          </w:tcPr>
          <w:p w14:paraId="7E0A9727"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8</w:t>
            </w:r>
          </w:p>
        </w:tc>
        <w:tc>
          <w:tcPr>
            <w:tcW w:w="1087" w:type="dxa"/>
            <w:shd w:val="clear" w:color="auto" w:fill="auto"/>
            <w:noWrap/>
            <w:vAlign w:val="bottom"/>
            <w:hideMark/>
          </w:tcPr>
          <w:p w14:paraId="77559CD0"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131" w:type="dxa"/>
            <w:shd w:val="clear" w:color="auto" w:fill="auto"/>
            <w:noWrap/>
            <w:vAlign w:val="bottom"/>
            <w:hideMark/>
          </w:tcPr>
          <w:p w14:paraId="2A6DDC43"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7</w:t>
            </w:r>
          </w:p>
        </w:tc>
        <w:tc>
          <w:tcPr>
            <w:tcW w:w="1450" w:type="dxa"/>
            <w:shd w:val="clear" w:color="auto" w:fill="auto"/>
            <w:noWrap/>
            <w:vAlign w:val="bottom"/>
            <w:hideMark/>
          </w:tcPr>
          <w:p w14:paraId="53A7C431"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w:t>
            </w:r>
          </w:p>
        </w:tc>
      </w:tr>
      <w:tr w:rsidR="00E14781" w:rsidRPr="001D064F" w14:paraId="5A2CC192" w14:textId="77777777" w:rsidTr="00EA124C">
        <w:trPr>
          <w:trHeight w:val="249"/>
        </w:trPr>
        <w:tc>
          <w:tcPr>
            <w:tcW w:w="1638" w:type="dxa"/>
            <w:vMerge w:val="restart"/>
            <w:shd w:val="clear" w:color="auto" w:fill="4472C4"/>
            <w:noWrap/>
            <w:vAlign w:val="center"/>
            <w:hideMark/>
          </w:tcPr>
          <w:p w14:paraId="3598C87C" w14:textId="77777777" w:rsidR="00E14781" w:rsidRPr="001D064F" w:rsidRDefault="00E14781" w:rsidP="00412C07">
            <w:pPr>
              <w:pStyle w:val="Tabletext"/>
              <w:spacing w:before="0" w:after="0"/>
              <w:jc w:val="center"/>
              <w:rPr>
                <w:b/>
                <w:bCs/>
                <w:color w:val="FFFFFF" w:themeColor="background1"/>
                <w:sz w:val="20"/>
                <w:lang w:eastAsia="en-GB"/>
              </w:rPr>
            </w:pPr>
            <w:r w:rsidRPr="001D064F">
              <w:rPr>
                <w:b/>
                <w:bCs/>
                <w:color w:val="FFFFFF" w:themeColor="background1"/>
                <w:sz w:val="20"/>
                <w:lang w:eastAsia="en-GB"/>
              </w:rPr>
              <w:t>UIT-D</w:t>
            </w:r>
          </w:p>
        </w:tc>
        <w:tc>
          <w:tcPr>
            <w:tcW w:w="1610" w:type="dxa"/>
            <w:shd w:val="clear" w:color="auto" w:fill="4472C4"/>
            <w:noWrap/>
            <w:vAlign w:val="bottom"/>
            <w:hideMark/>
          </w:tcPr>
          <w:p w14:paraId="41501C0E"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Pays représentés</w:t>
            </w:r>
          </w:p>
        </w:tc>
        <w:tc>
          <w:tcPr>
            <w:tcW w:w="1319" w:type="dxa"/>
            <w:shd w:val="clear" w:color="auto" w:fill="D9E1F2"/>
            <w:noWrap/>
            <w:vAlign w:val="bottom"/>
            <w:hideMark/>
          </w:tcPr>
          <w:p w14:paraId="39512B37"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14</w:t>
            </w:r>
          </w:p>
        </w:tc>
        <w:tc>
          <w:tcPr>
            <w:tcW w:w="1087" w:type="dxa"/>
            <w:shd w:val="clear" w:color="auto" w:fill="D9E1F2"/>
            <w:noWrap/>
            <w:vAlign w:val="bottom"/>
            <w:hideMark/>
          </w:tcPr>
          <w:p w14:paraId="79F3A68F"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12</w:t>
            </w:r>
          </w:p>
        </w:tc>
        <w:tc>
          <w:tcPr>
            <w:tcW w:w="1131" w:type="dxa"/>
            <w:shd w:val="clear" w:color="auto" w:fill="D9E1F2"/>
            <w:noWrap/>
            <w:vAlign w:val="bottom"/>
            <w:hideMark/>
          </w:tcPr>
          <w:p w14:paraId="1349A407"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8</w:t>
            </w:r>
          </w:p>
        </w:tc>
        <w:tc>
          <w:tcPr>
            <w:tcW w:w="1450" w:type="dxa"/>
            <w:shd w:val="clear" w:color="auto" w:fill="D9E1F2"/>
            <w:noWrap/>
            <w:vAlign w:val="bottom"/>
            <w:hideMark/>
          </w:tcPr>
          <w:p w14:paraId="0B265F90"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r>
      <w:tr w:rsidR="00E14781" w:rsidRPr="001D064F" w14:paraId="352D3EAF" w14:textId="77777777" w:rsidTr="00EA124C">
        <w:trPr>
          <w:trHeight w:val="249"/>
        </w:trPr>
        <w:tc>
          <w:tcPr>
            <w:tcW w:w="1638" w:type="dxa"/>
            <w:vMerge/>
            <w:vAlign w:val="center"/>
            <w:hideMark/>
          </w:tcPr>
          <w:p w14:paraId="020AE8F7"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779806EC"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Membres</w:t>
            </w:r>
          </w:p>
        </w:tc>
        <w:tc>
          <w:tcPr>
            <w:tcW w:w="1319" w:type="dxa"/>
            <w:shd w:val="clear" w:color="auto" w:fill="auto"/>
            <w:noWrap/>
            <w:vAlign w:val="bottom"/>
            <w:hideMark/>
          </w:tcPr>
          <w:p w14:paraId="1E4E789C"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22</w:t>
            </w:r>
          </w:p>
        </w:tc>
        <w:tc>
          <w:tcPr>
            <w:tcW w:w="1087" w:type="dxa"/>
            <w:shd w:val="clear" w:color="auto" w:fill="auto"/>
            <w:noWrap/>
            <w:vAlign w:val="bottom"/>
            <w:hideMark/>
          </w:tcPr>
          <w:p w14:paraId="4375C03A"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17</w:t>
            </w:r>
          </w:p>
        </w:tc>
        <w:tc>
          <w:tcPr>
            <w:tcW w:w="1131" w:type="dxa"/>
            <w:shd w:val="clear" w:color="auto" w:fill="auto"/>
            <w:noWrap/>
            <w:vAlign w:val="bottom"/>
            <w:hideMark/>
          </w:tcPr>
          <w:p w14:paraId="175C5CD2"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8</w:t>
            </w:r>
          </w:p>
        </w:tc>
        <w:tc>
          <w:tcPr>
            <w:tcW w:w="1450" w:type="dxa"/>
            <w:shd w:val="clear" w:color="auto" w:fill="auto"/>
            <w:noWrap/>
            <w:vAlign w:val="bottom"/>
            <w:hideMark/>
          </w:tcPr>
          <w:p w14:paraId="4D619F68"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5</w:t>
            </w:r>
          </w:p>
        </w:tc>
      </w:tr>
      <w:tr w:rsidR="00E14781" w:rsidRPr="001D064F" w14:paraId="24A305F1" w14:textId="77777777" w:rsidTr="00EA124C">
        <w:trPr>
          <w:trHeight w:val="261"/>
        </w:trPr>
        <w:tc>
          <w:tcPr>
            <w:tcW w:w="1638" w:type="dxa"/>
            <w:vMerge/>
            <w:vAlign w:val="center"/>
            <w:hideMark/>
          </w:tcPr>
          <w:p w14:paraId="23CA9A9D"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2E9A471D"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Adhésions</w:t>
            </w:r>
          </w:p>
        </w:tc>
        <w:tc>
          <w:tcPr>
            <w:tcW w:w="1319" w:type="dxa"/>
            <w:shd w:val="clear" w:color="auto" w:fill="D9E1F2"/>
            <w:noWrap/>
            <w:vAlign w:val="bottom"/>
            <w:hideMark/>
          </w:tcPr>
          <w:p w14:paraId="6FA6E159"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22</w:t>
            </w:r>
          </w:p>
        </w:tc>
        <w:tc>
          <w:tcPr>
            <w:tcW w:w="1087" w:type="dxa"/>
            <w:shd w:val="clear" w:color="auto" w:fill="D9E1F2"/>
            <w:noWrap/>
            <w:vAlign w:val="bottom"/>
            <w:hideMark/>
          </w:tcPr>
          <w:p w14:paraId="70200DE9"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17</w:t>
            </w:r>
          </w:p>
        </w:tc>
        <w:tc>
          <w:tcPr>
            <w:tcW w:w="1131" w:type="dxa"/>
            <w:shd w:val="clear" w:color="auto" w:fill="D9E1F2"/>
            <w:noWrap/>
            <w:vAlign w:val="bottom"/>
            <w:hideMark/>
          </w:tcPr>
          <w:p w14:paraId="18C2AA25"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8</w:t>
            </w:r>
          </w:p>
        </w:tc>
        <w:tc>
          <w:tcPr>
            <w:tcW w:w="1450" w:type="dxa"/>
            <w:shd w:val="clear" w:color="auto" w:fill="D9E1F2"/>
            <w:noWrap/>
            <w:vAlign w:val="bottom"/>
            <w:hideMark/>
          </w:tcPr>
          <w:p w14:paraId="7F0602B6"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5</w:t>
            </w:r>
          </w:p>
        </w:tc>
      </w:tr>
      <w:tr w:rsidR="00E14781" w:rsidRPr="001D064F" w14:paraId="672C8B8B" w14:textId="77777777" w:rsidTr="00EA124C">
        <w:trPr>
          <w:trHeight w:val="249"/>
        </w:trPr>
        <w:tc>
          <w:tcPr>
            <w:tcW w:w="1638" w:type="dxa"/>
            <w:vMerge w:val="restart"/>
            <w:shd w:val="clear" w:color="auto" w:fill="4472C4"/>
            <w:noWrap/>
            <w:vAlign w:val="center"/>
            <w:hideMark/>
          </w:tcPr>
          <w:p w14:paraId="1D27B1EA" w14:textId="77777777" w:rsidR="00E14781" w:rsidRPr="001D064F" w:rsidRDefault="00E14781" w:rsidP="00412C07">
            <w:pPr>
              <w:pStyle w:val="Tabletext"/>
              <w:spacing w:before="0" w:after="0"/>
              <w:jc w:val="center"/>
              <w:rPr>
                <w:b/>
                <w:bCs/>
                <w:color w:val="FFFFFF" w:themeColor="background1"/>
                <w:sz w:val="20"/>
                <w:lang w:eastAsia="en-GB"/>
              </w:rPr>
            </w:pPr>
            <w:r w:rsidRPr="001D064F">
              <w:rPr>
                <w:b/>
                <w:bCs/>
                <w:color w:val="FFFFFF" w:themeColor="background1"/>
                <w:sz w:val="20"/>
                <w:lang w:eastAsia="en-GB"/>
              </w:rPr>
              <w:t>Établissements universitaires</w:t>
            </w:r>
          </w:p>
        </w:tc>
        <w:tc>
          <w:tcPr>
            <w:tcW w:w="1610" w:type="dxa"/>
            <w:shd w:val="clear" w:color="auto" w:fill="4472C4"/>
            <w:noWrap/>
            <w:vAlign w:val="bottom"/>
            <w:hideMark/>
          </w:tcPr>
          <w:p w14:paraId="16E11CCD"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Pays représentés</w:t>
            </w:r>
          </w:p>
        </w:tc>
        <w:tc>
          <w:tcPr>
            <w:tcW w:w="1319" w:type="dxa"/>
            <w:shd w:val="clear" w:color="auto" w:fill="auto"/>
            <w:noWrap/>
            <w:vAlign w:val="bottom"/>
            <w:hideMark/>
          </w:tcPr>
          <w:p w14:paraId="551AA031"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087" w:type="dxa"/>
            <w:shd w:val="clear" w:color="auto" w:fill="auto"/>
            <w:noWrap/>
            <w:vAlign w:val="bottom"/>
            <w:hideMark/>
          </w:tcPr>
          <w:p w14:paraId="798048B8"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3</w:t>
            </w:r>
          </w:p>
        </w:tc>
        <w:tc>
          <w:tcPr>
            <w:tcW w:w="1131" w:type="dxa"/>
            <w:shd w:val="clear" w:color="auto" w:fill="auto"/>
            <w:noWrap/>
            <w:vAlign w:val="bottom"/>
            <w:hideMark/>
          </w:tcPr>
          <w:p w14:paraId="4972C1A4"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450" w:type="dxa"/>
            <w:shd w:val="clear" w:color="auto" w:fill="auto"/>
            <w:noWrap/>
            <w:vAlign w:val="bottom"/>
            <w:hideMark/>
          </w:tcPr>
          <w:p w14:paraId="527B81BA"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w:t>
            </w:r>
          </w:p>
        </w:tc>
      </w:tr>
      <w:tr w:rsidR="00E14781" w:rsidRPr="001D064F" w14:paraId="14A1F92D" w14:textId="77777777" w:rsidTr="00EA124C">
        <w:trPr>
          <w:trHeight w:val="249"/>
        </w:trPr>
        <w:tc>
          <w:tcPr>
            <w:tcW w:w="1638" w:type="dxa"/>
            <w:vMerge/>
            <w:vAlign w:val="center"/>
            <w:hideMark/>
          </w:tcPr>
          <w:p w14:paraId="32F23E92"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1257302C"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Membres</w:t>
            </w:r>
          </w:p>
        </w:tc>
        <w:tc>
          <w:tcPr>
            <w:tcW w:w="1319" w:type="dxa"/>
            <w:shd w:val="clear" w:color="auto" w:fill="D9E1F2"/>
            <w:noWrap/>
            <w:vAlign w:val="bottom"/>
            <w:hideMark/>
          </w:tcPr>
          <w:p w14:paraId="35DFC640"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087" w:type="dxa"/>
            <w:shd w:val="clear" w:color="auto" w:fill="D9E1F2"/>
            <w:noWrap/>
            <w:vAlign w:val="bottom"/>
            <w:hideMark/>
          </w:tcPr>
          <w:p w14:paraId="64C55CEA"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131" w:type="dxa"/>
            <w:shd w:val="clear" w:color="auto" w:fill="D9E1F2"/>
            <w:noWrap/>
            <w:vAlign w:val="bottom"/>
            <w:hideMark/>
          </w:tcPr>
          <w:p w14:paraId="028A6AC8"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6</w:t>
            </w:r>
          </w:p>
        </w:tc>
        <w:tc>
          <w:tcPr>
            <w:tcW w:w="1450" w:type="dxa"/>
            <w:shd w:val="clear" w:color="auto" w:fill="D9E1F2"/>
            <w:noWrap/>
            <w:vAlign w:val="bottom"/>
            <w:hideMark/>
          </w:tcPr>
          <w:p w14:paraId="132F321B"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w:t>
            </w:r>
          </w:p>
        </w:tc>
      </w:tr>
      <w:tr w:rsidR="00E14781" w:rsidRPr="001D064F" w14:paraId="1A937A83" w14:textId="77777777" w:rsidTr="00EA124C">
        <w:trPr>
          <w:trHeight w:val="261"/>
        </w:trPr>
        <w:tc>
          <w:tcPr>
            <w:tcW w:w="1638" w:type="dxa"/>
            <w:vMerge/>
            <w:vAlign w:val="center"/>
            <w:hideMark/>
          </w:tcPr>
          <w:p w14:paraId="24E0E2C7" w14:textId="77777777" w:rsidR="00E14781" w:rsidRPr="001D064F" w:rsidRDefault="00E14781" w:rsidP="00412C07">
            <w:pPr>
              <w:pStyle w:val="Tabletext"/>
              <w:spacing w:before="0" w:after="0"/>
              <w:jc w:val="center"/>
              <w:rPr>
                <w:b/>
                <w:bCs/>
                <w:color w:val="FFFFFF" w:themeColor="background1"/>
                <w:sz w:val="20"/>
                <w:lang w:eastAsia="en-GB"/>
              </w:rPr>
            </w:pPr>
          </w:p>
        </w:tc>
        <w:tc>
          <w:tcPr>
            <w:tcW w:w="1610" w:type="dxa"/>
            <w:shd w:val="clear" w:color="auto" w:fill="4472C4"/>
            <w:noWrap/>
            <w:vAlign w:val="bottom"/>
            <w:hideMark/>
          </w:tcPr>
          <w:p w14:paraId="6268C54E"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Adhésions</w:t>
            </w:r>
          </w:p>
        </w:tc>
        <w:tc>
          <w:tcPr>
            <w:tcW w:w="1319" w:type="dxa"/>
            <w:shd w:val="clear" w:color="auto" w:fill="auto"/>
            <w:noWrap/>
            <w:vAlign w:val="bottom"/>
            <w:hideMark/>
          </w:tcPr>
          <w:p w14:paraId="68663972"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087" w:type="dxa"/>
            <w:shd w:val="clear" w:color="auto" w:fill="auto"/>
            <w:noWrap/>
            <w:vAlign w:val="bottom"/>
            <w:hideMark/>
          </w:tcPr>
          <w:p w14:paraId="34B6AAC6"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4</w:t>
            </w:r>
          </w:p>
        </w:tc>
        <w:tc>
          <w:tcPr>
            <w:tcW w:w="1131" w:type="dxa"/>
            <w:shd w:val="clear" w:color="auto" w:fill="auto"/>
            <w:noWrap/>
            <w:vAlign w:val="bottom"/>
            <w:hideMark/>
          </w:tcPr>
          <w:p w14:paraId="5EC23808"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6</w:t>
            </w:r>
          </w:p>
        </w:tc>
        <w:tc>
          <w:tcPr>
            <w:tcW w:w="1450" w:type="dxa"/>
            <w:shd w:val="clear" w:color="auto" w:fill="auto"/>
            <w:noWrap/>
            <w:vAlign w:val="bottom"/>
            <w:hideMark/>
          </w:tcPr>
          <w:p w14:paraId="5BEC7D65" w14:textId="77777777" w:rsidR="00E14781" w:rsidRPr="001D064F" w:rsidRDefault="00E14781" w:rsidP="00412C07">
            <w:pPr>
              <w:pStyle w:val="Tabletext"/>
              <w:spacing w:before="0" w:after="0"/>
              <w:jc w:val="center"/>
              <w:rPr>
                <w:color w:val="000000"/>
                <w:sz w:val="20"/>
                <w:lang w:eastAsia="en-GB"/>
              </w:rPr>
            </w:pPr>
            <w:r w:rsidRPr="001D064F">
              <w:rPr>
                <w:color w:val="000000"/>
                <w:sz w:val="20"/>
                <w:lang w:eastAsia="en-GB"/>
              </w:rPr>
              <w:t>1</w:t>
            </w:r>
          </w:p>
        </w:tc>
      </w:tr>
      <w:tr w:rsidR="00E14781" w:rsidRPr="001D064F" w14:paraId="29819C1C" w14:textId="77777777" w:rsidTr="00EA124C">
        <w:trPr>
          <w:trHeight w:val="249"/>
        </w:trPr>
        <w:tc>
          <w:tcPr>
            <w:tcW w:w="1638" w:type="dxa"/>
            <w:vMerge w:val="restart"/>
            <w:shd w:val="clear" w:color="auto" w:fill="4472C4"/>
            <w:noWrap/>
            <w:vAlign w:val="center"/>
            <w:hideMark/>
          </w:tcPr>
          <w:p w14:paraId="26CFBFDE" w14:textId="77777777" w:rsidR="00E14781" w:rsidRPr="001D064F" w:rsidRDefault="00E14781" w:rsidP="00412C07">
            <w:pPr>
              <w:pStyle w:val="Tabletext"/>
              <w:spacing w:before="0" w:after="0"/>
              <w:jc w:val="center"/>
              <w:rPr>
                <w:b/>
                <w:bCs/>
                <w:color w:val="FFFFFF" w:themeColor="background1"/>
                <w:sz w:val="20"/>
                <w:lang w:eastAsia="en-GB"/>
              </w:rPr>
            </w:pPr>
            <w:r w:rsidRPr="001D064F">
              <w:rPr>
                <w:b/>
                <w:bCs/>
                <w:color w:val="FFFFFF" w:themeColor="background1"/>
                <w:sz w:val="20"/>
                <w:lang w:eastAsia="en-GB"/>
              </w:rPr>
              <w:t>TOTAL</w:t>
            </w:r>
          </w:p>
        </w:tc>
        <w:tc>
          <w:tcPr>
            <w:tcW w:w="1610" w:type="dxa"/>
            <w:shd w:val="clear" w:color="auto" w:fill="4472C4"/>
            <w:noWrap/>
            <w:vAlign w:val="bottom"/>
            <w:hideMark/>
          </w:tcPr>
          <w:p w14:paraId="0B007E0B"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Pays représentés</w:t>
            </w:r>
          </w:p>
        </w:tc>
        <w:tc>
          <w:tcPr>
            <w:tcW w:w="1319" w:type="dxa"/>
            <w:shd w:val="clear" w:color="auto" w:fill="D9E1F2"/>
            <w:noWrap/>
            <w:vAlign w:val="bottom"/>
            <w:hideMark/>
          </w:tcPr>
          <w:p w14:paraId="2CF03008"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20</w:t>
            </w:r>
          </w:p>
        </w:tc>
        <w:tc>
          <w:tcPr>
            <w:tcW w:w="1087" w:type="dxa"/>
            <w:shd w:val="clear" w:color="auto" w:fill="D9E1F2"/>
            <w:noWrap/>
            <w:vAlign w:val="bottom"/>
            <w:hideMark/>
          </w:tcPr>
          <w:p w14:paraId="156F7A0D"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16</w:t>
            </w:r>
          </w:p>
        </w:tc>
        <w:tc>
          <w:tcPr>
            <w:tcW w:w="1131" w:type="dxa"/>
            <w:shd w:val="clear" w:color="auto" w:fill="D9E1F2"/>
            <w:noWrap/>
            <w:vAlign w:val="bottom"/>
            <w:hideMark/>
          </w:tcPr>
          <w:p w14:paraId="70AA01B6"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11</w:t>
            </w:r>
          </w:p>
        </w:tc>
        <w:tc>
          <w:tcPr>
            <w:tcW w:w="1450" w:type="dxa"/>
            <w:shd w:val="clear" w:color="auto" w:fill="D9E1F2"/>
            <w:noWrap/>
            <w:vAlign w:val="bottom"/>
            <w:hideMark/>
          </w:tcPr>
          <w:p w14:paraId="45109DC6"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6</w:t>
            </w:r>
          </w:p>
        </w:tc>
      </w:tr>
      <w:tr w:rsidR="00E14781" w:rsidRPr="001D064F" w14:paraId="63A9A21E" w14:textId="77777777" w:rsidTr="00EA124C">
        <w:trPr>
          <w:trHeight w:val="249"/>
        </w:trPr>
        <w:tc>
          <w:tcPr>
            <w:tcW w:w="1638" w:type="dxa"/>
            <w:vMerge/>
            <w:vAlign w:val="center"/>
            <w:hideMark/>
          </w:tcPr>
          <w:p w14:paraId="6C4E9637" w14:textId="77777777" w:rsidR="00E14781" w:rsidRPr="001D064F" w:rsidRDefault="00E14781" w:rsidP="00412C07">
            <w:pPr>
              <w:pStyle w:val="Tabletext"/>
              <w:spacing w:before="0" w:after="0"/>
              <w:rPr>
                <w:color w:val="FFFFFF" w:themeColor="background1"/>
                <w:sz w:val="20"/>
                <w:lang w:eastAsia="en-GB"/>
              </w:rPr>
            </w:pPr>
          </w:p>
        </w:tc>
        <w:tc>
          <w:tcPr>
            <w:tcW w:w="1610" w:type="dxa"/>
            <w:shd w:val="clear" w:color="auto" w:fill="4472C4"/>
            <w:noWrap/>
            <w:vAlign w:val="bottom"/>
            <w:hideMark/>
          </w:tcPr>
          <w:p w14:paraId="1DE5B717"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Membres</w:t>
            </w:r>
          </w:p>
        </w:tc>
        <w:tc>
          <w:tcPr>
            <w:tcW w:w="1319" w:type="dxa"/>
            <w:shd w:val="clear" w:color="auto" w:fill="auto"/>
            <w:noWrap/>
            <w:vAlign w:val="bottom"/>
            <w:hideMark/>
          </w:tcPr>
          <w:p w14:paraId="10ADB19E"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32</w:t>
            </w:r>
          </w:p>
        </w:tc>
        <w:tc>
          <w:tcPr>
            <w:tcW w:w="1087" w:type="dxa"/>
            <w:shd w:val="clear" w:color="auto" w:fill="auto"/>
            <w:noWrap/>
            <w:vAlign w:val="bottom"/>
            <w:hideMark/>
          </w:tcPr>
          <w:p w14:paraId="7283C014"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24</w:t>
            </w:r>
          </w:p>
        </w:tc>
        <w:tc>
          <w:tcPr>
            <w:tcW w:w="1131" w:type="dxa"/>
            <w:shd w:val="clear" w:color="auto" w:fill="auto"/>
            <w:noWrap/>
            <w:vAlign w:val="bottom"/>
            <w:hideMark/>
          </w:tcPr>
          <w:p w14:paraId="436CBC9F"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19</w:t>
            </w:r>
          </w:p>
        </w:tc>
        <w:tc>
          <w:tcPr>
            <w:tcW w:w="1450" w:type="dxa"/>
            <w:shd w:val="clear" w:color="auto" w:fill="auto"/>
            <w:noWrap/>
            <w:vAlign w:val="bottom"/>
            <w:hideMark/>
          </w:tcPr>
          <w:p w14:paraId="3D8CF541"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8</w:t>
            </w:r>
          </w:p>
        </w:tc>
      </w:tr>
      <w:tr w:rsidR="00E14781" w:rsidRPr="001D064F" w14:paraId="0B0D4CBE" w14:textId="77777777" w:rsidTr="00EA124C">
        <w:trPr>
          <w:trHeight w:val="261"/>
        </w:trPr>
        <w:tc>
          <w:tcPr>
            <w:tcW w:w="1638" w:type="dxa"/>
            <w:vMerge/>
            <w:vAlign w:val="center"/>
            <w:hideMark/>
          </w:tcPr>
          <w:p w14:paraId="7DBD3B20" w14:textId="77777777" w:rsidR="00E14781" w:rsidRPr="001D064F" w:rsidRDefault="00E14781" w:rsidP="00412C07">
            <w:pPr>
              <w:pStyle w:val="Tabletext"/>
              <w:spacing w:before="0" w:after="0"/>
              <w:rPr>
                <w:color w:val="FFFFFF" w:themeColor="background1"/>
                <w:sz w:val="20"/>
                <w:lang w:eastAsia="en-GB"/>
              </w:rPr>
            </w:pPr>
          </w:p>
        </w:tc>
        <w:tc>
          <w:tcPr>
            <w:tcW w:w="1610" w:type="dxa"/>
            <w:shd w:val="clear" w:color="auto" w:fill="4472C4"/>
            <w:noWrap/>
            <w:vAlign w:val="bottom"/>
            <w:hideMark/>
          </w:tcPr>
          <w:p w14:paraId="5F923FD9" w14:textId="77777777" w:rsidR="00E14781" w:rsidRPr="001D064F" w:rsidRDefault="00E14781" w:rsidP="00412C07">
            <w:pPr>
              <w:pStyle w:val="Tabletext"/>
              <w:spacing w:before="0" w:after="0"/>
              <w:rPr>
                <w:i/>
                <w:iCs/>
                <w:color w:val="FFFFFF" w:themeColor="background1"/>
                <w:sz w:val="20"/>
                <w:lang w:eastAsia="en-GB"/>
              </w:rPr>
            </w:pPr>
            <w:r w:rsidRPr="001D064F">
              <w:rPr>
                <w:i/>
                <w:iCs/>
                <w:color w:val="FFFFFF" w:themeColor="background1"/>
                <w:sz w:val="20"/>
                <w:lang w:eastAsia="en-GB"/>
              </w:rPr>
              <w:t>Adhésions</w:t>
            </w:r>
          </w:p>
        </w:tc>
        <w:tc>
          <w:tcPr>
            <w:tcW w:w="1319" w:type="dxa"/>
            <w:shd w:val="clear" w:color="auto" w:fill="D9E1F2"/>
            <w:noWrap/>
            <w:vAlign w:val="bottom"/>
            <w:hideMark/>
          </w:tcPr>
          <w:p w14:paraId="08A8402D"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40</w:t>
            </w:r>
          </w:p>
        </w:tc>
        <w:tc>
          <w:tcPr>
            <w:tcW w:w="1087" w:type="dxa"/>
            <w:shd w:val="clear" w:color="auto" w:fill="D9E1F2"/>
            <w:noWrap/>
            <w:vAlign w:val="bottom"/>
            <w:hideMark/>
          </w:tcPr>
          <w:p w14:paraId="39B2B7BE"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27</w:t>
            </w:r>
          </w:p>
        </w:tc>
        <w:tc>
          <w:tcPr>
            <w:tcW w:w="1131" w:type="dxa"/>
            <w:shd w:val="clear" w:color="auto" w:fill="D9E1F2"/>
            <w:noWrap/>
            <w:vAlign w:val="bottom"/>
            <w:hideMark/>
          </w:tcPr>
          <w:p w14:paraId="183FD31C"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24</w:t>
            </w:r>
          </w:p>
        </w:tc>
        <w:tc>
          <w:tcPr>
            <w:tcW w:w="1450" w:type="dxa"/>
            <w:shd w:val="clear" w:color="auto" w:fill="D9E1F2"/>
            <w:noWrap/>
            <w:vAlign w:val="bottom"/>
            <w:hideMark/>
          </w:tcPr>
          <w:p w14:paraId="63929FE7" w14:textId="77777777" w:rsidR="00E14781" w:rsidRPr="001D064F" w:rsidRDefault="00E14781" w:rsidP="00412C07">
            <w:pPr>
              <w:pStyle w:val="Tabletext"/>
              <w:spacing w:before="0" w:after="0"/>
              <w:jc w:val="center"/>
              <w:rPr>
                <w:b/>
                <w:bCs/>
                <w:color w:val="000000"/>
                <w:sz w:val="20"/>
                <w:lang w:eastAsia="en-GB"/>
              </w:rPr>
            </w:pPr>
            <w:r w:rsidRPr="001D064F">
              <w:rPr>
                <w:b/>
                <w:bCs/>
                <w:color w:val="000000"/>
                <w:sz w:val="20"/>
                <w:lang w:eastAsia="en-GB"/>
              </w:rPr>
              <w:t>8</w:t>
            </w:r>
          </w:p>
        </w:tc>
      </w:tr>
    </w:tbl>
    <w:p w14:paraId="1845D71D" w14:textId="1FA13A3D" w:rsidR="00E14781" w:rsidRPr="001D064F" w:rsidRDefault="00E14781" w:rsidP="00CE1F3B">
      <w:pPr>
        <w:pStyle w:val="Tablelegend"/>
        <w:rPr>
          <w:rFonts w:eastAsiaTheme="minorEastAsia"/>
          <w:sz w:val="16"/>
          <w:szCs w:val="16"/>
        </w:rPr>
      </w:pPr>
      <w:r w:rsidRPr="001D064F">
        <w:rPr>
          <w:rFonts w:eastAsiaTheme="minorEastAsia"/>
          <w:sz w:val="16"/>
          <w:szCs w:val="16"/>
        </w:rPr>
        <w:t>Tableau 2: Ventilation par Secteur des membres originaires des PMA, des PDSL, des PEID et des pays ayant des besoins particuliers</w:t>
      </w:r>
      <w:r w:rsidR="00E85864" w:rsidRPr="001D064F">
        <w:rPr>
          <w:rFonts w:eastAsiaTheme="minorEastAsia"/>
          <w:sz w:val="16"/>
          <w:szCs w:val="16"/>
        </w:rPr>
        <w:t>.</w:t>
      </w:r>
    </w:p>
    <w:p w14:paraId="4A5A2EF4" w14:textId="0A641D96" w:rsidR="00E14781" w:rsidRPr="001D064F" w:rsidRDefault="00E14781" w:rsidP="00CE1F3B">
      <w:pPr>
        <w:pStyle w:val="AnnexNo"/>
      </w:pPr>
      <w:r w:rsidRPr="001D064F">
        <w:t>ANNEXE 2</w:t>
      </w:r>
    </w:p>
    <w:p w14:paraId="00C8220F" w14:textId="2AD61BEC" w:rsidR="00E14781" w:rsidRPr="001D064F" w:rsidRDefault="00E14781" w:rsidP="00CE1F3B">
      <w:pPr>
        <w:pStyle w:val="Annextitle"/>
        <w:rPr>
          <w:bCs/>
          <w:sz w:val="24"/>
          <w:szCs w:val="24"/>
        </w:rPr>
      </w:pPr>
      <w:r w:rsidRPr="001D064F">
        <w:rPr>
          <w:sz w:val="24"/>
          <w:szCs w:val="24"/>
        </w:rPr>
        <w:t>Droits d'adhésion par Secteur/par catégorie</w:t>
      </w:r>
    </w:p>
    <w:p w14:paraId="18CF3DA4" w14:textId="342A4F42" w:rsidR="00E14781" w:rsidRPr="001D064F" w:rsidRDefault="00E14781" w:rsidP="00412C07">
      <w:pPr>
        <w:pStyle w:val="Note"/>
        <w:spacing w:after="120"/>
      </w:pPr>
      <w:r w:rsidRPr="001D064F">
        <w:t>NOTE: 63 600 CHF = 1 unité; 31 800 CHF = 1/2 unité; 10 600 CHF = 1/6 unité; 7</w:t>
      </w:r>
      <w:r w:rsidR="00E85864" w:rsidRPr="001D064F">
        <w:t> </w:t>
      </w:r>
      <w:r w:rsidRPr="001D064F">
        <w:t>950</w:t>
      </w:r>
      <w:r w:rsidR="00E85864" w:rsidRPr="001D064F">
        <w:t> </w:t>
      </w:r>
      <w:r w:rsidRPr="001D064F">
        <w:t>CHF</w:t>
      </w:r>
      <w:r w:rsidR="00E85864" w:rsidRPr="001D064F">
        <w:t> </w:t>
      </w:r>
      <w:r w:rsidRPr="001D064F">
        <w:t>=</w:t>
      </w:r>
      <w:r w:rsidR="00E85864" w:rsidRPr="001D064F">
        <w:t> </w:t>
      </w:r>
      <w:r w:rsidRPr="001D064F">
        <w:t>1/8</w:t>
      </w:r>
      <w:r w:rsidR="00E85864" w:rsidRPr="001D064F">
        <w:t> </w:t>
      </w:r>
      <w:r w:rsidRPr="001D064F">
        <w:t>unité; 3 975 CHF = 1/16 unité; 1 987,50 CHF = 1/32 unité.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340"/>
        <w:gridCol w:w="2340"/>
        <w:gridCol w:w="2340"/>
      </w:tblGrid>
      <w:tr w:rsidR="00E14781" w:rsidRPr="001D064F" w14:paraId="47C24A93" w14:textId="77777777" w:rsidTr="00E85864">
        <w:tc>
          <w:tcPr>
            <w:tcW w:w="2340" w:type="dxa"/>
            <w:tcBorders>
              <w:bottom w:val="single" w:sz="4" w:space="0" w:color="auto"/>
            </w:tcBorders>
            <w:shd w:val="clear" w:color="auto" w:fill="DAEEF3" w:themeFill="accent5" w:themeFillTint="33"/>
          </w:tcPr>
          <w:p w14:paraId="617C8C27" w14:textId="59C74385" w:rsidR="00E14781" w:rsidRPr="001D064F" w:rsidRDefault="00E14781" w:rsidP="00412C07">
            <w:pPr>
              <w:pStyle w:val="Tablehead"/>
              <w:spacing w:before="0" w:after="0"/>
              <w:rPr>
                <w:b w:val="0"/>
                <w:bCs/>
              </w:rPr>
            </w:pPr>
            <w:r w:rsidRPr="001D064F">
              <w:rPr>
                <w:b w:val="0"/>
                <w:bCs/>
              </w:rPr>
              <w:t>Secteur/Catégorie</w:t>
            </w:r>
          </w:p>
        </w:tc>
        <w:tc>
          <w:tcPr>
            <w:tcW w:w="2340" w:type="dxa"/>
            <w:tcBorders>
              <w:bottom w:val="single" w:sz="4" w:space="0" w:color="auto"/>
            </w:tcBorders>
            <w:shd w:val="clear" w:color="auto" w:fill="DAEEF3" w:themeFill="accent5" w:themeFillTint="33"/>
          </w:tcPr>
          <w:p w14:paraId="021995C4" w14:textId="77777777" w:rsidR="00E14781" w:rsidRPr="001D064F" w:rsidRDefault="00E14781" w:rsidP="00412C07">
            <w:pPr>
              <w:pStyle w:val="Tablehead"/>
              <w:spacing w:before="0" w:after="0"/>
              <w:rPr>
                <w:b w:val="0"/>
                <w:bCs/>
              </w:rPr>
            </w:pPr>
            <w:r w:rsidRPr="001D064F">
              <w:rPr>
                <w:b w:val="0"/>
                <w:bCs/>
              </w:rPr>
              <w:t>Membre de Secteur</w:t>
            </w:r>
          </w:p>
        </w:tc>
        <w:tc>
          <w:tcPr>
            <w:tcW w:w="2340" w:type="dxa"/>
            <w:tcBorders>
              <w:bottom w:val="single" w:sz="4" w:space="0" w:color="auto"/>
            </w:tcBorders>
            <w:shd w:val="clear" w:color="auto" w:fill="DAEEF3" w:themeFill="accent5" w:themeFillTint="33"/>
          </w:tcPr>
          <w:p w14:paraId="2A93370D" w14:textId="77777777" w:rsidR="00E14781" w:rsidRPr="001D064F" w:rsidRDefault="00E14781" w:rsidP="00412C07">
            <w:pPr>
              <w:pStyle w:val="Tablehead"/>
              <w:spacing w:before="0" w:after="0"/>
              <w:rPr>
                <w:b w:val="0"/>
                <w:bCs/>
              </w:rPr>
            </w:pPr>
            <w:r w:rsidRPr="001D064F">
              <w:rPr>
                <w:b w:val="0"/>
                <w:bCs/>
              </w:rPr>
              <w:t>Associé</w:t>
            </w:r>
          </w:p>
        </w:tc>
        <w:tc>
          <w:tcPr>
            <w:tcW w:w="2340" w:type="dxa"/>
            <w:tcBorders>
              <w:bottom w:val="single" w:sz="4" w:space="0" w:color="auto"/>
            </w:tcBorders>
            <w:shd w:val="clear" w:color="auto" w:fill="DAEEF3" w:themeFill="accent5" w:themeFillTint="33"/>
          </w:tcPr>
          <w:p w14:paraId="6CB3C610" w14:textId="77777777" w:rsidR="00E14781" w:rsidRPr="001D064F" w:rsidRDefault="00E14781" w:rsidP="00412C07">
            <w:pPr>
              <w:pStyle w:val="Tablehead"/>
              <w:spacing w:before="0" w:after="0"/>
              <w:rPr>
                <w:b w:val="0"/>
                <w:bCs/>
              </w:rPr>
            </w:pPr>
            <w:r w:rsidRPr="001D064F">
              <w:rPr>
                <w:b w:val="0"/>
                <w:bCs/>
              </w:rPr>
              <w:t>Établissement universitaire</w:t>
            </w:r>
          </w:p>
        </w:tc>
      </w:tr>
      <w:tr w:rsidR="00E14781" w:rsidRPr="001D064F" w14:paraId="04FA95DF" w14:textId="77777777" w:rsidTr="00E85864">
        <w:tc>
          <w:tcPr>
            <w:tcW w:w="2340" w:type="dxa"/>
            <w:tcBorders>
              <w:top w:val="single" w:sz="4" w:space="0" w:color="auto"/>
              <w:bottom w:val="single" w:sz="4" w:space="0" w:color="auto"/>
            </w:tcBorders>
            <w:shd w:val="clear" w:color="auto" w:fill="DAEEF3" w:themeFill="accent5" w:themeFillTint="33"/>
          </w:tcPr>
          <w:p w14:paraId="03B3BF80" w14:textId="77777777" w:rsidR="00E14781" w:rsidRPr="001D064F" w:rsidRDefault="00E14781" w:rsidP="00412C07">
            <w:pPr>
              <w:pStyle w:val="Tabletext"/>
              <w:spacing w:before="0" w:after="0"/>
              <w:jc w:val="center"/>
            </w:pPr>
            <w:r w:rsidRPr="001D064F">
              <w:t>UIT-R</w:t>
            </w:r>
          </w:p>
        </w:tc>
        <w:tc>
          <w:tcPr>
            <w:tcW w:w="2340" w:type="dxa"/>
            <w:tcBorders>
              <w:top w:val="single" w:sz="4" w:space="0" w:color="auto"/>
              <w:bottom w:val="single" w:sz="4" w:space="0" w:color="auto"/>
            </w:tcBorders>
          </w:tcPr>
          <w:p w14:paraId="21C639AA" w14:textId="77777777" w:rsidR="00E14781" w:rsidRPr="001D064F" w:rsidRDefault="00E14781" w:rsidP="00412C07">
            <w:pPr>
              <w:pStyle w:val="Tabletext"/>
              <w:spacing w:before="0" w:after="0"/>
            </w:pPr>
            <w:r w:rsidRPr="001D064F">
              <w:t>31 800 CHF</w:t>
            </w:r>
            <w:r w:rsidRPr="001D064F">
              <w:br/>
              <w:t>3 975</w:t>
            </w:r>
            <w:r w:rsidRPr="001D064F">
              <w:rPr>
                <w:vertAlign w:val="superscript"/>
              </w:rPr>
              <w:t xml:space="preserve">1 </w:t>
            </w:r>
            <w:r w:rsidRPr="001D064F">
              <w:t>CHF</w:t>
            </w:r>
          </w:p>
        </w:tc>
        <w:tc>
          <w:tcPr>
            <w:tcW w:w="2340" w:type="dxa"/>
            <w:tcBorders>
              <w:top w:val="single" w:sz="4" w:space="0" w:color="auto"/>
              <w:bottom w:val="single" w:sz="4" w:space="0" w:color="auto"/>
            </w:tcBorders>
          </w:tcPr>
          <w:p w14:paraId="4C9EF005" w14:textId="77777777" w:rsidR="00E14781" w:rsidRPr="001D064F" w:rsidRDefault="00E14781" w:rsidP="00412C07">
            <w:pPr>
              <w:pStyle w:val="Tabletext"/>
              <w:spacing w:before="0" w:after="0"/>
            </w:pPr>
            <w:r w:rsidRPr="001D064F">
              <w:t>10 600 CHF</w:t>
            </w:r>
            <w:r w:rsidRPr="001D064F">
              <w:br/>
              <w:t>3 975</w:t>
            </w:r>
            <w:r w:rsidRPr="001D064F">
              <w:rPr>
                <w:vertAlign w:val="superscript"/>
              </w:rPr>
              <w:t>3</w:t>
            </w:r>
            <w:r w:rsidRPr="001D064F">
              <w:t xml:space="preserve"> CHF</w:t>
            </w:r>
            <w:r w:rsidRPr="001D064F">
              <w:br/>
              <w:t>1 987,50</w:t>
            </w:r>
            <w:r w:rsidRPr="001D064F">
              <w:rPr>
                <w:vertAlign w:val="superscript"/>
              </w:rPr>
              <w:t>4</w:t>
            </w:r>
            <w:r w:rsidRPr="001D064F">
              <w:t xml:space="preserve"> CHF</w:t>
            </w:r>
          </w:p>
        </w:tc>
        <w:tc>
          <w:tcPr>
            <w:tcW w:w="2340" w:type="dxa"/>
            <w:tcBorders>
              <w:top w:val="single" w:sz="4" w:space="0" w:color="auto"/>
              <w:bottom w:val="single" w:sz="4" w:space="0" w:color="auto"/>
            </w:tcBorders>
          </w:tcPr>
          <w:p w14:paraId="086AD1AD" w14:textId="77777777" w:rsidR="00E14781" w:rsidRPr="001D064F" w:rsidRDefault="00E14781" w:rsidP="00412C07">
            <w:pPr>
              <w:pStyle w:val="Tabletext"/>
              <w:spacing w:before="0" w:after="0"/>
            </w:pPr>
            <w:r w:rsidRPr="001D064F">
              <w:t>3 975 CHF</w:t>
            </w:r>
            <w:r w:rsidRPr="001D064F">
              <w:br/>
              <w:t>1 987,50</w:t>
            </w:r>
            <w:r w:rsidRPr="001D064F">
              <w:rPr>
                <w:vertAlign w:val="superscript"/>
              </w:rPr>
              <w:t>2</w:t>
            </w:r>
            <w:r w:rsidRPr="001D064F">
              <w:t xml:space="preserve"> CHF</w:t>
            </w:r>
          </w:p>
        </w:tc>
      </w:tr>
      <w:tr w:rsidR="00E14781" w:rsidRPr="001D064F" w14:paraId="580D8A2D" w14:textId="77777777" w:rsidTr="00E85864">
        <w:tc>
          <w:tcPr>
            <w:tcW w:w="2340" w:type="dxa"/>
            <w:tcBorders>
              <w:top w:val="single" w:sz="4" w:space="0" w:color="auto"/>
              <w:bottom w:val="single" w:sz="4" w:space="0" w:color="auto"/>
            </w:tcBorders>
            <w:shd w:val="clear" w:color="auto" w:fill="DAEEF3" w:themeFill="accent5" w:themeFillTint="33"/>
          </w:tcPr>
          <w:p w14:paraId="1C542C15" w14:textId="77777777" w:rsidR="00E14781" w:rsidRPr="001D064F" w:rsidRDefault="00E14781" w:rsidP="00412C07">
            <w:pPr>
              <w:pStyle w:val="Tabletext"/>
              <w:spacing w:before="0" w:after="0"/>
              <w:jc w:val="center"/>
            </w:pPr>
            <w:r w:rsidRPr="001D064F">
              <w:t>UIT-T</w:t>
            </w:r>
          </w:p>
        </w:tc>
        <w:tc>
          <w:tcPr>
            <w:tcW w:w="2340" w:type="dxa"/>
            <w:tcBorders>
              <w:top w:val="single" w:sz="4" w:space="0" w:color="auto"/>
              <w:bottom w:val="single" w:sz="4" w:space="0" w:color="auto"/>
            </w:tcBorders>
          </w:tcPr>
          <w:p w14:paraId="642BF193" w14:textId="77777777" w:rsidR="00E14781" w:rsidRPr="001D064F" w:rsidRDefault="00E14781" w:rsidP="00412C07">
            <w:pPr>
              <w:pStyle w:val="Tabletext"/>
              <w:spacing w:before="0" w:after="0"/>
            </w:pPr>
            <w:r w:rsidRPr="001D064F">
              <w:t>31 800 CHF</w:t>
            </w:r>
            <w:r w:rsidRPr="001D064F">
              <w:br/>
              <w:t>3 975</w:t>
            </w:r>
            <w:r w:rsidRPr="001D064F">
              <w:rPr>
                <w:vertAlign w:val="superscript"/>
              </w:rPr>
              <w:t>1</w:t>
            </w:r>
            <w:r w:rsidRPr="001D064F">
              <w:t xml:space="preserve"> CHF</w:t>
            </w:r>
          </w:p>
        </w:tc>
        <w:tc>
          <w:tcPr>
            <w:tcW w:w="2340" w:type="dxa"/>
            <w:tcBorders>
              <w:top w:val="single" w:sz="4" w:space="0" w:color="auto"/>
              <w:bottom w:val="single" w:sz="4" w:space="0" w:color="auto"/>
            </w:tcBorders>
          </w:tcPr>
          <w:p w14:paraId="04DF8D57" w14:textId="77777777" w:rsidR="00E14781" w:rsidRPr="001D064F" w:rsidRDefault="00E14781" w:rsidP="00412C07">
            <w:pPr>
              <w:pStyle w:val="Tabletext"/>
              <w:spacing w:before="0" w:after="0"/>
            </w:pPr>
            <w:r w:rsidRPr="001D064F">
              <w:t>10 600 CHF</w:t>
            </w:r>
            <w:r w:rsidRPr="001D064F">
              <w:br/>
              <w:t>3 975</w:t>
            </w:r>
            <w:r w:rsidRPr="001D064F">
              <w:rPr>
                <w:vertAlign w:val="superscript"/>
              </w:rPr>
              <w:t>3</w:t>
            </w:r>
            <w:r w:rsidRPr="001D064F">
              <w:t xml:space="preserve"> CHF</w:t>
            </w:r>
            <w:r w:rsidRPr="001D064F">
              <w:br/>
              <w:t>1 987,50</w:t>
            </w:r>
            <w:r w:rsidRPr="001D064F">
              <w:rPr>
                <w:vertAlign w:val="superscript"/>
              </w:rPr>
              <w:t>4</w:t>
            </w:r>
            <w:r w:rsidRPr="001D064F">
              <w:t xml:space="preserve"> CHF</w:t>
            </w:r>
          </w:p>
        </w:tc>
        <w:tc>
          <w:tcPr>
            <w:tcW w:w="2340" w:type="dxa"/>
            <w:tcBorders>
              <w:top w:val="single" w:sz="4" w:space="0" w:color="auto"/>
              <w:bottom w:val="single" w:sz="4" w:space="0" w:color="auto"/>
            </w:tcBorders>
          </w:tcPr>
          <w:p w14:paraId="0F3DFC87" w14:textId="77777777" w:rsidR="00E14781" w:rsidRPr="001D064F" w:rsidRDefault="00E14781" w:rsidP="00412C07">
            <w:pPr>
              <w:pStyle w:val="Tabletext"/>
              <w:spacing w:before="0" w:after="0"/>
            </w:pPr>
            <w:r w:rsidRPr="001D064F">
              <w:t>3 975 CHF</w:t>
            </w:r>
            <w:r w:rsidRPr="001D064F">
              <w:br/>
              <w:t>1 987,50</w:t>
            </w:r>
            <w:r w:rsidRPr="001D064F">
              <w:rPr>
                <w:vertAlign w:val="superscript"/>
              </w:rPr>
              <w:t>2</w:t>
            </w:r>
            <w:r w:rsidRPr="001D064F">
              <w:t xml:space="preserve"> CHF</w:t>
            </w:r>
          </w:p>
        </w:tc>
      </w:tr>
      <w:tr w:rsidR="00E14781" w:rsidRPr="001D064F" w14:paraId="6EB58D86" w14:textId="77777777" w:rsidTr="00E85864">
        <w:tc>
          <w:tcPr>
            <w:tcW w:w="2340" w:type="dxa"/>
            <w:tcBorders>
              <w:top w:val="single" w:sz="4" w:space="0" w:color="auto"/>
              <w:bottom w:val="single" w:sz="4" w:space="0" w:color="auto"/>
            </w:tcBorders>
            <w:shd w:val="clear" w:color="auto" w:fill="DAEEF3" w:themeFill="accent5" w:themeFillTint="33"/>
          </w:tcPr>
          <w:p w14:paraId="1A7AD6F6" w14:textId="77777777" w:rsidR="00E14781" w:rsidRPr="001D064F" w:rsidRDefault="00E14781" w:rsidP="00412C07">
            <w:pPr>
              <w:pStyle w:val="Tabletext"/>
              <w:spacing w:before="0" w:after="0"/>
              <w:jc w:val="center"/>
            </w:pPr>
            <w:r w:rsidRPr="001D064F">
              <w:t>UIT-D</w:t>
            </w:r>
          </w:p>
        </w:tc>
        <w:tc>
          <w:tcPr>
            <w:tcW w:w="2340" w:type="dxa"/>
            <w:tcBorders>
              <w:top w:val="single" w:sz="4" w:space="0" w:color="auto"/>
              <w:bottom w:val="single" w:sz="4" w:space="0" w:color="auto"/>
            </w:tcBorders>
          </w:tcPr>
          <w:p w14:paraId="75956372" w14:textId="77777777" w:rsidR="00E14781" w:rsidRPr="001D064F" w:rsidRDefault="00E14781" w:rsidP="00412C07">
            <w:pPr>
              <w:pStyle w:val="Tabletext"/>
              <w:spacing w:before="0" w:after="0"/>
            </w:pPr>
            <w:r w:rsidRPr="001D064F">
              <w:t>7 950 CHF</w:t>
            </w:r>
            <w:r w:rsidRPr="001D064F">
              <w:br/>
              <w:t>3 975</w:t>
            </w:r>
            <w:r w:rsidRPr="001D064F">
              <w:rPr>
                <w:vertAlign w:val="superscript"/>
              </w:rPr>
              <w:t>2</w:t>
            </w:r>
            <w:r w:rsidRPr="001D064F">
              <w:t xml:space="preserve"> CHF</w:t>
            </w:r>
          </w:p>
        </w:tc>
        <w:tc>
          <w:tcPr>
            <w:tcW w:w="2340" w:type="dxa"/>
            <w:tcBorders>
              <w:top w:val="single" w:sz="4" w:space="0" w:color="auto"/>
              <w:bottom w:val="single" w:sz="4" w:space="0" w:color="auto"/>
            </w:tcBorders>
          </w:tcPr>
          <w:p w14:paraId="7F150293" w14:textId="77777777" w:rsidR="00E14781" w:rsidRPr="001D064F" w:rsidRDefault="00E14781" w:rsidP="00412C07">
            <w:pPr>
              <w:pStyle w:val="Tabletext"/>
              <w:spacing w:before="0" w:after="0"/>
            </w:pPr>
            <w:r w:rsidRPr="001D064F">
              <w:t>3 975 CHF</w:t>
            </w:r>
            <w:r w:rsidRPr="001D064F">
              <w:br/>
              <w:t>1 987,50</w:t>
            </w:r>
            <w:r w:rsidRPr="001D064F">
              <w:rPr>
                <w:vertAlign w:val="superscript"/>
              </w:rPr>
              <w:t>2</w:t>
            </w:r>
            <w:r w:rsidRPr="001D064F">
              <w:t xml:space="preserve"> CHF</w:t>
            </w:r>
          </w:p>
        </w:tc>
        <w:tc>
          <w:tcPr>
            <w:tcW w:w="2340" w:type="dxa"/>
            <w:tcBorders>
              <w:top w:val="single" w:sz="4" w:space="0" w:color="auto"/>
              <w:bottom w:val="single" w:sz="4" w:space="0" w:color="auto"/>
            </w:tcBorders>
          </w:tcPr>
          <w:p w14:paraId="6410AC79" w14:textId="77777777" w:rsidR="00E14781" w:rsidRPr="001D064F" w:rsidRDefault="00E14781" w:rsidP="00412C07">
            <w:pPr>
              <w:pStyle w:val="Tabletext"/>
              <w:spacing w:before="0" w:after="0"/>
            </w:pPr>
            <w:r w:rsidRPr="001D064F">
              <w:t>3 975 CHF</w:t>
            </w:r>
            <w:r w:rsidRPr="001D064F">
              <w:br/>
              <w:t>1 987,50</w:t>
            </w:r>
            <w:r w:rsidRPr="001D064F">
              <w:rPr>
                <w:vertAlign w:val="superscript"/>
              </w:rPr>
              <w:t>2</w:t>
            </w:r>
            <w:r w:rsidRPr="001D064F">
              <w:t xml:space="preserve"> CHF</w:t>
            </w:r>
          </w:p>
        </w:tc>
      </w:tr>
    </w:tbl>
    <w:p w14:paraId="46033947" w14:textId="2C7A4BF4" w:rsidR="00E14781" w:rsidRPr="001D064F" w:rsidRDefault="00E14781" w:rsidP="00E85864">
      <w:pPr>
        <w:pStyle w:val="Reftext"/>
        <w:rPr>
          <w:rFonts w:eastAsia="Calibri"/>
          <w:sz w:val="20"/>
        </w:rPr>
      </w:pPr>
      <w:r w:rsidRPr="001D064F">
        <w:rPr>
          <w:rFonts w:eastAsia="Calibri"/>
          <w:sz w:val="20"/>
          <w:vertAlign w:val="superscript"/>
        </w:rPr>
        <w:t>1</w:t>
      </w:r>
      <w:r w:rsidRPr="001D064F">
        <w:rPr>
          <w:rFonts w:eastAsia="Calibri"/>
          <w:sz w:val="20"/>
        </w:rPr>
        <w:tab/>
        <w:t>Originaire d'un pays en développement dont le revenu annuel par habitant est inférieur à 2 000,00 USD (selon le PNUD), qui ne prend pas encore part aux travaux de l'un des Secteurs, ou des deux, et ne doit pas être une filiale d'une société multinationale ayant son siège dans un pays développé.</w:t>
      </w:r>
    </w:p>
    <w:p w14:paraId="04B92C58" w14:textId="5C50DDC0" w:rsidR="00E14781" w:rsidRPr="001D064F" w:rsidRDefault="00E14781" w:rsidP="00E85864">
      <w:pPr>
        <w:pStyle w:val="Reftext"/>
        <w:rPr>
          <w:rFonts w:eastAsia="Calibri"/>
          <w:sz w:val="20"/>
        </w:rPr>
      </w:pPr>
      <w:r w:rsidRPr="001D064F">
        <w:rPr>
          <w:rFonts w:eastAsia="Calibri"/>
          <w:sz w:val="20"/>
          <w:vertAlign w:val="superscript"/>
        </w:rPr>
        <w:t>2</w:t>
      </w:r>
      <w:r w:rsidRPr="001D064F">
        <w:rPr>
          <w:rFonts w:eastAsia="Calibri"/>
          <w:sz w:val="20"/>
        </w:rPr>
        <w:tab/>
        <w:t>Pays en développement</w:t>
      </w:r>
    </w:p>
    <w:p w14:paraId="4EE6CD63" w14:textId="67AAEC49" w:rsidR="00E14781" w:rsidRPr="001D064F" w:rsidRDefault="00E14781" w:rsidP="00E85864">
      <w:pPr>
        <w:pStyle w:val="Reftext"/>
        <w:rPr>
          <w:rFonts w:eastAsia="Calibri"/>
          <w:sz w:val="20"/>
        </w:rPr>
      </w:pPr>
      <w:r w:rsidRPr="001D064F">
        <w:rPr>
          <w:rFonts w:eastAsia="Calibri"/>
          <w:sz w:val="20"/>
          <w:vertAlign w:val="superscript"/>
        </w:rPr>
        <w:t>3</w:t>
      </w:r>
      <w:r w:rsidRPr="001D064F">
        <w:rPr>
          <w:rFonts w:eastAsia="Calibri"/>
          <w:sz w:val="20"/>
        </w:rPr>
        <w:tab/>
        <w:t>PME issues des pays développés</w:t>
      </w:r>
    </w:p>
    <w:p w14:paraId="07622942" w14:textId="1B6C7498" w:rsidR="00E14781" w:rsidRPr="001D064F" w:rsidRDefault="00E14781" w:rsidP="00E85864">
      <w:pPr>
        <w:pStyle w:val="Reftext"/>
        <w:rPr>
          <w:sz w:val="20"/>
        </w:rPr>
      </w:pPr>
      <w:r w:rsidRPr="001D064F">
        <w:rPr>
          <w:rFonts w:eastAsia="Calibri"/>
          <w:sz w:val="20"/>
          <w:vertAlign w:val="superscript"/>
        </w:rPr>
        <w:t>4</w:t>
      </w:r>
      <w:r w:rsidRPr="001D064F">
        <w:rPr>
          <w:rFonts w:eastAsia="Calibri"/>
          <w:sz w:val="20"/>
        </w:rPr>
        <w:tab/>
        <w:t>PME issues des pays en développement</w:t>
      </w:r>
    </w:p>
    <w:p w14:paraId="5BD577BB" w14:textId="77777777" w:rsidR="00E14781" w:rsidRPr="001D064F" w:rsidRDefault="00E14781" w:rsidP="00E14781">
      <w:pPr>
        <w:jc w:val="center"/>
        <w:rPr>
          <w:sz w:val="22"/>
          <w:szCs w:val="22"/>
        </w:rPr>
      </w:pPr>
      <w:r w:rsidRPr="001D064F">
        <w:rPr>
          <w:sz w:val="22"/>
          <w:szCs w:val="22"/>
        </w:rPr>
        <w:t>______________</w:t>
      </w:r>
    </w:p>
    <w:sectPr w:rsidR="00E14781" w:rsidRPr="001D064F" w:rsidSect="003A0B7D">
      <w:headerReference w:type="even" r:id="rId13"/>
      <w:headerReference w:type="default" r:id="rId14"/>
      <w:footerReference w:type="even" r:id="rId15"/>
      <w:footerReference w:type="default" r:id="rId16"/>
      <w:headerReference w:type="first" r:id="rId17"/>
      <w:footerReference w:type="first" r:id="rId18"/>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5315" w14:textId="77777777" w:rsidR="002600F4" w:rsidRDefault="0026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3A47" w14:textId="37E146F7" w:rsidR="00E14781" w:rsidRDefault="001D064F" w:rsidP="00E14781">
    <w:pPr>
      <w:pStyle w:val="Footer"/>
    </w:pPr>
    <w:r w:rsidRPr="002600F4">
      <w:rPr>
        <w:color w:val="F2F2F2" w:themeColor="background1" w:themeShade="F2"/>
      </w:rPr>
      <w:fldChar w:fldCharType="begin"/>
    </w:r>
    <w:r w:rsidRPr="002600F4">
      <w:rPr>
        <w:color w:val="F2F2F2" w:themeColor="background1" w:themeShade="F2"/>
      </w:rPr>
      <w:instrText xml:space="preserve"> FILENAME \p  \* MERGEFORMAT </w:instrText>
    </w:r>
    <w:r w:rsidRPr="002600F4">
      <w:rPr>
        <w:color w:val="F2F2F2" w:themeColor="background1" w:themeShade="F2"/>
      </w:rPr>
      <w:fldChar w:fldCharType="separate"/>
    </w:r>
    <w:r w:rsidR="00E14781" w:rsidRPr="002600F4">
      <w:rPr>
        <w:color w:val="F2F2F2" w:themeColor="background1" w:themeShade="F2"/>
      </w:rPr>
      <w:t>P:\FRA\SG\CONF-SG\PP22\000\061F.docx</w:t>
    </w:r>
    <w:r w:rsidRPr="002600F4">
      <w:rPr>
        <w:color w:val="F2F2F2" w:themeColor="background1" w:themeShade="F2"/>
      </w:rPr>
      <w:fldChar w:fldCharType="end"/>
    </w:r>
    <w:r w:rsidR="00E14781" w:rsidRPr="002600F4">
      <w:rPr>
        <w:color w:val="F2F2F2" w:themeColor="background1" w:themeShade="F2"/>
      </w:rPr>
      <w:t xml:space="preserve"> (509634)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C830" w14:textId="77777777" w:rsidR="002600F4" w:rsidRDefault="0026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6566013F" w:rsidR="00BD1614" w:rsidRDefault="00BD1614" w:rsidP="001E2226">
    <w:pPr>
      <w:pStyle w:val="Header"/>
    </w:pPr>
    <w:r>
      <w:t>PP</w:t>
    </w:r>
    <w:r w:rsidR="002A7A1D">
      <w:t>22</w:t>
    </w:r>
    <w:r>
      <w:t>/</w:t>
    </w:r>
    <w:r w:rsidR="00E14781">
      <w:t>61</w:t>
    </w:r>
    <w:r w:rsidR="00420EF8">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74DF" w14:textId="77777777" w:rsidR="002600F4" w:rsidRDefault="0026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68F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641F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0C05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FAB4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24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C8F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ECE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2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084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03A8F9"/>
    <w:multiLevelType w:val="hybridMultilevel"/>
    <w:tmpl w:val="FFFFFFFF"/>
    <w:lvl w:ilvl="0" w:tplc="443E595A">
      <w:start w:val="1"/>
      <w:numFmt w:val="decimal"/>
      <w:lvlText w:val="%1."/>
      <w:lvlJc w:val="left"/>
      <w:pPr>
        <w:ind w:left="720" w:hanging="360"/>
      </w:pPr>
    </w:lvl>
    <w:lvl w:ilvl="1" w:tplc="22AEEE6A">
      <w:start w:val="1"/>
      <w:numFmt w:val="lowerLetter"/>
      <w:lvlText w:val="%2."/>
      <w:lvlJc w:val="left"/>
      <w:pPr>
        <w:ind w:left="1440" w:hanging="360"/>
      </w:pPr>
    </w:lvl>
    <w:lvl w:ilvl="2" w:tplc="16AABBFE">
      <w:start w:val="1"/>
      <w:numFmt w:val="lowerRoman"/>
      <w:lvlText w:val="%3."/>
      <w:lvlJc w:val="right"/>
      <w:pPr>
        <w:ind w:left="2160" w:hanging="180"/>
      </w:pPr>
    </w:lvl>
    <w:lvl w:ilvl="3" w:tplc="75909F4A">
      <w:start w:val="1"/>
      <w:numFmt w:val="decimal"/>
      <w:lvlText w:val="%4."/>
      <w:lvlJc w:val="left"/>
      <w:pPr>
        <w:ind w:left="2880" w:hanging="360"/>
      </w:pPr>
    </w:lvl>
    <w:lvl w:ilvl="4" w:tplc="4F282D24">
      <w:start w:val="1"/>
      <w:numFmt w:val="lowerLetter"/>
      <w:lvlText w:val="%5."/>
      <w:lvlJc w:val="left"/>
      <w:pPr>
        <w:ind w:left="3600" w:hanging="360"/>
      </w:pPr>
    </w:lvl>
    <w:lvl w:ilvl="5" w:tplc="095C7AB0">
      <w:start w:val="1"/>
      <w:numFmt w:val="lowerRoman"/>
      <w:lvlText w:val="%6."/>
      <w:lvlJc w:val="right"/>
      <w:pPr>
        <w:ind w:left="4320" w:hanging="180"/>
      </w:pPr>
    </w:lvl>
    <w:lvl w:ilvl="6" w:tplc="15C47080">
      <w:start w:val="1"/>
      <w:numFmt w:val="decimal"/>
      <w:lvlText w:val="%7."/>
      <w:lvlJc w:val="left"/>
      <w:pPr>
        <w:ind w:left="5040" w:hanging="360"/>
      </w:pPr>
    </w:lvl>
    <w:lvl w:ilvl="7" w:tplc="6EFAE73E">
      <w:start w:val="1"/>
      <w:numFmt w:val="lowerLetter"/>
      <w:lvlText w:val="%8."/>
      <w:lvlJc w:val="left"/>
      <w:pPr>
        <w:ind w:left="5760" w:hanging="360"/>
      </w:pPr>
    </w:lvl>
    <w:lvl w:ilvl="8" w:tplc="E9363C42">
      <w:start w:val="1"/>
      <w:numFmt w:val="lowerRoman"/>
      <w:lvlText w:val="%9."/>
      <w:lvlJc w:val="right"/>
      <w:pPr>
        <w:ind w:left="6480" w:hanging="180"/>
      </w:pPr>
    </w:lvl>
  </w:abstractNum>
  <w:num w:numId="1" w16cid:durableId="1924220099">
    <w:abstractNumId w:val="9"/>
  </w:num>
  <w:num w:numId="2" w16cid:durableId="1672760707">
    <w:abstractNumId w:val="7"/>
  </w:num>
  <w:num w:numId="3" w16cid:durableId="2033847004">
    <w:abstractNumId w:val="6"/>
  </w:num>
  <w:num w:numId="4" w16cid:durableId="130372406">
    <w:abstractNumId w:val="5"/>
  </w:num>
  <w:num w:numId="5" w16cid:durableId="2081756058">
    <w:abstractNumId w:val="4"/>
  </w:num>
  <w:num w:numId="6" w16cid:durableId="1256205653">
    <w:abstractNumId w:val="8"/>
  </w:num>
  <w:num w:numId="7" w16cid:durableId="704408322">
    <w:abstractNumId w:val="3"/>
  </w:num>
  <w:num w:numId="8" w16cid:durableId="1255700043">
    <w:abstractNumId w:val="2"/>
  </w:num>
  <w:num w:numId="9" w16cid:durableId="456798351">
    <w:abstractNumId w:val="1"/>
  </w:num>
  <w:num w:numId="10" w16cid:durableId="825973883">
    <w:abstractNumId w:val="0"/>
  </w:num>
  <w:num w:numId="11" w16cid:durableId="845946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064F"/>
    <w:rsid w:val="001D31B2"/>
    <w:rsid w:val="001E1B9B"/>
    <w:rsid w:val="001E2226"/>
    <w:rsid w:val="001F6233"/>
    <w:rsid w:val="00224779"/>
    <w:rsid w:val="002355CD"/>
    <w:rsid w:val="002600F4"/>
    <w:rsid w:val="002708BF"/>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12C07"/>
    <w:rsid w:val="00420EF8"/>
    <w:rsid w:val="00430015"/>
    <w:rsid w:val="00466066"/>
    <w:rsid w:val="004678D0"/>
    <w:rsid w:val="00482954"/>
    <w:rsid w:val="004951C0"/>
    <w:rsid w:val="004C7646"/>
    <w:rsid w:val="004E2734"/>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764D2"/>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34B8"/>
    <w:rsid w:val="00956DC7"/>
    <w:rsid w:val="00966CD3"/>
    <w:rsid w:val="00987A20"/>
    <w:rsid w:val="00992D75"/>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33FE"/>
    <w:rsid w:val="00B96B1E"/>
    <w:rsid w:val="00BB2A6F"/>
    <w:rsid w:val="00BD1614"/>
    <w:rsid w:val="00BD382C"/>
    <w:rsid w:val="00BD5DA6"/>
    <w:rsid w:val="00BF7D25"/>
    <w:rsid w:val="00C010C0"/>
    <w:rsid w:val="00C40CB5"/>
    <w:rsid w:val="00C54CE6"/>
    <w:rsid w:val="00C575E2"/>
    <w:rsid w:val="00C7368B"/>
    <w:rsid w:val="00C92746"/>
    <w:rsid w:val="00CC4DC5"/>
    <w:rsid w:val="00CE1A7C"/>
    <w:rsid w:val="00CE1F3B"/>
    <w:rsid w:val="00D01854"/>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14781"/>
    <w:rsid w:val="00E443FA"/>
    <w:rsid w:val="00E54FCE"/>
    <w:rsid w:val="00E60DA1"/>
    <w:rsid w:val="00E85864"/>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rsid w:val="00E1478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CommentText">
    <w:name w:val="annotation text"/>
    <w:basedOn w:val="Normal"/>
    <w:link w:val="CommentTextChar"/>
    <w:unhideWhenUsed/>
    <w:rsid w:val="00E14781"/>
    <w:rPr>
      <w:rFonts w:eastAsia="SimSun"/>
      <w:sz w:val="20"/>
      <w:lang w:val="en-GB"/>
    </w:rPr>
  </w:style>
  <w:style w:type="character" w:customStyle="1" w:styleId="CommentTextChar">
    <w:name w:val="Comment Text Char"/>
    <w:basedOn w:val="DefaultParagraphFont"/>
    <w:link w:val="CommentText"/>
    <w:rsid w:val="00E14781"/>
    <w:rPr>
      <w:rFonts w:ascii="Calibri" w:eastAsia="SimSun" w:hAnsi="Calibri"/>
      <w:lang w:val="en-GB" w:eastAsia="en-US"/>
    </w:rPr>
  </w:style>
  <w:style w:type="character" w:styleId="CommentReference">
    <w:name w:val="annotation reference"/>
    <w:basedOn w:val="DefaultParagraphFont"/>
    <w:semiHidden/>
    <w:unhideWhenUsed/>
    <w:rsid w:val="00E14781"/>
    <w:rPr>
      <w:sz w:val="16"/>
      <w:szCs w:val="16"/>
    </w:rPr>
  </w:style>
  <w:style w:type="table" w:styleId="TableGrid">
    <w:name w:val="Table Grid"/>
    <w:basedOn w:val="TableNormal"/>
    <w:uiPriority w:val="59"/>
    <w:rsid w:val="00E14781"/>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4781"/>
    <w:pPr>
      <w:ind w:left="720"/>
      <w:contextualSpacing/>
    </w:pPr>
    <w:rPr>
      <w:rFonts w:eastAsia="SimSun"/>
      <w:lang w:val="en-GB"/>
    </w:rPr>
  </w:style>
  <w:style w:type="character" w:styleId="FollowedHyperlink">
    <w:name w:val="FollowedHyperlink"/>
    <w:basedOn w:val="DefaultParagraphFont"/>
    <w:semiHidden/>
    <w:unhideWhenUsed/>
    <w:rsid w:val="00E14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en/council/Documents/basic-texts/RES-030-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7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CL-C-0079/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2732</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17717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 la participation et des droits de membre pour les entités des pays les moins avancés, des pays en développement sans littoral, des petits états insulaires en développement et des pays ayant des besoins particuliers</dc:title>
  <dc:subject>Plenipotentiary Conference (PP-22)</dc:subject>
  <dc:creator>Manias, Michel</dc:creator>
  <cp:keywords>PP22, PP-22</cp:keywords>
  <dc:description/>
  <cp:lastModifiedBy>Xue, Kun</cp:lastModifiedBy>
  <cp:revision>2</cp:revision>
  <dcterms:created xsi:type="dcterms:W3CDTF">2022-08-27T20:58:00Z</dcterms:created>
  <dcterms:modified xsi:type="dcterms:W3CDTF">2022-08-27T20:58:00Z</dcterms:modified>
  <cp:category>Conference document</cp:category>
</cp:coreProperties>
</file>