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498" w:type="dxa"/>
        <w:tblLayout w:type="fixed"/>
        <w:tblLook w:val="0000" w:firstRow="0" w:lastRow="0" w:firstColumn="0" w:lastColumn="0" w:noHBand="0" w:noVBand="0"/>
      </w:tblPr>
      <w:tblGrid>
        <w:gridCol w:w="6629"/>
        <w:gridCol w:w="2869"/>
      </w:tblGrid>
      <w:tr w:rsidR="00E221E5" w:rsidRPr="00D7184C" w14:paraId="47DCE2DB" w14:textId="77777777" w:rsidTr="006D427C">
        <w:trPr>
          <w:cantSplit/>
        </w:trPr>
        <w:tc>
          <w:tcPr>
            <w:tcW w:w="6629" w:type="dxa"/>
          </w:tcPr>
          <w:p w14:paraId="614058DB" w14:textId="77777777" w:rsidR="00E221E5" w:rsidRPr="00D7184C" w:rsidRDefault="00E221E5" w:rsidP="004F7925">
            <w:pPr>
              <w:spacing w:before="240" w:after="48" w:line="240" w:lineRule="atLeast"/>
              <w:rPr>
                <w:rFonts w:cstheme="minorHAnsi"/>
                <w:b/>
                <w:bCs/>
                <w:position w:val="6"/>
                <w:sz w:val="26"/>
                <w:szCs w:val="26"/>
              </w:rPr>
            </w:pPr>
            <w:bookmarkStart w:id="0" w:name="dpp"/>
            <w:bookmarkEnd w:id="0"/>
            <w:r w:rsidRPr="00D7184C">
              <w:rPr>
                <w:b/>
                <w:bCs/>
                <w:sz w:val="30"/>
                <w:szCs w:val="30"/>
              </w:rPr>
              <w:t>Conferencia de Plenipotenciarios (PP-22)</w:t>
            </w:r>
            <w:r w:rsidRPr="00D7184C">
              <w:rPr>
                <w:b/>
                <w:bCs/>
                <w:sz w:val="30"/>
                <w:szCs w:val="30"/>
              </w:rPr>
              <w:br/>
            </w:r>
            <w:r w:rsidRPr="00D7184C">
              <w:rPr>
                <w:b/>
                <w:bCs/>
              </w:rPr>
              <w:t>Bucarest, 26 de septiembre – 14 de octubre de 2022</w:t>
            </w:r>
          </w:p>
        </w:tc>
        <w:tc>
          <w:tcPr>
            <w:tcW w:w="2869" w:type="dxa"/>
          </w:tcPr>
          <w:p w14:paraId="7C9DAC03" w14:textId="77777777" w:rsidR="00E221E5" w:rsidRPr="00D7184C" w:rsidRDefault="00E221E5" w:rsidP="001B7D75">
            <w:pPr>
              <w:spacing w:line="240" w:lineRule="atLeast"/>
              <w:rPr>
                <w:rFonts w:cstheme="minorHAnsi"/>
                <w:sz w:val="22"/>
                <w:szCs w:val="22"/>
              </w:rPr>
            </w:pPr>
            <w:bookmarkStart w:id="1" w:name="ditulogo"/>
            <w:bookmarkEnd w:id="1"/>
            <w:r w:rsidRPr="00D7184C">
              <w:rPr>
                <w:noProof/>
                <w:color w:val="2B579A"/>
                <w:sz w:val="22"/>
                <w:szCs w:val="22"/>
                <w:shd w:val="clear" w:color="auto" w:fill="E6E6E6"/>
              </w:rPr>
              <w:drawing>
                <wp:inline distT="0" distB="0" distL="0" distR="0" wp14:anchorId="1361FF56" wp14:editId="318D500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E221E5" w:rsidRPr="00D7184C" w14:paraId="620BE84B" w14:textId="77777777" w:rsidTr="006D427C">
        <w:trPr>
          <w:cantSplit/>
        </w:trPr>
        <w:tc>
          <w:tcPr>
            <w:tcW w:w="6629" w:type="dxa"/>
            <w:tcBorders>
              <w:bottom w:val="single" w:sz="12" w:space="0" w:color="auto"/>
            </w:tcBorders>
          </w:tcPr>
          <w:p w14:paraId="7FF7B775" w14:textId="77777777" w:rsidR="00E221E5" w:rsidRPr="00D7184C" w:rsidRDefault="00E221E5" w:rsidP="003740BC">
            <w:pPr>
              <w:spacing w:before="0"/>
              <w:rPr>
                <w:rFonts w:cstheme="minorHAnsi"/>
                <w:b/>
                <w:smallCaps/>
                <w:sz w:val="22"/>
                <w:szCs w:val="22"/>
              </w:rPr>
            </w:pPr>
            <w:bookmarkStart w:id="2" w:name="dhead"/>
          </w:p>
        </w:tc>
        <w:tc>
          <w:tcPr>
            <w:tcW w:w="2869" w:type="dxa"/>
            <w:tcBorders>
              <w:bottom w:val="single" w:sz="12" w:space="0" w:color="auto"/>
            </w:tcBorders>
          </w:tcPr>
          <w:p w14:paraId="5D4603C8" w14:textId="77777777" w:rsidR="00E221E5" w:rsidRPr="00D7184C" w:rsidRDefault="00E221E5" w:rsidP="003740BC">
            <w:pPr>
              <w:spacing w:before="0"/>
              <w:rPr>
                <w:rFonts w:cstheme="minorHAnsi"/>
                <w:sz w:val="22"/>
                <w:szCs w:val="22"/>
              </w:rPr>
            </w:pPr>
          </w:p>
        </w:tc>
      </w:tr>
      <w:tr w:rsidR="00E221E5" w:rsidRPr="00D7184C" w14:paraId="41BBFFE9" w14:textId="77777777" w:rsidTr="006D427C">
        <w:trPr>
          <w:cantSplit/>
        </w:trPr>
        <w:tc>
          <w:tcPr>
            <w:tcW w:w="6629" w:type="dxa"/>
            <w:tcBorders>
              <w:top w:val="single" w:sz="12" w:space="0" w:color="auto"/>
            </w:tcBorders>
          </w:tcPr>
          <w:p w14:paraId="7DDB80E0" w14:textId="77777777" w:rsidR="00E221E5" w:rsidRPr="00D7184C" w:rsidRDefault="00E221E5" w:rsidP="003740BC">
            <w:pPr>
              <w:spacing w:before="0"/>
              <w:rPr>
                <w:rFonts w:cstheme="minorHAnsi"/>
                <w:b/>
                <w:smallCaps/>
                <w:sz w:val="18"/>
                <w:szCs w:val="18"/>
              </w:rPr>
            </w:pPr>
          </w:p>
        </w:tc>
        <w:tc>
          <w:tcPr>
            <w:tcW w:w="2869" w:type="dxa"/>
            <w:tcBorders>
              <w:top w:val="single" w:sz="12" w:space="0" w:color="auto"/>
            </w:tcBorders>
          </w:tcPr>
          <w:p w14:paraId="68EC0656" w14:textId="77777777" w:rsidR="00E221E5" w:rsidRPr="00D7184C" w:rsidRDefault="00E221E5" w:rsidP="003740BC">
            <w:pPr>
              <w:spacing w:before="0"/>
              <w:rPr>
                <w:rFonts w:cstheme="minorHAnsi"/>
                <w:sz w:val="18"/>
                <w:szCs w:val="18"/>
              </w:rPr>
            </w:pPr>
          </w:p>
        </w:tc>
      </w:tr>
      <w:tr w:rsidR="00E221E5" w:rsidRPr="00D7184C" w14:paraId="41AF5361" w14:textId="77777777" w:rsidTr="006D427C">
        <w:trPr>
          <w:cantSplit/>
          <w:trHeight w:val="23"/>
        </w:trPr>
        <w:tc>
          <w:tcPr>
            <w:tcW w:w="6629" w:type="dxa"/>
            <w:shd w:val="clear" w:color="auto" w:fill="auto"/>
          </w:tcPr>
          <w:p w14:paraId="64557259" w14:textId="77777777" w:rsidR="00E221E5" w:rsidRPr="00D7184C" w:rsidRDefault="00E221E5" w:rsidP="002E77F4">
            <w:pPr>
              <w:pStyle w:val="Committee"/>
              <w:framePr w:hSpace="0" w:wrap="auto" w:hAnchor="text" w:yAlign="inline"/>
              <w:spacing w:after="0"/>
              <w:rPr>
                <w:sz w:val="22"/>
                <w:szCs w:val="22"/>
                <w:lang w:val="es-ES_tradnl"/>
              </w:rPr>
            </w:pPr>
            <w:bookmarkStart w:id="3" w:name="dnum" w:colFirst="1" w:colLast="1"/>
            <w:bookmarkStart w:id="4" w:name="dmeeting" w:colFirst="0" w:colLast="0"/>
            <w:bookmarkEnd w:id="2"/>
            <w:r w:rsidRPr="00D7184C">
              <w:rPr>
                <w:bCs/>
                <w:lang w:val="es-ES_tradnl"/>
              </w:rPr>
              <w:t>SESIÓN PLENARIA</w:t>
            </w:r>
          </w:p>
        </w:tc>
        <w:tc>
          <w:tcPr>
            <w:tcW w:w="2869" w:type="dxa"/>
          </w:tcPr>
          <w:p w14:paraId="3D109EF8" w14:textId="77777777" w:rsidR="00E221E5" w:rsidRPr="00D7184C" w:rsidRDefault="00E221E5" w:rsidP="003740BC">
            <w:pPr>
              <w:tabs>
                <w:tab w:val="left" w:pos="851"/>
              </w:tabs>
              <w:spacing w:before="0"/>
              <w:rPr>
                <w:rFonts w:cstheme="minorHAnsi"/>
                <w:b/>
                <w:sz w:val="22"/>
                <w:szCs w:val="22"/>
              </w:rPr>
            </w:pPr>
            <w:r w:rsidRPr="00D7184C">
              <w:rPr>
                <w:b/>
                <w:bCs/>
              </w:rPr>
              <w:t>Documento 61-S</w:t>
            </w:r>
          </w:p>
        </w:tc>
      </w:tr>
      <w:tr w:rsidR="00E221E5" w:rsidRPr="00D7184C" w14:paraId="4C9FB83C" w14:textId="77777777" w:rsidTr="006D427C">
        <w:trPr>
          <w:cantSplit/>
          <w:trHeight w:val="23"/>
        </w:trPr>
        <w:tc>
          <w:tcPr>
            <w:tcW w:w="6629" w:type="dxa"/>
            <w:shd w:val="clear" w:color="auto" w:fill="auto"/>
          </w:tcPr>
          <w:p w14:paraId="7E1E8E6B" w14:textId="77777777" w:rsidR="00E221E5" w:rsidRPr="00D7184C" w:rsidRDefault="00E221E5" w:rsidP="003740BC">
            <w:pPr>
              <w:tabs>
                <w:tab w:val="left" w:pos="851"/>
              </w:tabs>
              <w:spacing w:before="0"/>
              <w:rPr>
                <w:rFonts w:asciiTheme="minorHAnsi" w:hAnsiTheme="minorHAnsi" w:cstheme="minorHAnsi"/>
                <w:b/>
                <w:sz w:val="22"/>
                <w:szCs w:val="22"/>
              </w:rPr>
            </w:pPr>
            <w:bookmarkStart w:id="5" w:name="ddate" w:colFirst="1" w:colLast="1"/>
            <w:bookmarkStart w:id="6" w:name="dblank" w:colFirst="0" w:colLast="0"/>
            <w:bookmarkEnd w:id="3"/>
            <w:bookmarkEnd w:id="4"/>
          </w:p>
        </w:tc>
        <w:tc>
          <w:tcPr>
            <w:tcW w:w="2869" w:type="dxa"/>
          </w:tcPr>
          <w:p w14:paraId="754AAB6F" w14:textId="77777777" w:rsidR="00E221E5" w:rsidRPr="00D7184C" w:rsidRDefault="00E221E5" w:rsidP="003740BC">
            <w:pPr>
              <w:spacing w:before="0"/>
              <w:rPr>
                <w:rFonts w:cstheme="minorHAnsi"/>
                <w:sz w:val="22"/>
                <w:szCs w:val="22"/>
              </w:rPr>
            </w:pPr>
            <w:r w:rsidRPr="00D7184C">
              <w:rPr>
                <w:b/>
                <w:bCs/>
              </w:rPr>
              <w:t>11 de julio de 2022</w:t>
            </w:r>
          </w:p>
        </w:tc>
      </w:tr>
      <w:tr w:rsidR="00E221E5" w:rsidRPr="00D7184C" w14:paraId="50120BFC" w14:textId="77777777" w:rsidTr="006D427C">
        <w:trPr>
          <w:cantSplit/>
          <w:trHeight w:val="23"/>
        </w:trPr>
        <w:tc>
          <w:tcPr>
            <w:tcW w:w="6629" w:type="dxa"/>
            <w:shd w:val="clear" w:color="auto" w:fill="auto"/>
          </w:tcPr>
          <w:p w14:paraId="266BB9D4" w14:textId="77777777" w:rsidR="00E221E5" w:rsidRPr="00D7184C" w:rsidRDefault="00E221E5" w:rsidP="003740BC">
            <w:pPr>
              <w:tabs>
                <w:tab w:val="left" w:pos="851"/>
              </w:tabs>
              <w:spacing w:before="0"/>
              <w:rPr>
                <w:rFonts w:cstheme="minorHAnsi"/>
                <w:sz w:val="22"/>
                <w:szCs w:val="22"/>
              </w:rPr>
            </w:pPr>
            <w:bookmarkStart w:id="7" w:name="dbluepink" w:colFirst="0" w:colLast="0"/>
            <w:bookmarkStart w:id="8" w:name="dorlang" w:colFirst="1" w:colLast="1"/>
            <w:bookmarkEnd w:id="5"/>
            <w:bookmarkEnd w:id="6"/>
          </w:p>
        </w:tc>
        <w:tc>
          <w:tcPr>
            <w:tcW w:w="2869" w:type="dxa"/>
          </w:tcPr>
          <w:p w14:paraId="0DC4C04D" w14:textId="77777777" w:rsidR="00E221E5" w:rsidRPr="00D7184C" w:rsidRDefault="00E221E5" w:rsidP="003740BC">
            <w:pPr>
              <w:tabs>
                <w:tab w:val="left" w:pos="993"/>
              </w:tabs>
              <w:spacing w:before="0"/>
              <w:rPr>
                <w:rFonts w:cstheme="minorHAnsi"/>
                <w:b/>
                <w:sz w:val="22"/>
                <w:szCs w:val="22"/>
              </w:rPr>
            </w:pPr>
            <w:r w:rsidRPr="00D7184C">
              <w:rPr>
                <w:b/>
                <w:bCs/>
              </w:rPr>
              <w:t>Original: inglés</w:t>
            </w:r>
          </w:p>
        </w:tc>
      </w:tr>
      <w:tr w:rsidR="00E221E5" w:rsidRPr="00D7184C" w14:paraId="653BB1F4" w14:textId="77777777" w:rsidTr="006D427C">
        <w:trPr>
          <w:cantSplit/>
          <w:trHeight w:val="23"/>
        </w:trPr>
        <w:tc>
          <w:tcPr>
            <w:tcW w:w="9498" w:type="dxa"/>
            <w:gridSpan w:val="2"/>
            <w:shd w:val="clear" w:color="auto" w:fill="auto"/>
          </w:tcPr>
          <w:p w14:paraId="5F629D5C" w14:textId="77777777" w:rsidR="00E221E5" w:rsidRPr="00D7184C" w:rsidRDefault="00E221E5" w:rsidP="001B7D75">
            <w:pPr>
              <w:tabs>
                <w:tab w:val="left" w:pos="993"/>
              </w:tabs>
              <w:rPr>
                <w:rFonts w:ascii="Verdana" w:hAnsi="Verdana"/>
                <w:b/>
                <w:sz w:val="22"/>
                <w:szCs w:val="22"/>
              </w:rPr>
            </w:pPr>
          </w:p>
        </w:tc>
      </w:tr>
      <w:tr w:rsidR="00E221E5" w:rsidRPr="00D7184C" w14:paraId="71C0B42B" w14:textId="77777777" w:rsidTr="006D427C">
        <w:trPr>
          <w:cantSplit/>
          <w:trHeight w:val="23"/>
        </w:trPr>
        <w:tc>
          <w:tcPr>
            <w:tcW w:w="9498" w:type="dxa"/>
            <w:gridSpan w:val="2"/>
            <w:shd w:val="clear" w:color="auto" w:fill="auto"/>
          </w:tcPr>
          <w:p w14:paraId="3E26CE2F" w14:textId="621D788D" w:rsidR="00D7184C" w:rsidRPr="00D7184C" w:rsidRDefault="00E221E5" w:rsidP="00D7184C">
            <w:pPr>
              <w:pStyle w:val="Source"/>
            </w:pPr>
            <w:r w:rsidRPr="00365982">
              <w:t xml:space="preserve">Carta del </w:t>
            </w:r>
            <w:proofErr w:type="gramStart"/>
            <w:r w:rsidRPr="00365982">
              <w:t>Secretario General</w:t>
            </w:r>
            <w:proofErr w:type="gramEnd"/>
          </w:p>
        </w:tc>
      </w:tr>
      <w:tr w:rsidR="00E221E5" w:rsidRPr="00D7184C" w14:paraId="31FAD671" w14:textId="77777777" w:rsidTr="006D427C">
        <w:trPr>
          <w:cantSplit/>
          <w:trHeight w:val="23"/>
        </w:trPr>
        <w:tc>
          <w:tcPr>
            <w:tcW w:w="9498" w:type="dxa"/>
            <w:gridSpan w:val="2"/>
            <w:shd w:val="clear" w:color="auto" w:fill="auto"/>
          </w:tcPr>
          <w:p w14:paraId="08CCC053" w14:textId="59C6F481" w:rsidR="00E221E5" w:rsidRPr="00D7184C" w:rsidRDefault="00E221E5" w:rsidP="00E45225">
            <w:pPr>
              <w:pStyle w:val="Title2"/>
              <w:rPr>
                <w:sz w:val="26"/>
                <w:szCs w:val="26"/>
              </w:rPr>
            </w:pPr>
            <w:r w:rsidRPr="00D7184C">
              <w:t>ANÁLISIS DE LA PARTICIPACIÓN Y LAS CONTRIBUCIONES EN CALIDAD DE MIEMBRO DE ENTIDADES PROCEDENTES DE PAÍSES MENOS ADELANTADOS, PAÍSES EN DESARROLLO SIN LITORAL, PEQUEÑOS ESTADOS INSULARES EN DESARROLLO Y PAÍSES CON NECESIDADES ESPECIALES</w:t>
            </w:r>
          </w:p>
        </w:tc>
      </w:tr>
      <w:tr w:rsidR="00E221E5" w:rsidRPr="00D7184C" w14:paraId="77955686" w14:textId="77777777" w:rsidTr="006D427C">
        <w:trPr>
          <w:cantSplit/>
          <w:trHeight w:val="23"/>
        </w:trPr>
        <w:tc>
          <w:tcPr>
            <w:tcW w:w="9498" w:type="dxa"/>
            <w:gridSpan w:val="2"/>
            <w:shd w:val="clear" w:color="auto" w:fill="auto"/>
          </w:tcPr>
          <w:p w14:paraId="7F017FEB" w14:textId="77777777" w:rsidR="00E221E5" w:rsidRPr="00D7184C" w:rsidRDefault="00E221E5" w:rsidP="006D427C">
            <w:pPr>
              <w:pStyle w:val="Agendaitem"/>
              <w:ind w:right="432"/>
              <w:rPr>
                <w:sz w:val="26"/>
                <w:szCs w:val="26"/>
              </w:rPr>
            </w:pPr>
          </w:p>
        </w:tc>
      </w:tr>
    </w:tbl>
    <w:tbl>
      <w:tblPr>
        <w:tblW w:w="881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7"/>
      </w:tblGrid>
      <w:tr w:rsidR="00E221E5" w:rsidRPr="00D7184C" w14:paraId="20734782" w14:textId="77777777" w:rsidTr="00C16F8C">
        <w:trPr>
          <w:trHeight w:val="3337"/>
        </w:trPr>
        <w:tc>
          <w:tcPr>
            <w:tcW w:w="8817" w:type="dxa"/>
            <w:tcBorders>
              <w:top w:val="single" w:sz="12" w:space="0" w:color="auto"/>
              <w:left w:val="single" w:sz="12" w:space="0" w:color="auto"/>
              <w:bottom w:val="single" w:sz="12" w:space="0" w:color="auto"/>
              <w:right w:val="single" w:sz="12" w:space="0" w:color="auto"/>
            </w:tcBorders>
          </w:tcPr>
          <w:bookmarkEnd w:id="7"/>
          <w:bookmarkEnd w:id="8"/>
          <w:p w14:paraId="37255222" w14:textId="77777777" w:rsidR="00E221E5" w:rsidRPr="00D7184C" w:rsidRDefault="00E221E5" w:rsidP="001B7D75">
            <w:pPr>
              <w:pStyle w:val="Headingb"/>
              <w:spacing w:before="120" w:after="120"/>
              <w:rPr>
                <w:sz w:val="22"/>
                <w:szCs w:val="22"/>
              </w:rPr>
            </w:pPr>
            <w:r w:rsidRPr="00D7184C">
              <w:rPr>
                <w:bCs/>
              </w:rPr>
              <w:t>Resumen</w:t>
            </w:r>
          </w:p>
          <w:p w14:paraId="2DCCBB25" w14:textId="217CE6D4" w:rsidR="00E221E5" w:rsidRPr="00D7184C" w:rsidRDefault="00E221E5" w:rsidP="00D7184C">
            <w:pPr>
              <w:rPr>
                <w:color w:val="000000" w:themeColor="text1"/>
                <w:sz w:val="22"/>
                <w:szCs w:val="22"/>
              </w:rPr>
            </w:pPr>
            <w:r w:rsidRPr="00D7184C">
              <w:t>En respuesta a la Contribución</w:t>
            </w:r>
            <w:r w:rsidR="00D7184C" w:rsidRPr="00D7184C">
              <w:t xml:space="preserve"> </w:t>
            </w:r>
            <w:hyperlink r:id="rId10">
              <w:proofErr w:type="spellStart"/>
              <w:r w:rsidR="00D7184C" w:rsidRPr="00D7184C">
                <w:rPr>
                  <w:rStyle w:val="Hyperlink"/>
                </w:rPr>
                <w:t>C22</w:t>
              </w:r>
              <w:proofErr w:type="spellEnd"/>
              <w:r w:rsidR="00D7184C" w:rsidRPr="00D7184C">
                <w:rPr>
                  <w:rStyle w:val="Hyperlink"/>
                </w:rPr>
                <w:t>/79</w:t>
              </w:r>
            </w:hyperlink>
            <w:r w:rsidRPr="00D7184C">
              <w:t xml:space="preserve"> de la India, relativa a los Miembros del Sector Privado y de Instituciones Académicas en los sectores de la UIT, en particular de países menos adelantados (</w:t>
            </w:r>
            <w:proofErr w:type="spellStart"/>
            <w:r w:rsidRPr="00D7184C">
              <w:t>PMA</w:t>
            </w:r>
            <w:proofErr w:type="spellEnd"/>
            <w:r w:rsidRPr="00D7184C">
              <w:t>), países en desarrollo sin litoral</w:t>
            </w:r>
            <w:r w:rsidR="004166E8">
              <w:t> </w:t>
            </w:r>
            <w:r w:rsidRPr="00D7184C">
              <w:t>(</w:t>
            </w:r>
            <w:proofErr w:type="spellStart"/>
            <w:r w:rsidRPr="00D7184C">
              <w:t>PDSL</w:t>
            </w:r>
            <w:proofErr w:type="spellEnd"/>
            <w:r w:rsidRPr="00D7184C">
              <w:t>), pequeños Estados insulares en desarrollo (</w:t>
            </w:r>
            <w:proofErr w:type="spellStart"/>
            <w:r w:rsidRPr="00D7184C">
              <w:t>PEID</w:t>
            </w:r>
            <w:proofErr w:type="spellEnd"/>
            <w:r w:rsidRPr="00D7184C">
              <w:t>) y países con necesidades especiales (</w:t>
            </w:r>
            <w:proofErr w:type="spellStart"/>
            <w:r w:rsidRPr="00D7184C">
              <w:t>PNE</w:t>
            </w:r>
            <w:proofErr w:type="spellEnd"/>
            <w:r w:rsidRPr="00D7184C">
              <w:t>), el Consejo pidió a la Secretaría que estudiara y analizara las recomendaciones formuladas por la India y señalara el asunto a la atención de la Conferencia de Plenipotenciarios (PP-22).</w:t>
            </w:r>
          </w:p>
          <w:p w14:paraId="22343749" w14:textId="44541F6C" w:rsidR="00E221E5" w:rsidRPr="00D7184C" w:rsidRDefault="00E221E5" w:rsidP="00D7184C">
            <w:pPr>
              <w:rPr>
                <w:color w:val="000000" w:themeColor="text1"/>
                <w:sz w:val="22"/>
                <w:szCs w:val="22"/>
              </w:rPr>
            </w:pPr>
            <w:r w:rsidRPr="00D7184C">
              <w:t>En este documento se facilitan algunos datos estadísticos sobre la participación de los miembros y se presenta la situación de estos en los tres Sectores, la estructura de sus contribuciones, las iniciativas de divulgación de cada Sector para aumentar el número de Miembros del Sector Privado y de Instituciones Académicas, así como un análisis de la incidencia de los posibles cambios en las contribuciones de entidades procedentes de estas categorías de países. Se presentará al Consejo de</w:t>
            </w:r>
            <w:r w:rsidR="004166E8">
              <w:t> </w:t>
            </w:r>
            <w:r w:rsidRPr="00D7184C">
              <w:t>2023 información adicional sobre programas y actividades pertinentes de cada uno de los Sectores para apoyar el examen de las propuestas de la India.</w:t>
            </w:r>
          </w:p>
          <w:p w14:paraId="4839B1E1" w14:textId="77777777" w:rsidR="00E221E5" w:rsidRPr="00D7184C" w:rsidRDefault="00E221E5" w:rsidP="001B7D75">
            <w:pPr>
              <w:pStyle w:val="Headingb"/>
              <w:spacing w:before="120" w:after="120"/>
              <w:rPr>
                <w:sz w:val="22"/>
                <w:szCs w:val="22"/>
              </w:rPr>
            </w:pPr>
            <w:r w:rsidRPr="00D7184C">
              <w:rPr>
                <w:bCs/>
              </w:rPr>
              <w:t>Acción solicitada</w:t>
            </w:r>
          </w:p>
          <w:p w14:paraId="6869CDB7" w14:textId="77777777" w:rsidR="00E221E5" w:rsidRPr="00D7184C" w:rsidRDefault="00E221E5" w:rsidP="00D7184C">
            <w:pPr>
              <w:rPr>
                <w:rFonts w:eastAsia="MS Mincho" w:cs="Arial"/>
                <w:sz w:val="22"/>
                <w:szCs w:val="22"/>
              </w:rPr>
            </w:pPr>
            <w:r w:rsidRPr="00D7184C">
              <w:t xml:space="preserve">Se invita a la Conferencia de Plenipotenciarios a </w:t>
            </w:r>
            <w:r w:rsidRPr="00D7184C">
              <w:rPr>
                <w:b/>
                <w:bCs/>
              </w:rPr>
              <w:t>tomar nota</w:t>
            </w:r>
            <w:r w:rsidRPr="00D7184C">
              <w:t xml:space="preserve"> del presente informe.</w:t>
            </w:r>
          </w:p>
          <w:p w14:paraId="3E05E289" w14:textId="77777777" w:rsidR="00E221E5" w:rsidRPr="00D7184C" w:rsidRDefault="00E221E5" w:rsidP="001B7D75">
            <w:pPr>
              <w:pStyle w:val="Table"/>
              <w:keepNext w:val="0"/>
              <w:spacing w:before="120"/>
              <w:rPr>
                <w:rFonts w:ascii="Calibri" w:hAnsi="Calibri"/>
                <w:caps w:val="0"/>
                <w:sz w:val="22"/>
                <w:szCs w:val="22"/>
                <w:lang w:val="es-ES_tradnl"/>
              </w:rPr>
            </w:pPr>
            <w:r w:rsidRPr="00D7184C">
              <w:rPr>
                <w:lang w:val="es-ES_tradnl"/>
              </w:rPr>
              <w:t>________</w:t>
            </w:r>
          </w:p>
          <w:p w14:paraId="02D081AF" w14:textId="34D99F99" w:rsidR="00E221E5" w:rsidRPr="00D7184C" w:rsidRDefault="00E221E5" w:rsidP="001B7D75">
            <w:pPr>
              <w:pStyle w:val="Headingb"/>
              <w:spacing w:before="120" w:after="120"/>
              <w:rPr>
                <w:bCs/>
              </w:rPr>
            </w:pPr>
            <w:r w:rsidRPr="00D7184C">
              <w:rPr>
                <w:bCs/>
              </w:rPr>
              <w:t>Referencias</w:t>
            </w:r>
            <w:bookmarkStart w:id="9" w:name="_Hlk110437950"/>
          </w:p>
          <w:p w14:paraId="140BB6DF" w14:textId="3DA204C9" w:rsidR="00E221E5" w:rsidRPr="00D7184C" w:rsidRDefault="00D970FF" w:rsidP="00D7184C">
            <w:pPr>
              <w:spacing w:after="120"/>
            </w:pPr>
            <w:hyperlink r:id="rId11">
              <w:proofErr w:type="spellStart"/>
              <w:r w:rsidR="00D7184C" w:rsidRPr="00365982">
                <w:rPr>
                  <w:rStyle w:val="Hyperlink"/>
                  <w:i/>
                  <w:iCs/>
                </w:rPr>
                <w:t>C22</w:t>
              </w:r>
              <w:proofErr w:type="spellEnd"/>
              <w:r w:rsidR="00D7184C" w:rsidRPr="00365982">
                <w:rPr>
                  <w:rStyle w:val="Hyperlink"/>
                  <w:i/>
                  <w:iCs/>
                </w:rPr>
                <w:t>/79</w:t>
              </w:r>
            </w:hyperlink>
            <w:r w:rsidR="00D7184C" w:rsidRPr="00D7184C">
              <w:t xml:space="preserve">, Resolución 16 de la </w:t>
            </w:r>
            <w:proofErr w:type="spellStart"/>
            <w:r w:rsidR="00D7184C" w:rsidRPr="00D7184C">
              <w:t>CMDT</w:t>
            </w:r>
            <w:proofErr w:type="spellEnd"/>
            <w:r w:rsidR="00D7184C" w:rsidRPr="00D7184C">
              <w:t xml:space="preserve">-22 y </w:t>
            </w:r>
            <w:hyperlink r:id="rId12" w:history="1">
              <w:r w:rsidR="00D7184C" w:rsidRPr="00365982">
                <w:rPr>
                  <w:rStyle w:val="Hyperlink"/>
                  <w:i/>
                  <w:iCs/>
                </w:rPr>
                <w:t>Resolución 30 (Rev. Dubái,</w:t>
              </w:r>
              <w:r w:rsidR="00D7184C" w:rsidRPr="00365982">
                <w:rPr>
                  <w:rStyle w:val="Hyperlink"/>
                  <w:i/>
                  <w:iCs/>
                </w:rPr>
                <w:t xml:space="preserve"> </w:t>
              </w:r>
              <w:r w:rsidR="00D7184C" w:rsidRPr="00365982">
                <w:rPr>
                  <w:rStyle w:val="Hyperlink"/>
                  <w:i/>
                  <w:iCs/>
                </w:rPr>
                <w:t>2018) de la PP-18</w:t>
              </w:r>
            </w:hyperlink>
            <w:bookmarkEnd w:id="9"/>
          </w:p>
        </w:tc>
      </w:tr>
    </w:tbl>
    <w:p w14:paraId="4C1B9A3E" w14:textId="77777777" w:rsidR="00E221E5" w:rsidRPr="00D7184C" w:rsidRDefault="00E221E5" w:rsidP="00AB2D04">
      <w:pPr>
        <w:rPr>
          <w:sz w:val="22"/>
          <w:szCs w:val="22"/>
        </w:rPr>
      </w:pPr>
      <w:r w:rsidRPr="00D7184C">
        <w:rPr>
          <w:sz w:val="22"/>
          <w:szCs w:val="22"/>
        </w:rPr>
        <w:br w:type="page"/>
      </w:r>
    </w:p>
    <w:p w14:paraId="59F91C48" w14:textId="77777777" w:rsidR="00E221E5" w:rsidRPr="00D7184C" w:rsidRDefault="00E221E5" w:rsidP="4029511A">
      <w:pPr>
        <w:rPr>
          <w:color w:val="FF0000"/>
          <w:sz w:val="22"/>
          <w:szCs w:val="22"/>
        </w:rPr>
      </w:pPr>
      <w:r w:rsidRPr="00D7184C">
        <w:rPr>
          <w:color w:val="FF0000"/>
        </w:rPr>
        <w:lastRenderedPageBreak/>
        <w:t>(Todos los datos han sido obtenidos el 31 de diciembre de 2021)</w:t>
      </w:r>
    </w:p>
    <w:p w14:paraId="44BEE0B4" w14:textId="748B2EF4" w:rsidR="00E221E5" w:rsidRPr="00D7184C" w:rsidRDefault="00E221E5" w:rsidP="00D7184C">
      <w:pPr>
        <w:pStyle w:val="Headingb"/>
        <w:rPr>
          <w:sz w:val="23"/>
          <w:szCs w:val="23"/>
        </w:rPr>
      </w:pPr>
      <w:r w:rsidRPr="00D7184C">
        <w:t>Situación y estadísticas generales relativas a membresías</w:t>
      </w:r>
    </w:p>
    <w:p w14:paraId="69BF3E77" w14:textId="77777777" w:rsidR="00E221E5" w:rsidRPr="00D7184C" w:rsidRDefault="00E221E5" w:rsidP="00D7184C">
      <w:pPr>
        <w:rPr>
          <w:sz w:val="23"/>
          <w:szCs w:val="23"/>
        </w:rPr>
      </w:pPr>
      <w:r w:rsidRPr="00D7184C">
        <w:t xml:space="preserve">Aunque el 47% de los Estados Miembros pertenecen a las categorías </w:t>
      </w:r>
      <w:proofErr w:type="spellStart"/>
      <w:r w:rsidRPr="00D7184C">
        <w:t>PMA</w:t>
      </w:r>
      <w:proofErr w:type="spellEnd"/>
      <w:r w:rsidRPr="00D7184C">
        <w:t xml:space="preserve"> (países menos adelantados), </w:t>
      </w:r>
      <w:proofErr w:type="spellStart"/>
      <w:r w:rsidRPr="00D7184C">
        <w:t>PDSL</w:t>
      </w:r>
      <w:proofErr w:type="spellEnd"/>
      <w:r w:rsidRPr="00D7184C">
        <w:t xml:space="preserve"> (países en desarrollo sin litoral), </w:t>
      </w:r>
      <w:proofErr w:type="spellStart"/>
      <w:r w:rsidRPr="00D7184C">
        <w:t>PEID</w:t>
      </w:r>
      <w:proofErr w:type="spellEnd"/>
      <w:r w:rsidRPr="00D7184C">
        <w:t xml:space="preserve"> (pequeños Estados insulares en desarrollo) y </w:t>
      </w:r>
      <w:proofErr w:type="spellStart"/>
      <w:r w:rsidRPr="00D7184C">
        <w:t>PNE</w:t>
      </w:r>
      <w:proofErr w:type="spellEnd"/>
      <w:r w:rsidRPr="00D7184C">
        <w:t xml:space="preserve"> (países con necesidades especiales), solo el 6% de los Miembros de Sector, Asociados e Instituciones Académicas de la UIT pertenecen a dichos países.</w:t>
      </w:r>
    </w:p>
    <w:p w14:paraId="68CC5CB4" w14:textId="77777777" w:rsidR="00E221E5" w:rsidRPr="00813395" w:rsidRDefault="00E221E5" w:rsidP="00813395">
      <w:pPr>
        <w:spacing w:before="0"/>
        <w:rPr>
          <w:sz w:val="16"/>
          <w:szCs w:val="16"/>
        </w:rPr>
      </w:pPr>
    </w:p>
    <w:tbl>
      <w:tblPr>
        <w:tblW w:w="7531" w:type="dxa"/>
        <w:jc w:val="center"/>
        <w:tblLayout w:type="fixed"/>
        <w:tblLook w:val="04A0" w:firstRow="1" w:lastRow="0" w:firstColumn="1" w:lastColumn="0" w:noHBand="0" w:noVBand="1"/>
      </w:tblPr>
      <w:tblGrid>
        <w:gridCol w:w="2809"/>
        <w:gridCol w:w="822"/>
        <w:gridCol w:w="960"/>
        <w:gridCol w:w="1020"/>
        <w:gridCol w:w="960"/>
        <w:gridCol w:w="960"/>
      </w:tblGrid>
      <w:tr w:rsidR="00813395" w:rsidRPr="00813395" w14:paraId="71F99873" w14:textId="77777777" w:rsidTr="00813395">
        <w:trPr>
          <w:trHeight w:val="315"/>
          <w:jc w:val="center"/>
        </w:trPr>
        <w:tc>
          <w:tcPr>
            <w:tcW w:w="2809" w:type="dxa"/>
            <w:tcBorders>
              <w:top w:val="single" w:sz="8" w:space="0" w:color="auto"/>
              <w:left w:val="single" w:sz="4" w:space="0" w:color="auto"/>
              <w:bottom w:val="single" w:sz="4" w:space="0" w:color="auto"/>
              <w:right w:val="single" w:sz="4" w:space="0" w:color="auto"/>
            </w:tcBorders>
            <w:shd w:val="clear" w:color="000000" w:fill="4472C4"/>
            <w:noWrap/>
            <w:vAlign w:val="bottom"/>
            <w:hideMark/>
          </w:tcPr>
          <w:p w14:paraId="030D60CD" w14:textId="77777777" w:rsidR="00E221E5" w:rsidRPr="00813395" w:rsidRDefault="00E221E5" w:rsidP="00813395">
            <w:pPr>
              <w:pStyle w:val="Tablehead"/>
              <w:rPr>
                <w:rFonts w:cs="Calibri"/>
                <w:color w:val="FFFFFF" w:themeColor="background1"/>
                <w:sz w:val="20"/>
              </w:rPr>
            </w:pPr>
            <w:r w:rsidRPr="00813395">
              <w:rPr>
                <w:color w:val="FFFFFF" w:themeColor="background1"/>
              </w:rPr>
              <w:t>Medida/Categoría de país</w:t>
            </w:r>
          </w:p>
        </w:tc>
        <w:tc>
          <w:tcPr>
            <w:tcW w:w="822" w:type="dxa"/>
            <w:tcBorders>
              <w:top w:val="single" w:sz="8" w:space="0" w:color="auto"/>
              <w:left w:val="nil"/>
              <w:bottom w:val="single" w:sz="4" w:space="0" w:color="auto"/>
              <w:right w:val="single" w:sz="4" w:space="0" w:color="auto"/>
            </w:tcBorders>
            <w:shd w:val="clear" w:color="000000" w:fill="4472C4"/>
            <w:noWrap/>
            <w:vAlign w:val="bottom"/>
            <w:hideMark/>
          </w:tcPr>
          <w:p w14:paraId="3347522B" w14:textId="77777777" w:rsidR="00E221E5" w:rsidRPr="00813395" w:rsidRDefault="00E221E5" w:rsidP="00813395">
            <w:pPr>
              <w:pStyle w:val="Tablehead"/>
              <w:rPr>
                <w:rFonts w:cs="Calibri"/>
                <w:color w:val="FFFFFF" w:themeColor="background1"/>
                <w:sz w:val="20"/>
              </w:rPr>
            </w:pPr>
            <w:proofErr w:type="spellStart"/>
            <w:r w:rsidRPr="00813395">
              <w:rPr>
                <w:color w:val="FFFFFF" w:themeColor="background1"/>
              </w:rPr>
              <w:t>PMA</w:t>
            </w:r>
            <w:proofErr w:type="spellEnd"/>
          </w:p>
        </w:tc>
        <w:tc>
          <w:tcPr>
            <w:tcW w:w="960" w:type="dxa"/>
            <w:tcBorders>
              <w:top w:val="single" w:sz="8" w:space="0" w:color="auto"/>
              <w:left w:val="nil"/>
              <w:bottom w:val="single" w:sz="4" w:space="0" w:color="auto"/>
              <w:right w:val="single" w:sz="4" w:space="0" w:color="auto"/>
            </w:tcBorders>
            <w:shd w:val="clear" w:color="000000" w:fill="4472C4"/>
            <w:noWrap/>
            <w:vAlign w:val="bottom"/>
            <w:hideMark/>
          </w:tcPr>
          <w:p w14:paraId="52281037" w14:textId="77777777" w:rsidR="00E221E5" w:rsidRPr="00813395" w:rsidRDefault="00E221E5" w:rsidP="00813395">
            <w:pPr>
              <w:pStyle w:val="Tablehead"/>
              <w:rPr>
                <w:rFonts w:cs="Calibri"/>
                <w:color w:val="FFFFFF" w:themeColor="background1"/>
                <w:sz w:val="20"/>
              </w:rPr>
            </w:pPr>
            <w:proofErr w:type="spellStart"/>
            <w:r w:rsidRPr="00813395">
              <w:rPr>
                <w:color w:val="FFFFFF" w:themeColor="background1"/>
              </w:rPr>
              <w:t>PDSL</w:t>
            </w:r>
            <w:proofErr w:type="spellEnd"/>
          </w:p>
        </w:tc>
        <w:tc>
          <w:tcPr>
            <w:tcW w:w="1020" w:type="dxa"/>
            <w:tcBorders>
              <w:top w:val="single" w:sz="8" w:space="0" w:color="auto"/>
              <w:left w:val="nil"/>
              <w:bottom w:val="single" w:sz="4" w:space="0" w:color="auto"/>
              <w:right w:val="single" w:sz="4" w:space="0" w:color="auto"/>
            </w:tcBorders>
            <w:shd w:val="clear" w:color="000000" w:fill="4472C4"/>
            <w:noWrap/>
            <w:vAlign w:val="bottom"/>
            <w:hideMark/>
          </w:tcPr>
          <w:p w14:paraId="66030198" w14:textId="77777777" w:rsidR="00E221E5" w:rsidRPr="00813395" w:rsidRDefault="00E221E5" w:rsidP="00813395">
            <w:pPr>
              <w:pStyle w:val="Tablehead"/>
              <w:rPr>
                <w:rFonts w:cs="Calibri"/>
                <w:color w:val="FFFFFF" w:themeColor="background1"/>
                <w:sz w:val="20"/>
              </w:rPr>
            </w:pPr>
            <w:proofErr w:type="spellStart"/>
            <w:r w:rsidRPr="00813395">
              <w:rPr>
                <w:color w:val="FFFFFF" w:themeColor="background1"/>
              </w:rPr>
              <w:t>PEID</w:t>
            </w:r>
            <w:proofErr w:type="spellEnd"/>
          </w:p>
        </w:tc>
        <w:tc>
          <w:tcPr>
            <w:tcW w:w="960" w:type="dxa"/>
            <w:tcBorders>
              <w:top w:val="single" w:sz="8" w:space="0" w:color="auto"/>
              <w:left w:val="nil"/>
              <w:bottom w:val="single" w:sz="4" w:space="0" w:color="auto"/>
              <w:right w:val="nil"/>
            </w:tcBorders>
            <w:shd w:val="clear" w:color="000000" w:fill="4472C4"/>
            <w:noWrap/>
            <w:vAlign w:val="bottom"/>
            <w:hideMark/>
          </w:tcPr>
          <w:p w14:paraId="1C61087A" w14:textId="77777777" w:rsidR="00E221E5" w:rsidRPr="00813395" w:rsidRDefault="00E221E5" w:rsidP="00813395">
            <w:pPr>
              <w:pStyle w:val="Tablehead"/>
              <w:rPr>
                <w:rFonts w:cs="Calibri"/>
                <w:color w:val="FFFFFF" w:themeColor="background1"/>
                <w:sz w:val="20"/>
              </w:rPr>
            </w:pPr>
            <w:proofErr w:type="spellStart"/>
            <w:r w:rsidRPr="00813395">
              <w:rPr>
                <w:color w:val="FFFFFF" w:themeColor="background1"/>
              </w:rPr>
              <w:t>PNE</w:t>
            </w:r>
            <w:proofErr w:type="spellEnd"/>
          </w:p>
        </w:tc>
        <w:tc>
          <w:tcPr>
            <w:tcW w:w="960" w:type="dxa"/>
            <w:tcBorders>
              <w:top w:val="single" w:sz="8" w:space="0" w:color="auto"/>
              <w:left w:val="single" w:sz="8" w:space="0" w:color="auto"/>
              <w:bottom w:val="single" w:sz="4" w:space="0" w:color="auto"/>
              <w:right w:val="single" w:sz="8" w:space="0" w:color="auto"/>
            </w:tcBorders>
            <w:shd w:val="clear" w:color="000000" w:fill="4472C4"/>
            <w:noWrap/>
            <w:vAlign w:val="bottom"/>
            <w:hideMark/>
          </w:tcPr>
          <w:p w14:paraId="518EE525" w14:textId="77777777" w:rsidR="00E221E5" w:rsidRPr="00813395" w:rsidRDefault="00E221E5" w:rsidP="00813395">
            <w:pPr>
              <w:pStyle w:val="Tablehead"/>
              <w:rPr>
                <w:rFonts w:cs="Calibri"/>
                <w:color w:val="FFFFFF" w:themeColor="background1"/>
                <w:sz w:val="20"/>
              </w:rPr>
            </w:pPr>
            <w:r w:rsidRPr="00813395">
              <w:rPr>
                <w:color w:val="FFFFFF" w:themeColor="background1"/>
              </w:rPr>
              <w:t>TOTAL</w:t>
            </w:r>
          </w:p>
        </w:tc>
      </w:tr>
      <w:tr w:rsidR="00E221E5" w:rsidRPr="00D7184C" w14:paraId="2DF692FD" w14:textId="77777777" w:rsidTr="00813395">
        <w:trPr>
          <w:trHeight w:val="300"/>
          <w:jc w:val="center"/>
        </w:trPr>
        <w:tc>
          <w:tcPr>
            <w:tcW w:w="2809" w:type="dxa"/>
            <w:tcBorders>
              <w:top w:val="nil"/>
              <w:left w:val="single" w:sz="4" w:space="0" w:color="auto"/>
              <w:bottom w:val="single" w:sz="4" w:space="0" w:color="auto"/>
              <w:right w:val="single" w:sz="4" w:space="0" w:color="auto"/>
            </w:tcBorders>
            <w:shd w:val="clear" w:color="000000" w:fill="4472C4"/>
            <w:noWrap/>
            <w:vAlign w:val="bottom"/>
            <w:hideMark/>
          </w:tcPr>
          <w:p w14:paraId="0F5A7615" w14:textId="77777777" w:rsidR="00E221E5" w:rsidRPr="00813395" w:rsidRDefault="00E221E5" w:rsidP="00813395">
            <w:pPr>
              <w:pStyle w:val="Tabletext"/>
              <w:rPr>
                <w:rFonts w:cs="Calibri"/>
                <w:i/>
                <w:iCs/>
                <w:color w:val="FFFFFF" w:themeColor="background1"/>
                <w:sz w:val="24"/>
                <w:szCs w:val="24"/>
              </w:rPr>
            </w:pPr>
            <w:r w:rsidRPr="00813395">
              <w:rPr>
                <w:i/>
                <w:iCs/>
                <w:color w:val="FFFFFF" w:themeColor="background1"/>
                <w:sz w:val="24"/>
                <w:szCs w:val="24"/>
              </w:rPr>
              <w:t>Países representados</w:t>
            </w:r>
          </w:p>
        </w:tc>
        <w:tc>
          <w:tcPr>
            <w:tcW w:w="822" w:type="dxa"/>
            <w:tcBorders>
              <w:top w:val="nil"/>
              <w:left w:val="nil"/>
              <w:bottom w:val="single" w:sz="4" w:space="0" w:color="auto"/>
              <w:right w:val="single" w:sz="4" w:space="0" w:color="auto"/>
            </w:tcBorders>
            <w:shd w:val="clear" w:color="000000" w:fill="D9E1F2"/>
            <w:noWrap/>
            <w:vAlign w:val="bottom"/>
            <w:hideMark/>
          </w:tcPr>
          <w:p w14:paraId="1C70B250" w14:textId="77777777" w:rsidR="00E221E5" w:rsidRPr="00813395"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themeColor="text1"/>
                <w:sz w:val="20"/>
              </w:rPr>
            </w:pPr>
            <w:r w:rsidRPr="00813395">
              <w:rPr>
                <w:b/>
                <w:bCs/>
                <w:color w:val="000000" w:themeColor="text1"/>
              </w:rPr>
              <w:t>20</w:t>
            </w:r>
          </w:p>
        </w:tc>
        <w:tc>
          <w:tcPr>
            <w:tcW w:w="960" w:type="dxa"/>
            <w:tcBorders>
              <w:top w:val="nil"/>
              <w:left w:val="nil"/>
              <w:bottom w:val="single" w:sz="4" w:space="0" w:color="auto"/>
              <w:right w:val="single" w:sz="4" w:space="0" w:color="auto"/>
            </w:tcBorders>
            <w:shd w:val="clear" w:color="000000" w:fill="D9E1F2"/>
            <w:noWrap/>
            <w:vAlign w:val="bottom"/>
            <w:hideMark/>
          </w:tcPr>
          <w:p w14:paraId="2A7560C2" w14:textId="77777777" w:rsidR="00E221E5" w:rsidRPr="00813395"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themeColor="text1"/>
                <w:sz w:val="20"/>
              </w:rPr>
            </w:pPr>
            <w:r w:rsidRPr="00813395">
              <w:rPr>
                <w:b/>
                <w:bCs/>
                <w:color w:val="000000" w:themeColor="text1"/>
              </w:rPr>
              <w:t>16</w:t>
            </w:r>
          </w:p>
        </w:tc>
        <w:tc>
          <w:tcPr>
            <w:tcW w:w="1020" w:type="dxa"/>
            <w:tcBorders>
              <w:top w:val="nil"/>
              <w:left w:val="nil"/>
              <w:bottom w:val="single" w:sz="4" w:space="0" w:color="auto"/>
              <w:right w:val="single" w:sz="4" w:space="0" w:color="auto"/>
            </w:tcBorders>
            <w:shd w:val="clear" w:color="000000" w:fill="D9E1F2"/>
            <w:noWrap/>
            <w:vAlign w:val="bottom"/>
            <w:hideMark/>
          </w:tcPr>
          <w:p w14:paraId="740DC711" w14:textId="77777777" w:rsidR="00E221E5" w:rsidRPr="00813395"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themeColor="text1"/>
                <w:sz w:val="20"/>
              </w:rPr>
            </w:pPr>
            <w:r w:rsidRPr="00813395">
              <w:rPr>
                <w:b/>
                <w:bCs/>
                <w:color w:val="000000" w:themeColor="text1"/>
              </w:rPr>
              <w:t>11</w:t>
            </w:r>
          </w:p>
        </w:tc>
        <w:tc>
          <w:tcPr>
            <w:tcW w:w="960" w:type="dxa"/>
            <w:tcBorders>
              <w:top w:val="nil"/>
              <w:left w:val="nil"/>
              <w:bottom w:val="single" w:sz="4" w:space="0" w:color="auto"/>
              <w:right w:val="nil"/>
            </w:tcBorders>
            <w:shd w:val="clear" w:color="000000" w:fill="D9E1F2"/>
            <w:noWrap/>
            <w:vAlign w:val="bottom"/>
            <w:hideMark/>
          </w:tcPr>
          <w:p w14:paraId="4F9ADA26" w14:textId="77777777" w:rsidR="00E221E5" w:rsidRPr="00813395"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themeColor="text1"/>
                <w:sz w:val="20"/>
              </w:rPr>
            </w:pPr>
            <w:r w:rsidRPr="00813395">
              <w:rPr>
                <w:b/>
                <w:bCs/>
                <w:color w:val="000000" w:themeColor="text1"/>
              </w:rPr>
              <w:t>6</w:t>
            </w:r>
          </w:p>
        </w:tc>
        <w:tc>
          <w:tcPr>
            <w:tcW w:w="960" w:type="dxa"/>
            <w:tcBorders>
              <w:top w:val="single" w:sz="8" w:space="0" w:color="auto"/>
              <w:left w:val="single" w:sz="8" w:space="0" w:color="auto"/>
              <w:bottom w:val="single" w:sz="4" w:space="0" w:color="auto"/>
              <w:right w:val="single" w:sz="8" w:space="0" w:color="auto"/>
            </w:tcBorders>
            <w:shd w:val="clear" w:color="000000" w:fill="D9E1F2"/>
            <w:noWrap/>
            <w:vAlign w:val="bottom"/>
            <w:hideMark/>
          </w:tcPr>
          <w:p w14:paraId="02AFD121"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36</w:t>
            </w:r>
          </w:p>
        </w:tc>
      </w:tr>
      <w:tr w:rsidR="00E221E5" w:rsidRPr="00D7184C" w14:paraId="60ECE0E8" w14:textId="77777777" w:rsidTr="00813395">
        <w:trPr>
          <w:trHeight w:val="300"/>
          <w:jc w:val="center"/>
        </w:trPr>
        <w:tc>
          <w:tcPr>
            <w:tcW w:w="2809" w:type="dxa"/>
            <w:tcBorders>
              <w:top w:val="nil"/>
              <w:left w:val="single" w:sz="4" w:space="0" w:color="auto"/>
              <w:bottom w:val="single" w:sz="4" w:space="0" w:color="auto"/>
              <w:right w:val="single" w:sz="4" w:space="0" w:color="auto"/>
            </w:tcBorders>
            <w:shd w:val="clear" w:color="000000" w:fill="4472C4"/>
            <w:noWrap/>
            <w:vAlign w:val="bottom"/>
            <w:hideMark/>
          </w:tcPr>
          <w:p w14:paraId="6771CFFF" w14:textId="77777777" w:rsidR="00E221E5" w:rsidRPr="00813395" w:rsidRDefault="00E221E5" w:rsidP="00813395">
            <w:pPr>
              <w:pStyle w:val="Tabletext"/>
              <w:rPr>
                <w:rFonts w:cs="Calibri"/>
                <w:i/>
                <w:iCs/>
                <w:color w:val="FFFFFF" w:themeColor="background1"/>
                <w:sz w:val="24"/>
                <w:szCs w:val="24"/>
              </w:rPr>
            </w:pPr>
            <w:r w:rsidRPr="00813395">
              <w:rPr>
                <w:i/>
                <w:iCs/>
                <w:color w:val="FFFFFF" w:themeColor="background1"/>
                <w:sz w:val="24"/>
                <w:szCs w:val="24"/>
              </w:rPr>
              <w:t>Miembros</w:t>
            </w:r>
          </w:p>
        </w:tc>
        <w:tc>
          <w:tcPr>
            <w:tcW w:w="822" w:type="dxa"/>
            <w:tcBorders>
              <w:top w:val="nil"/>
              <w:left w:val="nil"/>
              <w:bottom w:val="single" w:sz="4" w:space="0" w:color="auto"/>
              <w:right w:val="single" w:sz="4" w:space="0" w:color="auto"/>
            </w:tcBorders>
            <w:shd w:val="clear" w:color="auto" w:fill="auto"/>
            <w:noWrap/>
            <w:vAlign w:val="bottom"/>
            <w:hideMark/>
          </w:tcPr>
          <w:p w14:paraId="1445638C"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508B9A4"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24</w:t>
            </w:r>
          </w:p>
        </w:tc>
        <w:tc>
          <w:tcPr>
            <w:tcW w:w="1020" w:type="dxa"/>
            <w:tcBorders>
              <w:top w:val="nil"/>
              <w:left w:val="nil"/>
              <w:bottom w:val="single" w:sz="4" w:space="0" w:color="auto"/>
              <w:right w:val="single" w:sz="4" w:space="0" w:color="auto"/>
            </w:tcBorders>
            <w:shd w:val="clear" w:color="auto" w:fill="auto"/>
            <w:noWrap/>
            <w:vAlign w:val="bottom"/>
            <w:hideMark/>
          </w:tcPr>
          <w:p w14:paraId="7AC6A2DD"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19</w:t>
            </w:r>
          </w:p>
        </w:tc>
        <w:tc>
          <w:tcPr>
            <w:tcW w:w="960" w:type="dxa"/>
            <w:tcBorders>
              <w:top w:val="nil"/>
              <w:left w:val="nil"/>
              <w:bottom w:val="single" w:sz="4" w:space="0" w:color="auto"/>
              <w:right w:val="nil"/>
            </w:tcBorders>
            <w:shd w:val="clear" w:color="auto" w:fill="auto"/>
            <w:noWrap/>
            <w:vAlign w:val="bottom"/>
            <w:hideMark/>
          </w:tcPr>
          <w:p w14:paraId="3162F3C5"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C2E8D3B"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63</w:t>
            </w:r>
          </w:p>
        </w:tc>
      </w:tr>
      <w:tr w:rsidR="00E221E5" w:rsidRPr="00D7184C" w14:paraId="1C038FC3" w14:textId="77777777" w:rsidTr="00813395">
        <w:trPr>
          <w:trHeight w:val="315"/>
          <w:jc w:val="center"/>
        </w:trPr>
        <w:tc>
          <w:tcPr>
            <w:tcW w:w="2809" w:type="dxa"/>
            <w:tcBorders>
              <w:top w:val="nil"/>
              <w:left w:val="single" w:sz="4" w:space="0" w:color="auto"/>
              <w:bottom w:val="single" w:sz="8" w:space="0" w:color="auto"/>
              <w:right w:val="single" w:sz="4" w:space="0" w:color="auto"/>
            </w:tcBorders>
            <w:shd w:val="clear" w:color="000000" w:fill="4472C4"/>
            <w:noWrap/>
            <w:vAlign w:val="bottom"/>
            <w:hideMark/>
          </w:tcPr>
          <w:p w14:paraId="7A7D0144" w14:textId="77777777" w:rsidR="00E221E5" w:rsidRPr="00813395" w:rsidRDefault="00E221E5" w:rsidP="00813395">
            <w:pPr>
              <w:pStyle w:val="Tabletext"/>
              <w:rPr>
                <w:rFonts w:cs="Calibri"/>
                <w:i/>
                <w:iCs/>
                <w:color w:val="FFFFFF" w:themeColor="background1"/>
                <w:sz w:val="24"/>
                <w:szCs w:val="24"/>
              </w:rPr>
            </w:pPr>
            <w:r w:rsidRPr="00813395">
              <w:rPr>
                <w:i/>
                <w:iCs/>
                <w:color w:val="FFFFFF" w:themeColor="background1"/>
                <w:sz w:val="24"/>
                <w:szCs w:val="24"/>
              </w:rPr>
              <w:t>Membresías</w:t>
            </w:r>
          </w:p>
        </w:tc>
        <w:tc>
          <w:tcPr>
            <w:tcW w:w="822" w:type="dxa"/>
            <w:tcBorders>
              <w:top w:val="nil"/>
              <w:left w:val="nil"/>
              <w:bottom w:val="single" w:sz="8" w:space="0" w:color="auto"/>
              <w:right w:val="single" w:sz="4" w:space="0" w:color="auto"/>
            </w:tcBorders>
            <w:shd w:val="clear" w:color="000000" w:fill="D9E1F2"/>
            <w:noWrap/>
            <w:vAlign w:val="bottom"/>
            <w:hideMark/>
          </w:tcPr>
          <w:p w14:paraId="28A67781"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40</w:t>
            </w:r>
          </w:p>
        </w:tc>
        <w:tc>
          <w:tcPr>
            <w:tcW w:w="960" w:type="dxa"/>
            <w:tcBorders>
              <w:top w:val="nil"/>
              <w:left w:val="nil"/>
              <w:bottom w:val="single" w:sz="8" w:space="0" w:color="auto"/>
              <w:right w:val="single" w:sz="4" w:space="0" w:color="auto"/>
            </w:tcBorders>
            <w:shd w:val="clear" w:color="000000" w:fill="D9E1F2"/>
            <w:noWrap/>
            <w:vAlign w:val="bottom"/>
            <w:hideMark/>
          </w:tcPr>
          <w:p w14:paraId="154355A0"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27</w:t>
            </w:r>
          </w:p>
        </w:tc>
        <w:tc>
          <w:tcPr>
            <w:tcW w:w="1020" w:type="dxa"/>
            <w:tcBorders>
              <w:top w:val="nil"/>
              <w:left w:val="nil"/>
              <w:bottom w:val="single" w:sz="8" w:space="0" w:color="auto"/>
              <w:right w:val="single" w:sz="4" w:space="0" w:color="auto"/>
            </w:tcBorders>
            <w:shd w:val="clear" w:color="000000" w:fill="D9E1F2"/>
            <w:noWrap/>
            <w:vAlign w:val="bottom"/>
            <w:hideMark/>
          </w:tcPr>
          <w:p w14:paraId="533892B9"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24</w:t>
            </w:r>
          </w:p>
        </w:tc>
        <w:tc>
          <w:tcPr>
            <w:tcW w:w="960" w:type="dxa"/>
            <w:tcBorders>
              <w:top w:val="nil"/>
              <w:left w:val="nil"/>
              <w:bottom w:val="single" w:sz="8" w:space="0" w:color="auto"/>
              <w:right w:val="nil"/>
            </w:tcBorders>
            <w:shd w:val="clear" w:color="000000" w:fill="D9E1F2"/>
            <w:noWrap/>
            <w:vAlign w:val="bottom"/>
            <w:hideMark/>
          </w:tcPr>
          <w:p w14:paraId="3C619481"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8</w:t>
            </w:r>
          </w:p>
        </w:tc>
        <w:tc>
          <w:tcPr>
            <w:tcW w:w="960" w:type="dxa"/>
            <w:tcBorders>
              <w:top w:val="nil"/>
              <w:left w:val="single" w:sz="8" w:space="0" w:color="auto"/>
              <w:bottom w:val="single" w:sz="8" w:space="0" w:color="auto"/>
              <w:right w:val="single" w:sz="8" w:space="0" w:color="auto"/>
            </w:tcBorders>
            <w:shd w:val="clear" w:color="000000" w:fill="D9E1F2"/>
            <w:noWrap/>
            <w:vAlign w:val="bottom"/>
            <w:hideMark/>
          </w:tcPr>
          <w:p w14:paraId="068AF5C7" w14:textId="77777777" w:rsidR="00E221E5" w:rsidRPr="00D7184C" w:rsidRDefault="00E221E5"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rPr>
            </w:pPr>
            <w:r w:rsidRPr="00D7184C">
              <w:rPr>
                <w:b/>
                <w:bCs/>
              </w:rPr>
              <w:t>76</w:t>
            </w:r>
          </w:p>
        </w:tc>
      </w:tr>
    </w:tbl>
    <w:p w14:paraId="4FAEF5B8" w14:textId="198A35CC" w:rsidR="00E221E5" w:rsidRDefault="00E221E5" w:rsidP="00813395">
      <w:pPr>
        <w:pStyle w:val="Tabletitle"/>
      </w:pPr>
      <w:r w:rsidRPr="00D7184C">
        <w:t>Cuadro 1: Situación y estadísticas generales relativas a membresías</w:t>
      </w:r>
    </w:p>
    <w:p w14:paraId="663E95F2" w14:textId="77777777" w:rsidR="00813395" w:rsidRPr="00813395" w:rsidRDefault="00813395" w:rsidP="00813395">
      <w:pPr>
        <w:pStyle w:val="Tabletext"/>
        <w:spacing w:before="0" w:after="0"/>
        <w:rPr>
          <w:sz w:val="16"/>
          <w:szCs w:val="16"/>
        </w:rPr>
      </w:pPr>
    </w:p>
    <w:p w14:paraId="0615716F" w14:textId="3395E33F" w:rsidR="00E221E5" w:rsidRPr="00D7184C" w:rsidRDefault="00E221E5" w:rsidP="00D7184C">
      <w:pPr>
        <w:rPr>
          <w:sz w:val="23"/>
          <w:szCs w:val="23"/>
        </w:rPr>
      </w:pPr>
      <w:r w:rsidRPr="00D7184C">
        <w:t xml:space="preserve">49 </w:t>
      </w:r>
      <w:proofErr w:type="gramStart"/>
      <w:r w:rsidRPr="00D7184C">
        <w:t>Estados</w:t>
      </w:r>
      <w:proofErr w:type="gramEnd"/>
      <w:r w:rsidRPr="00D7184C">
        <w:t xml:space="preserve"> Miembros son </w:t>
      </w:r>
      <w:proofErr w:type="spellStart"/>
      <w:r w:rsidRPr="00D7184C">
        <w:t>PMA</w:t>
      </w:r>
      <w:proofErr w:type="spellEnd"/>
      <w:r w:rsidRPr="00D7184C">
        <w:t xml:space="preserve">, 31 Estados Miembros son </w:t>
      </w:r>
      <w:proofErr w:type="spellStart"/>
      <w:r w:rsidRPr="00D7184C">
        <w:t>PDSL</w:t>
      </w:r>
      <w:proofErr w:type="spellEnd"/>
      <w:r w:rsidRPr="00D7184C">
        <w:t xml:space="preserve">, 37 Estados Miembros son </w:t>
      </w:r>
      <w:proofErr w:type="spellStart"/>
      <w:r w:rsidRPr="00D7184C">
        <w:t>PEID</w:t>
      </w:r>
      <w:proofErr w:type="spellEnd"/>
      <w:r w:rsidRPr="00D7184C">
        <w:t xml:space="preserve"> y</w:t>
      </w:r>
      <w:r w:rsidR="00D7184C" w:rsidRPr="00D7184C">
        <w:t> </w:t>
      </w:r>
      <w:r w:rsidRPr="00D7184C">
        <w:t xml:space="preserve">13 Estados Miembros son </w:t>
      </w:r>
      <w:proofErr w:type="spellStart"/>
      <w:r w:rsidRPr="00D7184C">
        <w:t>PNE</w:t>
      </w:r>
      <w:proofErr w:type="spellEnd"/>
      <w:r w:rsidRPr="00D7184C">
        <w:t>.</w:t>
      </w:r>
    </w:p>
    <w:p w14:paraId="7FAD5DC7" w14:textId="77777777" w:rsidR="00E221E5" w:rsidRPr="00D7184C" w:rsidRDefault="00E221E5" w:rsidP="00D7184C">
      <w:pPr>
        <w:rPr>
          <w:sz w:val="23"/>
          <w:szCs w:val="23"/>
        </w:rPr>
      </w:pPr>
      <w:r w:rsidRPr="00D7184C">
        <w:t>En total, 91 Estados Miembros pertenecen a una o más de estas categorías. El 60% de estos Estados Miembros no tienen Miembros de Sector, Asociados ni Instituciones Académicas.</w:t>
      </w:r>
    </w:p>
    <w:p w14:paraId="38F38CCF" w14:textId="3B17342B" w:rsidR="00E221E5" w:rsidRPr="00D7184C" w:rsidRDefault="00E221E5" w:rsidP="00D7184C">
      <w:pPr>
        <w:rPr>
          <w:sz w:val="23"/>
          <w:szCs w:val="23"/>
        </w:rPr>
      </w:pPr>
      <w:r w:rsidRPr="00D7184C">
        <w:t xml:space="preserve">Como se muestra en el </w:t>
      </w:r>
      <w:r w:rsidR="00813395">
        <w:t>C</w:t>
      </w:r>
      <w:r w:rsidRPr="00D7184C">
        <w:t xml:space="preserve">uadro 1 anterior, hay 32 Miembros procedentes de 20 </w:t>
      </w:r>
      <w:proofErr w:type="spellStart"/>
      <w:r w:rsidRPr="00D7184C">
        <w:t>PMA</w:t>
      </w:r>
      <w:proofErr w:type="spellEnd"/>
      <w:r w:rsidRPr="00D7184C">
        <w:t xml:space="preserve"> que generan</w:t>
      </w:r>
      <w:r w:rsidR="00D7184C" w:rsidRPr="00D7184C">
        <w:t> </w:t>
      </w:r>
      <w:r w:rsidRPr="00D7184C">
        <w:t xml:space="preserve">40 membresías. Hay 24 Miembros procedentes de 16 </w:t>
      </w:r>
      <w:proofErr w:type="spellStart"/>
      <w:r w:rsidRPr="00D7184C">
        <w:t>PDSL</w:t>
      </w:r>
      <w:proofErr w:type="spellEnd"/>
      <w:r w:rsidRPr="00D7184C">
        <w:t xml:space="preserve"> que generan 27 membresías. Hay 19 Miembros procedentes de 11 </w:t>
      </w:r>
      <w:proofErr w:type="spellStart"/>
      <w:r w:rsidRPr="00D7184C">
        <w:t>PEID</w:t>
      </w:r>
      <w:proofErr w:type="spellEnd"/>
      <w:r w:rsidRPr="00D7184C">
        <w:t xml:space="preserve"> que generan 24 membresías. Hay ocho Miembros procedentes de seis </w:t>
      </w:r>
      <w:proofErr w:type="spellStart"/>
      <w:r w:rsidRPr="00D7184C">
        <w:t>PNE</w:t>
      </w:r>
      <w:proofErr w:type="spellEnd"/>
      <w:r w:rsidRPr="00D7184C">
        <w:t xml:space="preserve"> que generan ocho membresías.</w:t>
      </w:r>
    </w:p>
    <w:p w14:paraId="726DC23B" w14:textId="77777777" w:rsidR="00E221E5" w:rsidRPr="00D7184C" w:rsidRDefault="00E221E5" w:rsidP="00D7184C">
      <w:pPr>
        <w:rPr>
          <w:rFonts w:eastAsia="Calibri" w:cs="Calibri"/>
          <w:sz w:val="23"/>
          <w:szCs w:val="23"/>
        </w:rPr>
      </w:pPr>
      <w:r w:rsidRPr="00D7184C">
        <w:t>En el Anexo 1 figura un desglose detallado de estas estadísticas por Sector.</w:t>
      </w:r>
    </w:p>
    <w:p w14:paraId="77C133E3" w14:textId="6594B42D" w:rsidR="00E221E5" w:rsidRPr="00D7184C" w:rsidRDefault="00E221E5" w:rsidP="00D7184C">
      <w:pPr>
        <w:pStyle w:val="Headingb"/>
        <w:rPr>
          <w:sz w:val="23"/>
          <w:szCs w:val="23"/>
        </w:rPr>
      </w:pPr>
      <w:r w:rsidRPr="00D7184C">
        <w:t>Evolución de membresías</w:t>
      </w:r>
    </w:p>
    <w:p w14:paraId="2A538614" w14:textId="183BAD7F" w:rsidR="00E221E5" w:rsidRPr="00D7184C" w:rsidRDefault="00E221E5" w:rsidP="00DC3885">
      <w:pPr>
        <w:rPr>
          <w:sz w:val="23"/>
          <w:szCs w:val="23"/>
        </w:rPr>
      </w:pPr>
      <w:r w:rsidRPr="00D7184C">
        <w:t>Como puede verse en la Figura 1, el número de Miembros de Sector, Asociados e Instituciones Académicas aumentó constantemente hasta mediados del decenio de 2000, luego disminuyó durante algunos años antes de volver a aumentar entre 2010 y 2016 y, desde entonces, se ha reducido cada año. El número de Miembros de Sector fue uniforme entre 2013 y 2017 antes de disminuir en los últimos años. La introducción de la categoría de Instituciones Académicas fue la principal contribución al crecimiento de 2010 a 2016.</w:t>
      </w:r>
    </w:p>
    <w:p w14:paraId="614B7EF0" w14:textId="2178B484" w:rsidR="00E221E5" w:rsidRPr="00D7184C" w:rsidRDefault="00D7184C" w:rsidP="00DC3885">
      <w:pPr>
        <w:rPr>
          <w:rFonts w:asciiTheme="minorHAnsi" w:eastAsiaTheme="minorEastAsia" w:hAnsiTheme="minorHAnsi" w:cstheme="minorBidi"/>
          <w:color w:val="000000" w:themeColor="text1"/>
          <w:sz w:val="20"/>
        </w:rPr>
      </w:pPr>
      <w:bookmarkStart w:id="10" w:name="_Hlk110465915"/>
      <w:r w:rsidRPr="00D7184C">
        <w:rPr>
          <w:rFonts w:asciiTheme="minorHAnsi" w:eastAsiaTheme="minorEastAsia" w:hAnsiTheme="minorHAnsi" w:cstheme="minorBidi"/>
          <w:noProof/>
          <w:color w:val="000000" w:themeColor="text1"/>
          <w:sz w:val="20"/>
        </w:rPr>
        <w:lastRenderedPageBreak/>
        <mc:AlternateContent>
          <mc:Choice Requires="wps">
            <w:drawing>
              <wp:anchor distT="0" distB="0" distL="114300" distR="114300" simplePos="0" relativeHeight="251662336" behindDoc="0" locked="0" layoutInCell="1" allowOverlap="1" wp14:anchorId="5B3C992A" wp14:editId="4C513BAB">
                <wp:simplePos x="0" y="0"/>
                <wp:positionH relativeFrom="column">
                  <wp:posOffset>-436769</wp:posOffset>
                </wp:positionH>
                <wp:positionV relativeFrom="paragraph">
                  <wp:posOffset>2037161</wp:posOffset>
                </wp:positionV>
                <wp:extent cx="1038502" cy="208035"/>
                <wp:effectExtent l="0" t="3810" r="5715" b="5715"/>
                <wp:wrapNone/>
                <wp:docPr id="7" name="Text Box 7"/>
                <wp:cNvGraphicFramePr/>
                <a:graphic xmlns:a="http://schemas.openxmlformats.org/drawingml/2006/main">
                  <a:graphicData uri="http://schemas.microsoft.com/office/word/2010/wordprocessingShape">
                    <wps:wsp>
                      <wps:cNvSpPr txBox="1"/>
                      <wps:spPr>
                        <a:xfrm rot="16200000">
                          <a:off x="0" y="0"/>
                          <a:ext cx="1038502" cy="208035"/>
                        </a:xfrm>
                        <a:prstGeom prst="rect">
                          <a:avLst/>
                        </a:prstGeom>
                        <a:solidFill>
                          <a:schemeClr val="bg1"/>
                        </a:solidFill>
                        <a:ln w="6350">
                          <a:noFill/>
                        </a:ln>
                      </wps:spPr>
                      <wps:txbx>
                        <w:txbxContent>
                          <w:p w14:paraId="2AE85AC8" w14:textId="7D6182DE" w:rsidR="00D7184C" w:rsidRPr="00D7184C" w:rsidRDefault="00D7184C" w:rsidP="00D7184C">
                            <w:pPr>
                              <w:spacing w:before="0"/>
                              <w:ind w:left="-57"/>
                              <w:rPr>
                                <w:sz w:val="4"/>
                                <w:szCs w:val="4"/>
                              </w:rPr>
                            </w:pPr>
                            <w:r w:rsidRPr="00D7184C">
                              <w:rPr>
                                <w:sz w:val="12"/>
                                <w:szCs w:val="12"/>
                                <w:lang w:val="es-ES"/>
                              </w:rPr>
                              <w:t>Número de membresías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C992A" id="_x0000_t202" coordsize="21600,21600" o:spt="202" path="m,l,21600r21600,l21600,xe">
                <v:stroke joinstyle="miter"/>
                <v:path gradientshapeok="t" o:connecttype="rect"/>
              </v:shapetype>
              <v:shape id="Text Box 7" o:spid="_x0000_s1026" type="#_x0000_t202" style="position:absolute;margin-left:-34.4pt;margin-top:160.4pt;width:81.75pt;height:16.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" fillcolor="white [3212]" stroked="f" strokeweight=".5pt">
                <v:textbox>
                  <w:txbxContent>
                    <w:p w14:paraId="2AE85AC8" w14:textId="7D6182DE" w:rsidR="00D7184C" w:rsidRPr="00D7184C" w:rsidRDefault="00D7184C" w:rsidP="00D7184C">
                      <w:pPr>
                        <w:spacing w:before="0"/>
                        <w:ind w:left="-57"/>
                        <w:rPr>
                          <w:sz w:val="4"/>
                          <w:szCs w:val="4"/>
                        </w:rPr>
                      </w:pPr>
                      <w:r w:rsidRPr="00D7184C">
                        <w:rPr>
                          <w:sz w:val="12"/>
                          <w:szCs w:val="12"/>
                          <w:lang w:val="es-ES"/>
                        </w:rPr>
                        <w:t>Número de membresías</w:t>
                      </w:r>
                    </w:p>
                  </w:txbxContent>
                </v:textbox>
              </v:shape>
            </w:pict>
          </mc:Fallback>
        </mc:AlternateContent>
      </w:r>
      <w:r w:rsidRPr="00D7184C">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1312" behindDoc="0" locked="0" layoutInCell="1" allowOverlap="1" wp14:anchorId="545F18FB" wp14:editId="7E06EDCD">
                <wp:simplePos x="0" y="0"/>
                <wp:positionH relativeFrom="column">
                  <wp:posOffset>1005343</wp:posOffset>
                </wp:positionH>
                <wp:positionV relativeFrom="paragraph">
                  <wp:posOffset>944273</wp:posOffset>
                </wp:positionV>
                <wp:extent cx="787179" cy="42937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787179" cy="429370"/>
                        </a:xfrm>
                        <a:prstGeom prst="rect">
                          <a:avLst/>
                        </a:prstGeom>
                        <a:solidFill>
                          <a:schemeClr val="bg1"/>
                        </a:solidFill>
                        <a:ln w="6350">
                          <a:noFill/>
                        </a:ln>
                      </wps:spPr>
                      <wps:txbx>
                        <w:txbxContent>
                          <w:p w14:paraId="56FF014C" w14:textId="6C3DAA07" w:rsidR="00D7184C" w:rsidRPr="00D7184C" w:rsidRDefault="00D7184C" w:rsidP="00D7184C">
                            <w:pPr>
                              <w:spacing w:before="20" w:after="40"/>
                              <w:ind w:left="-113"/>
                              <w:rPr>
                                <w:b/>
                                <w:bCs/>
                                <w:sz w:val="2"/>
                                <w:szCs w:val="2"/>
                                <w:lang w:val="es-ES"/>
                              </w:rPr>
                            </w:pPr>
                            <w:r w:rsidRPr="00D7184C">
                              <w:rPr>
                                <w:b/>
                                <w:bCs/>
                                <w:sz w:val="10"/>
                                <w:szCs w:val="10"/>
                                <w:lang w:val="es-ES"/>
                              </w:rPr>
                              <w:t>Miembro de Sector</w:t>
                            </w:r>
                          </w:p>
                          <w:p w14:paraId="14B0AE3B" w14:textId="7BB87D6B" w:rsidR="00D7184C" w:rsidRPr="00D7184C" w:rsidRDefault="00D7184C" w:rsidP="00D7184C">
                            <w:pPr>
                              <w:spacing w:before="20" w:after="40"/>
                              <w:ind w:left="-113"/>
                              <w:rPr>
                                <w:b/>
                                <w:bCs/>
                                <w:sz w:val="2"/>
                                <w:szCs w:val="2"/>
                                <w:lang w:val="es-ES"/>
                              </w:rPr>
                            </w:pPr>
                            <w:r w:rsidRPr="00D7184C">
                              <w:rPr>
                                <w:b/>
                                <w:bCs/>
                                <w:sz w:val="10"/>
                                <w:szCs w:val="10"/>
                                <w:lang w:val="es-ES"/>
                              </w:rPr>
                              <w:t>Asociado</w:t>
                            </w:r>
                          </w:p>
                          <w:p w14:paraId="6FB06FAC" w14:textId="2A6A79C2" w:rsidR="00D7184C" w:rsidRPr="00D7184C" w:rsidRDefault="00D7184C" w:rsidP="00D7184C">
                            <w:pPr>
                              <w:spacing w:before="20" w:after="20"/>
                              <w:ind w:left="-113"/>
                              <w:rPr>
                                <w:sz w:val="2"/>
                                <w:szCs w:val="2"/>
                                <w:lang w:val="es-ES"/>
                              </w:rPr>
                            </w:pPr>
                            <w:r w:rsidRPr="00D7184C">
                              <w:rPr>
                                <w:b/>
                                <w:bCs/>
                                <w:sz w:val="10"/>
                                <w:szCs w:val="10"/>
                                <w:lang w:val="es-ES"/>
                              </w:rPr>
                              <w:t>Institución Académica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F18FB" id="Text Box 6" o:spid="_x0000_s1027" type="#_x0000_t202" style="position:absolute;margin-left:79.15pt;margin-top:74.35pt;width:62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" fillcolor="white [3212]" stroked="f" strokeweight=".5pt">
                <v:textbox>
                  <w:txbxContent>
                    <w:p w14:paraId="56FF014C" w14:textId="6C3DAA07" w:rsidR="00D7184C" w:rsidRPr="00D7184C" w:rsidRDefault="00D7184C" w:rsidP="00D7184C">
                      <w:pPr>
                        <w:spacing w:before="20" w:after="40"/>
                        <w:ind w:left="-113"/>
                        <w:rPr>
                          <w:b/>
                          <w:bCs/>
                          <w:sz w:val="2"/>
                          <w:szCs w:val="2"/>
                          <w:lang w:val="es-ES"/>
                        </w:rPr>
                      </w:pPr>
                      <w:r w:rsidRPr="00D7184C">
                        <w:rPr>
                          <w:b/>
                          <w:bCs/>
                          <w:sz w:val="10"/>
                          <w:szCs w:val="10"/>
                          <w:lang w:val="es-ES"/>
                        </w:rPr>
                        <w:t>Miembro de Sector</w:t>
                      </w:r>
                    </w:p>
                    <w:p w14:paraId="14B0AE3B" w14:textId="7BB87D6B" w:rsidR="00D7184C" w:rsidRPr="00D7184C" w:rsidRDefault="00D7184C" w:rsidP="00D7184C">
                      <w:pPr>
                        <w:spacing w:before="20" w:after="40"/>
                        <w:ind w:left="-113"/>
                        <w:rPr>
                          <w:b/>
                          <w:bCs/>
                          <w:sz w:val="2"/>
                          <w:szCs w:val="2"/>
                          <w:lang w:val="es-ES"/>
                        </w:rPr>
                      </w:pPr>
                      <w:r w:rsidRPr="00D7184C">
                        <w:rPr>
                          <w:b/>
                          <w:bCs/>
                          <w:sz w:val="10"/>
                          <w:szCs w:val="10"/>
                          <w:lang w:val="es-ES"/>
                        </w:rPr>
                        <w:t>Asociado</w:t>
                      </w:r>
                    </w:p>
                    <w:p w14:paraId="6FB06FAC" w14:textId="2A6A79C2" w:rsidR="00D7184C" w:rsidRPr="00D7184C" w:rsidRDefault="00D7184C" w:rsidP="00D7184C">
                      <w:pPr>
                        <w:spacing w:before="20" w:after="20"/>
                        <w:ind w:left="-113"/>
                        <w:rPr>
                          <w:sz w:val="2"/>
                          <w:szCs w:val="2"/>
                          <w:lang w:val="es-ES"/>
                        </w:rPr>
                      </w:pPr>
                      <w:r w:rsidRPr="00D7184C">
                        <w:rPr>
                          <w:b/>
                          <w:bCs/>
                          <w:sz w:val="10"/>
                          <w:szCs w:val="10"/>
                          <w:lang w:val="es-ES"/>
                        </w:rPr>
                        <w:t>Institución Académica</w:t>
                      </w:r>
                    </w:p>
                  </w:txbxContent>
                </v:textbox>
              </v:shape>
            </w:pict>
          </mc:Fallback>
        </mc:AlternateContent>
      </w:r>
      <w:r w:rsidRPr="00D7184C">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59264" behindDoc="0" locked="0" layoutInCell="1" allowOverlap="1" wp14:anchorId="4938C0CB" wp14:editId="4822B9A9">
                <wp:simplePos x="0" y="0"/>
                <wp:positionH relativeFrom="column">
                  <wp:posOffset>-4473</wp:posOffset>
                </wp:positionH>
                <wp:positionV relativeFrom="paragraph">
                  <wp:posOffset>-57592</wp:posOffset>
                </wp:positionV>
                <wp:extent cx="3077155" cy="2381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077155" cy="238125"/>
                        </a:xfrm>
                        <a:prstGeom prst="rect">
                          <a:avLst/>
                        </a:prstGeom>
                        <a:solidFill>
                          <a:schemeClr val="bg1"/>
                        </a:solidFill>
                        <a:ln w="6350">
                          <a:noFill/>
                        </a:ln>
                      </wps:spPr>
                      <wps:txbx>
                        <w:txbxContent>
                          <w:p w14:paraId="07A7B158" w14:textId="0D530B8C" w:rsidR="00D7184C" w:rsidRPr="00D7184C" w:rsidRDefault="00D7184C" w:rsidP="00D7184C">
                            <w:pPr>
                              <w:spacing w:before="0"/>
                              <w:ind w:left="-57"/>
                              <w:rPr>
                                <w:sz w:val="18"/>
                                <w:szCs w:val="18"/>
                              </w:rPr>
                            </w:pPr>
                            <w:r w:rsidRPr="00D7184C">
                              <w:rPr>
                                <w:bCs/>
                                <w:sz w:val="18"/>
                                <w:szCs w:val="18"/>
                                <w:lang w:val="es-ES"/>
                              </w:rPr>
                              <w:t xml:space="preserve">Evolución de las membresías de </w:t>
                            </w:r>
                            <w:proofErr w:type="spellStart"/>
                            <w:r w:rsidRPr="00D7184C">
                              <w:rPr>
                                <w:bCs/>
                                <w:sz w:val="18"/>
                                <w:szCs w:val="18"/>
                                <w:lang w:val="es-ES"/>
                              </w:rPr>
                              <w:t>PMA</w:t>
                            </w:r>
                            <w:proofErr w:type="spellEnd"/>
                            <w:r w:rsidRPr="00D7184C">
                              <w:rPr>
                                <w:bCs/>
                                <w:sz w:val="18"/>
                                <w:szCs w:val="18"/>
                                <w:lang w:val="es-ES"/>
                              </w:rPr>
                              <w:t xml:space="preserve">, </w:t>
                            </w:r>
                            <w:proofErr w:type="spellStart"/>
                            <w:r w:rsidRPr="00D7184C">
                              <w:rPr>
                                <w:bCs/>
                                <w:sz w:val="18"/>
                                <w:szCs w:val="18"/>
                                <w:lang w:val="es-ES"/>
                              </w:rPr>
                              <w:t>PDSL</w:t>
                            </w:r>
                            <w:proofErr w:type="spellEnd"/>
                            <w:r w:rsidRPr="00D7184C">
                              <w:rPr>
                                <w:bCs/>
                                <w:sz w:val="18"/>
                                <w:szCs w:val="18"/>
                                <w:lang w:val="es-ES"/>
                              </w:rPr>
                              <w:t xml:space="preserve">, </w:t>
                            </w:r>
                            <w:proofErr w:type="spellStart"/>
                            <w:r w:rsidRPr="00D7184C">
                              <w:rPr>
                                <w:bCs/>
                                <w:sz w:val="18"/>
                                <w:szCs w:val="18"/>
                                <w:lang w:val="es-ES"/>
                              </w:rPr>
                              <w:t>PEID</w:t>
                            </w:r>
                            <w:proofErr w:type="spellEnd"/>
                            <w:r w:rsidRPr="00D7184C">
                              <w:rPr>
                                <w:bCs/>
                                <w:sz w:val="18"/>
                                <w:szCs w:val="18"/>
                                <w:lang w:val="es-ES"/>
                              </w:rPr>
                              <w:t xml:space="preserve">, </w:t>
                            </w:r>
                            <w:proofErr w:type="spellStart"/>
                            <w:r w:rsidRPr="00D7184C">
                              <w:rPr>
                                <w:bCs/>
                                <w:sz w:val="18"/>
                                <w:szCs w:val="18"/>
                                <w:lang w:val="es-ES"/>
                              </w:rPr>
                              <w:t>PNE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8C0CB" id="Text Box 3" o:spid="_x0000_s1028" type="#_x0000_t202" style="position:absolute;margin-left:-.35pt;margin-top:-4.55pt;width:242.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" fillcolor="white [3212]" stroked="f" strokeweight=".5pt">
                <v:textbox>
                  <w:txbxContent>
                    <w:p w14:paraId="07A7B158" w14:textId="0D530B8C" w:rsidR="00D7184C" w:rsidRPr="00D7184C" w:rsidRDefault="00D7184C" w:rsidP="00D7184C">
                      <w:pPr>
                        <w:spacing w:before="0"/>
                        <w:ind w:left="-57"/>
                        <w:rPr>
                          <w:sz w:val="18"/>
                          <w:szCs w:val="18"/>
                        </w:rPr>
                      </w:pPr>
                      <w:r w:rsidRPr="00D7184C">
                        <w:rPr>
                          <w:bCs/>
                          <w:sz w:val="18"/>
                          <w:szCs w:val="18"/>
                          <w:lang w:val="es-ES"/>
                        </w:rPr>
                        <w:t xml:space="preserve">Evolución de las membresías de </w:t>
                      </w:r>
                      <w:proofErr w:type="spellStart"/>
                      <w:r w:rsidRPr="00D7184C">
                        <w:rPr>
                          <w:bCs/>
                          <w:sz w:val="18"/>
                          <w:szCs w:val="18"/>
                          <w:lang w:val="es-ES"/>
                        </w:rPr>
                        <w:t>PMA</w:t>
                      </w:r>
                      <w:proofErr w:type="spellEnd"/>
                      <w:r w:rsidRPr="00D7184C">
                        <w:rPr>
                          <w:bCs/>
                          <w:sz w:val="18"/>
                          <w:szCs w:val="18"/>
                          <w:lang w:val="es-ES"/>
                        </w:rPr>
                        <w:t xml:space="preserve">, </w:t>
                      </w:r>
                      <w:proofErr w:type="spellStart"/>
                      <w:r w:rsidRPr="00D7184C">
                        <w:rPr>
                          <w:bCs/>
                          <w:sz w:val="18"/>
                          <w:szCs w:val="18"/>
                          <w:lang w:val="es-ES"/>
                        </w:rPr>
                        <w:t>PDSL</w:t>
                      </w:r>
                      <w:proofErr w:type="spellEnd"/>
                      <w:r w:rsidRPr="00D7184C">
                        <w:rPr>
                          <w:bCs/>
                          <w:sz w:val="18"/>
                          <w:szCs w:val="18"/>
                          <w:lang w:val="es-ES"/>
                        </w:rPr>
                        <w:t xml:space="preserve">, </w:t>
                      </w:r>
                      <w:proofErr w:type="spellStart"/>
                      <w:r w:rsidRPr="00D7184C">
                        <w:rPr>
                          <w:bCs/>
                          <w:sz w:val="18"/>
                          <w:szCs w:val="18"/>
                          <w:lang w:val="es-ES"/>
                        </w:rPr>
                        <w:t>PEID</w:t>
                      </w:r>
                      <w:proofErr w:type="spellEnd"/>
                      <w:r w:rsidRPr="00D7184C">
                        <w:rPr>
                          <w:bCs/>
                          <w:sz w:val="18"/>
                          <w:szCs w:val="18"/>
                          <w:lang w:val="es-ES"/>
                        </w:rPr>
                        <w:t xml:space="preserve">, </w:t>
                      </w:r>
                      <w:proofErr w:type="spellStart"/>
                      <w:r w:rsidRPr="00D7184C">
                        <w:rPr>
                          <w:bCs/>
                          <w:sz w:val="18"/>
                          <w:szCs w:val="18"/>
                          <w:lang w:val="es-ES"/>
                        </w:rPr>
                        <w:t>PNE</w:t>
                      </w:r>
                      <w:proofErr w:type="spellEnd"/>
                    </w:p>
                  </w:txbxContent>
                </v:textbox>
              </v:shape>
            </w:pict>
          </mc:Fallback>
        </mc:AlternateContent>
      </w:r>
      <w:r w:rsidRPr="00D7184C">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0288" behindDoc="0" locked="0" layoutInCell="1" allowOverlap="1" wp14:anchorId="3E81F514" wp14:editId="51D4C3A8">
                <wp:simplePos x="0" y="0"/>
                <wp:positionH relativeFrom="column">
                  <wp:posOffset>861695</wp:posOffset>
                </wp:positionH>
                <wp:positionV relativeFrom="paragraph">
                  <wp:posOffset>817300</wp:posOffset>
                </wp:positionV>
                <wp:extent cx="763325" cy="166977"/>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763325" cy="166977"/>
                        </a:xfrm>
                        <a:prstGeom prst="rect">
                          <a:avLst/>
                        </a:prstGeom>
                        <a:solidFill>
                          <a:schemeClr val="bg1"/>
                        </a:solidFill>
                        <a:ln w="6350">
                          <a:noFill/>
                        </a:ln>
                      </wps:spPr>
                      <wps:txbx>
                        <w:txbxContent>
                          <w:p w14:paraId="55D53788" w14:textId="7BFA9147" w:rsidR="00D7184C" w:rsidRPr="00D7184C" w:rsidRDefault="00D7184C" w:rsidP="00D7184C">
                            <w:pPr>
                              <w:spacing w:before="0"/>
                              <w:ind w:left="-57"/>
                              <w:rPr>
                                <w:b/>
                                <w:sz w:val="2"/>
                                <w:szCs w:val="2"/>
                              </w:rPr>
                            </w:pPr>
                            <w:r w:rsidRPr="00D7184C">
                              <w:rPr>
                                <w:b/>
                                <w:sz w:val="12"/>
                                <w:szCs w:val="12"/>
                                <w:lang w:val="es-ES"/>
                              </w:rPr>
                              <w:t>Tipo de membresía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1F514" id="Text Box 5" o:spid="_x0000_s1029" type="#_x0000_t202" style="position:absolute;margin-left:67.85pt;margin-top:64.35pt;width:60.1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6MAIAAFoEAAAOAAAAZHJzL2Uyb0RvYy54bWysVE2P2yAQvVfqf0DcG+c7XS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" fillcolor="white [3212]" stroked="f" strokeweight=".5pt">
                <v:textbox>
                  <w:txbxContent>
                    <w:p w14:paraId="55D53788" w14:textId="7BFA9147" w:rsidR="00D7184C" w:rsidRPr="00D7184C" w:rsidRDefault="00D7184C" w:rsidP="00D7184C">
                      <w:pPr>
                        <w:spacing w:before="0"/>
                        <w:ind w:left="-57"/>
                        <w:rPr>
                          <w:b/>
                          <w:sz w:val="2"/>
                          <w:szCs w:val="2"/>
                        </w:rPr>
                      </w:pPr>
                      <w:r w:rsidRPr="00D7184C">
                        <w:rPr>
                          <w:b/>
                          <w:sz w:val="12"/>
                          <w:szCs w:val="12"/>
                          <w:lang w:val="es-ES"/>
                        </w:rPr>
                        <w:t>Tipo de membresía</w:t>
                      </w:r>
                    </w:p>
                  </w:txbxContent>
                </v:textbox>
              </v:shape>
            </w:pict>
          </mc:Fallback>
        </mc:AlternateContent>
      </w:r>
      <w:bookmarkStart w:id="11" w:name="_Hlk110465657"/>
      <w:r w:rsidRPr="00D7184C">
        <w:rPr>
          <w:rFonts w:asciiTheme="minorHAnsi" w:eastAsiaTheme="minorEastAsia" w:hAnsiTheme="minorHAnsi" w:cstheme="minorBidi"/>
          <w:noProof/>
          <w:color w:val="000000" w:themeColor="text1"/>
          <w:sz w:val="20"/>
        </w:rPr>
        <w:drawing>
          <wp:inline distT="0" distB="0" distL="0" distR="0" wp14:anchorId="2F580C47" wp14:editId="7A6C9775">
            <wp:extent cx="5939790" cy="4659630"/>
            <wp:effectExtent l="0" t="0" r="3810" b="7620"/>
            <wp:docPr id="4" name="Pictur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 histo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4659630"/>
                    </a:xfrm>
                    <a:prstGeom prst="rect">
                      <a:avLst/>
                    </a:prstGeom>
                    <a:noFill/>
                    <a:ln>
                      <a:noFill/>
                    </a:ln>
                  </pic:spPr>
                </pic:pic>
              </a:graphicData>
            </a:graphic>
          </wp:inline>
        </w:drawing>
      </w:r>
    </w:p>
    <w:bookmarkEnd w:id="11"/>
    <w:p w14:paraId="3CF74CD9" w14:textId="77777777" w:rsidR="00E221E5" w:rsidRPr="00D7184C" w:rsidRDefault="00E221E5" w:rsidP="00A054A7">
      <w:pPr>
        <w:pStyle w:val="Tabletitle"/>
        <w:rPr>
          <w:sz w:val="23"/>
          <w:szCs w:val="23"/>
        </w:rPr>
      </w:pPr>
      <w:r w:rsidRPr="00D7184C">
        <w:rPr>
          <w:bCs/>
        </w:rPr>
        <w:t xml:space="preserve">Fig. 1: Evolución de las membresías de </w:t>
      </w:r>
      <w:proofErr w:type="spellStart"/>
      <w:r w:rsidRPr="00D7184C">
        <w:rPr>
          <w:bCs/>
        </w:rPr>
        <w:t>PMA</w:t>
      </w:r>
      <w:proofErr w:type="spellEnd"/>
      <w:r w:rsidRPr="00D7184C">
        <w:rPr>
          <w:bCs/>
        </w:rPr>
        <w:t xml:space="preserve">, </w:t>
      </w:r>
      <w:proofErr w:type="spellStart"/>
      <w:r w:rsidRPr="00D7184C">
        <w:rPr>
          <w:bCs/>
        </w:rPr>
        <w:t>PDSL</w:t>
      </w:r>
      <w:proofErr w:type="spellEnd"/>
      <w:r w:rsidRPr="00D7184C">
        <w:rPr>
          <w:bCs/>
        </w:rPr>
        <w:t xml:space="preserve">, </w:t>
      </w:r>
      <w:proofErr w:type="spellStart"/>
      <w:r w:rsidRPr="00D7184C">
        <w:rPr>
          <w:bCs/>
        </w:rPr>
        <w:t>PEID</w:t>
      </w:r>
      <w:proofErr w:type="spellEnd"/>
      <w:r w:rsidRPr="00D7184C">
        <w:rPr>
          <w:bCs/>
        </w:rPr>
        <w:t xml:space="preserve">, </w:t>
      </w:r>
      <w:proofErr w:type="spellStart"/>
      <w:r w:rsidRPr="00D7184C">
        <w:rPr>
          <w:bCs/>
        </w:rPr>
        <w:t>PNE</w:t>
      </w:r>
      <w:bookmarkEnd w:id="10"/>
      <w:proofErr w:type="spellEnd"/>
    </w:p>
    <w:p w14:paraId="764BF3C6" w14:textId="6D19AC9D" w:rsidR="00E221E5" w:rsidRPr="00D7184C" w:rsidRDefault="00E221E5" w:rsidP="00D7184C">
      <w:pPr>
        <w:pStyle w:val="Headingb"/>
        <w:ind w:left="0" w:firstLine="0"/>
      </w:pPr>
      <w:r w:rsidRPr="00D7184C">
        <w:t>Retención de miembros</w:t>
      </w:r>
    </w:p>
    <w:p w14:paraId="5AD3F60E" w14:textId="46B3048F" w:rsidR="00E221E5" w:rsidRPr="00D7184C" w:rsidRDefault="00E221E5" w:rsidP="00D7184C">
      <w:pPr>
        <w:rPr>
          <w:sz w:val="23"/>
          <w:szCs w:val="23"/>
        </w:rPr>
      </w:pPr>
      <w:r w:rsidRPr="00D7184C">
        <w:t>Desde la última Conferencia de Plenipotenciarios de 2018, la UIT perdió 13 Miembros de Sector, Asociados e Instituciones Académicas de estos países por baja. Desde la Conferencia de Plenipotenciarios de 2014, esta cifra se eleva a 31 entidades. Actualmente 15 entidades en representación de 17 Miembros están suspendidas por el impago de las contribuciones debidas.</w:t>
      </w:r>
    </w:p>
    <w:p w14:paraId="10934C22" w14:textId="77777777" w:rsidR="00E221E5" w:rsidRPr="00D7184C" w:rsidRDefault="00E221E5" w:rsidP="00D7184C">
      <w:pPr>
        <w:pStyle w:val="Headingb"/>
        <w:ind w:left="0" w:firstLine="0"/>
      </w:pPr>
      <w:r w:rsidRPr="00D7184C">
        <w:t>Aplicaciones pendientes de Miembros potenciales</w:t>
      </w:r>
    </w:p>
    <w:p w14:paraId="7DDC6E0B" w14:textId="486CAF32" w:rsidR="00E221E5" w:rsidRPr="00D7184C" w:rsidRDefault="00E221E5" w:rsidP="00D7184C">
      <w:pPr>
        <w:rPr>
          <w:sz w:val="18"/>
          <w:szCs w:val="18"/>
        </w:rPr>
      </w:pPr>
      <w:r w:rsidRPr="00D7184C">
        <w:t>Desde 2014, la UIT ha recibido 32 solicitudes de membresía de empresas e instituciones académicas de esos países que siguen pendientes de aprobación por su administración nacional. A medida que pasa el tiempo, estas perspectivas se pierden en gran medida.</w:t>
      </w:r>
    </w:p>
    <w:p w14:paraId="0C7696F5" w14:textId="77777777" w:rsidR="00E221E5" w:rsidRPr="00D7184C" w:rsidRDefault="00E221E5" w:rsidP="00D7184C">
      <w:pPr>
        <w:pStyle w:val="Headingb"/>
        <w:ind w:left="0" w:firstLine="0"/>
      </w:pPr>
      <w:r w:rsidRPr="00D7184C">
        <w:t>Otras formas de participación</w:t>
      </w:r>
    </w:p>
    <w:p w14:paraId="3C89EB54" w14:textId="5CC2AD8D" w:rsidR="00E221E5" w:rsidRPr="00D7184C" w:rsidRDefault="00E221E5" w:rsidP="00D7184C">
      <w:pPr>
        <w:rPr>
          <w:sz w:val="23"/>
          <w:szCs w:val="23"/>
        </w:rPr>
      </w:pPr>
      <w:r w:rsidRPr="00D7184C">
        <w:t xml:space="preserve">En total, 85 entidades de estos países participan en las actividades de la UIT con la categoría de </w:t>
      </w:r>
      <w:proofErr w:type="spellStart"/>
      <w:r w:rsidRPr="00D7184C">
        <w:t>ADMIN</w:t>
      </w:r>
      <w:proofErr w:type="spellEnd"/>
      <w:r w:rsidRPr="00D7184C">
        <w:t xml:space="preserve"> </w:t>
      </w:r>
      <w:proofErr w:type="spellStart"/>
      <w:r w:rsidRPr="00D7184C">
        <w:t>RELATED</w:t>
      </w:r>
      <w:proofErr w:type="spellEnd"/>
      <w:r w:rsidRPr="00D7184C">
        <w:t xml:space="preserve"> en el marco de la delegación nacional. Además de reguladores nacionales, organismos públicos de radiodifusión y otras entidades gubernamentales, en esta cifra se incluyen a unas 23 empresas del sector privado, principalmente operadores de telecomunicaciones, que podrían participar como Miembros de Sector pagando contribuciones, aunque por el momento lo harían sin realizar ese pago y bajo la delegación nacional.</w:t>
      </w:r>
    </w:p>
    <w:p w14:paraId="1215C372" w14:textId="77777777" w:rsidR="00E221E5" w:rsidRPr="00D7184C" w:rsidRDefault="00E221E5" w:rsidP="00D7184C">
      <w:pPr>
        <w:pStyle w:val="Headingb"/>
        <w:ind w:left="0" w:firstLine="0"/>
      </w:pPr>
      <w:r w:rsidRPr="00D7184C">
        <w:lastRenderedPageBreak/>
        <w:t>Disposiciones vigentes para reducir las contribuciones de las entidades procedentes de países en desarrollo</w:t>
      </w:r>
    </w:p>
    <w:p w14:paraId="67F79C4B" w14:textId="52CB56B6" w:rsidR="00E221E5" w:rsidRPr="00D7184C" w:rsidRDefault="00E221E5" w:rsidP="00D7184C">
      <w:pPr>
        <w:rPr>
          <w:sz w:val="23"/>
          <w:szCs w:val="23"/>
        </w:rPr>
      </w:pPr>
      <w:r w:rsidRPr="00D7184C">
        <w:t>Los Miembros de Sector, Asociados e Instituciones Académicas pagan una contribución para participar como Miembros de la UIT. En el Anexo 2 puede verse un resumen de estas contribuciones. Existen varias disposiciones diferentes por las que se ofrece la posibilidad a entidades procedentes de países en desarrollo de pagar contribuciones reducidas.</w:t>
      </w:r>
    </w:p>
    <w:p w14:paraId="2133C5B6" w14:textId="2975A4D1" w:rsidR="00E221E5" w:rsidRPr="00D7184C" w:rsidRDefault="00E221E5" w:rsidP="00D7184C">
      <w:pPr>
        <w:rPr>
          <w:sz w:val="23"/>
          <w:szCs w:val="23"/>
        </w:rPr>
      </w:pPr>
      <w:r w:rsidRPr="00D7184C">
        <w:t>En general, las tasas de participación de Miembros de Sector y Asociados en el UIT-D (7 950 CHF y</w:t>
      </w:r>
      <w:r w:rsidR="004166E8">
        <w:t> </w:t>
      </w:r>
      <w:r w:rsidRPr="00D7184C">
        <w:t>3 975 CHF, respectivamente) son inferiores a las del UIT-R o UIT-T (31 800 CHF y 10 600, respectivamente), pero además las entidades de países en desarrollo se benefician de un descuento del 50% sobre las tasas normales del UIT-D (3 975 CHF y 1 978,50 CHF, respectivamente).</w:t>
      </w:r>
    </w:p>
    <w:p w14:paraId="5A349023" w14:textId="77777777" w:rsidR="00E221E5" w:rsidRPr="00D7184C" w:rsidRDefault="00E221E5" w:rsidP="00D7184C">
      <w:pPr>
        <w:rPr>
          <w:sz w:val="23"/>
          <w:szCs w:val="23"/>
        </w:rPr>
      </w:pPr>
      <w:r w:rsidRPr="00D7184C">
        <w:t>En la Resolución 170 (Guadalajara, 2010) se prevé la reducción de las tasas aplicables a entidades procedentes de algunos países en desarrollo de "bajos ingresos" para que participen en el UIT-R o UIT-T, concretamente los que tienen una renta per cápita inferior a 2 000 USD (definida por el PNUD). Estas entidades se benefician de una reducción que disminuye su cuota hasta 3 975 CHF para ser Miembros de Sector del UIT-R y el UIT-T. Se trata de la misma cuota que pagan las entidades de países en desarrollo para adherirse al UIT-D como Miembros de Sector. A finales de 2021, siete entidades se beneficiaban de una reducción en sus tasas en el UIT-R y cinco en el UIT-T.</w:t>
      </w:r>
    </w:p>
    <w:p w14:paraId="2D8A7152" w14:textId="185AF565" w:rsidR="00E221E5" w:rsidRPr="00D7184C" w:rsidRDefault="00E221E5" w:rsidP="00D7184C">
      <w:pPr>
        <w:rPr>
          <w:sz w:val="23"/>
          <w:szCs w:val="23"/>
        </w:rPr>
      </w:pPr>
      <w:r w:rsidRPr="00D7184C">
        <w:t>De conformidad con la Resolución 209 (Dubái, 2018), las pymes de los países desarrollados que reúnen los requisitos pagan ahora 3 975 CHF al año, y las de los países en desarrollo 1 987,50 CHF al año por participar en una Comisión de Estudio del UIT-R o del UIT-T, en lugar de la tasa ordinaria de 10 600 CHF para el UIT-R y el UIT-T. Los Asociados en las Comisiones de Estudio del UIT-D ya pagan estas cantidades. Los Estados Miembros clasifican a las pymes según las definiciones nacionales, pero la Conferencia de Plenipotenciarios (Dubái, 2018) estableció un límite superior de</w:t>
      </w:r>
      <w:r w:rsidR="004166E8">
        <w:t> </w:t>
      </w:r>
      <w:r w:rsidRPr="00D7184C">
        <w:t>un máximo de 250 empleados y el Consejo, en su sesión de 2019, fijó los ingresos máximos en</w:t>
      </w:r>
      <w:r w:rsidR="004166E8">
        <w:t> </w:t>
      </w:r>
      <w:r w:rsidRPr="00D7184C">
        <w:t xml:space="preserve">15 millones CHF al año. Si bien la UIT ha dado la bienvenida a 51 pymes (43 en el UIT-T y ocho en el UIT-R), solo dos de estas entidades proceden de países que pertenecen a las categorías </w:t>
      </w:r>
      <w:proofErr w:type="spellStart"/>
      <w:r w:rsidRPr="00D7184C">
        <w:t>PMA</w:t>
      </w:r>
      <w:proofErr w:type="spellEnd"/>
      <w:r w:rsidRPr="00D7184C">
        <w:t xml:space="preserve">, </w:t>
      </w:r>
      <w:proofErr w:type="spellStart"/>
      <w:r w:rsidRPr="00D7184C">
        <w:t>PDSL</w:t>
      </w:r>
      <w:proofErr w:type="spellEnd"/>
      <w:r w:rsidRPr="00D7184C">
        <w:t xml:space="preserve">, </w:t>
      </w:r>
      <w:proofErr w:type="spellStart"/>
      <w:r w:rsidRPr="00D7184C">
        <w:t>PEID</w:t>
      </w:r>
      <w:proofErr w:type="spellEnd"/>
      <w:r w:rsidRPr="00D7184C">
        <w:t xml:space="preserve"> o </w:t>
      </w:r>
      <w:proofErr w:type="spellStart"/>
      <w:r w:rsidRPr="00D7184C">
        <w:t>PNE</w:t>
      </w:r>
      <w:proofErr w:type="spellEnd"/>
      <w:r w:rsidRPr="00D7184C">
        <w:t>.</w:t>
      </w:r>
    </w:p>
    <w:p w14:paraId="332A3221" w14:textId="50ECCE93" w:rsidR="00E221E5" w:rsidRPr="00D7184C" w:rsidRDefault="00E221E5" w:rsidP="00D7184C">
      <w:pPr>
        <w:rPr>
          <w:sz w:val="23"/>
          <w:szCs w:val="23"/>
        </w:rPr>
      </w:pPr>
      <w:r w:rsidRPr="00D7184C">
        <w:t>En virtud de la Resolución 169 (Rev. Dubái, 2018), las Instituciones Académicas pueden participar en los trabajos de los tres Sectores por una tasa reducida única de 3 975 CHF al año si proceden de países desarrollados y de 1 987,50 CHF al año si proceden de países en desarrollo. De un total de</w:t>
      </w:r>
      <w:r w:rsidR="004166E8">
        <w:t> </w:t>
      </w:r>
      <w:r w:rsidRPr="00D7184C">
        <w:t xml:space="preserve">161 Instituciones Académicas, 12 proceden de países que pertenecen a las categorías de </w:t>
      </w:r>
      <w:proofErr w:type="spellStart"/>
      <w:r w:rsidRPr="00D7184C">
        <w:t>PMA</w:t>
      </w:r>
      <w:proofErr w:type="spellEnd"/>
      <w:r w:rsidRPr="00D7184C">
        <w:t xml:space="preserve">, </w:t>
      </w:r>
      <w:proofErr w:type="spellStart"/>
      <w:r w:rsidRPr="00D7184C">
        <w:t>PDSL</w:t>
      </w:r>
      <w:proofErr w:type="spellEnd"/>
      <w:r w:rsidRPr="00D7184C">
        <w:t xml:space="preserve">, </w:t>
      </w:r>
      <w:proofErr w:type="spellStart"/>
      <w:r w:rsidRPr="00D7184C">
        <w:t>PEID</w:t>
      </w:r>
      <w:proofErr w:type="spellEnd"/>
      <w:r w:rsidRPr="00D7184C">
        <w:t xml:space="preserve"> o </w:t>
      </w:r>
      <w:proofErr w:type="spellStart"/>
      <w:r w:rsidRPr="00D7184C">
        <w:t>PNE</w:t>
      </w:r>
      <w:proofErr w:type="spellEnd"/>
      <w:r w:rsidRPr="00D7184C">
        <w:t>.</w:t>
      </w:r>
    </w:p>
    <w:p w14:paraId="74D1DF92" w14:textId="77777777" w:rsidR="00E221E5" w:rsidRPr="00D7184C" w:rsidRDefault="00E221E5" w:rsidP="00D7184C">
      <w:pPr>
        <w:pStyle w:val="Headingb"/>
        <w:ind w:left="0" w:firstLine="0"/>
      </w:pPr>
      <w:r w:rsidRPr="00D7184C">
        <w:t>Repercusión de los posibles cambios en las tasas de membresía</w:t>
      </w:r>
    </w:p>
    <w:p w14:paraId="327ADE19" w14:textId="77777777" w:rsidR="00E221E5" w:rsidRPr="00D7184C" w:rsidRDefault="00E221E5" w:rsidP="00D7184C">
      <w:pPr>
        <w:rPr>
          <w:sz w:val="23"/>
          <w:szCs w:val="23"/>
        </w:rPr>
      </w:pPr>
      <w:r w:rsidRPr="00D7184C">
        <w:t xml:space="preserve">En total hay 76 Miembros procedentes de Estados Miembros pertenecientes a una o más de las categorías de </w:t>
      </w:r>
      <w:proofErr w:type="spellStart"/>
      <w:r w:rsidRPr="00D7184C">
        <w:t>PMA</w:t>
      </w:r>
      <w:proofErr w:type="spellEnd"/>
      <w:r w:rsidRPr="00D7184C">
        <w:t xml:space="preserve">, </w:t>
      </w:r>
      <w:proofErr w:type="spellStart"/>
      <w:r w:rsidRPr="00D7184C">
        <w:t>PDSL</w:t>
      </w:r>
      <w:proofErr w:type="spellEnd"/>
      <w:r w:rsidRPr="00D7184C">
        <w:t xml:space="preserve">, </w:t>
      </w:r>
      <w:proofErr w:type="spellStart"/>
      <w:r w:rsidRPr="00D7184C">
        <w:t>PEID</w:t>
      </w:r>
      <w:proofErr w:type="spellEnd"/>
      <w:r w:rsidRPr="00D7184C">
        <w:t xml:space="preserve"> y </w:t>
      </w:r>
      <w:proofErr w:type="spellStart"/>
      <w:r w:rsidRPr="00D7184C">
        <w:t>PNE</w:t>
      </w:r>
      <w:proofErr w:type="spellEnd"/>
      <w:r w:rsidRPr="00D7184C">
        <w:t xml:space="preserve"> (57 Miembros de Sector, siete Asociados y 12 Instituciones Académicas). De estos, 13 Miembros de Sector serían los beneficiados por el cambio en las contribuciones, las cuales pasarían de 31 800 CHF a 3 975 CHF, si la Conferencia de Plenipotenciarios revisara la Resolución 170 para ampliar la posibilidad de reducir las tasas relativas a esos países. Eso daría lugar a una pérdida de ingresos que podría llegar a 361 725 CHF al año.</w:t>
      </w:r>
    </w:p>
    <w:p w14:paraId="61C32A42" w14:textId="77777777" w:rsidR="00D7184C" w:rsidRPr="00D7184C" w:rsidRDefault="00D7184C">
      <w:pPr>
        <w:tabs>
          <w:tab w:val="clear" w:pos="567"/>
          <w:tab w:val="clear" w:pos="1134"/>
          <w:tab w:val="clear" w:pos="1701"/>
          <w:tab w:val="clear" w:pos="2268"/>
          <w:tab w:val="clear" w:pos="2835"/>
        </w:tabs>
        <w:overflowPunct/>
        <w:autoSpaceDE/>
        <w:autoSpaceDN/>
        <w:adjustRightInd/>
        <w:spacing w:before="0"/>
        <w:textAlignment w:val="auto"/>
      </w:pPr>
      <w:r w:rsidRPr="00D7184C">
        <w:br w:type="page"/>
      </w:r>
    </w:p>
    <w:p w14:paraId="2EA73AE0" w14:textId="2F7CCCA2" w:rsidR="00E221E5" w:rsidRPr="00D7184C" w:rsidRDefault="00E221E5" w:rsidP="00D7184C">
      <w:pPr>
        <w:rPr>
          <w:sz w:val="23"/>
          <w:szCs w:val="23"/>
        </w:rPr>
      </w:pPr>
      <w:r w:rsidRPr="00D7184C">
        <w:lastRenderedPageBreak/>
        <w:t>Las Instituciones Académicas ya se benefician de cuotas reducidas de conformidad con la Resolución</w:t>
      </w:r>
      <w:r w:rsidR="00D7184C" w:rsidRPr="00D7184C">
        <w:t> </w:t>
      </w:r>
      <w:r w:rsidRPr="00D7184C">
        <w:t xml:space="preserve">169 de la PP. Si las Instituciones Académicas de estos países estuvieran exoneradas del pago de contribuciones, como sugirió una delegación durante el debate del Documento </w:t>
      </w:r>
      <w:proofErr w:type="spellStart"/>
      <w:r w:rsidRPr="00D7184C">
        <w:t>C22</w:t>
      </w:r>
      <w:proofErr w:type="spellEnd"/>
      <w:r w:rsidRPr="00D7184C">
        <w:t>/79 del Consejo 22, la pérdida de ingresos podría ser de 23 850 CHF al año. Esto exigiría que la Conferencia de Plenipotenciarios modificase la Resolución 169.</w:t>
      </w:r>
    </w:p>
    <w:p w14:paraId="608A7C63" w14:textId="77777777" w:rsidR="00E221E5" w:rsidRPr="00D7184C" w:rsidRDefault="00E221E5" w:rsidP="00D7184C">
      <w:pPr>
        <w:rPr>
          <w:sz w:val="23"/>
          <w:szCs w:val="23"/>
        </w:rPr>
      </w:pPr>
      <w:r w:rsidRPr="00D7184C">
        <w:t xml:space="preserve">Si el cambio propuesto en las contribuciones de los Miembros se aplicase únicamente a los Miembros procedentes de </w:t>
      </w:r>
      <w:proofErr w:type="spellStart"/>
      <w:r w:rsidRPr="00D7184C">
        <w:t>PMA</w:t>
      </w:r>
      <w:proofErr w:type="spellEnd"/>
      <w:r w:rsidRPr="00D7184C">
        <w:t xml:space="preserve">, se beneficiarían cinco Miembros de </w:t>
      </w:r>
      <w:proofErr w:type="gramStart"/>
      <w:r w:rsidRPr="00D7184C">
        <w:t>Sector</w:t>
      </w:r>
      <w:proofErr w:type="gramEnd"/>
      <w:r w:rsidRPr="00D7184C">
        <w:t xml:space="preserve"> pero podría producirse una pérdida de ingresos de 139 125 CHF al año. En el caso de las Instituciones Académicas, serían cuatro los Miembros que se beneficiarían del </w:t>
      </w:r>
      <w:proofErr w:type="gramStart"/>
      <w:r w:rsidRPr="00D7184C">
        <w:t>cambio</w:t>
      </w:r>
      <w:proofErr w:type="gramEnd"/>
      <w:r w:rsidRPr="00D7184C">
        <w:t xml:space="preserve"> pero podría producirse una pérdida de ingresos de 7 950 CHF al año.</w:t>
      </w:r>
    </w:p>
    <w:p w14:paraId="3BD2DA13" w14:textId="77777777" w:rsidR="00E221E5" w:rsidRPr="00D7184C" w:rsidRDefault="00E221E5" w:rsidP="00D7184C">
      <w:pPr>
        <w:pStyle w:val="Headingb"/>
        <w:ind w:left="0" w:firstLine="0"/>
      </w:pPr>
      <w:r w:rsidRPr="00D7184C">
        <w:t>Participación e iniciativas de divulgación en toda la UIT y por Sector</w:t>
      </w:r>
    </w:p>
    <w:p w14:paraId="2304EB43" w14:textId="3A912E80" w:rsidR="00E221E5" w:rsidRPr="00D7184C" w:rsidRDefault="00E221E5" w:rsidP="00D7184C">
      <w:pPr>
        <w:rPr>
          <w:sz w:val="23"/>
          <w:szCs w:val="23"/>
        </w:rPr>
      </w:pPr>
      <w:r w:rsidRPr="00D7184C">
        <w:t>La Secretaría de la UIT ha estado aplicando una estrategia coordinada en toda la Organización para darse a conocer a otros segmentos y, así, aumentar y diversificar la composición de la UIT, utilizando al mismo tiempo un enfoque centrado en el cliente para mejorar los servicios prestados a sus miembros, en aras del compromiso, la integración y el empoderamiento de todos ellos con respecto a la labor de la UIT. Un elemento importante de esta campaña coordinada ha sido el fortalecimiento de la capacidad interna y la realización de campañas de comercialización digitales y de seminarios web de acceso para todo el mundo, dirigidos a nuevas audiencias en ámbitos tan diversos como la reglamentación política, la gestión de datos estadísticos, la reglamentación de las radiocomunicaciones, los satélites, la radiodifusión, los automóviles, las finanzas y más.</w:t>
      </w:r>
    </w:p>
    <w:p w14:paraId="0EC23372" w14:textId="6EB1B57F" w:rsidR="00E221E5" w:rsidRPr="00D7184C" w:rsidRDefault="00E221E5" w:rsidP="00D7184C">
      <w:r w:rsidRPr="00D7184C">
        <w:t xml:space="preserve">Cada Oficina ha emprendido iniciativas específicas para contribuir a esta estrategia de membresía de toda la UIT. A </w:t>
      </w:r>
      <w:proofErr w:type="gramStart"/>
      <w:r w:rsidRPr="00D7184C">
        <w:t>continuación</w:t>
      </w:r>
      <w:proofErr w:type="gramEnd"/>
      <w:r w:rsidRPr="00D7184C">
        <w:t xml:space="preserve"> figura una muestra de estas iniciativas:</w:t>
      </w:r>
    </w:p>
    <w:p w14:paraId="4B3C688A" w14:textId="2DC36C78" w:rsidR="00E221E5" w:rsidRPr="00D7184C" w:rsidRDefault="00D7184C" w:rsidP="00D7184C">
      <w:pPr>
        <w:pStyle w:val="enumlev1"/>
      </w:pPr>
      <w:r w:rsidRPr="00D7184C">
        <w:t>1)</w:t>
      </w:r>
      <w:r w:rsidRPr="00D7184C">
        <w:tab/>
      </w:r>
      <w:r w:rsidR="00E221E5" w:rsidRPr="00D7184C">
        <w:t xml:space="preserve">UIT-R: las actividades de comunicación comprenden la divulgación de información y asistencia a los miembros, la publicación de los productos del UIT-R, la organización de seminarios y talleres, además de la participación en los mismos, y herramientas de comunicación y promoción. El objetivo de estas actividades es garantizar que los productos del Sector UIT-R (Reglamentos, Recomendaciones, Informes y Manuales) tengan una difusión mundial para que puedan servir de base en la formulación de políticas y decisiones nacionales y regionales para el uso del espectro radioeléctrico. Se han organizado seminarios mundiales y regionales de radiocomunicaciones para dar a conocer las actualizaciones contenidas en el Reglamento de Radiocomunicaciones de su edición 2020 (con las decisiones adoptadas por la </w:t>
      </w:r>
      <w:proofErr w:type="spellStart"/>
      <w:r w:rsidR="00E221E5" w:rsidRPr="00D7184C">
        <w:t>CMR</w:t>
      </w:r>
      <w:proofErr w:type="spellEnd"/>
      <w:r w:rsidR="00E221E5" w:rsidRPr="00D7184C">
        <w:t>-19) junto con las Reglas de Procedimiento asociadas. Con asociados regionales, la BR ayudó a los países en desarrollo a utilizar eficaz y equitativamente la radiodifusión analógica y a atribuir nuevas frecuencias a la radiodifusión FM. Junto con la</w:t>
      </w:r>
      <w:r w:rsidR="004166E8">
        <w:t> </w:t>
      </w:r>
      <w:r w:rsidR="00E221E5" w:rsidRPr="00D7184C">
        <w:t>BDT, la BR preparó el Programa de Formación en Gestión del Espectro. La BR también organizó tres seminarios web sobre satélites en 2021 en los que participaron 5 500 personas, una cifra récord, procedentes de 135 países. Gracias a ellos se llegó a muchos nuevos agentes del sector y de las instituciones académicas. Los seminarios web ofrecieron a los participantes la oportunidad de ponerse al día en relación con la situación actual técnica y reglamentaria y las tendencias del sector de satélites.</w:t>
      </w:r>
    </w:p>
    <w:p w14:paraId="57863CF9" w14:textId="77777777" w:rsidR="00D7184C" w:rsidRPr="00D7184C" w:rsidRDefault="00D7184C">
      <w:pPr>
        <w:tabs>
          <w:tab w:val="clear" w:pos="567"/>
          <w:tab w:val="clear" w:pos="1134"/>
          <w:tab w:val="clear" w:pos="1701"/>
          <w:tab w:val="clear" w:pos="2268"/>
          <w:tab w:val="clear" w:pos="2835"/>
        </w:tabs>
        <w:overflowPunct/>
        <w:autoSpaceDE/>
        <w:autoSpaceDN/>
        <w:adjustRightInd/>
        <w:spacing w:before="0"/>
        <w:textAlignment w:val="auto"/>
      </w:pPr>
      <w:r w:rsidRPr="00D7184C">
        <w:br w:type="page"/>
      </w:r>
    </w:p>
    <w:p w14:paraId="678364F3" w14:textId="0B36FCA0" w:rsidR="00E221E5" w:rsidRPr="00D7184C" w:rsidRDefault="00D7184C" w:rsidP="00D7184C">
      <w:pPr>
        <w:pStyle w:val="enumlev1"/>
      </w:pPr>
      <w:r w:rsidRPr="00D7184C">
        <w:lastRenderedPageBreak/>
        <w:t>2)</w:t>
      </w:r>
      <w:r w:rsidRPr="00D7184C">
        <w:tab/>
      </w:r>
      <w:r w:rsidR="00E221E5" w:rsidRPr="00D7184C">
        <w:t xml:space="preserve">El UIT-T organiza diversas actividades a disposición de todo el mundo (no solo de sus Miembros) tales como grupos temáticos, talleres, seminarios, seminarios web, el programa sobre la reducción de la brecha de normalización, la Gaceta de la UIT sobre tecnologías futuras y en evolución, y eventos anuales como la </w:t>
      </w:r>
      <w:proofErr w:type="spellStart"/>
      <w:r w:rsidR="00E221E5" w:rsidRPr="00D7184C">
        <w:t>AI</w:t>
      </w:r>
      <w:proofErr w:type="spellEnd"/>
      <w:r w:rsidR="00E221E5" w:rsidRPr="00D7184C">
        <w:t xml:space="preserve"> </w:t>
      </w:r>
      <w:proofErr w:type="spellStart"/>
      <w:r w:rsidR="00E221E5" w:rsidRPr="00D7184C">
        <w:t>for</w:t>
      </w:r>
      <w:proofErr w:type="spellEnd"/>
      <w:r w:rsidR="00E221E5" w:rsidRPr="00D7184C">
        <w:t xml:space="preserve"> Good, el Caleidoscopio de la UIT y los simposios sobre el automóvil conectado del futuro. El UIT-T también ofrece medios de participación a distancia para muchas de estas actividades a fin de dar cabida a una audiencia mundial. Estas actividades permiten a las entidades que no son miembro entender la labor del UIT-T para alentarlas a que se incorporen en el futuro al Sector como Miembros de Sector, Asociados o Instituciones Académicas de la UIT.</w:t>
      </w:r>
    </w:p>
    <w:p w14:paraId="36C4B0EB" w14:textId="31A77A0F" w:rsidR="00E221E5" w:rsidRPr="00D7184C" w:rsidRDefault="00D7184C" w:rsidP="00D7184C">
      <w:pPr>
        <w:pStyle w:val="enumlev1"/>
        <w:rPr>
          <w:color w:val="000000" w:themeColor="text1"/>
          <w:sz w:val="20"/>
        </w:rPr>
      </w:pPr>
      <w:r w:rsidRPr="00D7184C">
        <w:t>3)</w:t>
      </w:r>
      <w:r w:rsidRPr="00D7184C">
        <w:tab/>
      </w:r>
      <w:r w:rsidR="00E221E5" w:rsidRPr="00D7184C">
        <w:t xml:space="preserve">El UIT-D puso en marcha una serie de iniciativas de compromiso encaminadas a atraer, ayudar y retener a Miembros de Sector e Instituciones Académicas. El Grupo Asesor de la Industria sobre Desarrollo se organizó para fomentar el intercambio de información y para ayudar a definir prioridades y obstáculos reglamentarios. Gracias a la iniciativa </w:t>
      </w:r>
      <w:proofErr w:type="spellStart"/>
      <w:r w:rsidR="00E221E5" w:rsidRPr="00D7184C">
        <w:t>Know</w:t>
      </w:r>
      <w:proofErr w:type="spellEnd"/>
      <w:r w:rsidR="00E221E5" w:rsidRPr="00D7184C">
        <w:t xml:space="preserve"> </w:t>
      </w:r>
      <w:proofErr w:type="spellStart"/>
      <w:r w:rsidR="00E221E5" w:rsidRPr="00D7184C">
        <w:t>Your</w:t>
      </w:r>
      <w:proofErr w:type="spellEnd"/>
      <w:r w:rsidR="00E221E5" w:rsidRPr="00D7184C">
        <w:t xml:space="preserve"> </w:t>
      </w:r>
      <w:proofErr w:type="spellStart"/>
      <w:r w:rsidR="00E221E5" w:rsidRPr="00D7184C">
        <w:t>Members</w:t>
      </w:r>
      <w:proofErr w:type="spellEnd"/>
      <w:r w:rsidR="00E221E5" w:rsidRPr="00D7184C">
        <w:t xml:space="preserve"> se dispone de una plataforma para que el sector privado y las instituciones académicas puedan interactuar con la alta dirección de la BDT a fin de intercambiar periódicamente opiniones sobre coordinación, participación y asociaciones para el desarrollo y responder a las sugerencias de los Miembros y escuchar las inquietudes que pudieran surgir. </w:t>
      </w:r>
      <w:proofErr w:type="spellStart"/>
      <w:r w:rsidR="00E221E5" w:rsidRPr="00D7184C">
        <w:t>Tech</w:t>
      </w:r>
      <w:proofErr w:type="spellEnd"/>
      <w:r w:rsidR="00E221E5" w:rsidRPr="00D7184C">
        <w:t xml:space="preserve"> </w:t>
      </w:r>
      <w:proofErr w:type="spellStart"/>
      <w:r w:rsidR="00E221E5" w:rsidRPr="00D7184C">
        <w:t>Talks</w:t>
      </w:r>
      <w:proofErr w:type="spellEnd"/>
      <w:r w:rsidR="00E221E5" w:rsidRPr="00D7184C">
        <w:t xml:space="preserve"> es una iniciativa creada para fomentar la participación de las instituciones académicas y del sector privado y que estas puedan presentar sus últimas tecnologías, proyectos de desarrollo e iniciativas. Además, en </w:t>
      </w:r>
      <w:proofErr w:type="spellStart"/>
      <w:r w:rsidR="00E221E5" w:rsidRPr="00D7184C">
        <w:t>Tech</w:t>
      </w:r>
      <w:proofErr w:type="spellEnd"/>
      <w:r w:rsidR="00E221E5" w:rsidRPr="00D7184C">
        <w:t xml:space="preserve"> </w:t>
      </w:r>
      <w:proofErr w:type="spellStart"/>
      <w:r w:rsidR="00E221E5" w:rsidRPr="00D7184C">
        <w:t>Talks</w:t>
      </w:r>
      <w:proofErr w:type="spellEnd"/>
      <w:r w:rsidR="00E221E5" w:rsidRPr="00D7184C">
        <w:t>, la BDT presenta sus proyectos e iniciativas en curso e invita a los sectores académicos y al sector privado a que participen en ella.</w:t>
      </w:r>
    </w:p>
    <w:p w14:paraId="32C3FDC4" w14:textId="77777777" w:rsidR="00E221E5" w:rsidRPr="00D7184C" w:rsidRDefault="00E221E5">
      <w:pPr>
        <w:rPr>
          <w:sz w:val="22"/>
          <w:szCs w:val="22"/>
        </w:rPr>
      </w:pPr>
      <w:r w:rsidRPr="00D7184C">
        <w:rPr>
          <w:sz w:val="22"/>
          <w:szCs w:val="22"/>
        </w:rPr>
        <w:br w:type="page"/>
      </w:r>
    </w:p>
    <w:p w14:paraId="23EB0C3D" w14:textId="77777777" w:rsidR="00E221E5" w:rsidRPr="00D7184C" w:rsidRDefault="00E221E5" w:rsidP="00E45225">
      <w:pPr>
        <w:pStyle w:val="Annextitle"/>
        <w:rPr>
          <w:sz w:val="26"/>
          <w:szCs w:val="26"/>
        </w:rPr>
      </w:pPr>
      <w:r w:rsidRPr="00D7184C">
        <w:rPr>
          <w:bCs/>
        </w:rPr>
        <w:lastRenderedPageBreak/>
        <w:t>ANEXO 1</w:t>
      </w:r>
    </w:p>
    <w:p w14:paraId="0B41574E" w14:textId="77777777" w:rsidR="00E221E5" w:rsidRPr="00D7184C" w:rsidRDefault="00E221E5" w:rsidP="00A054A7">
      <w:pPr>
        <w:pStyle w:val="Tabletitle"/>
        <w:rPr>
          <w:bCs/>
          <w:sz w:val="22"/>
          <w:szCs w:val="22"/>
        </w:rPr>
      </w:pPr>
      <w:proofErr w:type="gramStart"/>
      <w:r w:rsidRPr="00D7184C">
        <w:rPr>
          <w:bCs/>
        </w:rPr>
        <w:t>Total</w:t>
      </w:r>
      <w:proofErr w:type="gramEnd"/>
      <w:r w:rsidRPr="00D7184C">
        <w:rPr>
          <w:bCs/>
        </w:rPr>
        <w:t xml:space="preserve"> de Miembros por Sector</w:t>
      </w:r>
    </w:p>
    <w:tbl>
      <w:tblPr>
        <w:tblW w:w="8235"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38"/>
        <w:gridCol w:w="1610"/>
        <w:gridCol w:w="1319"/>
        <w:gridCol w:w="1087"/>
        <w:gridCol w:w="1131"/>
        <w:gridCol w:w="1450"/>
      </w:tblGrid>
      <w:tr w:rsidR="00E221E5" w:rsidRPr="00D7184C" w14:paraId="62E3FDEA" w14:textId="77777777" w:rsidTr="00D32134">
        <w:trPr>
          <w:trHeight w:val="249"/>
        </w:trPr>
        <w:tc>
          <w:tcPr>
            <w:tcW w:w="1638" w:type="dxa"/>
            <w:shd w:val="clear" w:color="auto" w:fill="4472C4"/>
            <w:noWrap/>
            <w:vAlign w:val="bottom"/>
            <w:hideMark/>
          </w:tcPr>
          <w:p w14:paraId="64BF0853" w14:textId="77777777" w:rsidR="00E221E5" w:rsidRPr="00D7184C" w:rsidRDefault="00E221E5" w:rsidP="00D7184C">
            <w:pPr>
              <w:pStyle w:val="Tablehead"/>
              <w:rPr>
                <w:rFonts w:cs="Calibri"/>
                <w:color w:val="FFFFFF" w:themeColor="background1"/>
                <w:sz w:val="20"/>
              </w:rPr>
            </w:pPr>
            <w:r w:rsidRPr="00D7184C">
              <w:rPr>
                <w:color w:val="FFFFFF" w:themeColor="background1"/>
              </w:rPr>
              <w:t>Sector</w:t>
            </w:r>
          </w:p>
        </w:tc>
        <w:tc>
          <w:tcPr>
            <w:tcW w:w="1610" w:type="dxa"/>
            <w:shd w:val="clear" w:color="auto" w:fill="4472C4"/>
            <w:noWrap/>
            <w:vAlign w:val="bottom"/>
            <w:hideMark/>
          </w:tcPr>
          <w:p w14:paraId="0FAF52D0" w14:textId="77777777" w:rsidR="00E221E5" w:rsidRPr="00D7184C" w:rsidRDefault="00E221E5" w:rsidP="00D7184C">
            <w:pPr>
              <w:pStyle w:val="Tablehead"/>
              <w:rPr>
                <w:rFonts w:cs="Calibri"/>
                <w:color w:val="FFFFFF" w:themeColor="background1"/>
                <w:sz w:val="20"/>
              </w:rPr>
            </w:pPr>
            <w:r w:rsidRPr="00D7184C">
              <w:rPr>
                <w:color w:val="FFFFFF" w:themeColor="background1"/>
              </w:rPr>
              <w:t>Medida</w:t>
            </w:r>
          </w:p>
        </w:tc>
        <w:tc>
          <w:tcPr>
            <w:tcW w:w="1319" w:type="dxa"/>
            <w:shd w:val="clear" w:color="auto" w:fill="4472C4"/>
            <w:noWrap/>
            <w:vAlign w:val="bottom"/>
            <w:hideMark/>
          </w:tcPr>
          <w:p w14:paraId="5408B64D" w14:textId="77777777" w:rsidR="00E221E5" w:rsidRPr="00D7184C" w:rsidRDefault="00E221E5" w:rsidP="00D7184C">
            <w:pPr>
              <w:pStyle w:val="Tablehead"/>
              <w:rPr>
                <w:rFonts w:cs="Calibri"/>
                <w:color w:val="FFFFFF" w:themeColor="background1"/>
                <w:sz w:val="20"/>
              </w:rPr>
            </w:pPr>
            <w:proofErr w:type="spellStart"/>
            <w:r w:rsidRPr="00D7184C">
              <w:rPr>
                <w:color w:val="FFFFFF" w:themeColor="background1"/>
              </w:rPr>
              <w:t>PMA</w:t>
            </w:r>
            <w:proofErr w:type="spellEnd"/>
          </w:p>
        </w:tc>
        <w:tc>
          <w:tcPr>
            <w:tcW w:w="1087" w:type="dxa"/>
            <w:shd w:val="clear" w:color="auto" w:fill="4472C4"/>
            <w:noWrap/>
            <w:vAlign w:val="bottom"/>
            <w:hideMark/>
          </w:tcPr>
          <w:p w14:paraId="6D467F69" w14:textId="77777777" w:rsidR="00E221E5" w:rsidRPr="00D7184C" w:rsidRDefault="00E221E5" w:rsidP="00D7184C">
            <w:pPr>
              <w:pStyle w:val="Tablehead"/>
              <w:rPr>
                <w:rFonts w:cs="Calibri"/>
                <w:color w:val="FFFFFF" w:themeColor="background1"/>
                <w:sz w:val="20"/>
              </w:rPr>
            </w:pPr>
            <w:proofErr w:type="spellStart"/>
            <w:r w:rsidRPr="00D7184C">
              <w:rPr>
                <w:color w:val="FFFFFF" w:themeColor="background1"/>
              </w:rPr>
              <w:t>PDSL</w:t>
            </w:r>
            <w:proofErr w:type="spellEnd"/>
          </w:p>
        </w:tc>
        <w:tc>
          <w:tcPr>
            <w:tcW w:w="1131" w:type="dxa"/>
            <w:shd w:val="clear" w:color="auto" w:fill="4472C4"/>
            <w:noWrap/>
            <w:vAlign w:val="bottom"/>
            <w:hideMark/>
          </w:tcPr>
          <w:p w14:paraId="4492DE5F" w14:textId="77777777" w:rsidR="00E221E5" w:rsidRPr="00D7184C" w:rsidRDefault="00E221E5" w:rsidP="00D7184C">
            <w:pPr>
              <w:pStyle w:val="Tablehead"/>
              <w:rPr>
                <w:rFonts w:cs="Calibri"/>
                <w:color w:val="FFFFFF" w:themeColor="background1"/>
                <w:sz w:val="20"/>
              </w:rPr>
            </w:pPr>
            <w:proofErr w:type="spellStart"/>
            <w:r w:rsidRPr="00D7184C">
              <w:rPr>
                <w:color w:val="FFFFFF" w:themeColor="background1"/>
              </w:rPr>
              <w:t>PEID</w:t>
            </w:r>
            <w:proofErr w:type="spellEnd"/>
          </w:p>
        </w:tc>
        <w:tc>
          <w:tcPr>
            <w:tcW w:w="1450" w:type="dxa"/>
            <w:shd w:val="clear" w:color="auto" w:fill="4472C4"/>
            <w:noWrap/>
            <w:vAlign w:val="bottom"/>
            <w:hideMark/>
          </w:tcPr>
          <w:p w14:paraId="5169CCD6" w14:textId="77777777" w:rsidR="00E221E5" w:rsidRPr="00D7184C" w:rsidRDefault="00E221E5" w:rsidP="00D7184C">
            <w:pPr>
              <w:pStyle w:val="Tablehead"/>
              <w:rPr>
                <w:rFonts w:cs="Calibri"/>
                <w:color w:val="FFFFFF" w:themeColor="background1"/>
                <w:sz w:val="20"/>
              </w:rPr>
            </w:pPr>
            <w:proofErr w:type="spellStart"/>
            <w:r w:rsidRPr="00D7184C">
              <w:rPr>
                <w:color w:val="FFFFFF" w:themeColor="background1"/>
              </w:rPr>
              <w:t>PNE</w:t>
            </w:r>
            <w:proofErr w:type="spellEnd"/>
          </w:p>
        </w:tc>
      </w:tr>
      <w:tr w:rsidR="00E221E5" w:rsidRPr="00D7184C" w14:paraId="06255834" w14:textId="77777777" w:rsidTr="00D32134">
        <w:trPr>
          <w:trHeight w:val="249"/>
        </w:trPr>
        <w:tc>
          <w:tcPr>
            <w:tcW w:w="1638" w:type="dxa"/>
            <w:vMerge w:val="restart"/>
            <w:shd w:val="clear" w:color="auto" w:fill="4472C4"/>
            <w:noWrap/>
            <w:vAlign w:val="center"/>
            <w:hideMark/>
          </w:tcPr>
          <w:p w14:paraId="5F90E17B" w14:textId="77777777" w:rsidR="00E221E5" w:rsidRPr="00D7184C" w:rsidRDefault="00E221E5" w:rsidP="00365982">
            <w:pPr>
              <w:pStyle w:val="Tabletext"/>
              <w:jc w:val="center"/>
              <w:rPr>
                <w:rFonts w:cs="Calibri"/>
                <w:color w:val="FFFFFF" w:themeColor="background1"/>
                <w:sz w:val="20"/>
              </w:rPr>
            </w:pPr>
            <w:r w:rsidRPr="00D7184C">
              <w:rPr>
                <w:color w:val="FFFFFF" w:themeColor="background1"/>
              </w:rPr>
              <w:t>UIT-R</w:t>
            </w:r>
          </w:p>
        </w:tc>
        <w:tc>
          <w:tcPr>
            <w:tcW w:w="1610" w:type="dxa"/>
            <w:shd w:val="clear" w:color="auto" w:fill="4472C4"/>
            <w:noWrap/>
            <w:vAlign w:val="bottom"/>
            <w:hideMark/>
          </w:tcPr>
          <w:p w14:paraId="542725F7"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Países representados</w:t>
            </w:r>
          </w:p>
        </w:tc>
        <w:tc>
          <w:tcPr>
            <w:tcW w:w="1319" w:type="dxa"/>
            <w:shd w:val="clear" w:color="auto" w:fill="D9E1F2"/>
            <w:noWrap/>
            <w:vAlign w:val="bottom"/>
            <w:hideMark/>
          </w:tcPr>
          <w:p w14:paraId="7CE85F5A" w14:textId="77777777" w:rsidR="00E221E5" w:rsidRPr="00D7184C" w:rsidRDefault="00E221E5" w:rsidP="00813395">
            <w:pPr>
              <w:pStyle w:val="Tabletext"/>
              <w:jc w:val="center"/>
              <w:rPr>
                <w:rFonts w:cs="Calibri"/>
                <w:color w:val="000000"/>
                <w:sz w:val="20"/>
              </w:rPr>
            </w:pPr>
            <w:r w:rsidRPr="00D7184C">
              <w:t>6</w:t>
            </w:r>
          </w:p>
        </w:tc>
        <w:tc>
          <w:tcPr>
            <w:tcW w:w="1087" w:type="dxa"/>
            <w:shd w:val="clear" w:color="auto" w:fill="D9E1F2"/>
            <w:noWrap/>
            <w:vAlign w:val="bottom"/>
            <w:hideMark/>
          </w:tcPr>
          <w:p w14:paraId="799EEBBD" w14:textId="77777777" w:rsidR="00E221E5" w:rsidRPr="00D7184C" w:rsidRDefault="00E221E5" w:rsidP="00813395">
            <w:pPr>
              <w:pStyle w:val="Tabletext"/>
              <w:jc w:val="center"/>
              <w:rPr>
                <w:rFonts w:cs="Calibri"/>
                <w:color w:val="000000"/>
                <w:sz w:val="20"/>
              </w:rPr>
            </w:pPr>
            <w:r w:rsidRPr="00D7184C">
              <w:t>2</w:t>
            </w:r>
          </w:p>
        </w:tc>
        <w:tc>
          <w:tcPr>
            <w:tcW w:w="1131" w:type="dxa"/>
            <w:shd w:val="clear" w:color="auto" w:fill="D9E1F2"/>
            <w:noWrap/>
            <w:vAlign w:val="bottom"/>
            <w:hideMark/>
          </w:tcPr>
          <w:p w14:paraId="60C6AF2A" w14:textId="77777777" w:rsidR="00E221E5" w:rsidRPr="00D7184C" w:rsidRDefault="00E221E5" w:rsidP="00813395">
            <w:pPr>
              <w:pStyle w:val="Tabletext"/>
              <w:jc w:val="center"/>
              <w:rPr>
                <w:rFonts w:cs="Calibri"/>
                <w:color w:val="000000"/>
                <w:sz w:val="20"/>
              </w:rPr>
            </w:pPr>
            <w:r w:rsidRPr="00D7184C">
              <w:t>3</w:t>
            </w:r>
          </w:p>
        </w:tc>
        <w:tc>
          <w:tcPr>
            <w:tcW w:w="1450" w:type="dxa"/>
            <w:shd w:val="clear" w:color="auto" w:fill="D9E1F2"/>
            <w:noWrap/>
            <w:vAlign w:val="bottom"/>
            <w:hideMark/>
          </w:tcPr>
          <w:p w14:paraId="413AC1B0" w14:textId="77777777" w:rsidR="00E221E5" w:rsidRPr="00D7184C" w:rsidRDefault="00E221E5" w:rsidP="00813395">
            <w:pPr>
              <w:pStyle w:val="Tabletext"/>
              <w:jc w:val="center"/>
              <w:rPr>
                <w:rFonts w:cs="Calibri"/>
                <w:color w:val="000000"/>
                <w:sz w:val="20"/>
              </w:rPr>
            </w:pPr>
            <w:r w:rsidRPr="00D7184C">
              <w:t>0</w:t>
            </w:r>
          </w:p>
        </w:tc>
      </w:tr>
      <w:tr w:rsidR="00E221E5" w:rsidRPr="00D7184C" w14:paraId="35718A45" w14:textId="77777777" w:rsidTr="00D32134">
        <w:trPr>
          <w:trHeight w:val="249"/>
        </w:trPr>
        <w:tc>
          <w:tcPr>
            <w:tcW w:w="1638" w:type="dxa"/>
            <w:vMerge/>
            <w:vAlign w:val="center"/>
            <w:hideMark/>
          </w:tcPr>
          <w:p w14:paraId="61B57F82"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0AE9760C"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Miembros</w:t>
            </w:r>
          </w:p>
        </w:tc>
        <w:tc>
          <w:tcPr>
            <w:tcW w:w="1319" w:type="dxa"/>
            <w:shd w:val="clear" w:color="auto" w:fill="auto"/>
            <w:noWrap/>
            <w:vAlign w:val="bottom"/>
            <w:hideMark/>
          </w:tcPr>
          <w:p w14:paraId="39625957" w14:textId="77777777" w:rsidR="00E221E5" w:rsidRPr="00D7184C" w:rsidRDefault="00E221E5" w:rsidP="00813395">
            <w:pPr>
              <w:pStyle w:val="Tabletext"/>
              <w:jc w:val="center"/>
              <w:rPr>
                <w:rFonts w:cs="Calibri"/>
                <w:color w:val="000000"/>
                <w:sz w:val="20"/>
              </w:rPr>
            </w:pPr>
            <w:r w:rsidRPr="00D7184C">
              <w:t>6</w:t>
            </w:r>
          </w:p>
        </w:tc>
        <w:tc>
          <w:tcPr>
            <w:tcW w:w="1087" w:type="dxa"/>
            <w:shd w:val="clear" w:color="auto" w:fill="auto"/>
            <w:noWrap/>
            <w:vAlign w:val="bottom"/>
            <w:hideMark/>
          </w:tcPr>
          <w:p w14:paraId="0D0A342D" w14:textId="77777777" w:rsidR="00E221E5" w:rsidRPr="00D7184C" w:rsidRDefault="00E221E5" w:rsidP="00813395">
            <w:pPr>
              <w:pStyle w:val="Tabletext"/>
              <w:jc w:val="center"/>
              <w:rPr>
                <w:rFonts w:cs="Calibri"/>
                <w:color w:val="000000"/>
                <w:sz w:val="20"/>
              </w:rPr>
            </w:pPr>
            <w:r w:rsidRPr="00D7184C">
              <w:t>2</w:t>
            </w:r>
          </w:p>
        </w:tc>
        <w:tc>
          <w:tcPr>
            <w:tcW w:w="1131" w:type="dxa"/>
            <w:shd w:val="clear" w:color="auto" w:fill="auto"/>
            <w:noWrap/>
            <w:vAlign w:val="bottom"/>
            <w:hideMark/>
          </w:tcPr>
          <w:p w14:paraId="5B806675" w14:textId="77777777" w:rsidR="00E221E5" w:rsidRPr="00D7184C" w:rsidRDefault="00E221E5" w:rsidP="00813395">
            <w:pPr>
              <w:pStyle w:val="Tabletext"/>
              <w:jc w:val="center"/>
              <w:rPr>
                <w:rFonts w:cs="Calibri"/>
                <w:color w:val="000000"/>
                <w:sz w:val="20"/>
              </w:rPr>
            </w:pPr>
            <w:r w:rsidRPr="00D7184C">
              <w:t>3</w:t>
            </w:r>
          </w:p>
        </w:tc>
        <w:tc>
          <w:tcPr>
            <w:tcW w:w="1450" w:type="dxa"/>
            <w:shd w:val="clear" w:color="auto" w:fill="auto"/>
            <w:noWrap/>
            <w:vAlign w:val="bottom"/>
            <w:hideMark/>
          </w:tcPr>
          <w:p w14:paraId="67E7749D" w14:textId="77777777" w:rsidR="00E221E5" w:rsidRPr="00D7184C" w:rsidRDefault="00E221E5" w:rsidP="00813395">
            <w:pPr>
              <w:pStyle w:val="Tabletext"/>
              <w:jc w:val="center"/>
              <w:rPr>
                <w:rFonts w:cs="Calibri"/>
                <w:color w:val="000000"/>
                <w:sz w:val="20"/>
              </w:rPr>
            </w:pPr>
            <w:r w:rsidRPr="00D7184C">
              <w:t>0</w:t>
            </w:r>
          </w:p>
        </w:tc>
      </w:tr>
      <w:tr w:rsidR="00E221E5" w:rsidRPr="00D7184C" w14:paraId="341C4E8B" w14:textId="77777777" w:rsidTr="00D32134">
        <w:trPr>
          <w:trHeight w:val="261"/>
        </w:trPr>
        <w:tc>
          <w:tcPr>
            <w:tcW w:w="1638" w:type="dxa"/>
            <w:vMerge/>
            <w:vAlign w:val="center"/>
            <w:hideMark/>
          </w:tcPr>
          <w:p w14:paraId="5FD24DBC"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21FD08E1"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Membresías</w:t>
            </w:r>
          </w:p>
        </w:tc>
        <w:tc>
          <w:tcPr>
            <w:tcW w:w="1319" w:type="dxa"/>
            <w:shd w:val="clear" w:color="auto" w:fill="D9E1F2"/>
            <w:noWrap/>
            <w:vAlign w:val="bottom"/>
            <w:hideMark/>
          </w:tcPr>
          <w:p w14:paraId="034A6294" w14:textId="77777777" w:rsidR="00E221E5" w:rsidRPr="00D7184C" w:rsidRDefault="00E221E5" w:rsidP="00813395">
            <w:pPr>
              <w:pStyle w:val="Tabletext"/>
              <w:jc w:val="center"/>
              <w:rPr>
                <w:rFonts w:cs="Calibri"/>
                <w:color w:val="000000"/>
                <w:sz w:val="20"/>
              </w:rPr>
            </w:pPr>
            <w:r w:rsidRPr="00D7184C">
              <w:t>6</w:t>
            </w:r>
          </w:p>
        </w:tc>
        <w:tc>
          <w:tcPr>
            <w:tcW w:w="1087" w:type="dxa"/>
            <w:shd w:val="clear" w:color="auto" w:fill="D9E1F2"/>
            <w:noWrap/>
            <w:vAlign w:val="bottom"/>
            <w:hideMark/>
          </w:tcPr>
          <w:p w14:paraId="57B47C24" w14:textId="77777777" w:rsidR="00E221E5" w:rsidRPr="00D7184C" w:rsidRDefault="00E221E5" w:rsidP="00813395">
            <w:pPr>
              <w:pStyle w:val="Tabletext"/>
              <w:jc w:val="center"/>
              <w:rPr>
                <w:rFonts w:cs="Calibri"/>
                <w:color w:val="000000"/>
                <w:sz w:val="20"/>
              </w:rPr>
            </w:pPr>
            <w:r w:rsidRPr="00D7184C">
              <w:t>2</w:t>
            </w:r>
          </w:p>
        </w:tc>
        <w:tc>
          <w:tcPr>
            <w:tcW w:w="1131" w:type="dxa"/>
            <w:shd w:val="clear" w:color="auto" w:fill="D9E1F2"/>
            <w:noWrap/>
            <w:vAlign w:val="bottom"/>
            <w:hideMark/>
          </w:tcPr>
          <w:p w14:paraId="420B49A5" w14:textId="77777777" w:rsidR="00E221E5" w:rsidRPr="00D7184C" w:rsidRDefault="00E221E5" w:rsidP="00813395">
            <w:pPr>
              <w:pStyle w:val="Tabletext"/>
              <w:jc w:val="center"/>
              <w:rPr>
                <w:rFonts w:cs="Calibri"/>
                <w:color w:val="000000"/>
                <w:sz w:val="20"/>
              </w:rPr>
            </w:pPr>
            <w:r w:rsidRPr="00D7184C">
              <w:t>3</w:t>
            </w:r>
          </w:p>
        </w:tc>
        <w:tc>
          <w:tcPr>
            <w:tcW w:w="1450" w:type="dxa"/>
            <w:shd w:val="clear" w:color="auto" w:fill="D9E1F2"/>
            <w:noWrap/>
            <w:vAlign w:val="bottom"/>
            <w:hideMark/>
          </w:tcPr>
          <w:p w14:paraId="4615243F" w14:textId="77777777" w:rsidR="00E221E5" w:rsidRPr="00D7184C" w:rsidRDefault="00E221E5" w:rsidP="00813395">
            <w:pPr>
              <w:pStyle w:val="Tabletext"/>
              <w:jc w:val="center"/>
              <w:rPr>
                <w:rFonts w:cs="Calibri"/>
                <w:color w:val="000000"/>
                <w:sz w:val="20"/>
              </w:rPr>
            </w:pPr>
            <w:r w:rsidRPr="00D7184C">
              <w:t>0</w:t>
            </w:r>
          </w:p>
        </w:tc>
      </w:tr>
      <w:tr w:rsidR="00E221E5" w:rsidRPr="00D7184C" w14:paraId="33457159" w14:textId="77777777" w:rsidTr="00D32134">
        <w:trPr>
          <w:trHeight w:val="249"/>
        </w:trPr>
        <w:tc>
          <w:tcPr>
            <w:tcW w:w="1638" w:type="dxa"/>
            <w:vMerge w:val="restart"/>
            <w:shd w:val="clear" w:color="auto" w:fill="4472C4"/>
            <w:noWrap/>
            <w:vAlign w:val="center"/>
            <w:hideMark/>
          </w:tcPr>
          <w:p w14:paraId="3CFDF32D" w14:textId="77777777" w:rsidR="00E221E5" w:rsidRPr="00D7184C" w:rsidRDefault="00E221E5" w:rsidP="00365982">
            <w:pPr>
              <w:pStyle w:val="Tabletext"/>
              <w:jc w:val="center"/>
              <w:rPr>
                <w:rFonts w:cs="Calibri"/>
                <w:color w:val="FFFFFF" w:themeColor="background1"/>
                <w:sz w:val="20"/>
              </w:rPr>
            </w:pPr>
            <w:r w:rsidRPr="00D7184C">
              <w:rPr>
                <w:color w:val="FFFFFF" w:themeColor="background1"/>
              </w:rPr>
              <w:t>UIT-T</w:t>
            </w:r>
          </w:p>
        </w:tc>
        <w:tc>
          <w:tcPr>
            <w:tcW w:w="1610" w:type="dxa"/>
            <w:shd w:val="clear" w:color="auto" w:fill="4472C4"/>
            <w:noWrap/>
            <w:vAlign w:val="bottom"/>
            <w:hideMark/>
          </w:tcPr>
          <w:p w14:paraId="7566E687"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Países representados</w:t>
            </w:r>
          </w:p>
        </w:tc>
        <w:tc>
          <w:tcPr>
            <w:tcW w:w="1319" w:type="dxa"/>
            <w:shd w:val="clear" w:color="auto" w:fill="auto"/>
            <w:noWrap/>
            <w:vAlign w:val="bottom"/>
            <w:hideMark/>
          </w:tcPr>
          <w:p w14:paraId="07A6B970" w14:textId="77777777" w:rsidR="00E221E5" w:rsidRPr="00D7184C" w:rsidRDefault="00E221E5" w:rsidP="00813395">
            <w:pPr>
              <w:pStyle w:val="Tabletext"/>
              <w:jc w:val="center"/>
              <w:rPr>
                <w:rFonts w:cs="Calibri"/>
                <w:color w:val="000000"/>
                <w:sz w:val="20"/>
              </w:rPr>
            </w:pPr>
            <w:r w:rsidRPr="00D7184C">
              <w:t>7</w:t>
            </w:r>
          </w:p>
        </w:tc>
        <w:tc>
          <w:tcPr>
            <w:tcW w:w="1087" w:type="dxa"/>
            <w:shd w:val="clear" w:color="auto" w:fill="auto"/>
            <w:noWrap/>
            <w:vAlign w:val="bottom"/>
            <w:hideMark/>
          </w:tcPr>
          <w:p w14:paraId="2224C2D9" w14:textId="77777777" w:rsidR="00E221E5" w:rsidRPr="00D7184C" w:rsidRDefault="00E221E5" w:rsidP="00813395">
            <w:pPr>
              <w:pStyle w:val="Tabletext"/>
              <w:jc w:val="center"/>
              <w:rPr>
                <w:rFonts w:cs="Calibri"/>
                <w:color w:val="000000"/>
                <w:sz w:val="20"/>
              </w:rPr>
            </w:pPr>
            <w:r w:rsidRPr="00D7184C">
              <w:t>4</w:t>
            </w:r>
          </w:p>
        </w:tc>
        <w:tc>
          <w:tcPr>
            <w:tcW w:w="1131" w:type="dxa"/>
            <w:shd w:val="clear" w:color="auto" w:fill="auto"/>
            <w:noWrap/>
            <w:vAlign w:val="bottom"/>
            <w:hideMark/>
          </w:tcPr>
          <w:p w14:paraId="7753CB68" w14:textId="77777777" w:rsidR="00E221E5" w:rsidRPr="00D7184C" w:rsidRDefault="00E221E5" w:rsidP="00813395">
            <w:pPr>
              <w:pStyle w:val="Tabletext"/>
              <w:jc w:val="center"/>
              <w:rPr>
                <w:rFonts w:cs="Calibri"/>
                <w:color w:val="000000"/>
                <w:sz w:val="20"/>
              </w:rPr>
            </w:pPr>
            <w:r w:rsidRPr="00D7184C">
              <w:t>5</w:t>
            </w:r>
          </w:p>
        </w:tc>
        <w:tc>
          <w:tcPr>
            <w:tcW w:w="1450" w:type="dxa"/>
            <w:shd w:val="clear" w:color="auto" w:fill="auto"/>
            <w:noWrap/>
            <w:vAlign w:val="bottom"/>
            <w:hideMark/>
          </w:tcPr>
          <w:p w14:paraId="64AF470C" w14:textId="77777777" w:rsidR="00E221E5" w:rsidRPr="00D7184C" w:rsidRDefault="00E221E5" w:rsidP="00813395">
            <w:pPr>
              <w:pStyle w:val="Tabletext"/>
              <w:jc w:val="center"/>
              <w:rPr>
                <w:rFonts w:cs="Calibri"/>
                <w:color w:val="000000"/>
                <w:sz w:val="20"/>
              </w:rPr>
            </w:pPr>
            <w:r w:rsidRPr="00D7184C">
              <w:t>1</w:t>
            </w:r>
          </w:p>
        </w:tc>
      </w:tr>
      <w:tr w:rsidR="00E221E5" w:rsidRPr="00D7184C" w14:paraId="5730A470" w14:textId="77777777" w:rsidTr="00D32134">
        <w:trPr>
          <w:trHeight w:val="249"/>
        </w:trPr>
        <w:tc>
          <w:tcPr>
            <w:tcW w:w="1638" w:type="dxa"/>
            <w:vMerge/>
            <w:vAlign w:val="center"/>
            <w:hideMark/>
          </w:tcPr>
          <w:p w14:paraId="0A1A42F2"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2C86E8B3"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Miembros</w:t>
            </w:r>
          </w:p>
        </w:tc>
        <w:tc>
          <w:tcPr>
            <w:tcW w:w="1319" w:type="dxa"/>
            <w:shd w:val="clear" w:color="auto" w:fill="D9E1F2"/>
            <w:noWrap/>
            <w:vAlign w:val="bottom"/>
            <w:hideMark/>
          </w:tcPr>
          <w:p w14:paraId="4E99EA00" w14:textId="77777777" w:rsidR="00E221E5" w:rsidRPr="00D7184C" w:rsidRDefault="00E221E5" w:rsidP="00813395">
            <w:pPr>
              <w:pStyle w:val="Tabletext"/>
              <w:jc w:val="center"/>
              <w:rPr>
                <w:rFonts w:cs="Calibri"/>
                <w:color w:val="000000"/>
                <w:sz w:val="20"/>
              </w:rPr>
            </w:pPr>
            <w:r w:rsidRPr="00D7184C">
              <w:t>8</w:t>
            </w:r>
          </w:p>
        </w:tc>
        <w:tc>
          <w:tcPr>
            <w:tcW w:w="1087" w:type="dxa"/>
            <w:shd w:val="clear" w:color="auto" w:fill="D9E1F2"/>
            <w:noWrap/>
            <w:vAlign w:val="bottom"/>
            <w:hideMark/>
          </w:tcPr>
          <w:p w14:paraId="01B2ED14" w14:textId="77777777" w:rsidR="00E221E5" w:rsidRPr="00D7184C" w:rsidRDefault="00E221E5" w:rsidP="00813395">
            <w:pPr>
              <w:pStyle w:val="Tabletext"/>
              <w:jc w:val="center"/>
              <w:rPr>
                <w:rFonts w:cs="Calibri"/>
                <w:color w:val="000000"/>
                <w:sz w:val="20"/>
              </w:rPr>
            </w:pPr>
            <w:r w:rsidRPr="00D7184C">
              <w:t>4</w:t>
            </w:r>
          </w:p>
        </w:tc>
        <w:tc>
          <w:tcPr>
            <w:tcW w:w="1131" w:type="dxa"/>
            <w:shd w:val="clear" w:color="auto" w:fill="D9E1F2"/>
            <w:noWrap/>
            <w:vAlign w:val="bottom"/>
            <w:hideMark/>
          </w:tcPr>
          <w:p w14:paraId="483DBB08" w14:textId="77777777" w:rsidR="00E221E5" w:rsidRPr="00D7184C" w:rsidRDefault="00E221E5" w:rsidP="00813395">
            <w:pPr>
              <w:pStyle w:val="Tabletext"/>
              <w:jc w:val="center"/>
              <w:rPr>
                <w:rFonts w:cs="Calibri"/>
                <w:color w:val="000000"/>
                <w:sz w:val="20"/>
              </w:rPr>
            </w:pPr>
            <w:r w:rsidRPr="00D7184C">
              <w:t>7</w:t>
            </w:r>
          </w:p>
        </w:tc>
        <w:tc>
          <w:tcPr>
            <w:tcW w:w="1450" w:type="dxa"/>
            <w:shd w:val="clear" w:color="auto" w:fill="D9E1F2"/>
            <w:noWrap/>
            <w:vAlign w:val="bottom"/>
            <w:hideMark/>
          </w:tcPr>
          <w:p w14:paraId="033D068B" w14:textId="77777777" w:rsidR="00E221E5" w:rsidRPr="00D7184C" w:rsidRDefault="00E221E5" w:rsidP="00813395">
            <w:pPr>
              <w:pStyle w:val="Tabletext"/>
              <w:jc w:val="center"/>
              <w:rPr>
                <w:rFonts w:cs="Calibri"/>
                <w:color w:val="000000"/>
                <w:sz w:val="20"/>
              </w:rPr>
            </w:pPr>
            <w:r w:rsidRPr="00D7184C">
              <w:t>2</w:t>
            </w:r>
          </w:p>
        </w:tc>
      </w:tr>
      <w:tr w:rsidR="00E221E5" w:rsidRPr="00D7184C" w14:paraId="10DFCB76" w14:textId="77777777" w:rsidTr="00D32134">
        <w:trPr>
          <w:trHeight w:val="261"/>
        </w:trPr>
        <w:tc>
          <w:tcPr>
            <w:tcW w:w="1638" w:type="dxa"/>
            <w:vMerge/>
            <w:vAlign w:val="center"/>
            <w:hideMark/>
          </w:tcPr>
          <w:p w14:paraId="00214166"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16D68EF8"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Membresías</w:t>
            </w:r>
          </w:p>
        </w:tc>
        <w:tc>
          <w:tcPr>
            <w:tcW w:w="1319" w:type="dxa"/>
            <w:shd w:val="clear" w:color="auto" w:fill="auto"/>
            <w:noWrap/>
            <w:vAlign w:val="bottom"/>
            <w:hideMark/>
          </w:tcPr>
          <w:p w14:paraId="40377A51" w14:textId="77777777" w:rsidR="00E221E5" w:rsidRPr="00D7184C" w:rsidRDefault="00E221E5" w:rsidP="00813395">
            <w:pPr>
              <w:pStyle w:val="Tabletext"/>
              <w:jc w:val="center"/>
              <w:rPr>
                <w:rFonts w:cs="Calibri"/>
                <w:color w:val="000000"/>
                <w:sz w:val="20"/>
              </w:rPr>
            </w:pPr>
            <w:r w:rsidRPr="00D7184C">
              <w:t>8</w:t>
            </w:r>
          </w:p>
        </w:tc>
        <w:tc>
          <w:tcPr>
            <w:tcW w:w="1087" w:type="dxa"/>
            <w:shd w:val="clear" w:color="auto" w:fill="auto"/>
            <w:noWrap/>
            <w:vAlign w:val="bottom"/>
            <w:hideMark/>
          </w:tcPr>
          <w:p w14:paraId="2B5C3C71" w14:textId="77777777" w:rsidR="00E221E5" w:rsidRPr="00D7184C" w:rsidRDefault="00E221E5" w:rsidP="00813395">
            <w:pPr>
              <w:pStyle w:val="Tabletext"/>
              <w:jc w:val="center"/>
              <w:rPr>
                <w:rFonts w:cs="Calibri"/>
                <w:color w:val="000000"/>
                <w:sz w:val="20"/>
              </w:rPr>
            </w:pPr>
            <w:r w:rsidRPr="00D7184C">
              <w:t>4</w:t>
            </w:r>
          </w:p>
        </w:tc>
        <w:tc>
          <w:tcPr>
            <w:tcW w:w="1131" w:type="dxa"/>
            <w:shd w:val="clear" w:color="auto" w:fill="auto"/>
            <w:noWrap/>
            <w:vAlign w:val="bottom"/>
            <w:hideMark/>
          </w:tcPr>
          <w:p w14:paraId="0C877DE4" w14:textId="77777777" w:rsidR="00E221E5" w:rsidRPr="00D7184C" w:rsidRDefault="00E221E5" w:rsidP="00813395">
            <w:pPr>
              <w:pStyle w:val="Tabletext"/>
              <w:jc w:val="center"/>
              <w:rPr>
                <w:rFonts w:cs="Calibri"/>
                <w:color w:val="000000"/>
                <w:sz w:val="20"/>
              </w:rPr>
            </w:pPr>
            <w:r w:rsidRPr="00D7184C">
              <w:t>7</w:t>
            </w:r>
          </w:p>
        </w:tc>
        <w:tc>
          <w:tcPr>
            <w:tcW w:w="1450" w:type="dxa"/>
            <w:shd w:val="clear" w:color="auto" w:fill="auto"/>
            <w:noWrap/>
            <w:vAlign w:val="bottom"/>
            <w:hideMark/>
          </w:tcPr>
          <w:p w14:paraId="44F54834" w14:textId="77777777" w:rsidR="00E221E5" w:rsidRPr="00D7184C" w:rsidRDefault="00E221E5" w:rsidP="00813395">
            <w:pPr>
              <w:pStyle w:val="Tabletext"/>
              <w:jc w:val="center"/>
              <w:rPr>
                <w:rFonts w:cs="Calibri"/>
                <w:color w:val="000000"/>
                <w:sz w:val="20"/>
              </w:rPr>
            </w:pPr>
            <w:r w:rsidRPr="00D7184C">
              <w:t>2</w:t>
            </w:r>
          </w:p>
        </w:tc>
      </w:tr>
      <w:tr w:rsidR="00E221E5" w:rsidRPr="00D7184C" w14:paraId="20F211ED" w14:textId="77777777" w:rsidTr="00D32134">
        <w:trPr>
          <w:trHeight w:val="249"/>
        </w:trPr>
        <w:tc>
          <w:tcPr>
            <w:tcW w:w="1638" w:type="dxa"/>
            <w:vMerge w:val="restart"/>
            <w:shd w:val="clear" w:color="auto" w:fill="4472C4"/>
            <w:noWrap/>
            <w:vAlign w:val="center"/>
            <w:hideMark/>
          </w:tcPr>
          <w:p w14:paraId="748D15CD" w14:textId="77777777" w:rsidR="00E221E5" w:rsidRPr="00D7184C" w:rsidRDefault="00E221E5" w:rsidP="00365982">
            <w:pPr>
              <w:pStyle w:val="Tabletext"/>
              <w:jc w:val="center"/>
              <w:rPr>
                <w:rFonts w:cs="Calibri"/>
                <w:color w:val="FFFFFF" w:themeColor="background1"/>
                <w:sz w:val="20"/>
              </w:rPr>
            </w:pPr>
            <w:r w:rsidRPr="00D7184C">
              <w:rPr>
                <w:color w:val="FFFFFF" w:themeColor="background1"/>
              </w:rPr>
              <w:t>UIT-D</w:t>
            </w:r>
          </w:p>
        </w:tc>
        <w:tc>
          <w:tcPr>
            <w:tcW w:w="1610" w:type="dxa"/>
            <w:shd w:val="clear" w:color="auto" w:fill="4472C4"/>
            <w:noWrap/>
            <w:vAlign w:val="bottom"/>
            <w:hideMark/>
          </w:tcPr>
          <w:p w14:paraId="638A528E"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Países representados</w:t>
            </w:r>
          </w:p>
        </w:tc>
        <w:tc>
          <w:tcPr>
            <w:tcW w:w="1319" w:type="dxa"/>
            <w:shd w:val="clear" w:color="auto" w:fill="D9E1F2"/>
            <w:noWrap/>
            <w:vAlign w:val="bottom"/>
            <w:hideMark/>
          </w:tcPr>
          <w:p w14:paraId="4C8DFFCE" w14:textId="77777777" w:rsidR="00E221E5" w:rsidRPr="00D7184C" w:rsidRDefault="00E221E5" w:rsidP="00813395">
            <w:pPr>
              <w:pStyle w:val="Tabletext"/>
              <w:jc w:val="center"/>
              <w:rPr>
                <w:rFonts w:cs="Calibri"/>
                <w:color w:val="000000"/>
                <w:sz w:val="20"/>
              </w:rPr>
            </w:pPr>
            <w:r w:rsidRPr="00D7184C">
              <w:t>14</w:t>
            </w:r>
          </w:p>
        </w:tc>
        <w:tc>
          <w:tcPr>
            <w:tcW w:w="1087" w:type="dxa"/>
            <w:shd w:val="clear" w:color="auto" w:fill="D9E1F2"/>
            <w:noWrap/>
            <w:vAlign w:val="bottom"/>
            <w:hideMark/>
          </w:tcPr>
          <w:p w14:paraId="7E9B6317" w14:textId="77777777" w:rsidR="00E221E5" w:rsidRPr="00D7184C" w:rsidRDefault="00E221E5" w:rsidP="00813395">
            <w:pPr>
              <w:pStyle w:val="Tabletext"/>
              <w:jc w:val="center"/>
              <w:rPr>
                <w:rFonts w:cs="Calibri"/>
                <w:color w:val="000000"/>
                <w:sz w:val="20"/>
              </w:rPr>
            </w:pPr>
            <w:r w:rsidRPr="00D7184C">
              <w:t>12</w:t>
            </w:r>
          </w:p>
        </w:tc>
        <w:tc>
          <w:tcPr>
            <w:tcW w:w="1131" w:type="dxa"/>
            <w:shd w:val="clear" w:color="auto" w:fill="D9E1F2"/>
            <w:noWrap/>
            <w:vAlign w:val="bottom"/>
            <w:hideMark/>
          </w:tcPr>
          <w:p w14:paraId="2A3560B8" w14:textId="77777777" w:rsidR="00E221E5" w:rsidRPr="00D7184C" w:rsidRDefault="00E221E5" w:rsidP="00813395">
            <w:pPr>
              <w:pStyle w:val="Tabletext"/>
              <w:jc w:val="center"/>
              <w:rPr>
                <w:rFonts w:cs="Calibri"/>
                <w:color w:val="000000"/>
                <w:sz w:val="20"/>
              </w:rPr>
            </w:pPr>
            <w:r w:rsidRPr="00D7184C">
              <w:t>8</w:t>
            </w:r>
          </w:p>
        </w:tc>
        <w:tc>
          <w:tcPr>
            <w:tcW w:w="1450" w:type="dxa"/>
            <w:shd w:val="clear" w:color="auto" w:fill="D9E1F2"/>
            <w:noWrap/>
            <w:vAlign w:val="bottom"/>
            <w:hideMark/>
          </w:tcPr>
          <w:p w14:paraId="5CCC33F4" w14:textId="77777777" w:rsidR="00E221E5" w:rsidRPr="00D7184C" w:rsidRDefault="00E221E5" w:rsidP="00813395">
            <w:pPr>
              <w:pStyle w:val="Tabletext"/>
              <w:jc w:val="center"/>
              <w:rPr>
                <w:rFonts w:cs="Calibri"/>
                <w:color w:val="000000"/>
                <w:sz w:val="20"/>
              </w:rPr>
            </w:pPr>
            <w:r w:rsidRPr="00D7184C">
              <w:t>4</w:t>
            </w:r>
          </w:p>
        </w:tc>
      </w:tr>
      <w:tr w:rsidR="00E221E5" w:rsidRPr="00D7184C" w14:paraId="15ED5C3A" w14:textId="77777777" w:rsidTr="00D32134">
        <w:trPr>
          <w:trHeight w:val="249"/>
        </w:trPr>
        <w:tc>
          <w:tcPr>
            <w:tcW w:w="1638" w:type="dxa"/>
            <w:vMerge/>
            <w:vAlign w:val="center"/>
            <w:hideMark/>
          </w:tcPr>
          <w:p w14:paraId="01A6755D"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69F1101A"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Miembros</w:t>
            </w:r>
          </w:p>
        </w:tc>
        <w:tc>
          <w:tcPr>
            <w:tcW w:w="1319" w:type="dxa"/>
            <w:shd w:val="clear" w:color="auto" w:fill="auto"/>
            <w:noWrap/>
            <w:vAlign w:val="bottom"/>
            <w:hideMark/>
          </w:tcPr>
          <w:p w14:paraId="6003B2CD" w14:textId="77777777" w:rsidR="00E221E5" w:rsidRPr="00D7184C" w:rsidRDefault="00E221E5" w:rsidP="00813395">
            <w:pPr>
              <w:pStyle w:val="Tabletext"/>
              <w:jc w:val="center"/>
              <w:rPr>
                <w:rFonts w:cs="Calibri"/>
                <w:color w:val="000000"/>
                <w:sz w:val="20"/>
              </w:rPr>
            </w:pPr>
            <w:r w:rsidRPr="00D7184C">
              <w:t>22</w:t>
            </w:r>
          </w:p>
        </w:tc>
        <w:tc>
          <w:tcPr>
            <w:tcW w:w="1087" w:type="dxa"/>
            <w:shd w:val="clear" w:color="auto" w:fill="auto"/>
            <w:noWrap/>
            <w:vAlign w:val="bottom"/>
            <w:hideMark/>
          </w:tcPr>
          <w:p w14:paraId="08EF435C" w14:textId="77777777" w:rsidR="00E221E5" w:rsidRPr="00D7184C" w:rsidRDefault="00E221E5" w:rsidP="00813395">
            <w:pPr>
              <w:pStyle w:val="Tabletext"/>
              <w:jc w:val="center"/>
              <w:rPr>
                <w:rFonts w:cs="Calibri"/>
                <w:color w:val="000000"/>
                <w:sz w:val="20"/>
              </w:rPr>
            </w:pPr>
            <w:r w:rsidRPr="00D7184C">
              <w:t>17</w:t>
            </w:r>
          </w:p>
        </w:tc>
        <w:tc>
          <w:tcPr>
            <w:tcW w:w="1131" w:type="dxa"/>
            <w:shd w:val="clear" w:color="auto" w:fill="auto"/>
            <w:noWrap/>
            <w:vAlign w:val="bottom"/>
            <w:hideMark/>
          </w:tcPr>
          <w:p w14:paraId="5DF7CE94" w14:textId="77777777" w:rsidR="00E221E5" w:rsidRPr="00D7184C" w:rsidRDefault="00E221E5" w:rsidP="00813395">
            <w:pPr>
              <w:pStyle w:val="Tabletext"/>
              <w:jc w:val="center"/>
              <w:rPr>
                <w:rFonts w:cs="Calibri"/>
                <w:color w:val="000000"/>
                <w:sz w:val="20"/>
              </w:rPr>
            </w:pPr>
            <w:r w:rsidRPr="00D7184C">
              <w:t>8</w:t>
            </w:r>
          </w:p>
        </w:tc>
        <w:tc>
          <w:tcPr>
            <w:tcW w:w="1450" w:type="dxa"/>
            <w:shd w:val="clear" w:color="auto" w:fill="auto"/>
            <w:noWrap/>
            <w:vAlign w:val="bottom"/>
            <w:hideMark/>
          </w:tcPr>
          <w:p w14:paraId="06BCD96A" w14:textId="77777777" w:rsidR="00E221E5" w:rsidRPr="00D7184C" w:rsidRDefault="00E221E5" w:rsidP="00813395">
            <w:pPr>
              <w:pStyle w:val="Tabletext"/>
              <w:jc w:val="center"/>
              <w:rPr>
                <w:rFonts w:cs="Calibri"/>
                <w:color w:val="000000"/>
                <w:sz w:val="20"/>
              </w:rPr>
            </w:pPr>
            <w:r w:rsidRPr="00D7184C">
              <w:t>5</w:t>
            </w:r>
          </w:p>
        </w:tc>
      </w:tr>
      <w:tr w:rsidR="00E221E5" w:rsidRPr="00D7184C" w14:paraId="0160861A" w14:textId="77777777" w:rsidTr="00D32134">
        <w:trPr>
          <w:trHeight w:val="261"/>
        </w:trPr>
        <w:tc>
          <w:tcPr>
            <w:tcW w:w="1638" w:type="dxa"/>
            <w:vMerge/>
            <w:vAlign w:val="center"/>
            <w:hideMark/>
          </w:tcPr>
          <w:p w14:paraId="4DF7D0B2"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370E1C46"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Membresías</w:t>
            </w:r>
          </w:p>
        </w:tc>
        <w:tc>
          <w:tcPr>
            <w:tcW w:w="1319" w:type="dxa"/>
            <w:shd w:val="clear" w:color="auto" w:fill="D9E1F2"/>
            <w:noWrap/>
            <w:vAlign w:val="bottom"/>
            <w:hideMark/>
          </w:tcPr>
          <w:p w14:paraId="335F7A94" w14:textId="77777777" w:rsidR="00E221E5" w:rsidRPr="00D7184C" w:rsidRDefault="00E221E5" w:rsidP="00813395">
            <w:pPr>
              <w:pStyle w:val="Tabletext"/>
              <w:jc w:val="center"/>
              <w:rPr>
                <w:rFonts w:cs="Calibri"/>
                <w:color w:val="000000"/>
                <w:sz w:val="20"/>
              </w:rPr>
            </w:pPr>
            <w:r w:rsidRPr="00D7184C">
              <w:t>22</w:t>
            </w:r>
          </w:p>
        </w:tc>
        <w:tc>
          <w:tcPr>
            <w:tcW w:w="1087" w:type="dxa"/>
            <w:shd w:val="clear" w:color="auto" w:fill="D9E1F2"/>
            <w:noWrap/>
            <w:vAlign w:val="bottom"/>
            <w:hideMark/>
          </w:tcPr>
          <w:p w14:paraId="70EE4EBD" w14:textId="77777777" w:rsidR="00E221E5" w:rsidRPr="00D7184C" w:rsidRDefault="00E221E5" w:rsidP="00813395">
            <w:pPr>
              <w:pStyle w:val="Tabletext"/>
              <w:jc w:val="center"/>
              <w:rPr>
                <w:rFonts w:cs="Calibri"/>
                <w:color w:val="000000"/>
                <w:sz w:val="20"/>
              </w:rPr>
            </w:pPr>
            <w:r w:rsidRPr="00D7184C">
              <w:t>17</w:t>
            </w:r>
          </w:p>
        </w:tc>
        <w:tc>
          <w:tcPr>
            <w:tcW w:w="1131" w:type="dxa"/>
            <w:shd w:val="clear" w:color="auto" w:fill="D9E1F2"/>
            <w:noWrap/>
            <w:vAlign w:val="bottom"/>
            <w:hideMark/>
          </w:tcPr>
          <w:p w14:paraId="014F93BD" w14:textId="77777777" w:rsidR="00E221E5" w:rsidRPr="00D7184C" w:rsidRDefault="00E221E5" w:rsidP="00813395">
            <w:pPr>
              <w:pStyle w:val="Tabletext"/>
              <w:jc w:val="center"/>
              <w:rPr>
                <w:rFonts w:cs="Calibri"/>
                <w:color w:val="000000"/>
                <w:sz w:val="20"/>
              </w:rPr>
            </w:pPr>
            <w:r w:rsidRPr="00D7184C">
              <w:t>8</w:t>
            </w:r>
          </w:p>
        </w:tc>
        <w:tc>
          <w:tcPr>
            <w:tcW w:w="1450" w:type="dxa"/>
            <w:shd w:val="clear" w:color="auto" w:fill="D9E1F2"/>
            <w:noWrap/>
            <w:vAlign w:val="bottom"/>
            <w:hideMark/>
          </w:tcPr>
          <w:p w14:paraId="64E35C80" w14:textId="77777777" w:rsidR="00E221E5" w:rsidRPr="00D7184C" w:rsidRDefault="00E221E5" w:rsidP="00813395">
            <w:pPr>
              <w:pStyle w:val="Tabletext"/>
              <w:jc w:val="center"/>
              <w:rPr>
                <w:rFonts w:cs="Calibri"/>
                <w:color w:val="000000"/>
                <w:sz w:val="20"/>
              </w:rPr>
            </w:pPr>
            <w:r w:rsidRPr="00D7184C">
              <w:t>5</w:t>
            </w:r>
          </w:p>
        </w:tc>
      </w:tr>
      <w:tr w:rsidR="00E221E5" w:rsidRPr="00D7184C" w14:paraId="658CE624" w14:textId="77777777" w:rsidTr="00D32134">
        <w:trPr>
          <w:trHeight w:val="249"/>
        </w:trPr>
        <w:tc>
          <w:tcPr>
            <w:tcW w:w="1638" w:type="dxa"/>
            <w:vMerge w:val="restart"/>
            <w:shd w:val="clear" w:color="auto" w:fill="4472C4"/>
            <w:noWrap/>
            <w:vAlign w:val="center"/>
            <w:hideMark/>
          </w:tcPr>
          <w:p w14:paraId="6F054C17" w14:textId="77777777" w:rsidR="00E221E5" w:rsidRPr="00D7184C" w:rsidRDefault="00E221E5" w:rsidP="00365982">
            <w:pPr>
              <w:pStyle w:val="Tabletext"/>
              <w:jc w:val="center"/>
              <w:rPr>
                <w:rFonts w:cs="Calibri"/>
                <w:color w:val="FFFFFF" w:themeColor="background1"/>
                <w:sz w:val="20"/>
              </w:rPr>
            </w:pPr>
            <w:r w:rsidRPr="00D7184C">
              <w:rPr>
                <w:color w:val="FFFFFF" w:themeColor="background1"/>
              </w:rPr>
              <w:t>Instituciones académicas</w:t>
            </w:r>
          </w:p>
        </w:tc>
        <w:tc>
          <w:tcPr>
            <w:tcW w:w="1610" w:type="dxa"/>
            <w:shd w:val="clear" w:color="auto" w:fill="4472C4"/>
            <w:noWrap/>
            <w:vAlign w:val="bottom"/>
            <w:hideMark/>
          </w:tcPr>
          <w:p w14:paraId="3944F47C"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Países representados</w:t>
            </w:r>
          </w:p>
        </w:tc>
        <w:tc>
          <w:tcPr>
            <w:tcW w:w="1319" w:type="dxa"/>
            <w:shd w:val="clear" w:color="auto" w:fill="auto"/>
            <w:noWrap/>
            <w:vAlign w:val="bottom"/>
            <w:hideMark/>
          </w:tcPr>
          <w:p w14:paraId="25640E3E" w14:textId="77777777" w:rsidR="00E221E5" w:rsidRPr="00D7184C" w:rsidRDefault="00E221E5" w:rsidP="00813395">
            <w:pPr>
              <w:pStyle w:val="Tabletext"/>
              <w:jc w:val="center"/>
              <w:rPr>
                <w:rFonts w:cs="Calibri"/>
                <w:color w:val="000000"/>
                <w:sz w:val="20"/>
              </w:rPr>
            </w:pPr>
            <w:r w:rsidRPr="00D7184C">
              <w:t>4</w:t>
            </w:r>
          </w:p>
        </w:tc>
        <w:tc>
          <w:tcPr>
            <w:tcW w:w="1087" w:type="dxa"/>
            <w:shd w:val="clear" w:color="auto" w:fill="auto"/>
            <w:noWrap/>
            <w:vAlign w:val="bottom"/>
            <w:hideMark/>
          </w:tcPr>
          <w:p w14:paraId="0A832829" w14:textId="77777777" w:rsidR="00E221E5" w:rsidRPr="00D7184C" w:rsidRDefault="00E221E5" w:rsidP="00813395">
            <w:pPr>
              <w:pStyle w:val="Tabletext"/>
              <w:jc w:val="center"/>
              <w:rPr>
                <w:rFonts w:cs="Calibri"/>
                <w:color w:val="000000"/>
                <w:sz w:val="20"/>
              </w:rPr>
            </w:pPr>
            <w:r w:rsidRPr="00D7184C">
              <w:t>3</w:t>
            </w:r>
          </w:p>
        </w:tc>
        <w:tc>
          <w:tcPr>
            <w:tcW w:w="1131" w:type="dxa"/>
            <w:shd w:val="clear" w:color="auto" w:fill="auto"/>
            <w:noWrap/>
            <w:vAlign w:val="bottom"/>
            <w:hideMark/>
          </w:tcPr>
          <w:p w14:paraId="64A852E2" w14:textId="77777777" w:rsidR="00E221E5" w:rsidRPr="00D7184C" w:rsidRDefault="00E221E5" w:rsidP="00813395">
            <w:pPr>
              <w:pStyle w:val="Tabletext"/>
              <w:jc w:val="center"/>
              <w:rPr>
                <w:rFonts w:cs="Calibri"/>
                <w:color w:val="000000"/>
                <w:sz w:val="20"/>
              </w:rPr>
            </w:pPr>
            <w:r w:rsidRPr="00D7184C">
              <w:t>4</w:t>
            </w:r>
          </w:p>
        </w:tc>
        <w:tc>
          <w:tcPr>
            <w:tcW w:w="1450" w:type="dxa"/>
            <w:shd w:val="clear" w:color="auto" w:fill="auto"/>
            <w:noWrap/>
            <w:vAlign w:val="bottom"/>
            <w:hideMark/>
          </w:tcPr>
          <w:p w14:paraId="28808577" w14:textId="77777777" w:rsidR="00E221E5" w:rsidRPr="00D7184C" w:rsidRDefault="00E221E5" w:rsidP="00813395">
            <w:pPr>
              <w:pStyle w:val="Tabletext"/>
              <w:jc w:val="center"/>
              <w:rPr>
                <w:rFonts w:cs="Calibri"/>
                <w:color w:val="000000"/>
                <w:sz w:val="20"/>
              </w:rPr>
            </w:pPr>
            <w:r w:rsidRPr="00D7184C">
              <w:t>1</w:t>
            </w:r>
          </w:p>
        </w:tc>
      </w:tr>
      <w:tr w:rsidR="00E221E5" w:rsidRPr="00D7184C" w14:paraId="179D6F62" w14:textId="77777777" w:rsidTr="00D32134">
        <w:trPr>
          <w:trHeight w:val="249"/>
        </w:trPr>
        <w:tc>
          <w:tcPr>
            <w:tcW w:w="1638" w:type="dxa"/>
            <w:vMerge/>
            <w:vAlign w:val="center"/>
            <w:hideMark/>
          </w:tcPr>
          <w:p w14:paraId="6965F0F5"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06D9C6D7"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Miembros</w:t>
            </w:r>
          </w:p>
        </w:tc>
        <w:tc>
          <w:tcPr>
            <w:tcW w:w="1319" w:type="dxa"/>
            <w:shd w:val="clear" w:color="auto" w:fill="D9E1F2"/>
            <w:noWrap/>
            <w:vAlign w:val="bottom"/>
            <w:hideMark/>
          </w:tcPr>
          <w:p w14:paraId="6BADE5CB" w14:textId="77777777" w:rsidR="00E221E5" w:rsidRPr="00D7184C" w:rsidRDefault="00E221E5" w:rsidP="00813395">
            <w:pPr>
              <w:pStyle w:val="Tabletext"/>
              <w:jc w:val="center"/>
              <w:rPr>
                <w:rFonts w:cs="Calibri"/>
                <w:color w:val="000000"/>
                <w:sz w:val="20"/>
              </w:rPr>
            </w:pPr>
            <w:r w:rsidRPr="00D7184C">
              <w:t>4</w:t>
            </w:r>
          </w:p>
        </w:tc>
        <w:tc>
          <w:tcPr>
            <w:tcW w:w="1087" w:type="dxa"/>
            <w:shd w:val="clear" w:color="auto" w:fill="D9E1F2"/>
            <w:noWrap/>
            <w:vAlign w:val="bottom"/>
            <w:hideMark/>
          </w:tcPr>
          <w:p w14:paraId="095585B9" w14:textId="77777777" w:rsidR="00E221E5" w:rsidRPr="00D7184C" w:rsidRDefault="00E221E5" w:rsidP="00813395">
            <w:pPr>
              <w:pStyle w:val="Tabletext"/>
              <w:jc w:val="center"/>
              <w:rPr>
                <w:rFonts w:cs="Calibri"/>
                <w:color w:val="000000"/>
                <w:sz w:val="20"/>
              </w:rPr>
            </w:pPr>
            <w:r w:rsidRPr="00D7184C">
              <w:t>4</w:t>
            </w:r>
          </w:p>
        </w:tc>
        <w:tc>
          <w:tcPr>
            <w:tcW w:w="1131" w:type="dxa"/>
            <w:shd w:val="clear" w:color="auto" w:fill="D9E1F2"/>
            <w:noWrap/>
            <w:vAlign w:val="bottom"/>
            <w:hideMark/>
          </w:tcPr>
          <w:p w14:paraId="30F7D01E" w14:textId="77777777" w:rsidR="00E221E5" w:rsidRPr="00D7184C" w:rsidRDefault="00E221E5" w:rsidP="00813395">
            <w:pPr>
              <w:pStyle w:val="Tabletext"/>
              <w:jc w:val="center"/>
              <w:rPr>
                <w:rFonts w:cs="Calibri"/>
                <w:color w:val="000000"/>
                <w:sz w:val="20"/>
              </w:rPr>
            </w:pPr>
            <w:r w:rsidRPr="00D7184C">
              <w:t>6</w:t>
            </w:r>
          </w:p>
        </w:tc>
        <w:tc>
          <w:tcPr>
            <w:tcW w:w="1450" w:type="dxa"/>
            <w:shd w:val="clear" w:color="auto" w:fill="D9E1F2"/>
            <w:noWrap/>
            <w:vAlign w:val="bottom"/>
            <w:hideMark/>
          </w:tcPr>
          <w:p w14:paraId="2DF7D46F" w14:textId="77777777" w:rsidR="00E221E5" w:rsidRPr="00D7184C" w:rsidRDefault="00E221E5" w:rsidP="00813395">
            <w:pPr>
              <w:pStyle w:val="Tabletext"/>
              <w:jc w:val="center"/>
              <w:rPr>
                <w:rFonts w:cs="Calibri"/>
                <w:color w:val="000000"/>
                <w:sz w:val="20"/>
              </w:rPr>
            </w:pPr>
            <w:r w:rsidRPr="00D7184C">
              <w:t>1</w:t>
            </w:r>
          </w:p>
        </w:tc>
      </w:tr>
      <w:tr w:rsidR="00E221E5" w:rsidRPr="00D7184C" w14:paraId="05B15814" w14:textId="77777777" w:rsidTr="00D32134">
        <w:trPr>
          <w:trHeight w:val="261"/>
        </w:trPr>
        <w:tc>
          <w:tcPr>
            <w:tcW w:w="1638" w:type="dxa"/>
            <w:vMerge/>
            <w:vAlign w:val="center"/>
            <w:hideMark/>
          </w:tcPr>
          <w:p w14:paraId="0DC6B9E7" w14:textId="77777777" w:rsidR="00E221E5" w:rsidRPr="00D7184C" w:rsidRDefault="00E221E5" w:rsidP="00365982">
            <w:pPr>
              <w:pStyle w:val="Tabletext"/>
              <w:jc w:val="center"/>
              <w:rPr>
                <w:rFonts w:cs="Calibri"/>
                <w:color w:val="FFFFFF" w:themeColor="background1"/>
                <w:sz w:val="20"/>
                <w:lang w:eastAsia="en-GB"/>
              </w:rPr>
            </w:pPr>
          </w:p>
        </w:tc>
        <w:tc>
          <w:tcPr>
            <w:tcW w:w="1610" w:type="dxa"/>
            <w:shd w:val="clear" w:color="auto" w:fill="4472C4"/>
            <w:noWrap/>
            <w:vAlign w:val="bottom"/>
            <w:hideMark/>
          </w:tcPr>
          <w:p w14:paraId="1BD68858"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Membresías</w:t>
            </w:r>
          </w:p>
        </w:tc>
        <w:tc>
          <w:tcPr>
            <w:tcW w:w="1319" w:type="dxa"/>
            <w:shd w:val="clear" w:color="auto" w:fill="auto"/>
            <w:noWrap/>
            <w:vAlign w:val="bottom"/>
            <w:hideMark/>
          </w:tcPr>
          <w:p w14:paraId="10395F01" w14:textId="77777777" w:rsidR="00E221E5" w:rsidRPr="00D7184C" w:rsidRDefault="00E221E5" w:rsidP="00813395">
            <w:pPr>
              <w:pStyle w:val="Tabletext"/>
              <w:jc w:val="center"/>
              <w:rPr>
                <w:rFonts w:cs="Calibri"/>
                <w:color w:val="000000"/>
                <w:sz w:val="20"/>
              </w:rPr>
            </w:pPr>
            <w:r w:rsidRPr="00D7184C">
              <w:t>4</w:t>
            </w:r>
          </w:p>
        </w:tc>
        <w:tc>
          <w:tcPr>
            <w:tcW w:w="1087" w:type="dxa"/>
            <w:shd w:val="clear" w:color="auto" w:fill="auto"/>
            <w:noWrap/>
            <w:vAlign w:val="bottom"/>
            <w:hideMark/>
          </w:tcPr>
          <w:p w14:paraId="03FE6456" w14:textId="77777777" w:rsidR="00E221E5" w:rsidRPr="00D7184C" w:rsidRDefault="00E221E5" w:rsidP="00813395">
            <w:pPr>
              <w:pStyle w:val="Tabletext"/>
              <w:jc w:val="center"/>
              <w:rPr>
                <w:rFonts w:cs="Calibri"/>
                <w:color w:val="000000"/>
                <w:sz w:val="20"/>
              </w:rPr>
            </w:pPr>
            <w:r w:rsidRPr="00D7184C">
              <w:t>4</w:t>
            </w:r>
          </w:p>
        </w:tc>
        <w:tc>
          <w:tcPr>
            <w:tcW w:w="1131" w:type="dxa"/>
            <w:shd w:val="clear" w:color="auto" w:fill="auto"/>
            <w:noWrap/>
            <w:vAlign w:val="bottom"/>
            <w:hideMark/>
          </w:tcPr>
          <w:p w14:paraId="515BE8D8" w14:textId="77777777" w:rsidR="00E221E5" w:rsidRPr="00D7184C" w:rsidRDefault="00E221E5" w:rsidP="00813395">
            <w:pPr>
              <w:pStyle w:val="Tabletext"/>
              <w:jc w:val="center"/>
              <w:rPr>
                <w:rFonts w:cs="Calibri"/>
                <w:color w:val="000000"/>
                <w:sz w:val="20"/>
              </w:rPr>
            </w:pPr>
            <w:r w:rsidRPr="00D7184C">
              <w:t>6</w:t>
            </w:r>
          </w:p>
        </w:tc>
        <w:tc>
          <w:tcPr>
            <w:tcW w:w="1450" w:type="dxa"/>
            <w:shd w:val="clear" w:color="auto" w:fill="auto"/>
            <w:noWrap/>
            <w:vAlign w:val="bottom"/>
            <w:hideMark/>
          </w:tcPr>
          <w:p w14:paraId="4E0089C0" w14:textId="77777777" w:rsidR="00E221E5" w:rsidRPr="00D7184C" w:rsidRDefault="00E221E5" w:rsidP="00813395">
            <w:pPr>
              <w:pStyle w:val="Tabletext"/>
              <w:jc w:val="center"/>
              <w:rPr>
                <w:rFonts w:cs="Calibri"/>
                <w:color w:val="000000"/>
                <w:sz w:val="20"/>
              </w:rPr>
            </w:pPr>
            <w:r w:rsidRPr="00D7184C">
              <w:t>1</w:t>
            </w:r>
          </w:p>
        </w:tc>
      </w:tr>
      <w:tr w:rsidR="00E221E5" w:rsidRPr="00D7184C" w14:paraId="200FE760" w14:textId="77777777" w:rsidTr="00D32134">
        <w:trPr>
          <w:trHeight w:val="249"/>
        </w:trPr>
        <w:tc>
          <w:tcPr>
            <w:tcW w:w="1638" w:type="dxa"/>
            <w:vMerge w:val="restart"/>
            <w:shd w:val="clear" w:color="auto" w:fill="4472C4"/>
            <w:noWrap/>
            <w:vAlign w:val="center"/>
            <w:hideMark/>
          </w:tcPr>
          <w:p w14:paraId="7F8CBC1F" w14:textId="77777777" w:rsidR="00E221E5" w:rsidRPr="00D7184C" w:rsidRDefault="00E221E5" w:rsidP="00365982">
            <w:pPr>
              <w:pStyle w:val="Tabletext"/>
              <w:jc w:val="center"/>
              <w:rPr>
                <w:rFonts w:cs="Calibri"/>
                <w:color w:val="FFFFFF" w:themeColor="background1"/>
                <w:sz w:val="20"/>
              </w:rPr>
            </w:pPr>
            <w:r w:rsidRPr="00D7184C">
              <w:rPr>
                <w:color w:val="FFFFFF" w:themeColor="background1"/>
              </w:rPr>
              <w:t>TOTAL</w:t>
            </w:r>
          </w:p>
        </w:tc>
        <w:tc>
          <w:tcPr>
            <w:tcW w:w="1610" w:type="dxa"/>
            <w:shd w:val="clear" w:color="auto" w:fill="4472C4"/>
            <w:noWrap/>
            <w:vAlign w:val="bottom"/>
            <w:hideMark/>
          </w:tcPr>
          <w:p w14:paraId="5519EEB1"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Países representados</w:t>
            </w:r>
          </w:p>
        </w:tc>
        <w:tc>
          <w:tcPr>
            <w:tcW w:w="1319" w:type="dxa"/>
            <w:shd w:val="clear" w:color="auto" w:fill="D9E1F2"/>
            <w:noWrap/>
            <w:vAlign w:val="bottom"/>
            <w:hideMark/>
          </w:tcPr>
          <w:p w14:paraId="5EE6D8D6" w14:textId="77777777" w:rsidR="00E221E5" w:rsidRPr="00813395" w:rsidRDefault="00E221E5" w:rsidP="00813395">
            <w:pPr>
              <w:pStyle w:val="Tabletext"/>
              <w:jc w:val="center"/>
              <w:rPr>
                <w:rFonts w:cs="Calibri"/>
                <w:b/>
                <w:bCs/>
                <w:color w:val="000000"/>
                <w:sz w:val="20"/>
              </w:rPr>
            </w:pPr>
            <w:r w:rsidRPr="00813395">
              <w:rPr>
                <w:b/>
                <w:bCs/>
              </w:rPr>
              <w:t>20</w:t>
            </w:r>
          </w:p>
        </w:tc>
        <w:tc>
          <w:tcPr>
            <w:tcW w:w="1087" w:type="dxa"/>
            <w:shd w:val="clear" w:color="auto" w:fill="D9E1F2"/>
            <w:noWrap/>
            <w:vAlign w:val="bottom"/>
            <w:hideMark/>
          </w:tcPr>
          <w:p w14:paraId="59197018" w14:textId="77777777" w:rsidR="00E221E5" w:rsidRPr="00813395" w:rsidRDefault="00E221E5" w:rsidP="00813395">
            <w:pPr>
              <w:pStyle w:val="Tabletext"/>
              <w:jc w:val="center"/>
              <w:rPr>
                <w:rFonts w:cs="Calibri"/>
                <w:b/>
                <w:bCs/>
                <w:color w:val="000000"/>
                <w:sz w:val="20"/>
              </w:rPr>
            </w:pPr>
            <w:r w:rsidRPr="00813395">
              <w:rPr>
                <w:b/>
                <w:bCs/>
              </w:rPr>
              <w:t>16</w:t>
            </w:r>
          </w:p>
        </w:tc>
        <w:tc>
          <w:tcPr>
            <w:tcW w:w="1131" w:type="dxa"/>
            <w:shd w:val="clear" w:color="auto" w:fill="D9E1F2"/>
            <w:noWrap/>
            <w:vAlign w:val="bottom"/>
            <w:hideMark/>
          </w:tcPr>
          <w:p w14:paraId="3FEE2734" w14:textId="77777777" w:rsidR="00E221E5" w:rsidRPr="00813395" w:rsidRDefault="00E221E5" w:rsidP="00813395">
            <w:pPr>
              <w:pStyle w:val="Tabletext"/>
              <w:jc w:val="center"/>
              <w:rPr>
                <w:rFonts w:cs="Calibri"/>
                <w:b/>
                <w:bCs/>
                <w:color w:val="000000"/>
                <w:sz w:val="20"/>
              </w:rPr>
            </w:pPr>
            <w:r w:rsidRPr="00813395">
              <w:rPr>
                <w:b/>
                <w:bCs/>
              </w:rPr>
              <w:t>11</w:t>
            </w:r>
          </w:p>
        </w:tc>
        <w:tc>
          <w:tcPr>
            <w:tcW w:w="1450" w:type="dxa"/>
            <w:shd w:val="clear" w:color="auto" w:fill="D9E1F2"/>
            <w:noWrap/>
            <w:vAlign w:val="bottom"/>
            <w:hideMark/>
          </w:tcPr>
          <w:p w14:paraId="2E62D19B" w14:textId="77777777" w:rsidR="00E221E5" w:rsidRPr="00813395" w:rsidRDefault="00E221E5" w:rsidP="00813395">
            <w:pPr>
              <w:pStyle w:val="Tabletext"/>
              <w:jc w:val="center"/>
              <w:rPr>
                <w:rFonts w:cs="Calibri"/>
                <w:b/>
                <w:bCs/>
                <w:color w:val="000000"/>
                <w:sz w:val="20"/>
              </w:rPr>
            </w:pPr>
            <w:r w:rsidRPr="00813395">
              <w:rPr>
                <w:b/>
                <w:bCs/>
              </w:rPr>
              <w:t>6</w:t>
            </w:r>
          </w:p>
        </w:tc>
      </w:tr>
      <w:tr w:rsidR="00E221E5" w:rsidRPr="00D7184C" w14:paraId="378AA20D" w14:textId="77777777" w:rsidTr="00D32134">
        <w:trPr>
          <w:trHeight w:val="249"/>
        </w:trPr>
        <w:tc>
          <w:tcPr>
            <w:tcW w:w="1638" w:type="dxa"/>
            <w:vMerge/>
            <w:vAlign w:val="center"/>
            <w:hideMark/>
          </w:tcPr>
          <w:p w14:paraId="1D2C0CF8" w14:textId="77777777" w:rsidR="00E221E5" w:rsidRPr="00D7184C" w:rsidRDefault="00E221E5" w:rsidP="00D7184C">
            <w:pPr>
              <w:pStyle w:val="Tabletext"/>
              <w:rPr>
                <w:rFonts w:cs="Calibri"/>
                <w:color w:val="FFFFFF" w:themeColor="background1"/>
                <w:sz w:val="20"/>
                <w:lang w:eastAsia="en-GB"/>
              </w:rPr>
            </w:pPr>
          </w:p>
        </w:tc>
        <w:tc>
          <w:tcPr>
            <w:tcW w:w="1610" w:type="dxa"/>
            <w:shd w:val="clear" w:color="auto" w:fill="4472C4"/>
            <w:noWrap/>
            <w:vAlign w:val="bottom"/>
            <w:hideMark/>
          </w:tcPr>
          <w:p w14:paraId="3DFA3752"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Miembros</w:t>
            </w:r>
          </w:p>
        </w:tc>
        <w:tc>
          <w:tcPr>
            <w:tcW w:w="1319" w:type="dxa"/>
            <w:shd w:val="clear" w:color="auto" w:fill="auto"/>
            <w:noWrap/>
            <w:vAlign w:val="bottom"/>
            <w:hideMark/>
          </w:tcPr>
          <w:p w14:paraId="43292B97" w14:textId="77777777" w:rsidR="00E221E5" w:rsidRPr="00813395" w:rsidRDefault="00E221E5" w:rsidP="00813395">
            <w:pPr>
              <w:pStyle w:val="Tabletext"/>
              <w:jc w:val="center"/>
              <w:rPr>
                <w:rFonts w:cs="Calibri"/>
                <w:b/>
                <w:bCs/>
                <w:color w:val="000000"/>
                <w:sz w:val="20"/>
              </w:rPr>
            </w:pPr>
            <w:r w:rsidRPr="00813395">
              <w:rPr>
                <w:b/>
                <w:bCs/>
              </w:rPr>
              <w:t>32</w:t>
            </w:r>
          </w:p>
        </w:tc>
        <w:tc>
          <w:tcPr>
            <w:tcW w:w="1087" w:type="dxa"/>
            <w:shd w:val="clear" w:color="auto" w:fill="auto"/>
            <w:noWrap/>
            <w:vAlign w:val="bottom"/>
            <w:hideMark/>
          </w:tcPr>
          <w:p w14:paraId="1D7A21CA" w14:textId="77777777" w:rsidR="00E221E5" w:rsidRPr="00813395" w:rsidRDefault="00E221E5" w:rsidP="00813395">
            <w:pPr>
              <w:pStyle w:val="Tabletext"/>
              <w:jc w:val="center"/>
              <w:rPr>
                <w:rFonts w:cs="Calibri"/>
                <w:b/>
                <w:bCs/>
                <w:color w:val="000000"/>
                <w:sz w:val="20"/>
              </w:rPr>
            </w:pPr>
            <w:r w:rsidRPr="00813395">
              <w:rPr>
                <w:b/>
                <w:bCs/>
              </w:rPr>
              <w:t>24</w:t>
            </w:r>
          </w:p>
        </w:tc>
        <w:tc>
          <w:tcPr>
            <w:tcW w:w="1131" w:type="dxa"/>
            <w:shd w:val="clear" w:color="auto" w:fill="auto"/>
            <w:noWrap/>
            <w:vAlign w:val="bottom"/>
            <w:hideMark/>
          </w:tcPr>
          <w:p w14:paraId="716F055E" w14:textId="77777777" w:rsidR="00E221E5" w:rsidRPr="00813395" w:rsidRDefault="00E221E5" w:rsidP="00813395">
            <w:pPr>
              <w:pStyle w:val="Tabletext"/>
              <w:jc w:val="center"/>
              <w:rPr>
                <w:rFonts w:cs="Calibri"/>
                <w:b/>
                <w:bCs/>
                <w:color w:val="000000"/>
                <w:sz w:val="20"/>
              </w:rPr>
            </w:pPr>
            <w:r w:rsidRPr="00813395">
              <w:rPr>
                <w:b/>
                <w:bCs/>
              </w:rPr>
              <w:t>19</w:t>
            </w:r>
          </w:p>
        </w:tc>
        <w:tc>
          <w:tcPr>
            <w:tcW w:w="1450" w:type="dxa"/>
            <w:shd w:val="clear" w:color="auto" w:fill="auto"/>
            <w:noWrap/>
            <w:vAlign w:val="bottom"/>
            <w:hideMark/>
          </w:tcPr>
          <w:p w14:paraId="4B2DCFD3" w14:textId="77777777" w:rsidR="00E221E5" w:rsidRPr="00813395" w:rsidRDefault="00E221E5" w:rsidP="00813395">
            <w:pPr>
              <w:pStyle w:val="Tabletext"/>
              <w:jc w:val="center"/>
              <w:rPr>
                <w:rFonts w:cs="Calibri"/>
                <w:b/>
                <w:bCs/>
                <w:color w:val="000000"/>
                <w:sz w:val="20"/>
              </w:rPr>
            </w:pPr>
            <w:r w:rsidRPr="00813395">
              <w:rPr>
                <w:b/>
                <w:bCs/>
              </w:rPr>
              <w:t>8</w:t>
            </w:r>
          </w:p>
        </w:tc>
      </w:tr>
      <w:tr w:rsidR="00E221E5" w:rsidRPr="00D7184C" w14:paraId="35236494" w14:textId="77777777" w:rsidTr="00D32134">
        <w:trPr>
          <w:trHeight w:val="261"/>
        </w:trPr>
        <w:tc>
          <w:tcPr>
            <w:tcW w:w="1638" w:type="dxa"/>
            <w:vMerge/>
            <w:vAlign w:val="center"/>
            <w:hideMark/>
          </w:tcPr>
          <w:p w14:paraId="5C77A2BD" w14:textId="77777777" w:rsidR="00E221E5" w:rsidRPr="00D7184C" w:rsidRDefault="00E221E5" w:rsidP="00D7184C">
            <w:pPr>
              <w:pStyle w:val="Tabletext"/>
              <w:rPr>
                <w:rFonts w:cs="Calibri"/>
                <w:color w:val="FFFFFF" w:themeColor="background1"/>
                <w:sz w:val="20"/>
                <w:lang w:eastAsia="en-GB"/>
              </w:rPr>
            </w:pPr>
          </w:p>
        </w:tc>
        <w:tc>
          <w:tcPr>
            <w:tcW w:w="1610" w:type="dxa"/>
            <w:shd w:val="clear" w:color="auto" w:fill="4472C4"/>
            <w:noWrap/>
            <w:vAlign w:val="bottom"/>
            <w:hideMark/>
          </w:tcPr>
          <w:p w14:paraId="74AB1A94" w14:textId="77777777" w:rsidR="00E221E5" w:rsidRPr="00D7184C" w:rsidRDefault="00E221E5" w:rsidP="00D7184C">
            <w:pPr>
              <w:pStyle w:val="Tabletext"/>
              <w:rPr>
                <w:rFonts w:cs="Calibri"/>
                <w:i/>
                <w:iCs/>
                <w:color w:val="FFFFFF" w:themeColor="background1"/>
                <w:sz w:val="20"/>
              </w:rPr>
            </w:pPr>
            <w:r w:rsidRPr="00D7184C">
              <w:rPr>
                <w:i/>
                <w:iCs/>
                <w:color w:val="FFFFFF" w:themeColor="background1"/>
              </w:rPr>
              <w:t>Membresías</w:t>
            </w:r>
          </w:p>
        </w:tc>
        <w:tc>
          <w:tcPr>
            <w:tcW w:w="1319" w:type="dxa"/>
            <w:shd w:val="clear" w:color="auto" w:fill="D9E1F2"/>
            <w:noWrap/>
            <w:vAlign w:val="bottom"/>
            <w:hideMark/>
          </w:tcPr>
          <w:p w14:paraId="63278B83" w14:textId="77777777" w:rsidR="00E221E5" w:rsidRPr="00813395" w:rsidRDefault="00E221E5" w:rsidP="00813395">
            <w:pPr>
              <w:pStyle w:val="Tabletext"/>
              <w:jc w:val="center"/>
              <w:rPr>
                <w:rFonts w:cs="Calibri"/>
                <w:b/>
                <w:bCs/>
                <w:color w:val="000000"/>
                <w:sz w:val="20"/>
              </w:rPr>
            </w:pPr>
            <w:r w:rsidRPr="00813395">
              <w:rPr>
                <w:b/>
                <w:bCs/>
              </w:rPr>
              <w:t>40</w:t>
            </w:r>
          </w:p>
        </w:tc>
        <w:tc>
          <w:tcPr>
            <w:tcW w:w="1087" w:type="dxa"/>
            <w:shd w:val="clear" w:color="auto" w:fill="D9E1F2"/>
            <w:noWrap/>
            <w:vAlign w:val="bottom"/>
            <w:hideMark/>
          </w:tcPr>
          <w:p w14:paraId="7F200238" w14:textId="77777777" w:rsidR="00E221E5" w:rsidRPr="00813395" w:rsidRDefault="00E221E5" w:rsidP="00813395">
            <w:pPr>
              <w:pStyle w:val="Tabletext"/>
              <w:jc w:val="center"/>
              <w:rPr>
                <w:rFonts w:cs="Calibri"/>
                <w:b/>
                <w:bCs/>
                <w:color w:val="000000"/>
                <w:sz w:val="20"/>
              </w:rPr>
            </w:pPr>
            <w:r w:rsidRPr="00813395">
              <w:rPr>
                <w:b/>
                <w:bCs/>
              </w:rPr>
              <w:t>27</w:t>
            </w:r>
          </w:p>
        </w:tc>
        <w:tc>
          <w:tcPr>
            <w:tcW w:w="1131" w:type="dxa"/>
            <w:shd w:val="clear" w:color="auto" w:fill="D9E1F2"/>
            <w:noWrap/>
            <w:vAlign w:val="bottom"/>
            <w:hideMark/>
          </w:tcPr>
          <w:p w14:paraId="0A021230" w14:textId="77777777" w:rsidR="00E221E5" w:rsidRPr="00813395" w:rsidRDefault="00E221E5" w:rsidP="00813395">
            <w:pPr>
              <w:pStyle w:val="Tabletext"/>
              <w:jc w:val="center"/>
              <w:rPr>
                <w:rFonts w:cs="Calibri"/>
                <w:b/>
                <w:bCs/>
                <w:color w:val="000000"/>
                <w:sz w:val="20"/>
              </w:rPr>
            </w:pPr>
            <w:r w:rsidRPr="00813395">
              <w:rPr>
                <w:b/>
                <w:bCs/>
              </w:rPr>
              <w:t>24</w:t>
            </w:r>
          </w:p>
        </w:tc>
        <w:tc>
          <w:tcPr>
            <w:tcW w:w="1450" w:type="dxa"/>
            <w:shd w:val="clear" w:color="auto" w:fill="D9E1F2"/>
            <w:noWrap/>
            <w:vAlign w:val="bottom"/>
            <w:hideMark/>
          </w:tcPr>
          <w:p w14:paraId="0C806806" w14:textId="77777777" w:rsidR="00E221E5" w:rsidRPr="00813395" w:rsidRDefault="00E221E5" w:rsidP="00813395">
            <w:pPr>
              <w:pStyle w:val="Tabletext"/>
              <w:jc w:val="center"/>
              <w:rPr>
                <w:rFonts w:cs="Calibri"/>
                <w:b/>
                <w:bCs/>
                <w:color w:val="000000"/>
                <w:sz w:val="20"/>
              </w:rPr>
            </w:pPr>
            <w:r w:rsidRPr="00813395">
              <w:rPr>
                <w:b/>
                <w:bCs/>
              </w:rPr>
              <w:t>8</w:t>
            </w:r>
          </w:p>
        </w:tc>
      </w:tr>
    </w:tbl>
    <w:p w14:paraId="29D656A9" w14:textId="77777777" w:rsidR="00E221E5" w:rsidRPr="001E1851" w:rsidRDefault="00E221E5" w:rsidP="001E1851">
      <w:pPr>
        <w:pStyle w:val="Tablelegend"/>
        <w:spacing w:after="0"/>
        <w:rPr>
          <w:sz w:val="24"/>
        </w:rPr>
      </w:pPr>
      <w:r w:rsidRPr="00D7184C">
        <w:t xml:space="preserve">Cuadro 2 – Desglose por sector de Miembros procedentes de </w:t>
      </w:r>
      <w:proofErr w:type="spellStart"/>
      <w:r w:rsidRPr="00D7184C">
        <w:t>PMA</w:t>
      </w:r>
      <w:proofErr w:type="spellEnd"/>
      <w:r w:rsidRPr="00D7184C">
        <w:t xml:space="preserve">, </w:t>
      </w:r>
      <w:proofErr w:type="spellStart"/>
      <w:r w:rsidRPr="00D7184C">
        <w:t>PDSL</w:t>
      </w:r>
      <w:proofErr w:type="spellEnd"/>
      <w:r w:rsidRPr="00D7184C">
        <w:t xml:space="preserve">, </w:t>
      </w:r>
      <w:proofErr w:type="spellStart"/>
      <w:r w:rsidRPr="00D7184C">
        <w:t>PEID</w:t>
      </w:r>
      <w:proofErr w:type="spellEnd"/>
      <w:r w:rsidRPr="00D7184C">
        <w:t xml:space="preserve"> y </w:t>
      </w:r>
      <w:proofErr w:type="spellStart"/>
      <w:r w:rsidRPr="00D7184C">
        <w:t>PNE</w:t>
      </w:r>
      <w:proofErr w:type="spellEnd"/>
    </w:p>
    <w:p w14:paraId="35CCA8E6" w14:textId="77777777" w:rsidR="00D7184C" w:rsidRPr="00D7184C" w:rsidRDefault="00D7184C">
      <w:pPr>
        <w:tabs>
          <w:tab w:val="clear" w:pos="567"/>
          <w:tab w:val="clear" w:pos="1134"/>
          <w:tab w:val="clear" w:pos="1701"/>
          <w:tab w:val="clear" w:pos="2268"/>
          <w:tab w:val="clear" w:pos="2835"/>
        </w:tabs>
        <w:overflowPunct/>
        <w:autoSpaceDE/>
        <w:autoSpaceDN/>
        <w:adjustRightInd/>
        <w:spacing w:before="0"/>
        <w:textAlignment w:val="auto"/>
        <w:rPr>
          <w:b/>
          <w:bCs/>
          <w:sz w:val="28"/>
        </w:rPr>
      </w:pPr>
      <w:r w:rsidRPr="00D7184C">
        <w:rPr>
          <w:bCs/>
        </w:rPr>
        <w:br w:type="page"/>
      </w:r>
    </w:p>
    <w:p w14:paraId="1EC76385" w14:textId="425AF097" w:rsidR="00E221E5" w:rsidRPr="00D7184C" w:rsidRDefault="00E221E5" w:rsidP="00E45225">
      <w:pPr>
        <w:pStyle w:val="Annextitle"/>
        <w:spacing w:before="360"/>
        <w:rPr>
          <w:sz w:val="26"/>
          <w:szCs w:val="26"/>
        </w:rPr>
      </w:pPr>
      <w:r w:rsidRPr="00D7184C">
        <w:rPr>
          <w:bCs/>
        </w:rPr>
        <w:lastRenderedPageBreak/>
        <w:t>ANEXO 2</w:t>
      </w:r>
    </w:p>
    <w:p w14:paraId="62419BCA" w14:textId="77777777" w:rsidR="00E221E5" w:rsidRPr="00D7184C" w:rsidRDefault="00E221E5" w:rsidP="00D7184C">
      <w:pPr>
        <w:pStyle w:val="Headingb"/>
        <w:rPr>
          <w:sz w:val="22"/>
          <w:szCs w:val="22"/>
        </w:rPr>
      </w:pPr>
      <w:r w:rsidRPr="00D7184C">
        <w:t>Cuotas de membresía por Sector/Categoría</w:t>
      </w:r>
    </w:p>
    <w:p w14:paraId="0A027040" w14:textId="7299D7C2" w:rsidR="00E221E5" w:rsidRPr="00D7184C" w:rsidRDefault="00E221E5" w:rsidP="00D7184C">
      <w:pPr>
        <w:spacing w:after="120"/>
        <w:jc w:val="both"/>
        <w:rPr>
          <w:sz w:val="23"/>
          <w:szCs w:val="23"/>
        </w:rPr>
      </w:pPr>
      <w:r w:rsidRPr="00D7184C">
        <w:t xml:space="preserve">NOTA – 63 600 CHF = 1 unidad; CHF 31 800 = 1/2 unidad; CHF 10 600 = 1/6 unidad; </w:t>
      </w:r>
      <w:r w:rsidR="00D7184C">
        <w:br/>
      </w:r>
      <w:r w:rsidRPr="00D7184C">
        <w:t>CHF 7 950 = 1/8 de unidad; CHF 3 975 = 1/16 de unidad; CHF 1 987,50 = 1/32 unidad.</w:t>
      </w:r>
    </w:p>
    <w:tbl>
      <w:tblPr>
        <w:tblStyle w:val="TableGrid"/>
        <w:tblW w:w="0" w:type="auto"/>
        <w:tblBorders>
          <w:top w:val="single" w:sz="6" w:space="0" w:color="DEE2E6"/>
          <w:left w:val="single" w:sz="6" w:space="0" w:color="E5F5FB"/>
        </w:tblBorders>
        <w:tblLayout w:type="fixed"/>
        <w:tblLook w:val="06A0" w:firstRow="1" w:lastRow="0" w:firstColumn="1" w:lastColumn="0" w:noHBand="1" w:noVBand="1"/>
      </w:tblPr>
      <w:tblGrid>
        <w:gridCol w:w="2340"/>
        <w:gridCol w:w="2340"/>
        <w:gridCol w:w="2340"/>
        <w:gridCol w:w="2340"/>
      </w:tblGrid>
      <w:tr w:rsidR="00E221E5" w:rsidRPr="00813395" w14:paraId="7117CA1E" w14:textId="77777777" w:rsidTr="020927A4">
        <w:tc>
          <w:tcPr>
            <w:tcW w:w="2340" w:type="dxa"/>
            <w:tcBorders>
              <w:bottom w:val="single" w:sz="6" w:space="0" w:color="auto"/>
              <w:right w:val="single" w:sz="6" w:space="0" w:color="DEE2E6"/>
            </w:tcBorders>
            <w:shd w:val="clear" w:color="auto" w:fill="E5F5FB"/>
          </w:tcPr>
          <w:p w14:paraId="1A98EEE4" w14:textId="27922AC4" w:rsidR="00E221E5" w:rsidRPr="00813395" w:rsidRDefault="00E221E5" w:rsidP="00813395">
            <w:pPr>
              <w:pStyle w:val="Tablehead"/>
              <w:rPr>
                <w:szCs w:val="22"/>
              </w:rPr>
            </w:pPr>
            <w:r w:rsidRPr="00813395">
              <w:t>Sector/Categoría</w:t>
            </w:r>
          </w:p>
        </w:tc>
        <w:tc>
          <w:tcPr>
            <w:tcW w:w="2340" w:type="dxa"/>
            <w:tcBorders>
              <w:bottom w:val="single" w:sz="6" w:space="0" w:color="auto"/>
              <w:right w:val="single" w:sz="6" w:space="0" w:color="DEE2E6"/>
            </w:tcBorders>
            <w:shd w:val="clear" w:color="auto" w:fill="E5F5FB"/>
          </w:tcPr>
          <w:p w14:paraId="781157AC" w14:textId="77777777" w:rsidR="00E221E5" w:rsidRPr="00813395" w:rsidRDefault="00E221E5" w:rsidP="00813395">
            <w:pPr>
              <w:pStyle w:val="Tablehead"/>
              <w:rPr>
                <w:szCs w:val="22"/>
              </w:rPr>
            </w:pPr>
            <w:r w:rsidRPr="00813395">
              <w:t>Miembro de Sector</w:t>
            </w:r>
          </w:p>
        </w:tc>
        <w:tc>
          <w:tcPr>
            <w:tcW w:w="2340" w:type="dxa"/>
            <w:tcBorders>
              <w:bottom w:val="single" w:sz="6" w:space="0" w:color="auto"/>
              <w:right w:val="single" w:sz="6" w:space="0" w:color="DEE2E6"/>
            </w:tcBorders>
            <w:shd w:val="clear" w:color="auto" w:fill="E5F5FB"/>
          </w:tcPr>
          <w:p w14:paraId="4C5D6030" w14:textId="77777777" w:rsidR="00E221E5" w:rsidRPr="00813395" w:rsidRDefault="00E221E5" w:rsidP="00813395">
            <w:pPr>
              <w:pStyle w:val="Tablehead"/>
              <w:rPr>
                <w:szCs w:val="22"/>
              </w:rPr>
            </w:pPr>
            <w:r w:rsidRPr="00813395">
              <w:t>Asociado</w:t>
            </w:r>
          </w:p>
        </w:tc>
        <w:tc>
          <w:tcPr>
            <w:tcW w:w="2340" w:type="dxa"/>
            <w:tcBorders>
              <w:bottom w:val="single" w:sz="6" w:space="0" w:color="auto"/>
              <w:right w:val="single" w:sz="6" w:space="0" w:color="E5F5FB"/>
            </w:tcBorders>
            <w:shd w:val="clear" w:color="auto" w:fill="E5F5FB"/>
          </w:tcPr>
          <w:p w14:paraId="353FF146" w14:textId="77777777" w:rsidR="00E221E5" w:rsidRPr="00813395" w:rsidRDefault="00E221E5" w:rsidP="00813395">
            <w:pPr>
              <w:pStyle w:val="Tablehead"/>
              <w:rPr>
                <w:szCs w:val="22"/>
              </w:rPr>
            </w:pPr>
            <w:r w:rsidRPr="00813395">
              <w:t>Instituciones académicas</w:t>
            </w:r>
          </w:p>
        </w:tc>
      </w:tr>
      <w:tr w:rsidR="00E221E5" w:rsidRPr="00D7184C" w14:paraId="17E60EBE" w14:textId="77777777" w:rsidTr="020927A4">
        <w:tc>
          <w:tcPr>
            <w:tcW w:w="2340" w:type="dxa"/>
            <w:tcBorders>
              <w:bottom w:val="single" w:sz="6" w:space="0" w:color="auto"/>
              <w:right w:val="single" w:sz="6" w:space="0" w:color="DEE2E6"/>
            </w:tcBorders>
            <w:shd w:val="clear" w:color="auto" w:fill="E5F5FB"/>
          </w:tcPr>
          <w:p w14:paraId="38B1C9E0" w14:textId="69F8386F" w:rsidR="00E221E5" w:rsidRPr="00D7184C" w:rsidRDefault="00E221E5" w:rsidP="00813395">
            <w:pPr>
              <w:pStyle w:val="Tabletext"/>
              <w:rPr>
                <w:szCs w:val="22"/>
              </w:rPr>
            </w:pPr>
            <w:r w:rsidRPr="00D7184C">
              <w:t>UIT</w:t>
            </w:r>
            <w:r w:rsidR="00D7184C">
              <w:t>-</w:t>
            </w:r>
            <w:r w:rsidRPr="00D7184C">
              <w:t>R</w:t>
            </w:r>
          </w:p>
        </w:tc>
        <w:tc>
          <w:tcPr>
            <w:tcW w:w="2340" w:type="dxa"/>
            <w:tcBorders>
              <w:bottom w:val="single" w:sz="6" w:space="0" w:color="auto"/>
              <w:right w:val="single" w:sz="6" w:space="0" w:color="DEE2E6"/>
            </w:tcBorders>
          </w:tcPr>
          <w:p w14:paraId="179A5C49" w14:textId="0CD28556" w:rsidR="00E221E5" w:rsidRPr="00D7184C" w:rsidRDefault="00E221E5" w:rsidP="00813395">
            <w:pPr>
              <w:pStyle w:val="Tabletext"/>
              <w:rPr>
                <w:szCs w:val="22"/>
              </w:rPr>
            </w:pPr>
            <w:r w:rsidRPr="00D7184C">
              <w:t>CHF 31 800</w:t>
            </w:r>
            <w:r w:rsidR="00D7184C">
              <w:br/>
            </w:r>
            <w:r w:rsidRPr="00D7184C">
              <w:t>CHF</w:t>
            </w:r>
            <w:r w:rsidR="00D7184C" w:rsidRPr="00D7184C">
              <w:t> </w:t>
            </w:r>
            <w:r w:rsidRPr="00D7184C">
              <w:t>3 975</w:t>
            </w:r>
            <w:r w:rsidRPr="00D7184C">
              <w:rPr>
                <w:vertAlign w:val="superscript"/>
              </w:rPr>
              <w:t>1</w:t>
            </w:r>
          </w:p>
        </w:tc>
        <w:tc>
          <w:tcPr>
            <w:tcW w:w="2340" w:type="dxa"/>
            <w:tcBorders>
              <w:bottom w:val="single" w:sz="6" w:space="0" w:color="auto"/>
              <w:right w:val="single" w:sz="6" w:space="0" w:color="DEE2E6"/>
            </w:tcBorders>
          </w:tcPr>
          <w:p w14:paraId="17D3220E" w14:textId="7691A8A9" w:rsidR="00E221E5" w:rsidRPr="00D7184C" w:rsidRDefault="00E221E5" w:rsidP="00813395">
            <w:pPr>
              <w:pStyle w:val="Tabletext"/>
              <w:rPr>
                <w:szCs w:val="22"/>
              </w:rPr>
            </w:pPr>
            <w:r w:rsidRPr="00D7184C">
              <w:t>CHF 10 600</w:t>
            </w:r>
            <w:r w:rsidR="00D7184C">
              <w:br/>
            </w:r>
            <w:r w:rsidRPr="00D7184C">
              <w:t>CHF</w:t>
            </w:r>
            <w:r w:rsidR="00D7184C" w:rsidRPr="00D7184C">
              <w:t> </w:t>
            </w:r>
            <w:r w:rsidRPr="00D7184C">
              <w:t>3 975</w:t>
            </w:r>
            <w:r w:rsidRPr="00D7184C">
              <w:rPr>
                <w:vertAlign w:val="superscript"/>
              </w:rPr>
              <w:t>3</w:t>
            </w:r>
            <w:r w:rsidR="00D7184C">
              <w:br/>
            </w:r>
            <w:r w:rsidRPr="00D7184C">
              <w:t>CHF</w:t>
            </w:r>
            <w:r w:rsidR="00D7184C" w:rsidRPr="00D7184C">
              <w:t> </w:t>
            </w:r>
            <w:r w:rsidRPr="00D7184C">
              <w:t>1 987,50</w:t>
            </w:r>
            <w:r w:rsidRPr="00D7184C">
              <w:rPr>
                <w:vertAlign w:val="superscript"/>
              </w:rPr>
              <w:t>4</w:t>
            </w:r>
          </w:p>
        </w:tc>
        <w:tc>
          <w:tcPr>
            <w:tcW w:w="2340" w:type="dxa"/>
            <w:tcBorders>
              <w:bottom w:val="single" w:sz="6" w:space="0" w:color="auto"/>
              <w:right w:val="single" w:sz="6" w:space="0" w:color="FFFFFF" w:themeColor="background1"/>
            </w:tcBorders>
          </w:tcPr>
          <w:p w14:paraId="19CE3C25" w14:textId="20EF37F5" w:rsidR="00E221E5" w:rsidRPr="00D7184C" w:rsidRDefault="00E221E5" w:rsidP="00813395">
            <w:pPr>
              <w:pStyle w:val="Tabletext"/>
              <w:rPr>
                <w:szCs w:val="22"/>
              </w:rPr>
            </w:pPr>
            <w:r w:rsidRPr="00D7184C">
              <w:t>CHF 3 975</w:t>
            </w:r>
            <w:r w:rsidR="00D7184C">
              <w:br/>
            </w:r>
            <w:r w:rsidRPr="00D7184C">
              <w:t>CHF</w:t>
            </w:r>
            <w:r w:rsidR="00D7184C" w:rsidRPr="00D7184C">
              <w:t> </w:t>
            </w:r>
            <w:r w:rsidRPr="00D7184C">
              <w:t>1 987,50</w:t>
            </w:r>
            <w:r w:rsidRPr="00D7184C">
              <w:rPr>
                <w:vertAlign w:val="superscript"/>
              </w:rPr>
              <w:t>2</w:t>
            </w:r>
          </w:p>
        </w:tc>
      </w:tr>
      <w:tr w:rsidR="00E221E5" w:rsidRPr="00D7184C" w14:paraId="7071F8CA" w14:textId="77777777" w:rsidTr="020927A4">
        <w:tc>
          <w:tcPr>
            <w:tcW w:w="2340" w:type="dxa"/>
            <w:tcBorders>
              <w:bottom w:val="single" w:sz="6" w:space="0" w:color="auto"/>
              <w:right w:val="single" w:sz="6" w:space="0" w:color="DEE2E6"/>
            </w:tcBorders>
            <w:shd w:val="clear" w:color="auto" w:fill="E5F5FB"/>
          </w:tcPr>
          <w:p w14:paraId="6FD04472" w14:textId="77777777" w:rsidR="00E221E5" w:rsidRPr="00D7184C" w:rsidRDefault="00E221E5" w:rsidP="00813395">
            <w:pPr>
              <w:pStyle w:val="Tabletext"/>
              <w:rPr>
                <w:szCs w:val="22"/>
              </w:rPr>
            </w:pPr>
            <w:r w:rsidRPr="00D7184C">
              <w:t>UIT-T</w:t>
            </w:r>
          </w:p>
        </w:tc>
        <w:tc>
          <w:tcPr>
            <w:tcW w:w="2340" w:type="dxa"/>
            <w:tcBorders>
              <w:bottom w:val="single" w:sz="6" w:space="0" w:color="auto"/>
              <w:right w:val="single" w:sz="6" w:space="0" w:color="DEE2E6"/>
            </w:tcBorders>
          </w:tcPr>
          <w:p w14:paraId="23DEB6D0" w14:textId="527E0E61" w:rsidR="00E221E5" w:rsidRPr="00D7184C" w:rsidRDefault="00E221E5" w:rsidP="00813395">
            <w:pPr>
              <w:pStyle w:val="Tabletext"/>
              <w:rPr>
                <w:szCs w:val="22"/>
              </w:rPr>
            </w:pPr>
            <w:r w:rsidRPr="00D7184C">
              <w:t>CHF 31 800</w:t>
            </w:r>
            <w:r w:rsidR="00D7184C">
              <w:br/>
            </w:r>
            <w:r w:rsidRPr="00D7184C">
              <w:t>CHF</w:t>
            </w:r>
            <w:r w:rsidR="00D7184C" w:rsidRPr="00D7184C">
              <w:t> </w:t>
            </w:r>
            <w:r w:rsidRPr="00D7184C">
              <w:t>3 975</w:t>
            </w:r>
            <w:r w:rsidRPr="00813395">
              <w:rPr>
                <w:vertAlign w:val="superscript"/>
              </w:rPr>
              <w:t>1</w:t>
            </w:r>
          </w:p>
        </w:tc>
        <w:tc>
          <w:tcPr>
            <w:tcW w:w="2340" w:type="dxa"/>
            <w:tcBorders>
              <w:bottom w:val="single" w:sz="6" w:space="0" w:color="auto"/>
              <w:right w:val="single" w:sz="6" w:space="0" w:color="DEE2E6"/>
            </w:tcBorders>
          </w:tcPr>
          <w:p w14:paraId="32180488" w14:textId="17243EBA" w:rsidR="00E221E5" w:rsidRPr="00D7184C" w:rsidRDefault="00E221E5" w:rsidP="00813395">
            <w:pPr>
              <w:pStyle w:val="Tabletext"/>
              <w:rPr>
                <w:szCs w:val="22"/>
              </w:rPr>
            </w:pPr>
            <w:r w:rsidRPr="00D7184C">
              <w:t>CHF 10 600</w:t>
            </w:r>
            <w:r w:rsidR="00D7184C">
              <w:br/>
            </w:r>
            <w:r w:rsidRPr="00D7184C">
              <w:t>CHF</w:t>
            </w:r>
            <w:r w:rsidR="00D7184C" w:rsidRPr="00D7184C">
              <w:t> </w:t>
            </w:r>
            <w:r w:rsidRPr="00D7184C">
              <w:t>3 975</w:t>
            </w:r>
            <w:r w:rsidRPr="00813395">
              <w:rPr>
                <w:vertAlign w:val="superscript"/>
              </w:rPr>
              <w:t>3</w:t>
            </w:r>
            <w:r w:rsidR="00D7184C">
              <w:br/>
            </w:r>
            <w:r w:rsidRPr="00D7184C">
              <w:t>CHF</w:t>
            </w:r>
            <w:r w:rsidR="00D7184C" w:rsidRPr="00D7184C">
              <w:t> </w:t>
            </w:r>
            <w:r w:rsidRPr="00D7184C">
              <w:t>1 987,50</w:t>
            </w:r>
            <w:r w:rsidRPr="00813395">
              <w:rPr>
                <w:vertAlign w:val="superscript"/>
              </w:rPr>
              <w:t>4</w:t>
            </w:r>
          </w:p>
        </w:tc>
        <w:tc>
          <w:tcPr>
            <w:tcW w:w="2340" w:type="dxa"/>
            <w:tcBorders>
              <w:bottom w:val="single" w:sz="6" w:space="0" w:color="auto"/>
              <w:right w:val="single" w:sz="6" w:space="0" w:color="FFFFFF" w:themeColor="background1"/>
            </w:tcBorders>
          </w:tcPr>
          <w:p w14:paraId="5E72AD5F" w14:textId="2F9EDE99" w:rsidR="00E221E5" w:rsidRPr="00D7184C" w:rsidRDefault="00E221E5" w:rsidP="00813395">
            <w:pPr>
              <w:pStyle w:val="Tabletext"/>
              <w:rPr>
                <w:szCs w:val="22"/>
              </w:rPr>
            </w:pPr>
            <w:r w:rsidRPr="00D7184C">
              <w:t>CHF 3 975</w:t>
            </w:r>
            <w:r w:rsidR="00D7184C">
              <w:br/>
            </w:r>
            <w:r w:rsidRPr="00D7184C">
              <w:t>CHF</w:t>
            </w:r>
            <w:r w:rsidR="00D7184C" w:rsidRPr="00D7184C">
              <w:t> </w:t>
            </w:r>
            <w:r w:rsidRPr="00D7184C">
              <w:t>1 987,50</w:t>
            </w:r>
            <w:r w:rsidRPr="00813395">
              <w:rPr>
                <w:vertAlign w:val="superscript"/>
              </w:rPr>
              <w:t>2</w:t>
            </w:r>
          </w:p>
        </w:tc>
      </w:tr>
      <w:tr w:rsidR="00E221E5" w:rsidRPr="00D7184C" w14:paraId="4E1D9189" w14:textId="77777777" w:rsidTr="020927A4">
        <w:tc>
          <w:tcPr>
            <w:tcW w:w="2340" w:type="dxa"/>
            <w:tcBorders>
              <w:bottom w:val="single" w:sz="6" w:space="0" w:color="auto"/>
              <w:right w:val="single" w:sz="6" w:space="0" w:color="DEE2E6"/>
            </w:tcBorders>
            <w:shd w:val="clear" w:color="auto" w:fill="E5F5FB"/>
          </w:tcPr>
          <w:p w14:paraId="5F625112" w14:textId="77777777" w:rsidR="00E221E5" w:rsidRPr="00D7184C" w:rsidRDefault="00E221E5" w:rsidP="00813395">
            <w:pPr>
              <w:pStyle w:val="Tabletext"/>
              <w:rPr>
                <w:szCs w:val="22"/>
              </w:rPr>
            </w:pPr>
            <w:r w:rsidRPr="00D7184C">
              <w:t>UIT-D</w:t>
            </w:r>
          </w:p>
        </w:tc>
        <w:tc>
          <w:tcPr>
            <w:tcW w:w="2340" w:type="dxa"/>
            <w:tcBorders>
              <w:bottom w:val="single" w:sz="6" w:space="0" w:color="auto"/>
              <w:right w:val="single" w:sz="6" w:space="0" w:color="DEE2E6"/>
            </w:tcBorders>
          </w:tcPr>
          <w:p w14:paraId="59CD0AC3" w14:textId="352B7886" w:rsidR="00E221E5" w:rsidRPr="00D7184C" w:rsidRDefault="00E221E5" w:rsidP="00813395">
            <w:pPr>
              <w:pStyle w:val="Tabletext"/>
              <w:rPr>
                <w:szCs w:val="22"/>
              </w:rPr>
            </w:pPr>
            <w:r w:rsidRPr="00D7184C">
              <w:t>CHF 7 950</w:t>
            </w:r>
            <w:r w:rsidR="00D7184C" w:rsidRPr="00D7184C">
              <w:br/>
            </w:r>
            <w:r w:rsidRPr="00D7184C">
              <w:t>CHF 3 975</w:t>
            </w:r>
            <w:r w:rsidRPr="00D7184C">
              <w:rPr>
                <w:vertAlign w:val="superscript"/>
              </w:rPr>
              <w:t>2</w:t>
            </w:r>
          </w:p>
        </w:tc>
        <w:tc>
          <w:tcPr>
            <w:tcW w:w="2340" w:type="dxa"/>
            <w:tcBorders>
              <w:bottom w:val="single" w:sz="6" w:space="0" w:color="auto"/>
              <w:right w:val="single" w:sz="6" w:space="0" w:color="DEE2E6"/>
            </w:tcBorders>
          </w:tcPr>
          <w:p w14:paraId="2A22B1E8" w14:textId="182FC7E0" w:rsidR="00E221E5" w:rsidRPr="00D7184C" w:rsidRDefault="00E221E5" w:rsidP="00813395">
            <w:pPr>
              <w:pStyle w:val="Tabletext"/>
              <w:rPr>
                <w:szCs w:val="22"/>
              </w:rPr>
            </w:pPr>
            <w:r w:rsidRPr="00D7184C">
              <w:t>CHF 3 975</w:t>
            </w:r>
            <w:r w:rsidR="00D7184C">
              <w:br/>
            </w:r>
            <w:r w:rsidRPr="00D7184C">
              <w:t>CHF</w:t>
            </w:r>
            <w:r w:rsidR="00D7184C" w:rsidRPr="00D7184C">
              <w:t> </w:t>
            </w:r>
            <w:r w:rsidRPr="00D7184C">
              <w:t>1 987,50</w:t>
            </w:r>
            <w:r w:rsidRPr="00813395">
              <w:rPr>
                <w:vertAlign w:val="superscript"/>
              </w:rPr>
              <w:t>2</w:t>
            </w:r>
          </w:p>
        </w:tc>
        <w:tc>
          <w:tcPr>
            <w:tcW w:w="2340" w:type="dxa"/>
            <w:tcBorders>
              <w:bottom w:val="single" w:sz="6" w:space="0" w:color="auto"/>
              <w:right w:val="single" w:sz="6" w:space="0" w:color="FFFFFF" w:themeColor="background1"/>
            </w:tcBorders>
          </w:tcPr>
          <w:p w14:paraId="100FEDAC" w14:textId="19DDBDB1" w:rsidR="00E221E5" w:rsidRPr="00D7184C" w:rsidRDefault="00E221E5" w:rsidP="00813395">
            <w:pPr>
              <w:pStyle w:val="Tabletext"/>
              <w:rPr>
                <w:szCs w:val="22"/>
              </w:rPr>
            </w:pPr>
            <w:r w:rsidRPr="00D7184C">
              <w:t>CHF 3 975</w:t>
            </w:r>
            <w:r w:rsidR="00D7184C">
              <w:br/>
            </w:r>
            <w:r w:rsidRPr="00D7184C">
              <w:t>CHF</w:t>
            </w:r>
            <w:r w:rsidR="00D7184C" w:rsidRPr="00D7184C">
              <w:t> </w:t>
            </w:r>
            <w:r w:rsidRPr="00D7184C">
              <w:t>1 987,50</w:t>
            </w:r>
            <w:r w:rsidRPr="00813395">
              <w:rPr>
                <w:vertAlign w:val="superscript"/>
              </w:rPr>
              <w:t>2</w:t>
            </w:r>
          </w:p>
        </w:tc>
      </w:tr>
    </w:tbl>
    <w:p w14:paraId="5F651B7F" w14:textId="4E53722D" w:rsidR="00E221E5" w:rsidRPr="00D7184C" w:rsidRDefault="00D7184C" w:rsidP="00813395">
      <w:pPr>
        <w:pStyle w:val="Tablelegend"/>
        <w:spacing w:before="0" w:after="0"/>
        <w:ind w:left="720" w:hanging="720"/>
      </w:pPr>
      <w:r w:rsidRPr="00D7184C">
        <w:t>1</w:t>
      </w:r>
      <w:r w:rsidRPr="00D7184C">
        <w:tab/>
      </w:r>
      <w:proofErr w:type="gramStart"/>
      <w:r w:rsidR="00E221E5" w:rsidRPr="00D7184C">
        <w:t>Países</w:t>
      </w:r>
      <w:proofErr w:type="gramEnd"/>
      <w:r w:rsidR="00E221E5" w:rsidRPr="00D7184C">
        <w:t xml:space="preserve"> en desarrollo con ingresos anuales per cápita inferiores a 2 000 000 USD (PNUD), que aún no se han adherido a uno o ninguno de los Sectores, y que no son filiales de una empresa multinacional con sede en un país desarrollado.</w:t>
      </w:r>
    </w:p>
    <w:p w14:paraId="44DCB21A" w14:textId="5926A044" w:rsidR="00E221E5" w:rsidRPr="00D7184C" w:rsidRDefault="00D7184C" w:rsidP="00813395">
      <w:pPr>
        <w:pStyle w:val="Tablelegend"/>
        <w:spacing w:before="0" w:after="0"/>
      </w:pPr>
      <w:r w:rsidRPr="00D7184C">
        <w:t>2</w:t>
      </w:r>
      <w:r w:rsidRPr="00D7184C">
        <w:tab/>
      </w:r>
      <w:proofErr w:type="gramStart"/>
      <w:r w:rsidR="00E221E5" w:rsidRPr="00D7184C">
        <w:t>Países</w:t>
      </w:r>
      <w:proofErr w:type="gramEnd"/>
      <w:r w:rsidR="00E221E5" w:rsidRPr="00D7184C">
        <w:t xml:space="preserve"> en desarrollo</w:t>
      </w:r>
    </w:p>
    <w:p w14:paraId="61A9568D" w14:textId="510C3005" w:rsidR="00E221E5" w:rsidRPr="00D7184C" w:rsidRDefault="00D7184C" w:rsidP="00813395">
      <w:pPr>
        <w:pStyle w:val="Tablelegend"/>
        <w:spacing w:before="0" w:after="0"/>
      </w:pPr>
      <w:r w:rsidRPr="00D7184C">
        <w:t>3</w:t>
      </w:r>
      <w:r w:rsidRPr="00D7184C">
        <w:tab/>
      </w:r>
      <w:proofErr w:type="gramStart"/>
      <w:r w:rsidR="00E221E5" w:rsidRPr="00D7184C">
        <w:t>Pymes</w:t>
      </w:r>
      <w:proofErr w:type="gramEnd"/>
      <w:r w:rsidR="00E221E5" w:rsidRPr="00D7184C">
        <w:t xml:space="preserve"> de países desarrollados</w:t>
      </w:r>
    </w:p>
    <w:p w14:paraId="386A4786" w14:textId="1BDFDA9A" w:rsidR="00E221E5" w:rsidRPr="00D7184C" w:rsidRDefault="00D7184C" w:rsidP="00813395">
      <w:pPr>
        <w:pStyle w:val="Tablelegend"/>
        <w:spacing w:before="0" w:after="0"/>
      </w:pPr>
      <w:r w:rsidRPr="00D7184C">
        <w:t>4</w:t>
      </w:r>
      <w:r w:rsidRPr="00D7184C">
        <w:tab/>
      </w:r>
      <w:proofErr w:type="gramStart"/>
      <w:r w:rsidR="00E221E5" w:rsidRPr="00D7184C">
        <w:t>Pymes</w:t>
      </w:r>
      <w:proofErr w:type="gramEnd"/>
      <w:r w:rsidR="00E221E5" w:rsidRPr="00D7184C">
        <w:t xml:space="preserve"> de países en desarrollo</w:t>
      </w:r>
    </w:p>
    <w:p w14:paraId="22D6C7A3" w14:textId="77777777" w:rsidR="00813395" w:rsidRDefault="00813395" w:rsidP="00411C49">
      <w:pPr>
        <w:pStyle w:val="Reasons"/>
      </w:pPr>
    </w:p>
    <w:p w14:paraId="24B571FD" w14:textId="77777777" w:rsidR="00813395" w:rsidRDefault="00813395">
      <w:pPr>
        <w:jc w:val="center"/>
      </w:pPr>
      <w:r>
        <w:t>______________</w:t>
      </w:r>
    </w:p>
    <w:sectPr w:rsidR="00813395" w:rsidSect="00A70E95">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EF6D" w14:textId="5FFAD864" w:rsidR="00D7184C" w:rsidRDefault="00D970FF" w:rsidP="00D7184C">
    <w:pPr>
      <w:pStyle w:val="Footer"/>
    </w:pPr>
    <w:r>
      <w:fldChar w:fldCharType="begin"/>
    </w:r>
    <w:r>
      <w:instrText xml:space="preserve"> FILENAME \p  \* MERGEFORMAT </w:instrText>
    </w:r>
    <w:r>
      <w:fldChar w:fldCharType="separate"/>
    </w:r>
    <w:r>
      <w:t>P:\ESP\SG\CONF-SG\PP22\000\061S.docx</w:t>
    </w:r>
    <w:r>
      <w:fldChar w:fldCharType="end"/>
    </w:r>
    <w:r w:rsidR="00D7184C">
      <w:t xml:space="preserve"> (509634)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D01"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593EDA9"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47408661" w:rsidR="00255FA1" w:rsidRDefault="00255FA1" w:rsidP="00C43474">
    <w:pPr>
      <w:pStyle w:val="Header"/>
    </w:pPr>
    <w:proofErr w:type="spellStart"/>
    <w:r>
      <w:rPr>
        <w:lang w:val="en-US"/>
      </w:rPr>
      <w:t>PP</w:t>
    </w:r>
    <w:r w:rsidR="009D1BE0">
      <w:rPr>
        <w:lang w:val="en-US"/>
      </w:rPr>
      <w:t>22</w:t>
    </w:r>
    <w:proofErr w:type="spellEnd"/>
    <w:r>
      <w:t>/</w:t>
    </w:r>
    <w:r w:rsidR="00D7184C">
      <w:t>61</w:t>
    </w:r>
    <w:r w:rsidR="009A443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F2A7"/>
    <w:multiLevelType w:val="hybridMultilevel"/>
    <w:tmpl w:val="FFFFFFFF"/>
    <w:lvl w:ilvl="0" w:tplc="FFFFFFFF">
      <w:start w:val="1"/>
      <w:numFmt w:val="decimal"/>
      <w:lvlText w:val="%1."/>
      <w:lvlJc w:val="left"/>
      <w:pPr>
        <w:ind w:left="720" w:hanging="360"/>
      </w:pPr>
    </w:lvl>
    <w:lvl w:ilvl="1" w:tplc="820C809E">
      <w:start w:val="1"/>
      <w:numFmt w:val="lowerLetter"/>
      <w:lvlText w:val="%2."/>
      <w:lvlJc w:val="left"/>
      <w:pPr>
        <w:ind w:left="1440" w:hanging="360"/>
      </w:pPr>
    </w:lvl>
    <w:lvl w:ilvl="2" w:tplc="CE80B714">
      <w:start w:val="1"/>
      <w:numFmt w:val="lowerRoman"/>
      <w:lvlText w:val="%3."/>
      <w:lvlJc w:val="right"/>
      <w:pPr>
        <w:ind w:left="2160" w:hanging="180"/>
      </w:pPr>
    </w:lvl>
    <w:lvl w:ilvl="3" w:tplc="0CDE235C">
      <w:start w:val="1"/>
      <w:numFmt w:val="decimal"/>
      <w:lvlText w:val="%4."/>
      <w:lvlJc w:val="left"/>
      <w:pPr>
        <w:ind w:left="2880" w:hanging="360"/>
      </w:pPr>
    </w:lvl>
    <w:lvl w:ilvl="4" w:tplc="DB560274">
      <w:start w:val="1"/>
      <w:numFmt w:val="lowerLetter"/>
      <w:lvlText w:val="%5."/>
      <w:lvlJc w:val="left"/>
      <w:pPr>
        <w:ind w:left="3600" w:hanging="360"/>
      </w:pPr>
    </w:lvl>
    <w:lvl w:ilvl="5" w:tplc="9136395E">
      <w:start w:val="1"/>
      <w:numFmt w:val="lowerRoman"/>
      <w:lvlText w:val="%6."/>
      <w:lvlJc w:val="right"/>
      <w:pPr>
        <w:ind w:left="4320" w:hanging="180"/>
      </w:pPr>
    </w:lvl>
    <w:lvl w:ilvl="6" w:tplc="22569C24">
      <w:start w:val="1"/>
      <w:numFmt w:val="decimal"/>
      <w:lvlText w:val="%7."/>
      <w:lvlJc w:val="left"/>
      <w:pPr>
        <w:ind w:left="5040" w:hanging="360"/>
      </w:pPr>
    </w:lvl>
    <w:lvl w:ilvl="7" w:tplc="B8B473C6">
      <w:start w:val="1"/>
      <w:numFmt w:val="lowerLetter"/>
      <w:lvlText w:val="%8."/>
      <w:lvlJc w:val="left"/>
      <w:pPr>
        <w:ind w:left="5760" w:hanging="360"/>
      </w:pPr>
    </w:lvl>
    <w:lvl w:ilvl="8" w:tplc="EB50E4C2">
      <w:start w:val="1"/>
      <w:numFmt w:val="lowerRoman"/>
      <w:lvlText w:val="%9."/>
      <w:lvlJc w:val="right"/>
      <w:pPr>
        <w:ind w:left="6480" w:hanging="180"/>
      </w:pPr>
    </w:lvl>
  </w:abstractNum>
  <w:abstractNum w:abstractNumId="1" w15:restartNumberingAfterBreak="0">
    <w:nsid w:val="3803A8F9"/>
    <w:multiLevelType w:val="hybridMultilevel"/>
    <w:tmpl w:val="FFFFFFFF"/>
    <w:lvl w:ilvl="0" w:tplc="443E595A">
      <w:start w:val="1"/>
      <w:numFmt w:val="decimal"/>
      <w:lvlText w:val="%1."/>
      <w:lvlJc w:val="left"/>
      <w:pPr>
        <w:ind w:left="720" w:hanging="360"/>
      </w:pPr>
    </w:lvl>
    <w:lvl w:ilvl="1" w:tplc="22AEEE6A">
      <w:start w:val="1"/>
      <w:numFmt w:val="lowerLetter"/>
      <w:lvlText w:val="%2."/>
      <w:lvlJc w:val="left"/>
      <w:pPr>
        <w:ind w:left="1440" w:hanging="360"/>
      </w:pPr>
    </w:lvl>
    <w:lvl w:ilvl="2" w:tplc="16AABBFE">
      <w:start w:val="1"/>
      <w:numFmt w:val="lowerRoman"/>
      <w:lvlText w:val="%3."/>
      <w:lvlJc w:val="right"/>
      <w:pPr>
        <w:ind w:left="2160" w:hanging="180"/>
      </w:pPr>
    </w:lvl>
    <w:lvl w:ilvl="3" w:tplc="75909F4A">
      <w:start w:val="1"/>
      <w:numFmt w:val="decimal"/>
      <w:lvlText w:val="%4."/>
      <w:lvlJc w:val="left"/>
      <w:pPr>
        <w:ind w:left="2880" w:hanging="360"/>
      </w:pPr>
    </w:lvl>
    <w:lvl w:ilvl="4" w:tplc="4F282D24">
      <w:start w:val="1"/>
      <w:numFmt w:val="lowerLetter"/>
      <w:lvlText w:val="%5."/>
      <w:lvlJc w:val="left"/>
      <w:pPr>
        <w:ind w:left="3600" w:hanging="360"/>
      </w:pPr>
    </w:lvl>
    <w:lvl w:ilvl="5" w:tplc="095C7AB0">
      <w:start w:val="1"/>
      <w:numFmt w:val="lowerRoman"/>
      <w:lvlText w:val="%6."/>
      <w:lvlJc w:val="right"/>
      <w:pPr>
        <w:ind w:left="4320" w:hanging="180"/>
      </w:pPr>
    </w:lvl>
    <w:lvl w:ilvl="6" w:tplc="15C47080">
      <w:start w:val="1"/>
      <w:numFmt w:val="decimal"/>
      <w:lvlText w:val="%7."/>
      <w:lvlJc w:val="left"/>
      <w:pPr>
        <w:ind w:left="5040" w:hanging="360"/>
      </w:pPr>
    </w:lvl>
    <w:lvl w:ilvl="7" w:tplc="6EFAE73E">
      <w:start w:val="1"/>
      <w:numFmt w:val="lowerLetter"/>
      <w:lvlText w:val="%8."/>
      <w:lvlJc w:val="left"/>
      <w:pPr>
        <w:ind w:left="5760" w:hanging="360"/>
      </w:pPr>
    </w:lvl>
    <w:lvl w:ilvl="8" w:tplc="E9363C42">
      <w:start w:val="1"/>
      <w:numFmt w:val="lowerRoman"/>
      <w:lvlText w:val="%9."/>
      <w:lvlJc w:val="right"/>
      <w:pPr>
        <w:ind w:left="6480" w:hanging="180"/>
      </w:pPr>
    </w:lvl>
  </w:abstractNum>
  <w:num w:numId="1" w16cid:durableId="1151024806">
    <w:abstractNumId w:val="1"/>
  </w:num>
  <w:num w:numId="2" w16cid:durableId="59024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67833"/>
    <w:rsid w:val="000863AB"/>
    <w:rsid w:val="000A1523"/>
    <w:rsid w:val="000B1752"/>
    <w:rsid w:val="0010546D"/>
    <w:rsid w:val="00135F93"/>
    <w:rsid w:val="001632E3"/>
    <w:rsid w:val="001D4983"/>
    <w:rsid w:val="001D6EC3"/>
    <w:rsid w:val="001D787B"/>
    <w:rsid w:val="001E1851"/>
    <w:rsid w:val="001E3D06"/>
    <w:rsid w:val="00225F6B"/>
    <w:rsid w:val="00237C17"/>
    <w:rsid w:val="00242376"/>
    <w:rsid w:val="00255FA1"/>
    <w:rsid w:val="00262FF4"/>
    <w:rsid w:val="002C6527"/>
    <w:rsid w:val="002E44FC"/>
    <w:rsid w:val="00365982"/>
    <w:rsid w:val="003707E5"/>
    <w:rsid w:val="00375610"/>
    <w:rsid w:val="00391611"/>
    <w:rsid w:val="003D0027"/>
    <w:rsid w:val="003E6E73"/>
    <w:rsid w:val="004166E8"/>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D61E2"/>
    <w:rsid w:val="007F6EBC"/>
    <w:rsid w:val="00813395"/>
    <w:rsid w:val="00882773"/>
    <w:rsid w:val="008B4706"/>
    <w:rsid w:val="008B6676"/>
    <w:rsid w:val="008C3FA8"/>
    <w:rsid w:val="008E51C5"/>
    <w:rsid w:val="008F7109"/>
    <w:rsid w:val="009107B0"/>
    <w:rsid w:val="009220DE"/>
    <w:rsid w:val="00930E84"/>
    <w:rsid w:val="0099270D"/>
    <w:rsid w:val="0099551E"/>
    <w:rsid w:val="009A1A86"/>
    <w:rsid w:val="009A443B"/>
    <w:rsid w:val="009D1BE0"/>
    <w:rsid w:val="009E0C42"/>
    <w:rsid w:val="00A70E95"/>
    <w:rsid w:val="00AA1F73"/>
    <w:rsid w:val="00AB34CA"/>
    <w:rsid w:val="00AD400E"/>
    <w:rsid w:val="00AF0DC5"/>
    <w:rsid w:val="00B012B7"/>
    <w:rsid w:val="00B30C52"/>
    <w:rsid w:val="00B501AB"/>
    <w:rsid w:val="00B73978"/>
    <w:rsid w:val="00B77C4D"/>
    <w:rsid w:val="00BB13FE"/>
    <w:rsid w:val="00BC7EE2"/>
    <w:rsid w:val="00BF5475"/>
    <w:rsid w:val="00C16F8C"/>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7184C"/>
    <w:rsid w:val="00D970FF"/>
    <w:rsid w:val="00E05D81"/>
    <w:rsid w:val="00E221E5"/>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
    <w:name w:val="Table_#"/>
    <w:basedOn w:val="Normal"/>
    <w:next w:val="Normal"/>
    <w:rsid w:val="00E221E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59"/>
    <w:rsid w:val="00E221E5"/>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21E5"/>
    <w:pPr>
      <w:ind w:left="720"/>
      <w:contextualSpacing/>
    </w:pPr>
    <w:rPr>
      <w:rFonts w:eastAsia="SimSun"/>
      <w:lang w:val="en-GB"/>
    </w:rPr>
  </w:style>
  <w:style w:type="character" w:styleId="UnresolvedMention">
    <w:name w:val="Unresolved Mention"/>
    <w:basedOn w:val="DefaultParagraphFont"/>
    <w:uiPriority w:val="99"/>
    <w:semiHidden/>
    <w:unhideWhenUsed/>
    <w:rsid w:val="00D7184C"/>
    <w:rPr>
      <w:color w:val="605E5C"/>
      <w:shd w:val="clear" w:color="auto" w:fill="E1DFDD"/>
    </w:rPr>
  </w:style>
  <w:style w:type="character" w:styleId="FollowedHyperlink">
    <w:name w:val="FollowedHyperlink"/>
    <w:basedOn w:val="DefaultParagraphFont"/>
    <w:semiHidden/>
    <w:unhideWhenUsed/>
    <w:rsid w:val="00D71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en/council/Documents/basic-texts/RES-030-S.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22-CL-C-0079/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tu.int/md/S22-CL-C-0079/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ABA7-16E8-4F6B-A2DE-C390EDC0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8</Pages>
  <Words>2501</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15413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Mendoza Siles, Sidma Jeanneth</cp:lastModifiedBy>
  <cp:revision>12</cp:revision>
  <dcterms:created xsi:type="dcterms:W3CDTF">2022-08-03T13:07:00Z</dcterms:created>
  <dcterms:modified xsi:type="dcterms:W3CDTF">2022-08-04T09:22:00Z</dcterms:modified>
  <cp:category>Conference document</cp:category>
</cp:coreProperties>
</file>