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624953B6" w14:textId="77777777" w:rsidTr="00223330">
        <w:trPr>
          <w:cantSplit/>
        </w:trPr>
        <w:tc>
          <w:tcPr>
            <w:tcW w:w="6911" w:type="dxa"/>
          </w:tcPr>
          <w:p w14:paraId="39AB2E46" w14:textId="77777777" w:rsidR="00C710E5" w:rsidRPr="00566240" w:rsidRDefault="009E68C1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71B02DA" w14:textId="77777777" w:rsidR="00C710E5" w:rsidRPr="00622560" w:rsidRDefault="002554F9" w:rsidP="00223330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032A8FB7" wp14:editId="12D804D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57D260A1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21D6A53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D84B9A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EA3EDAA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CD1E617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B74E5E2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67C7CD14" w14:textId="77777777" w:rsidTr="00223330">
        <w:trPr>
          <w:cantSplit/>
          <w:trHeight w:val="23"/>
        </w:trPr>
        <w:tc>
          <w:tcPr>
            <w:tcW w:w="6911" w:type="dxa"/>
          </w:tcPr>
          <w:p w14:paraId="61E14F13" w14:textId="77777777" w:rsidR="000C0900" w:rsidRPr="007F0374" w:rsidRDefault="000077F8" w:rsidP="000C0900">
            <w:pPr>
              <w:pStyle w:val="Committee"/>
              <w:framePr w:hSpace="0" w:wrap="auto" w:hAnchor="text" w:yAlign="inline"/>
            </w:pPr>
            <w:proofErr w:type="spellStart"/>
            <w:r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1BA36E36" w14:textId="0D5396FA" w:rsidR="000C0900" w:rsidRPr="007F0374" w:rsidRDefault="000077F8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D0100F">
              <w:rPr>
                <w:rFonts w:cstheme="minorHAnsi"/>
                <w:b/>
                <w:szCs w:val="24"/>
              </w:rPr>
              <w:t>63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4268E196" w14:textId="77777777" w:rsidTr="00223330">
        <w:trPr>
          <w:cantSplit/>
          <w:trHeight w:val="23"/>
        </w:trPr>
        <w:tc>
          <w:tcPr>
            <w:tcW w:w="6911" w:type="dxa"/>
          </w:tcPr>
          <w:p w14:paraId="771372B2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40240F39" w14:textId="224B4B1B" w:rsidR="00FC2542" w:rsidRPr="00D0100F" w:rsidRDefault="000077F8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202</w:t>
            </w:r>
            <w:r w:rsidR="00D0100F">
              <w:rPr>
                <w:rFonts w:cstheme="minorHAnsi"/>
                <w:b/>
                <w:bCs/>
                <w:szCs w:val="24"/>
              </w:rPr>
              <w:t>2</w:t>
            </w:r>
            <w:r>
              <w:rPr>
                <w:rFonts w:cstheme="minorHAnsi" w:hint="eastAsia"/>
                <w:b/>
                <w:bCs/>
                <w:szCs w:val="24"/>
              </w:rPr>
              <w:t>年</w:t>
            </w:r>
            <w:r w:rsidR="00D0100F">
              <w:rPr>
                <w:rFonts w:cstheme="minorHAnsi"/>
                <w:b/>
                <w:bCs/>
                <w:szCs w:val="24"/>
              </w:rPr>
              <w:t>7</w:t>
            </w:r>
            <w:r>
              <w:rPr>
                <w:rFonts w:cstheme="minorHAnsi" w:hint="eastAsia"/>
                <w:b/>
                <w:bCs/>
                <w:szCs w:val="24"/>
              </w:rPr>
              <w:t>月</w:t>
            </w:r>
            <w:r w:rsidR="00D0100F">
              <w:rPr>
                <w:rFonts w:cstheme="minorHAnsi"/>
                <w:b/>
                <w:bCs/>
                <w:szCs w:val="24"/>
              </w:rPr>
              <w:t>13</w:t>
            </w:r>
            <w:r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7CF4CC80" w14:textId="77777777" w:rsidTr="00223330">
        <w:trPr>
          <w:cantSplit/>
          <w:trHeight w:val="23"/>
        </w:trPr>
        <w:tc>
          <w:tcPr>
            <w:tcW w:w="6911" w:type="dxa"/>
          </w:tcPr>
          <w:p w14:paraId="4CA31633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27979325" w14:textId="77777777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49655727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6565770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1188FD7B" w14:textId="77777777" w:rsidTr="00223330">
        <w:trPr>
          <w:cantSplit/>
        </w:trPr>
        <w:tc>
          <w:tcPr>
            <w:tcW w:w="10031" w:type="dxa"/>
            <w:gridSpan w:val="2"/>
          </w:tcPr>
          <w:p w14:paraId="4FCD497C" w14:textId="45FFE8AE" w:rsidR="00C710E5" w:rsidRDefault="008B15BA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C710E5" w14:paraId="3EFC931C" w14:textId="77777777" w:rsidTr="00223330">
        <w:trPr>
          <w:cantSplit/>
        </w:trPr>
        <w:tc>
          <w:tcPr>
            <w:tcW w:w="10031" w:type="dxa"/>
            <w:gridSpan w:val="2"/>
          </w:tcPr>
          <w:p w14:paraId="4F710C95" w14:textId="1984C510" w:rsidR="00C710E5" w:rsidRDefault="008B15BA" w:rsidP="0022333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无线电规则委员会</w:t>
            </w:r>
            <w:r w:rsidR="00FF7B0C">
              <w:rPr>
                <w:rFonts w:hint="eastAsia"/>
                <w:lang w:val="en-CA" w:eastAsia="zh-CN"/>
              </w:rPr>
              <w:t>的报告</w:t>
            </w:r>
          </w:p>
        </w:tc>
      </w:tr>
      <w:tr w:rsidR="00FF7B0C" w14:paraId="7BDCE92C" w14:textId="77777777" w:rsidTr="00223330">
        <w:trPr>
          <w:cantSplit/>
        </w:trPr>
        <w:tc>
          <w:tcPr>
            <w:tcW w:w="10031" w:type="dxa"/>
            <w:gridSpan w:val="2"/>
          </w:tcPr>
          <w:p w14:paraId="08E60866" w14:textId="77777777" w:rsidR="00FF7B0C" w:rsidRDefault="00FF7B0C" w:rsidP="00223330">
            <w:pPr>
              <w:pStyle w:val="Title2"/>
              <w:rPr>
                <w:lang w:eastAsia="zh-CN"/>
              </w:rPr>
            </w:pPr>
            <w:bookmarkStart w:id="6" w:name="_Hlk104839025"/>
            <w:bookmarkStart w:id="7" w:name="dtitle2" w:colFirst="0" w:colLast="0"/>
            <w:bookmarkEnd w:id="5"/>
            <w:r>
              <w:rPr>
                <w:rFonts w:hint="eastAsia"/>
                <w:lang w:val="en-CA" w:eastAsia="zh-CN"/>
              </w:rPr>
              <w:t>关于对《无线电规则》援引《组织法》第</w:t>
            </w:r>
            <w:r>
              <w:rPr>
                <w:rFonts w:hint="eastAsia"/>
                <w:lang w:val="en-CA" w:eastAsia="zh-CN"/>
              </w:rPr>
              <w:t>4</w:t>
            </w:r>
            <w:r>
              <w:rPr>
                <w:lang w:val="en-CA" w:eastAsia="zh-CN"/>
              </w:rPr>
              <w:t>8</w:t>
            </w:r>
            <w:r>
              <w:rPr>
                <w:rFonts w:hint="eastAsia"/>
                <w:lang w:val="en-CA" w:eastAsia="zh-CN"/>
              </w:rPr>
              <w:t>条的问题</w:t>
            </w:r>
            <w:bookmarkEnd w:id="6"/>
          </w:p>
        </w:tc>
      </w:tr>
      <w:tr w:rsidR="00FF7B0C" w14:paraId="098208E1" w14:textId="77777777" w:rsidTr="00223330">
        <w:trPr>
          <w:cantSplit/>
        </w:trPr>
        <w:tc>
          <w:tcPr>
            <w:tcW w:w="10031" w:type="dxa"/>
            <w:gridSpan w:val="2"/>
          </w:tcPr>
          <w:p w14:paraId="64EA3F0F" w14:textId="77777777" w:rsidR="00FF7B0C" w:rsidRDefault="00FF7B0C" w:rsidP="00223330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p w14:paraId="3EA5CBE7" w14:textId="5C9B5ED4" w:rsidR="00D0100F" w:rsidRPr="00B072CA" w:rsidRDefault="00FF7B0C" w:rsidP="00B072CA">
      <w:pPr>
        <w:pStyle w:val="Normalaftertitle"/>
        <w:ind w:firstLineChars="200" w:firstLine="488"/>
        <w:rPr>
          <w:spacing w:val="2"/>
          <w:szCs w:val="24"/>
          <w:lang w:val="en-CA" w:eastAsia="zh-CN"/>
        </w:rPr>
      </w:pPr>
      <w:bookmarkStart w:id="9" w:name="lt_pId014"/>
      <w:bookmarkEnd w:id="8"/>
      <w:r w:rsidRPr="00B072CA">
        <w:rPr>
          <w:rFonts w:hint="eastAsia"/>
          <w:spacing w:val="2"/>
          <w:lang w:eastAsia="zh-CN"/>
        </w:rPr>
        <w:t>所附无线电规则委员会的报告补充了</w:t>
      </w:r>
      <w:r w:rsidRPr="00B072CA">
        <w:rPr>
          <w:rFonts w:hint="eastAsia"/>
          <w:spacing w:val="2"/>
          <w:lang w:eastAsia="zh-CN"/>
        </w:rPr>
        <w:t>2019</w:t>
      </w:r>
      <w:r w:rsidRPr="00B072CA">
        <w:rPr>
          <w:rFonts w:hint="eastAsia"/>
          <w:spacing w:val="2"/>
          <w:lang w:eastAsia="zh-CN"/>
        </w:rPr>
        <w:t>年世界无线电通信大会关于援引《组织法》第</w:t>
      </w:r>
      <w:r w:rsidRPr="00B072CA">
        <w:rPr>
          <w:rFonts w:hint="eastAsia"/>
          <w:spacing w:val="2"/>
          <w:lang w:eastAsia="zh-CN"/>
        </w:rPr>
        <w:t>48</w:t>
      </w:r>
      <w:r w:rsidRPr="00B072CA">
        <w:rPr>
          <w:rFonts w:hint="eastAsia"/>
          <w:spacing w:val="2"/>
          <w:lang w:eastAsia="zh-CN"/>
        </w:rPr>
        <w:t>条的决定（参见</w:t>
      </w:r>
      <w:r w:rsidR="000B5B1F">
        <w:fldChar w:fldCharType="begin"/>
      </w:r>
      <w:r w:rsidR="000B5B1F">
        <w:rPr>
          <w:lang w:eastAsia="zh-CN"/>
        </w:rPr>
        <w:instrText xml:space="preserve"> HYPERLINK "https://www.itu.int/md/S22-PP-C-0041/en" </w:instrText>
      </w:r>
      <w:r w:rsidR="000B5B1F">
        <w:fldChar w:fldCharType="separate"/>
      </w:r>
      <w:r w:rsidRPr="00B072CA">
        <w:rPr>
          <w:rStyle w:val="Hyperlink"/>
          <w:spacing w:val="2"/>
          <w:szCs w:val="24"/>
          <w:lang w:val="en-CA" w:eastAsia="zh-CN"/>
        </w:rPr>
        <w:t>PP-22/41</w:t>
      </w:r>
      <w:r w:rsidR="000B5B1F">
        <w:rPr>
          <w:rStyle w:val="Hyperlink"/>
          <w:spacing w:val="2"/>
          <w:szCs w:val="24"/>
          <w:lang w:val="en-CA" w:eastAsia="zh-CN"/>
        </w:rPr>
        <w:fldChar w:fldCharType="end"/>
      </w:r>
      <w:r w:rsidRPr="00B072CA">
        <w:rPr>
          <w:rFonts w:hint="eastAsia"/>
          <w:spacing w:val="2"/>
          <w:lang w:eastAsia="zh-CN"/>
        </w:rPr>
        <w:t>号文件）。</w:t>
      </w:r>
      <w:bookmarkEnd w:id="9"/>
    </w:p>
    <w:p w14:paraId="798C2765" w14:textId="5F686C95" w:rsidR="00D0100F" w:rsidRPr="00552495" w:rsidRDefault="00FF7B0C" w:rsidP="00D010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ind w:left="5041" w:firstLine="720"/>
        <w:jc w:val="center"/>
        <w:textAlignment w:val="auto"/>
        <w:rPr>
          <w:lang w:eastAsia="zh-CN"/>
        </w:rPr>
      </w:pPr>
      <w:r>
        <w:rPr>
          <w:rFonts w:hint="eastAsia"/>
          <w:lang w:eastAsia="zh-CN"/>
        </w:rPr>
        <w:t>赵厚麟</w:t>
      </w:r>
    </w:p>
    <w:p w14:paraId="10D03CAA" w14:textId="441A77AE" w:rsidR="00D0100F" w:rsidRPr="00552495" w:rsidRDefault="00FF7B0C" w:rsidP="00D010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5040" w:firstLine="720"/>
        <w:jc w:val="center"/>
        <w:textAlignment w:val="auto"/>
        <w:rPr>
          <w:lang w:eastAsia="zh-CN"/>
        </w:rPr>
      </w:pPr>
      <w:r>
        <w:rPr>
          <w:rFonts w:hint="eastAsia"/>
          <w:lang w:eastAsia="zh-CN"/>
        </w:rPr>
        <w:t>秘书长</w:t>
      </w:r>
    </w:p>
    <w:p w14:paraId="1FB3F9AF" w14:textId="2F5E3B6C" w:rsidR="00D0100F" w:rsidRPr="009374E2" w:rsidRDefault="00FF7B0C" w:rsidP="00D0100F">
      <w:pPr>
        <w:spacing w:before="2640"/>
        <w:jc w:val="both"/>
        <w:rPr>
          <w:bCs/>
          <w:lang w:eastAsia="zh-CN"/>
        </w:rPr>
      </w:pPr>
      <w:bookmarkStart w:id="10" w:name="lt_pId017"/>
      <w:r>
        <w:rPr>
          <w:rFonts w:hint="eastAsia"/>
          <w:b/>
          <w:szCs w:val="24"/>
          <w:lang w:val="en-CA" w:eastAsia="zh-CN"/>
        </w:rPr>
        <w:t>附件：</w:t>
      </w:r>
      <w:r w:rsidR="00D0100F" w:rsidRPr="00552495">
        <w:rPr>
          <w:szCs w:val="24"/>
          <w:lang w:val="en-CA" w:eastAsia="zh-CN"/>
        </w:rPr>
        <w:t>1</w:t>
      </w:r>
      <w:bookmarkEnd w:id="10"/>
      <w:r>
        <w:rPr>
          <w:rFonts w:hint="eastAsia"/>
          <w:szCs w:val="24"/>
          <w:lang w:val="en-CA" w:eastAsia="zh-CN"/>
        </w:rPr>
        <w:t>件</w:t>
      </w:r>
    </w:p>
    <w:p w14:paraId="567E83B1" w14:textId="77777777" w:rsidR="00D0100F" w:rsidRDefault="00D0100F" w:rsidP="00D010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  <w:lang w:val="en-CA" w:eastAsia="zh-CN"/>
        </w:rPr>
      </w:pPr>
      <w:r>
        <w:rPr>
          <w:szCs w:val="24"/>
          <w:lang w:val="en-CA" w:eastAsia="zh-CN"/>
        </w:rPr>
        <w:br w:type="page"/>
      </w:r>
    </w:p>
    <w:p w14:paraId="4E8F0454" w14:textId="283EF461" w:rsidR="00D0100F" w:rsidRPr="005B05DC" w:rsidRDefault="00C23787" w:rsidP="00D0100F">
      <w:pPr>
        <w:pStyle w:val="AnnexNoS2"/>
        <w:jc w:val="center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14:paraId="5FA5DAFD" w14:textId="25E39B1D" w:rsidR="00D0100F" w:rsidRPr="00552495" w:rsidRDefault="006B5D7F" w:rsidP="00D0100F">
      <w:pPr>
        <w:pStyle w:val="AnnextitleS2"/>
        <w:jc w:val="center"/>
        <w:rPr>
          <w:rFonts w:cs="Calibri"/>
          <w:color w:val="800000"/>
          <w:lang w:eastAsia="zh-CN"/>
        </w:rPr>
      </w:pPr>
      <w:r>
        <w:rPr>
          <w:rFonts w:hint="eastAsia"/>
          <w:lang w:val="en-CA" w:eastAsia="zh-CN"/>
        </w:rPr>
        <w:t>关于对《无线电规则》援引《组织法》第</w:t>
      </w:r>
      <w:r>
        <w:rPr>
          <w:rFonts w:hint="eastAsia"/>
          <w:lang w:val="en-CA" w:eastAsia="zh-CN"/>
        </w:rPr>
        <w:t>4</w:t>
      </w:r>
      <w:r>
        <w:rPr>
          <w:lang w:val="en-CA" w:eastAsia="zh-CN"/>
        </w:rPr>
        <w:t>8</w:t>
      </w:r>
      <w:r>
        <w:rPr>
          <w:rFonts w:hint="eastAsia"/>
          <w:lang w:val="en-CA" w:eastAsia="zh-CN"/>
        </w:rPr>
        <w:t>条的问题</w:t>
      </w:r>
    </w:p>
    <w:p w14:paraId="78CEF8E5" w14:textId="13A59618" w:rsidR="00D0100F" w:rsidRPr="00552495" w:rsidRDefault="00FF7B0C" w:rsidP="00D0100F">
      <w:pPr>
        <w:pStyle w:val="Heading1"/>
        <w:rPr>
          <w:lang w:eastAsia="zh-CN"/>
        </w:rPr>
      </w:pPr>
      <w:bookmarkStart w:id="11" w:name="_Hlk10207266"/>
      <w:r>
        <w:rPr>
          <w:rFonts w:hint="eastAsia"/>
          <w:lang w:eastAsia="zh-CN"/>
        </w:rPr>
        <w:t>引言</w:t>
      </w:r>
    </w:p>
    <w:p w14:paraId="372F52FE" w14:textId="1AB4B0EF" w:rsidR="00D0100F" w:rsidRPr="00552495" w:rsidRDefault="00C637AE" w:rsidP="007F0452">
      <w:pPr>
        <w:ind w:firstLineChars="200" w:firstLine="480"/>
        <w:jc w:val="both"/>
        <w:rPr>
          <w:rFonts w:cs="Calibri"/>
          <w:b/>
          <w:color w:val="800000"/>
          <w:sz w:val="22"/>
          <w:lang w:eastAsia="zh-CN"/>
        </w:rPr>
      </w:pPr>
      <w:r w:rsidRPr="00C637AE">
        <w:rPr>
          <w:rFonts w:hint="eastAsia"/>
          <w:lang w:eastAsia="zh-CN"/>
        </w:rPr>
        <w:t>在向</w:t>
      </w:r>
      <w:r w:rsidRPr="00C637AE">
        <w:rPr>
          <w:rFonts w:hint="eastAsia"/>
          <w:lang w:eastAsia="zh-CN"/>
        </w:rPr>
        <w:t>2019</w:t>
      </w:r>
      <w:r w:rsidRPr="00C637AE">
        <w:rPr>
          <w:rFonts w:hint="eastAsia"/>
          <w:lang w:eastAsia="zh-CN"/>
        </w:rPr>
        <w:t>年世界无线电通信</w:t>
      </w:r>
      <w:r>
        <w:rPr>
          <w:rFonts w:hint="eastAsia"/>
          <w:lang w:eastAsia="zh-CN"/>
        </w:rPr>
        <w:t>大</w:t>
      </w:r>
      <w:r w:rsidRPr="00C637AE">
        <w:rPr>
          <w:rFonts w:hint="eastAsia"/>
          <w:lang w:eastAsia="zh-CN"/>
        </w:rPr>
        <w:t>会（</w:t>
      </w:r>
      <w:r w:rsidRPr="00C637AE">
        <w:rPr>
          <w:rFonts w:hint="eastAsia"/>
          <w:lang w:eastAsia="zh-CN"/>
        </w:rPr>
        <w:t>WRC-19</w:t>
      </w:r>
      <w:r w:rsidRPr="00C637AE">
        <w:rPr>
          <w:rFonts w:hint="eastAsia"/>
          <w:lang w:eastAsia="zh-CN"/>
        </w:rPr>
        <w:t>）提交的关于影响履行国际电联</w:t>
      </w:r>
      <w:r>
        <w:rPr>
          <w:rFonts w:hint="eastAsia"/>
          <w:lang w:eastAsia="zh-CN"/>
        </w:rPr>
        <w:t>《组织法</w:t>
      </w:r>
      <w:r w:rsidRPr="00C637AE">
        <w:rPr>
          <w:rFonts w:hint="eastAsia"/>
          <w:lang w:eastAsia="zh-CN"/>
        </w:rPr>
        <w:t>》第</w:t>
      </w:r>
      <w:r w:rsidRPr="00C637AE">
        <w:rPr>
          <w:rFonts w:hint="eastAsia"/>
          <w:lang w:eastAsia="zh-CN"/>
        </w:rPr>
        <w:t>44</w:t>
      </w:r>
      <w:r w:rsidRPr="00C637AE">
        <w:rPr>
          <w:rFonts w:hint="eastAsia"/>
          <w:lang w:eastAsia="zh-CN"/>
        </w:rPr>
        <w:t>条所</w:t>
      </w:r>
      <w:r w:rsidR="00E00BFB">
        <w:rPr>
          <w:rFonts w:hint="eastAsia"/>
          <w:lang w:eastAsia="zh-CN"/>
        </w:rPr>
        <w:t>含</w:t>
      </w:r>
      <w:r w:rsidRPr="00C637AE">
        <w:rPr>
          <w:rFonts w:hint="eastAsia"/>
          <w:lang w:eastAsia="zh-CN"/>
        </w:rPr>
        <w:t>原则的问题的报告中，无线电</w:t>
      </w:r>
      <w:r w:rsidR="00E00BFB">
        <w:rPr>
          <w:rFonts w:hint="eastAsia"/>
          <w:lang w:eastAsia="zh-CN"/>
        </w:rPr>
        <w:t>规则</w:t>
      </w:r>
      <w:r w:rsidRPr="00C637AE">
        <w:rPr>
          <w:rFonts w:hint="eastAsia"/>
          <w:lang w:eastAsia="zh-CN"/>
        </w:rPr>
        <w:t>委员会（以下简称“委员会”）</w:t>
      </w:r>
      <w:r w:rsidR="006A2AA8">
        <w:rPr>
          <w:rFonts w:hint="eastAsia"/>
          <w:lang w:eastAsia="zh-CN"/>
        </w:rPr>
        <w:t>考虑</w:t>
      </w:r>
      <w:r w:rsidRPr="00C637AE">
        <w:rPr>
          <w:rFonts w:hint="eastAsia"/>
          <w:lang w:eastAsia="zh-CN"/>
        </w:rPr>
        <w:t>了</w:t>
      </w:r>
      <w:r w:rsidR="006930A0">
        <w:rPr>
          <w:rFonts w:hint="eastAsia"/>
          <w:lang w:eastAsia="zh-CN"/>
        </w:rPr>
        <w:t>因</w:t>
      </w:r>
      <w:r w:rsidRPr="00C637AE">
        <w:rPr>
          <w:rFonts w:hint="eastAsia"/>
          <w:lang w:eastAsia="zh-CN"/>
        </w:rPr>
        <w:t>一些</w:t>
      </w:r>
      <w:r w:rsidR="00E00BFB">
        <w:rPr>
          <w:rFonts w:hint="eastAsia"/>
          <w:lang w:eastAsia="zh-CN"/>
        </w:rPr>
        <w:t>主管</w:t>
      </w:r>
      <w:r w:rsidRPr="00C637AE">
        <w:rPr>
          <w:rFonts w:hint="eastAsia"/>
          <w:lang w:eastAsia="zh-CN"/>
        </w:rPr>
        <w:t>部门</w:t>
      </w:r>
      <w:r w:rsidR="006930A0">
        <w:rPr>
          <w:rFonts w:hint="eastAsia"/>
          <w:lang w:eastAsia="zh-CN"/>
        </w:rPr>
        <w:t>应用</w:t>
      </w:r>
      <w:r w:rsidRPr="00C637AE">
        <w:rPr>
          <w:rFonts w:hint="eastAsia"/>
          <w:lang w:eastAsia="zh-CN"/>
        </w:rPr>
        <w:t>《</w:t>
      </w:r>
      <w:r w:rsidR="00E00BFB">
        <w:rPr>
          <w:rFonts w:hint="eastAsia"/>
          <w:lang w:eastAsia="zh-CN"/>
        </w:rPr>
        <w:t>组织法</w:t>
      </w:r>
      <w:r w:rsidRPr="00C637AE">
        <w:rPr>
          <w:rFonts w:hint="eastAsia"/>
          <w:lang w:eastAsia="zh-CN"/>
        </w:rPr>
        <w:t>》第</w:t>
      </w:r>
      <w:r w:rsidRPr="00C637AE">
        <w:rPr>
          <w:rFonts w:hint="eastAsia"/>
          <w:lang w:eastAsia="zh-CN"/>
        </w:rPr>
        <w:t>48</w:t>
      </w:r>
      <w:r w:rsidRPr="00C637AE">
        <w:rPr>
          <w:rFonts w:hint="eastAsia"/>
          <w:lang w:eastAsia="zh-CN"/>
        </w:rPr>
        <w:t>条</w:t>
      </w:r>
      <w:r w:rsidR="006930A0">
        <w:rPr>
          <w:rFonts w:hint="eastAsia"/>
          <w:lang w:eastAsia="zh-CN"/>
        </w:rPr>
        <w:t>而</w:t>
      </w:r>
      <w:r w:rsidRPr="00C637AE">
        <w:rPr>
          <w:rFonts w:hint="eastAsia"/>
          <w:lang w:eastAsia="zh-CN"/>
        </w:rPr>
        <w:t>提出的关切。这些关切涉及援引第</w:t>
      </w:r>
      <w:r w:rsidRPr="00C637AE">
        <w:rPr>
          <w:rFonts w:hint="eastAsia"/>
          <w:lang w:eastAsia="zh-CN"/>
        </w:rPr>
        <w:t>48</w:t>
      </w:r>
      <w:r w:rsidRPr="00C637AE">
        <w:rPr>
          <w:rFonts w:hint="eastAsia"/>
          <w:lang w:eastAsia="zh-CN"/>
        </w:rPr>
        <w:t>条以回应无线电通信局为</w:t>
      </w:r>
      <w:r w:rsidR="00E00BFB">
        <w:rPr>
          <w:rFonts w:hint="eastAsia"/>
          <w:lang w:eastAsia="zh-CN"/>
        </w:rPr>
        <w:t>应</w:t>
      </w:r>
      <w:r w:rsidRPr="00C637AE">
        <w:rPr>
          <w:rFonts w:hint="eastAsia"/>
          <w:lang w:eastAsia="zh-CN"/>
        </w:rPr>
        <w:t>用</w:t>
      </w:r>
      <w:r w:rsidR="00E00BFB">
        <w:rPr>
          <w:rFonts w:hint="eastAsia"/>
          <w:lang w:eastAsia="zh-CN"/>
        </w:rPr>
        <w:t>《</w:t>
      </w:r>
      <w:r w:rsidRPr="00C637AE">
        <w:rPr>
          <w:rFonts w:hint="eastAsia"/>
          <w:lang w:eastAsia="zh-CN"/>
        </w:rPr>
        <w:t>无线电</w:t>
      </w:r>
      <w:r w:rsidR="00E00BFB">
        <w:rPr>
          <w:rFonts w:hint="eastAsia"/>
          <w:lang w:eastAsia="zh-CN"/>
        </w:rPr>
        <w:t>规则》</w:t>
      </w:r>
      <w:r w:rsidRPr="00C637AE">
        <w:rPr>
          <w:rFonts w:hint="eastAsia"/>
          <w:lang w:eastAsia="zh-CN"/>
        </w:rPr>
        <w:t>的</w:t>
      </w:r>
      <w:r w:rsidR="00AE6098">
        <w:rPr>
          <w:rFonts w:hint="eastAsia"/>
          <w:lang w:eastAsia="zh-CN"/>
        </w:rPr>
        <w:t>条款</w:t>
      </w:r>
      <w:r w:rsidRPr="00C637AE">
        <w:rPr>
          <w:rFonts w:hint="eastAsia"/>
          <w:lang w:eastAsia="zh-CN"/>
        </w:rPr>
        <w:t>而发起的调查。</w:t>
      </w:r>
      <w:r w:rsidR="006B5D7F">
        <w:rPr>
          <w:lang w:eastAsia="zh-CN"/>
        </w:rPr>
        <w:t>WRC-19</w:t>
      </w:r>
      <w:r w:rsidR="006B5D7F">
        <w:rPr>
          <w:rFonts w:hint="eastAsia"/>
          <w:lang w:eastAsia="zh-CN"/>
        </w:rPr>
        <w:t>根据《公约》第</w:t>
      </w:r>
      <w:r w:rsidR="006B5D7F">
        <w:rPr>
          <w:lang w:eastAsia="zh-CN"/>
        </w:rPr>
        <w:t>21</w:t>
      </w:r>
      <w:r w:rsidR="006B5D7F">
        <w:rPr>
          <w:rFonts w:hint="eastAsia"/>
          <w:lang w:eastAsia="zh-CN"/>
        </w:rPr>
        <w:t>条，请</w:t>
      </w:r>
      <w:r w:rsidR="006B5D7F">
        <w:rPr>
          <w:lang w:eastAsia="zh-CN"/>
        </w:rPr>
        <w:t>2022</w:t>
      </w:r>
      <w:r w:rsidR="006B5D7F">
        <w:rPr>
          <w:rFonts w:hint="eastAsia"/>
          <w:lang w:eastAsia="zh-CN"/>
        </w:rPr>
        <w:t>年全权代表大会</w:t>
      </w:r>
      <w:r w:rsidR="006A2AA8">
        <w:rPr>
          <w:rFonts w:hint="eastAsia"/>
          <w:lang w:eastAsia="zh-CN"/>
        </w:rPr>
        <w:t>（</w:t>
      </w:r>
      <w:r w:rsidR="006A2AA8">
        <w:rPr>
          <w:rFonts w:hint="eastAsia"/>
          <w:lang w:eastAsia="zh-CN"/>
        </w:rPr>
        <w:t>PP</w:t>
      </w:r>
      <w:r w:rsidR="006A2AA8">
        <w:rPr>
          <w:lang w:eastAsia="zh-CN"/>
        </w:rPr>
        <w:t>-22</w:t>
      </w:r>
      <w:r w:rsidR="006A2AA8">
        <w:rPr>
          <w:rFonts w:hint="eastAsia"/>
          <w:lang w:eastAsia="zh-CN"/>
        </w:rPr>
        <w:t>）</w:t>
      </w:r>
      <w:r w:rsidR="006B5D7F">
        <w:rPr>
          <w:rFonts w:hint="eastAsia"/>
          <w:lang w:eastAsia="zh-CN"/>
        </w:rPr>
        <w:t>审议</w:t>
      </w:r>
      <w:r w:rsidR="006A2AA8">
        <w:rPr>
          <w:rFonts w:hint="eastAsia"/>
          <w:lang w:eastAsia="zh-CN"/>
        </w:rPr>
        <w:t>对《无线电规则》援引</w:t>
      </w:r>
      <w:r w:rsidR="006B5D7F">
        <w:rPr>
          <w:rFonts w:hint="eastAsia"/>
          <w:lang w:eastAsia="zh-CN"/>
        </w:rPr>
        <w:t>第</w:t>
      </w:r>
      <w:r w:rsidR="006B5D7F">
        <w:rPr>
          <w:lang w:eastAsia="zh-CN"/>
        </w:rPr>
        <w:t>48</w:t>
      </w:r>
      <w:r w:rsidR="006B5D7F">
        <w:rPr>
          <w:rFonts w:hint="eastAsia"/>
          <w:lang w:eastAsia="zh-CN"/>
        </w:rPr>
        <w:t>条的问题，并在必要时采取适当行动。</w:t>
      </w:r>
    </w:p>
    <w:p w14:paraId="2D8FA008" w14:textId="4A4E0DFE" w:rsidR="00D0100F" w:rsidRPr="005B05DC" w:rsidRDefault="00D71ABC" w:rsidP="00D0100F">
      <w:pPr>
        <w:pStyle w:val="Heading1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79FB30DD" w14:textId="10942C0E" w:rsidR="00D0100F" w:rsidRPr="00552495" w:rsidRDefault="00550151" w:rsidP="007F0452">
      <w:pPr>
        <w:ind w:firstLineChars="200" w:firstLine="480"/>
        <w:jc w:val="both"/>
        <w:rPr>
          <w:lang w:eastAsia="ar-SA"/>
        </w:rPr>
      </w:pPr>
      <w:proofErr w:type="spellStart"/>
      <w:r w:rsidRPr="00550151">
        <w:rPr>
          <w:rFonts w:hint="eastAsia"/>
          <w:lang w:eastAsia="ar-SA"/>
        </w:rPr>
        <w:t>在提交</w:t>
      </w:r>
      <w:proofErr w:type="spellEnd"/>
      <w:r w:rsidRPr="00550151">
        <w:rPr>
          <w:rFonts w:hint="eastAsia"/>
          <w:lang w:eastAsia="ar-SA"/>
        </w:rPr>
        <w:t>WRC-19</w:t>
      </w:r>
      <w:proofErr w:type="spellStart"/>
      <w:r w:rsidRPr="00550151">
        <w:rPr>
          <w:rFonts w:hint="eastAsia"/>
          <w:lang w:eastAsia="ar-SA"/>
        </w:rPr>
        <w:t>的报告中，委员会</w:t>
      </w:r>
      <w:proofErr w:type="spellEnd"/>
      <w:r w:rsidR="007F61C2">
        <w:rPr>
          <w:rFonts w:hint="eastAsia"/>
          <w:lang w:eastAsia="zh-CN"/>
        </w:rPr>
        <w:t>发现</w:t>
      </w:r>
      <w:proofErr w:type="spellStart"/>
      <w:r w:rsidRPr="00550151">
        <w:rPr>
          <w:rFonts w:hint="eastAsia"/>
          <w:lang w:eastAsia="ar-SA"/>
        </w:rPr>
        <w:t>一些</w:t>
      </w:r>
      <w:proofErr w:type="spellEnd"/>
      <w:r>
        <w:rPr>
          <w:rFonts w:hint="eastAsia"/>
          <w:lang w:eastAsia="zh-CN"/>
        </w:rPr>
        <w:t>主管</w:t>
      </w:r>
      <w:proofErr w:type="spellStart"/>
      <w:r w:rsidRPr="00550151">
        <w:rPr>
          <w:rFonts w:hint="eastAsia"/>
          <w:lang w:eastAsia="ar-SA"/>
        </w:rPr>
        <w:t>部门对其他</w:t>
      </w:r>
      <w:proofErr w:type="spellEnd"/>
      <w:r>
        <w:rPr>
          <w:rFonts w:hint="eastAsia"/>
          <w:lang w:eastAsia="zh-CN"/>
        </w:rPr>
        <w:t>主管</w:t>
      </w:r>
      <w:proofErr w:type="spellStart"/>
      <w:r w:rsidRPr="00550151">
        <w:rPr>
          <w:rFonts w:hint="eastAsia"/>
          <w:lang w:eastAsia="ar-SA"/>
        </w:rPr>
        <w:t>部门援引第</w:t>
      </w:r>
      <w:proofErr w:type="spellEnd"/>
      <w:r w:rsidRPr="00550151">
        <w:rPr>
          <w:rFonts w:hint="eastAsia"/>
          <w:lang w:eastAsia="ar-SA"/>
        </w:rPr>
        <w:t>48</w:t>
      </w:r>
      <w:proofErr w:type="spellStart"/>
      <w:r w:rsidRPr="00550151">
        <w:rPr>
          <w:rFonts w:hint="eastAsia"/>
          <w:lang w:eastAsia="ar-SA"/>
        </w:rPr>
        <w:t>条的适当性提出</w:t>
      </w:r>
      <w:proofErr w:type="spellEnd"/>
      <w:r w:rsidR="007F61C2">
        <w:rPr>
          <w:rFonts w:hint="eastAsia"/>
          <w:lang w:eastAsia="zh-CN"/>
        </w:rPr>
        <w:t>了</w:t>
      </w:r>
      <w:proofErr w:type="spellStart"/>
      <w:r w:rsidRPr="00550151">
        <w:rPr>
          <w:rFonts w:hint="eastAsia"/>
          <w:lang w:eastAsia="ar-SA"/>
        </w:rPr>
        <w:t>担忧。向</w:t>
      </w:r>
      <w:proofErr w:type="spellEnd"/>
      <w:r w:rsidR="00994768">
        <w:rPr>
          <w:rFonts w:hint="eastAsia"/>
          <w:lang w:eastAsia="zh-CN"/>
        </w:rPr>
        <w:t>委员会</w:t>
      </w:r>
      <w:proofErr w:type="spellStart"/>
      <w:r w:rsidRPr="00550151">
        <w:rPr>
          <w:rFonts w:hint="eastAsia"/>
          <w:lang w:eastAsia="ar-SA"/>
        </w:rPr>
        <w:t>提交的指称不遵守第</w:t>
      </w:r>
      <w:proofErr w:type="spellEnd"/>
      <w:r w:rsidRPr="00550151">
        <w:rPr>
          <w:rFonts w:hint="eastAsia"/>
          <w:lang w:eastAsia="ar-SA"/>
        </w:rPr>
        <w:t>48</w:t>
      </w:r>
      <w:proofErr w:type="spellStart"/>
      <w:r w:rsidRPr="00550151">
        <w:rPr>
          <w:rFonts w:hint="eastAsia"/>
          <w:lang w:eastAsia="ar-SA"/>
        </w:rPr>
        <w:t>条的</w:t>
      </w:r>
      <w:proofErr w:type="spellEnd"/>
      <w:r w:rsidR="00994768">
        <w:rPr>
          <w:rFonts w:hint="eastAsia"/>
          <w:lang w:eastAsia="zh-CN"/>
        </w:rPr>
        <w:t>情况</w:t>
      </w:r>
      <w:proofErr w:type="spellStart"/>
      <w:r w:rsidRPr="00550151">
        <w:rPr>
          <w:rFonts w:hint="eastAsia"/>
          <w:lang w:eastAsia="ar-SA"/>
        </w:rPr>
        <w:t>可分为以下几类</w:t>
      </w:r>
      <w:proofErr w:type="spellEnd"/>
      <w:r w:rsidRPr="00550151">
        <w:rPr>
          <w:rFonts w:hint="eastAsia"/>
          <w:lang w:eastAsia="ar-SA"/>
        </w:rPr>
        <w:t>：</w:t>
      </w:r>
    </w:p>
    <w:p w14:paraId="348E85F2" w14:textId="4D06E660" w:rsidR="00D0100F" w:rsidRPr="00552495" w:rsidRDefault="00C23787" w:rsidP="00C23787">
      <w:pPr>
        <w:pStyle w:val="enumlev2"/>
        <w:rPr>
          <w:lang w:val="en-CA" w:eastAsia="zh-CN"/>
        </w:rPr>
      </w:pPr>
      <w:bookmarkStart w:id="12" w:name="lt_pId027"/>
      <w:r w:rsidRPr="00C23787">
        <w:rPr>
          <w:lang w:val="en-CA" w:eastAsia="zh-CN"/>
        </w:rPr>
        <w:t>–</w:t>
      </w:r>
      <w:r>
        <w:rPr>
          <w:lang w:val="en-CA" w:eastAsia="zh-CN"/>
        </w:rPr>
        <w:tab/>
      </w:r>
      <w:bookmarkEnd w:id="12"/>
      <w:r w:rsidR="00994768" w:rsidRPr="00994768">
        <w:rPr>
          <w:rFonts w:hint="eastAsia"/>
          <w:lang w:val="en-CA" w:eastAsia="zh-CN"/>
        </w:rPr>
        <w:t>在</w:t>
      </w:r>
      <w:r w:rsidR="008B6759">
        <w:rPr>
          <w:rFonts w:hint="eastAsia"/>
          <w:lang w:val="en-CA" w:eastAsia="zh-CN"/>
        </w:rPr>
        <w:t>无线电通信</w:t>
      </w:r>
      <w:r w:rsidR="00994768" w:rsidRPr="00994768">
        <w:rPr>
          <w:rFonts w:hint="eastAsia"/>
          <w:lang w:val="en-CA" w:eastAsia="zh-CN"/>
        </w:rPr>
        <w:t>局启动调查以核实频率</w:t>
      </w:r>
      <w:r w:rsidR="008B6759">
        <w:rPr>
          <w:rFonts w:hint="eastAsia"/>
          <w:lang w:val="en-CA" w:eastAsia="zh-CN"/>
        </w:rPr>
        <w:t>指</w:t>
      </w:r>
      <w:r w:rsidR="00994768" w:rsidRPr="00994768">
        <w:rPr>
          <w:rFonts w:hint="eastAsia"/>
          <w:lang w:val="en-CA" w:eastAsia="zh-CN"/>
        </w:rPr>
        <w:t>配是否在监管期限内</w:t>
      </w:r>
      <w:r w:rsidR="008B6759">
        <w:rPr>
          <w:rFonts w:hint="eastAsia"/>
          <w:lang w:val="en-CA" w:eastAsia="zh-CN"/>
        </w:rPr>
        <w:t>得到</w:t>
      </w:r>
      <w:r w:rsidR="00994768" w:rsidRPr="00994768">
        <w:rPr>
          <w:rFonts w:hint="eastAsia"/>
          <w:lang w:val="en-CA" w:eastAsia="zh-CN"/>
        </w:rPr>
        <w:t>实际</w:t>
      </w:r>
      <w:r w:rsidR="008B6759">
        <w:rPr>
          <w:rFonts w:hint="eastAsia"/>
          <w:lang w:val="en-CA" w:eastAsia="zh-CN"/>
        </w:rPr>
        <w:t>使用后，援引第</w:t>
      </w:r>
      <w:r w:rsidR="008B6759">
        <w:rPr>
          <w:rFonts w:hint="eastAsia"/>
          <w:lang w:val="en-CA" w:eastAsia="zh-CN"/>
        </w:rPr>
        <w:t>4</w:t>
      </w:r>
      <w:r w:rsidR="008B6759">
        <w:rPr>
          <w:lang w:val="en-CA" w:eastAsia="zh-CN"/>
        </w:rPr>
        <w:t>8</w:t>
      </w:r>
      <w:r w:rsidR="008B6759">
        <w:rPr>
          <w:rFonts w:hint="eastAsia"/>
          <w:lang w:val="en-CA" w:eastAsia="zh-CN"/>
        </w:rPr>
        <w:t>条以阻</w:t>
      </w:r>
      <w:r w:rsidR="00994768" w:rsidRPr="00994768">
        <w:rPr>
          <w:rFonts w:hint="eastAsia"/>
          <w:lang w:val="en-CA" w:eastAsia="zh-CN"/>
        </w:rPr>
        <w:t>止调查并保留</w:t>
      </w:r>
      <w:r w:rsidR="00021113">
        <w:rPr>
          <w:rFonts w:hint="eastAsia"/>
          <w:lang w:val="en-CA" w:eastAsia="zh-CN"/>
        </w:rPr>
        <w:t>《国际频率登记总表》</w:t>
      </w:r>
      <w:r w:rsidR="00994768" w:rsidRPr="00994768">
        <w:rPr>
          <w:rFonts w:hint="eastAsia"/>
          <w:lang w:val="en-CA" w:eastAsia="zh-CN"/>
        </w:rPr>
        <w:t>（</w:t>
      </w:r>
      <w:r w:rsidR="00994768" w:rsidRPr="00994768">
        <w:rPr>
          <w:rFonts w:hint="eastAsia"/>
          <w:lang w:val="en-CA" w:eastAsia="zh-CN"/>
        </w:rPr>
        <w:t>MIFR</w:t>
      </w:r>
      <w:r w:rsidR="00994768" w:rsidRPr="00994768">
        <w:rPr>
          <w:rFonts w:hint="eastAsia"/>
          <w:lang w:val="en-CA" w:eastAsia="zh-CN"/>
        </w:rPr>
        <w:t>）</w:t>
      </w:r>
      <w:proofErr w:type="gramStart"/>
      <w:r w:rsidR="00994768" w:rsidRPr="00994768">
        <w:rPr>
          <w:rFonts w:hint="eastAsia"/>
          <w:lang w:val="en-CA" w:eastAsia="zh-CN"/>
        </w:rPr>
        <w:t>中的权利</w:t>
      </w:r>
      <w:r w:rsidR="00021113">
        <w:rPr>
          <w:rFonts w:hint="eastAsia"/>
          <w:lang w:val="en-CA" w:eastAsia="zh-CN"/>
        </w:rPr>
        <w:t>的主管部门</w:t>
      </w:r>
      <w:r w:rsidR="00994768">
        <w:rPr>
          <w:rFonts w:hint="eastAsia"/>
          <w:lang w:val="en-CA" w:eastAsia="zh-CN"/>
        </w:rPr>
        <w:t>；</w:t>
      </w:r>
      <w:proofErr w:type="gramEnd"/>
    </w:p>
    <w:p w14:paraId="5AB571E6" w14:textId="0AAB4701" w:rsidR="00D0100F" w:rsidRPr="00552495" w:rsidRDefault="00C23787" w:rsidP="00C23787">
      <w:pPr>
        <w:pStyle w:val="enumlev2"/>
        <w:rPr>
          <w:rFonts w:asciiTheme="minorHAnsi" w:hAnsiTheme="minorHAnsi"/>
          <w:lang w:eastAsia="ar-SA"/>
        </w:rPr>
      </w:pPr>
      <w:bookmarkStart w:id="13" w:name="lt_pId028"/>
      <w:r w:rsidRPr="00C23787">
        <w:rPr>
          <w:rFonts w:asciiTheme="minorHAnsi" w:hAnsiTheme="minorHAnsi"/>
          <w:lang w:eastAsia="ar-SA"/>
        </w:rPr>
        <w:t>–</w:t>
      </w:r>
      <w:r>
        <w:rPr>
          <w:rFonts w:asciiTheme="minorHAnsi" w:hAnsiTheme="minorHAnsi"/>
          <w:lang w:eastAsia="ar-SA"/>
        </w:rPr>
        <w:tab/>
      </w:r>
      <w:bookmarkEnd w:id="13"/>
      <w:r w:rsidR="002D6E6D">
        <w:rPr>
          <w:rFonts w:asciiTheme="minorHAnsi" w:hAnsiTheme="minorHAnsi" w:hint="eastAsia"/>
          <w:lang w:eastAsia="zh-CN"/>
        </w:rPr>
        <w:t>针对</w:t>
      </w:r>
      <w:proofErr w:type="spellStart"/>
      <w:r w:rsidR="00994768" w:rsidRPr="00994768">
        <w:rPr>
          <w:rFonts w:asciiTheme="minorHAnsi" w:hAnsiTheme="minorHAnsi" w:hint="eastAsia"/>
          <w:lang w:eastAsia="ar-SA"/>
        </w:rPr>
        <w:t>不用于军事无线电设施的频率</w:t>
      </w:r>
      <w:proofErr w:type="spellEnd"/>
      <w:r w:rsidR="00021113">
        <w:rPr>
          <w:rFonts w:asciiTheme="minorHAnsi" w:hAnsiTheme="minorHAnsi" w:hint="eastAsia"/>
          <w:lang w:eastAsia="zh-CN"/>
        </w:rPr>
        <w:t>指</w:t>
      </w:r>
      <w:proofErr w:type="spellStart"/>
      <w:r w:rsidR="00994768" w:rsidRPr="00994768">
        <w:rPr>
          <w:rFonts w:asciiTheme="minorHAnsi" w:hAnsiTheme="minorHAnsi" w:hint="eastAsia"/>
          <w:lang w:eastAsia="ar-SA"/>
        </w:rPr>
        <w:t>配，援引第</w:t>
      </w:r>
      <w:proofErr w:type="spellEnd"/>
      <w:r w:rsidR="00994768" w:rsidRPr="00994768">
        <w:rPr>
          <w:rFonts w:asciiTheme="minorHAnsi" w:hAnsiTheme="minorHAnsi" w:hint="eastAsia"/>
          <w:lang w:eastAsia="ar-SA"/>
        </w:rPr>
        <w:t>48</w:t>
      </w:r>
      <w:r w:rsidR="00994768" w:rsidRPr="00994768">
        <w:rPr>
          <w:rFonts w:asciiTheme="minorHAnsi" w:hAnsiTheme="minorHAnsi" w:hint="eastAsia"/>
          <w:lang w:eastAsia="ar-SA"/>
        </w:rPr>
        <w:t>条</w:t>
      </w:r>
      <w:r w:rsidR="002D6E6D">
        <w:rPr>
          <w:rFonts w:asciiTheme="minorHAnsi" w:hAnsiTheme="minorHAnsi" w:hint="eastAsia"/>
          <w:lang w:eastAsia="zh-CN"/>
        </w:rPr>
        <w:t>的主管部门</w:t>
      </w:r>
      <w:r w:rsidR="00994768" w:rsidRPr="00994768">
        <w:rPr>
          <w:rFonts w:asciiTheme="minorHAnsi" w:hAnsiTheme="minorHAnsi" w:hint="eastAsia"/>
          <w:lang w:eastAsia="ar-SA"/>
        </w:rPr>
        <w:t>。</w:t>
      </w:r>
    </w:p>
    <w:p w14:paraId="7DDF6E5A" w14:textId="1F460A2E" w:rsidR="00D0100F" w:rsidRPr="005B05DC" w:rsidRDefault="002D6E6D" w:rsidP="007F0452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委员会</w:t>
      </w:r>
      <w:r w:rsidRPr="002D6E6D">
        <w:rPr>
          <w:rFonts w:hint="eastAsia"/>
          <w:lang w:eastAsia="zh-CN"/>
        </w:rPr>
        <w:t>认为，仅为了</w:t>
      </w:r>
      <w:r>
        <w:rPr>
          <w:rFonts w:hint="eastAsia"/>
          <w:lang w:eastAsia="zh-CN"/>
        </w:rPr>
        <w:t>阻止无线电通信</w:t>
      </w:r>
      <w:r w:rsidRPr="002D6E6D">
        <w:rPr>
          <w:rFonts w:hint="eastAsia"/>
          <w:lang w:eastAsia="zh-CN"/>
        </w:rPr>
        <w:t>局调查卫星网络的状况而援引第</w:t>
      </w:r>
      <w:r w:rsidRPr="002D6E6D">
        <w:rPr>
          <w:rFonts w:hint="eastAsia"/>
          <w:lang w:eastAsia="zh-CN"/>
        </w:rPr>
        <w:t>48</w:t>
      </w:r>
      <w:r w:rsidRPr="002D6E6D">
        <w:rPr>
          <w:rFonts w:hint="eastAsia"/>
          <w:lang w:eastAsia="zh-CN"/>
        </w:rPr>
        <w:t>条不符合《</w:t>
      </w:r>
      <w:r>
        <w:rPr>
          <w:rFonts w:hint="eastAsia"/>
          <w:lang w:eastAsia="zh-CN"/>
        </w:rPr>
        <w:t>组织法</w:t>
      </w:r>
      <w:r w:rsidRPr="002D6E6D">
        <w:rPr>
          <w:rFonts w:hint="eastAsia"/>
          <w:lang w:eastAsia="zh-CN"/>
        </w:rPr>
        <w:t>》和《无线电</w:t>
      </w:r>
      <w:r>
        <w:rPr>
          <w:rFonts w:hint="eastAsia"/>
          <w:lang w:eastAsia="zh-CN"/>
        </w:rPr>
        <w:t>规则</w:t>
      </w:r>
      <w:r w:rsidRPr="002D6E6D">
        <w:rPr>
          <w:rFonts w:hint="eastAsia"/>
          <w:lang w:eastAsia="zh-CN"/>
        </w:rPr>
        <w:t>》。</w:t>
      </w:r>
    </w:p>
    <w:p w14:paraId="7F995ED0" w14:textId="31C4C1B8" w:rsidR="00D0100F" w:rsidRPr="005B05DC" w:rsidRDefault="002D6E6D" w:rsidP="007F0452">
      <w:pPr>
        <w:ind w:firstLineChars="200" w:firstLine="480"/>
        <w:jc w:val="both"/>
        <w:rPr>
          <w:lang w:eastAsia="zh-CN"/>
        </w:rPr>
      </w:pPr>
      <w:r w:rsidRPr="002D6E6D">
        <w:rPr>
          <w:rFonts w:hint="eastAsia"/>
          <w:lang w:eastAsia="zh-CN"/>
        </w:rPr>
        <w:t>在处理上述</w:t>
      </w:r>
      <w:r>
        <w:rPr>
          <w:rFonts w:hint="eastAsia"/>
          <w:lang w:eastAsia="zh-CN"/>
        </w:rPr>
        <w:t>情况</w:t>
      </w:r>
      <w:r w:rsidRPr="002D6E6D">
        <w:rPr>
          <w:rFonts w:hint="eastAsia"/>
          <w:lang w:eastAsia="zh-CN"/>
        </w:rPr>
        <w:t>时，</w:t>
      </w:r>
      <w:r>
        <w:rPr>
          <w:rFonts w:hint="eastAsia"/>
          <w:lang w:eastAsia="zh-CN"/>
        </w:rPr>
        <w:t>委员会</w:t>
      </w:r>
      <w:r w:rsidRPr="002D6E6D">
        <w:rPr>
          <w:rFonts w:hint="eastAsia"/>
          <w:lang w:eastAsia="zh-CN"/>
        </w:rPr>
        <w:t>考虑了</w:t>
      </w:r>
      <w:r w:rsidRPr="002D6E6D">
        <w:rPr>
          <w:rFonts w:hint="eastAsia"/>
          <w:lang w:eastAsia="zh-CN"/>
        </w:rPr>
        <w:t>WRC-15</w:t>
      </w:r>
      <w:r w:rsidRPr="002D6E6D">
        <w:rPr>
          <w:rFonts w:hint="eastAsia"/>
          <w:lang w:eastAsia="zh-CN"/>
        </w:rPr>
        <w:t>提供的指导，</w:t>
      </w:r>
      <w:r w:rsidR="00D80804">
        <w:rPr>
          <w:rFonts w:hint="eastAsia"/>
          <w:lang w:eastAsia="zh-CN"/>
        </w:rPr>
        <w:t>WRC</w:t>
      </w:r>
      <w:r w:rsidR="00D80804">
        <w:rPr>
          <w:lang w:eastAsia="zh-CN"/>
        </w:rPr>
        <w:t>-15</w:t>
      </w:r>
      <w:r w:rsidRPr="002D6E6D">
        <w:rPr>
          <w:rFonts w:hint="eastAsia"/>
          <w:lang w:eastAsia="zh-CN"/>
        </w:rPr>
        <w:t>得出的结论是，一旦</w:t>
      </w:r>
      <w:r w:rsidR="00D80804">
        <w:rPr>
          <w:rFonts w:hint="eastAsia"/>
          <w:lang w:eastAsia="zh-CN"/>
        </w:rPr>
        <w:t>主管</w:t>
      </w:r>
      <w:r w:rsidRPr="002D6E6D">
        <w:rPr>
          <w:rFonts w:hint="eastAsia"/>
          <w:lang w:eastAsia="zh-CN"/>
        </w:rPr>
        <w:t>部门明确援引第</w:t>
      </w:r>
      <w:r w:rsidRPr="002D6E6D">
        <w:rPr>
          <w:rFonts w:hint="eastAsia"/>
          <w:lang w:eastAsia="zh-CN"/>
        </w:rPr>
        <w:t>48</w:t>
      </w:r>
      <w:r w:rsidRPr="002D6E6D">
        <w:rPr>
          <w:rFonts w:hint="eastAsia"/>
          <w:lang w:eastAsia="zh-CN"/>
        </w:rPr>
        <w:t>条，</w:t>
      </w:r>
      <w:r w:rsidR="00D80804">
        <w:rPr>
          <w:rFonts w:hint="eastAsia"/>
          <w:lang w:eastAsia="zh-CN"/>
        </w:rPr>
        <w:t>无线电通信局</w:t>
      </w:r>
      <w:r w:rsidRPr="002D6E6D">
        <w:rPr>
          <w:rFonts w:hint="eastAsia"/>
          <w:lang w:eastAsia="zh-CN"/>
        </w:rPr>
        <w:t>或</w:t>
      </w:r>
      <w:r w:rsidR="00D80804">
        <w:rPr>
          <w:rFonts w:hint="eastAsia"/>
          <w:lang w:eastAsia="zh-CN"/>
        </w:rPr>
        <w:t>委员会</w:t>
      </w:r>
      <w:r w:rsidRPr="002D6E6D">
        <w:rPr>
          <w:rFonts w:hint="eastAsia"/>
          <w:lang w:eastAsia="zh-CN"/>
        </w:rPr>
        <w:t>就不能再要求提供回应调查的信息。因此，在没有明确指示以确保协调一致地</w:t>
      </w:r>
      <w:r w:rsidR="00D80804">
        <w:rPr>
          <w:rFonts w:hint="eastAsia"/>
          <w:lang w:eastAsia="zh-CN"/>
        </w:rPr>
        <w:t>应</w:t>
      </w:r>
      <w:r w:rsidRPr="002D6E6D">
        <w:rPr>
          <w:rFonts w:hint="eastAsia"/>
          <w:lang w:eastAsia="zh-CN"/>
        </w:rPr>
        <w:t>用第</w:t>
      </w:r>
      <w:r w:rsidRPr="002D6E6D">
        <w:rPr>
          <w:rFonts w:hint="eastAsia"/>
          <w:lang w:eastAsia="zh-CN"/>
        </w:rPr>
        <w:t>48</w:t>
      </w:r>
      <w:r w:rsidRPr="002D6E6D">
        <w:rPr>
          <w:rFonts w:hint="eastAsia"/>
          <w:lang w:eastAsia="zh-CN"/>
        </w:rPr>
        <w:t>条规定的</w:t>
      </w:r>
      <w:r w:rsidR="00D80804">
        <w:rPr>
          <w:rFonts w:hint="eastAsia"/>
          <w:lang w:eastAsia="zh-CN"/>
        </w:rPr>
        <w:t>主管</w:t>
      </w:r>
      <w:r w:rsidRPr="002D6E6D">
        <w:rPr>
          <w:rFonts w:hint="eastAsia"/>
          <w:lang w:eastAsia="zh-CN"/>
        </w:rPr>
        <w:t>部门的权利及其在《无线电</w:t>
      </w:r>
      <w:r w:rsidR="00D80804">
        <w:rPr>
          <w:rFonts w:hint="eastAsia"/>
          <w:lang w:eastAsia="zh-CN"/>
        </w:rPr>
        <w:t>规则</w:t>
      </w:r>
      <w:r w:rsidRPr="002D6E6D">
        <w:rPr>
          <w:rFonts w:hint="eastAsia"/>
          <w:lang w:eastAsia="zh-CN"/>
        </w:rPr>
        <w:t>》下的义务的情况下，</w:t>
      </w:r>
      <w:r w:rsidR="00D80804">
        <w:rPr>
          <w:rFonts w:hint="eastAsia"/>
          <w:lang w:eastAsia="zh-CN"/>
        </w:rPr>
        <w:t>委员会</w:t>
      </w:r>
      <w:r w:rsidRPr="002D6E6D">
        <w:rPr>
          <w:rFonts w:hint="eastAsia"/>
          <w:lang w:eastAsia="zh-CN"/>
        </w:rPr>
        <w:t>无法就援引第</w:t>
      </w:r>
      <w:r w:rsidRPr="002D6E6D">
        <w:rPr>
          <w:rFonts w:hint="eastAsia"/>
          <w:lang w:eastAsia="zh-CN"/>
        </w:rPr>
        <w:t>48</w:t>
      </w:r>
      <w:r w:rsidRPr="002D6E6D">
        <w:rPr>
          <w:rFonts w:hint="eastAsia"/>
          <w:lang w:eastAsia="zh-CN"/>
        </w:rPr>
        <w:t>条的情况</w:t>
      </w:r>
      <w:r w:rsidR="00D80804">
        <w:rPr>
          <w:rFonts w:hint="eastAsia"/>
          <w:lang w:eastAsia="zh-CN"/>
        </w:rPr>
        <w:t>做</w:t>
      </w:r>
      <w:r w:rsidRPr="002D6E6D">
        <w:rPr>
          <w:rFonts w:hint="eastAsia"/>
          <w:lang w:eastAsia="zh-CN"/>
        </w:rPr>
        <w:t>出决定。</w:t>
      </w:r>
    </w:p>
    <w:p w14:paraId="39D755F6" w14:textId="1B897C72" w:rsidR="00D0100F" w:rsidRDefault="00922FD8" w:rsidP="007F0452">
      <w:pPr>
        <w:ind w:firstLineChars="200" w:firstLine="480"/>
        <w:jc w:val="both"/>
        <w:rPr>
          <w:lang w:eastAsia="zh-CN"/>
        </w:rPr>
      </w:pPr>
      <w:r w:rsidRPr="00922FD8">
        <w:rPr>
          <w:rFonts w:hint="eastAsia"/>
          <w:lang w:eastAsia="zh-CN"/>
        </w:rPr>
        <w:t>自</w:t>
      </w:r>
      <w:r w:rsidRPr="00922FD8">
        <w:rPr>
          <w:rFonts w:hint="eastAsia"/>
          <w:lang w:eastAsia="zh-CN"/>
        </w:rPr>
        <w:t>WRC-19</w:t>
      </w:r>
      <w:r w:rsidRPr="00922FD8">
        <w:rPr>
          <w:rFonts w:hint="eastAsia"/>
          <w:lang w:eastAsia="zh-CN"/>
        </w:rPr>
        <w:t>以来，</w:t>
      </w:r>
      <w:r>
        <w:rPr>
          <w:rFonts w:hint="eastAsia"/>
          <w:lang w:eastAsia="zh-CN"/>
        </w:rPr>
        <w:t>委员</w:t>
      </w:r>
      <w:r w:rsidRPr="00922FD8">
        <w:rPr>
          <w:rFonts w:hint="eastAsia"/>
          <w:lang w:eastAsia="zh-CN"/>
        </w:rPr>
        <w:t>会收到了就第</w:t>
      </w:r>
      <w:r w:rsidRPr="00922FD8">
        <w:rPr>
          <w:rFonts w:hint="eastAsia"/>
          <w:lang w:eastAsia="zh-CN"/>
        </w:rPr>
        <w:t>48</w:t>
      </w:r>
      <w:r w:rsidRPr="00922FD8">
        <w:rPr>
          <w:rFonts w:hint="eastAsia"/>
          <w:lang w:eastAsia="zh-CN"/>
        </w:rPr>
        <w:t>条制定程序规则的请求。</w:t>
      </w:r>
      <w:r w:rsidR="00B958C5">
        <w:rPr>
          <w:rFonts w:hint="eastAsia"/>
          <w:lang w:eastAsia="zh-CN"/>
        </w:rPr>
        <w:t>该</w:t>
      </w:r>
      <w:r w:rsidRPr="00922FD8">
        <w:rPr>
          <w:rFonts w:hint="eastAsia"/>
          <w:lang w:eastAsia="zh-CN"/>
        </w:rPr>
        <w:t>请求源于</w:t>
      </w:r>
      <w:r w:rsidR="007F518D">
        <w:rPr>
          <w:rFonts w:hint="eastAsia"/>
          <w:lang w:eastAsia="zh-CN"/>
        </w:rPr>
        <w:t>这样</w:t>
      </w:r>
      <w:r w:rsidRPr="00922FD8">
        <w:rPr>
          <w:rFonts w:hint="eastAsia"/>
          <w:lang w:eastAsia="zh-CN"/>
        </w:rPr>
        <w:t>的担忧，即针对地面频率</w:t>
      </w:r>
      <w:r w:rsidR="007F518D">
        <w:rPr>
          <w:rFonts w:hint="eastAsia"/>
          <w:lang w:eastAsia="zh-CN"/>
        </w:rPr>
        <w:t>指</w:t>
      </w:r>
      <w:r w:rsidRPr="00922FD8">
        <w:rPr>
          <w:rFonts w:hint="eastAsia"/>
          <w:lang w:eastAsia="zh-CN"/>
        </w:rPr>
        <w:t>配的协调请求而援引</w:t>
      </w:r>
      <w:r w:rsidR="007F518D">
        <w:rPr>
          <w:rFonts w:hint="eastAsia"/>
          <w:lang w:eastAsia="zh-CN"/>
        </w:rPr>
        <w:t>第</w:t>
      </w:r>
      <w:r w:rsidR="007F518D">
        <w:rPr>
          <w:rFonts w:hint="eastAsia"/>
          <w:lang w:eastAsia="zh-CN"/>
        </w:rPr>
        <w:t>4</w:t>
      </w:r>
      <w:r w:rsidR="007F518D">
        <w:rPr>
          <w:lang w:eastAsia="zh-CN"/>
        </w:rPr>
        <w:t>8</w:t>
      </w:r>
      <w:r w:rsidR="007F518D">
        <w:rPr>
          <w:rFonts w:hint="eastAsia"/>
          <w:lang w:eastAsia="zh-CN"/>
        </w:rPr>
        <w:t>条</w:t>
      </w:r>
      <w:r w:rsidRPr="00922FD8">
        <w:rPr>
          <w:rFonts w:hint="eastAsia"/>
          <w:lang w:eastAsia="zh-CN"/>
        </w:rPr>
        <w:t>，</w:t>
      </w:r>
      <w:r w:rsidR="007F518D">
        <w:rPr>
          <w:rFonts w:hint="eastAsia"/>
          <w:lang w:eastAsia="zh-CN"/>
        </w:rPr>
        <w:t>以</w:t>
      </w:r>
      <w:r w:rsidRPr="00922FD8">
        <w:rPr>
          <w:rFonts w:hint="eastAsia"/>
          <w:lang w:eastAsia="zh-CN"/>
        </w:rPr>
        <w:t>避免</w:t>
      </w:r>
      <w:proofErr w:type="gramStart"/>
      <w:r w:rsidRPr="00922FD8">
        <w:rPr>
          <w:rFonts w:hint="eastAsia"/>
          <w:lang w:eastAsia="zh-CN"/>
        </w:rPr>
        <w:t>提供</w:t>
      </w:r>
      <w:r w:rsidR="00941CEE">
        <w:rPr>
          <w:rFonts w:hint="eastAsia"/>
          <w:lang w:eastAsia="zh-CN"/>
        </w:rPr>
        <w:t>指</w:t>
      </w:r>
      <w:proofErr w:type="gramEnd"/>
      <w:r w:rsidR="00941CEE">
        <w:rPr>
          <w:rFonts w:hint="eastAsia"/>
          <w:lang w:eastAsia="zh-CN"/>
        </w:rPr>
        <w:t>配</w:t>
      </w:r>
      <w:r w:rsidRPr="00922FD8">
        <w:rPr>
          <w:rFonts w:hint="eastAsia"/>
          <w:lang w:eastAsia="zh-CN"/>
        </w:rPr>
        <w:t>特征，</w:t>
      </w:r>
      <w:r w:rsidR="00941CEE" w:rsidRPr="00922FD8">
        <w:rPr>
          <w:rFonts w:hint="eastAsia"/>
          <w:lang w:eastAsia="zh-CN"/>
        </w:rPr>
        <w:t>从而无法解决潜在干扰</w:t>
      </w:r>
      <w:r w:rsidR="00941CEE">
        <w:rPr>
          <w:rFonts w:hint="eastAsia"/>
          <w:lang w:eastAsia="zh-CN"/>
        </w:rPr>
        <w:t>问题，该指</w:t>
      </w:r>
      <w:proofErr w:type="gramStart"/>
      <w:r w:rsidR="00941CEE">
        <w:rPr>
          <w:rFonts w:hint="eastAsia"/>
          <w:lang w:eastAsia="zh-CN"/>
        </w:rPr>
        <w:t>配特征</w:t>
      </w:r>
      <w:proofErr w:type="gramEnd"/>
      <w:r w:rsidR="00941CEE">
        <w:rPr>
          <w:rFonts w:hint="eastAsia"/>
          <w:lang w:eastAsia="zh-CN"/>
        </w:rPr>
        <w:t>是提出反对的依据</w:t>
      </w:r>
      <w:r w:rsidRPr="00922FD8">
        <w:rPr>
          <w:rFonts w:hint="eastAsia"/>
          <w:lang w:eastAsia="zh-CN"/>
        </w:rPr>
        <w:t>。注意到</w:t>
      </w:r>
      <w:r w:rsidRPr="00922FD8">
        <w:rPr>
          <w:rFonts w:hint="eastAsia"/>
          <w:lang w:eastAsia="zh-CN"/>
        </w:rPr>
        <w:t>WRC-19</w:t>
      </w:r>
      <w:r w:rsidR="007034DD">
        <w:rPr>
          <w:rFonts w:hint="eastAsia"/>
          <w:lang w:eastAsia="zh-CN"/>
        </w:rPr>
        <w:t>已</w:t>
      </w:r>
      <w:r w:rsidRPr="00922FD8">
        <w:rPr>
          <w:rFonts w:hint="eastAsia"/>
          <w:lang w:eastAsia="zh-CN"/>
        </w:rPr>
        <w:t>邀请</w:t>
      </w:r>
      <w:r w:rsidRPr="00922FD8">
        <w:rPr>
          <w:rFonts w:hint="eastAsia"/>
          <w:lang w:eastAsia="zh-CN"/>
        </w:rPr>
        <w:t>PP-22</w:t>
      </w:r>
      <w:r w:rsidRPr="00922FD8">
        <w:rPr>
          <w:rFonts w:hint="eastAsia"/>
          <w:lang w:eastAsia="zh-CN"/>
        </w:rPr>
        <w:t>就援引第</w:t>
      </w:r>
      <w:r w:rsidRPr="00922FD8">
        <w:rPr>
          <w:rFonts w:hint="eastAsia"/>
          <w:lang w:eastAsia="zh-CN"/>
        </w:rPr>
        <w:t>48</w:t>
      </w:r>
      <w:r w:rsidRPr="00922FD8">
        <w:rPr>
          <w:rFonts w:hint="eastAsia"/>
          <w:lang w:eastAsia="zh-CN"/>
        </w:rPr>
        <w:t>条</w:t>
      </w:r>
      <w:r w:rsidR="007034DD">
        <w:rPr>
          <w:rFonts w:hint="eastAsia"/>
          <w:lang w:eastAsia="zh-CN"/>
        </w:rPr>
        <w:t>的问题</w:t>
      </w:r>
      <w:r w:rsidRPr="00922FD8">
        <w:rPr>
          <w:rFonts w:hint="eastAsia"/>
          <w:lang w:eastAsia="zh-CN"/>
        </w:rPr>
        <w:t>提供指导，</w:t>
      </w:r>
      <w:r w:rsidR="007034DD">
        <w:rPr>
          <w:rFonts w:hint="eastAsia"/>
          <w:lang w:eastAsia="zh-CN"/>
        </w:rPr>
        <w:t>委员</w:t>
      </w:r>
      <w:r w:rsidRPr="00922FD8">
        <w:rPr>
          <w:rFonts w:hint="eastAsia"/>
          <w:lang w:eastAsia="zh-CN"/>
        </w:rPr>
        <w:t>会决定在该阶段不制定在适用协调程序的情况下援引第</w:t>
      </w:r>
      <w:r w:rsidRPr="00922FD8">
        <w:rPr>
          <w:rFonts w:hint="eastAsia"/>
          <w:lang w:eastAsia="zh-CN"/>
        </w:rPr>
        <w:t>48</w:t>
      </w:r>
      <w:r w:rsidRPr="00922FD8">
        <w:rPr>
          <w:rFonts w:hint="eastAsia"/>
          <w:lang w:eastAsia="zh-CN"/>
        </w:rPr>
        <w:t>条的</w:t>
      </w:r>
      <w:r w:rsidR="007034DD">
        <w:rPr>
          <w:rFonts w:hint="eastAsia"/>
          <w:lang w:eastAsia="zh-CN"/>
        </w:rPr>
        <w:t>程序</w:t>
      </w:r>
      <w:r w:rsidRPr="00922FD8">
        <w:rPr>
          <w:rFonts w:hint="eastAsia"/>
          <w:lang w:eastAsia="zh-CN"/>
        </w:rPr>
        <w:t>规则。</w:t>
      </w:r>
    </w:p>
    <w:p w14:paraId="150996B6" w14:textId="5AC80758" w:rsidR="00D0100F" w:rsidRPr="00552495" w:rsidRDefault="00D71ABC" w:rsidP="00D0100F">
      <w:pPr>
        <w:pStyle w:val="Heading1"/>
        <w:tabs>
          <w:tab w:val="clear" w:pos="1701"/>
          <w:tab w:val="clear" w:pos="2268"/>
          <w:tab w:val="clear" w:pos="2835"/>
          <w:tab w:val="center" w:pos="4680"/>
        </w:tabs>
        <w:rPr>
          <w:lang w:val="en-CA" w:eastAsia="zh-CN"/>
        </w:rPr>
      </w:pPr>
      <w:r>
        <w:rPr>
          <w:rFonts w:hint="eastAsia"/>
          <w:lang w:val="en-CA" w:eastAsia="zh-CN"/>
        </w:rPr>
        <w:t>讨论</w:t>
      </w:r>
    </w:p>
    <w:p w14:paraId="2BE77D84" w14:textId="68CF2B1F" w:rsidR="00D0100F" w:rsidRPr="00075FCC" w:rsidRDefault="00186B28" w:rsidP="007F0452">
      <w:pPr>
        <w:ind w:firstLineChars="200" w:firstLine="480"/>
        <w:jc w:val="both"/>
        <w:rPr>
          <w:szCs w:val="24"/>
          <w:lang w:eastAsia="zh-CN"/>
        </w:rPr>
      </w:pPr>
      <w:r w:rsidRPr="00186B2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《</w:t>
      </w:r>
      <w:r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组织</w:t>
      </w:r>
      <w:r w:rsidRPr="00186B2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法》关于</w:t>
      </w:r>
      <w:r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国际电</w:t>
      </w:r>
      <w:proofErr w:type="gramStart"/>
      <w:r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联</w:t>
      </w:r>
      <w:r w:rsidR="00AE609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法规</w:t>
      </w:r>
      <w:proofErr w:type="gramEnd"/>
      <w:r w:rsidR="007F61C2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的执行</w:t>
      </w:r>
      <w:r w:rsidR="00AE609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的</w:t>
      </w:r>
      <w:r w:rsidRPr="00186B2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第</w:t>
      </w:r>
      <w:r w:rsidRPr="00186B2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6</w:t>
      </w:r>
      <w:r w:rsidRPr="00186B2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条承认，第</w:t>
      </w:r>
      <w:r w:rsidRPr="00186B2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48</w:t>
      </w:r>
      <w:r w:rsidRPr="00186B2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条免除了遵守</w:t>
      </w:r>
      <w:r w:rsidR="00AE609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《</w:t>
      </w:r>
      <w:r w:rsidRPr="00186B2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无线电</w:t>
      </w:r>
      <w:r w:rsidR="00AE609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规则》条款</w:t>
      </w:r>
      <w:r w:rsidRPr="00186B2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的总体义务。</w:t>
      </w:r>
      <w:r w:rsidR="00AE609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正如《组织法》第</w:t>
      </w:r>
      <w:r w:rsidR="00AE609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2</w:t>
      </w:r>
      <w:r w:rsidR="00AE6098">
        <w:rPr>
          <w:rStyle w:val="Emphasis"/>
          <w:rFonts w:asciiTheme="minorHAnsi" w:hAnsiTheme="minorHAnsi" w:cstheme="minorHAnsi"/>
          <w:i w:val="0"/>
          <w:iCs w:val="0"/>
          <w:szCs w:val="24"/>
          <w:lang w:eastAsia="zh-CN"/>
        </w:rPr>
        <w:t>02</w:t>
      </w:r>
      <w:r w:rsidR="00AE609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款</w:t>
      </w:r>
      <w:r w:rsidR="00C83DE5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所规定，</w:t>
      </w:r>
      <w:r w:rsidR="00AE609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第</w:t>
      </w:r>
      <w:r w:rsidR="00AE609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4</w:t>
      </w:r>
      <w:r w:rsidR="00AE6098">
        <w:rPr>
          <w:rStyle w:val="Emphasis"/>
          <w:rFonts w:asciiTheme="minorHAnsi" w:hAnsiTheme="minorHAnsi" w:cstheme="minorHAnsi"/>
          <w:i w:val="0"/>
          <w:iCs w:val="0"/>
          <w:szCs w:val="24"/>
          <w:lang w:eastAsia="zh-CN"/>
        </w:rPr>
        <w:t>8</w:t>
      </w:r>
      <w:r w:rsidR="00AE6098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条进一步认</w:t>
      </w:r>
      <w:bookmarkStart w:id="14" w:name="lt_pId037"/>
      <w:r w:rsidR="00C83DE5">
        <w:rPr>
          <w:rStyle w:val="Emphasis"/>
          <w:rFonts w:asciiTheme="minorHAnsi" w:hAnsiTheme="minorHAnsi" w:cstheme="minorHAnsi" w:hint="eastAsia"/>
          <w:i w:val="0"/>
          <w:iCs w:val="0"/>
          <w:szCs w:val="24"/>
          <w:lang w:eastAsia="zh-CN"/>
        </w:rPr>
        <w:t>可</w:t>
      </w:r>
      <w:r w:rsidR="00C83DE5" w:rsidRPr="00C83DE5">
        <w:rPr>
          <w:rFonts w:ascii="SimSun" w:hAnsi="SimSun"/>
          <w:szCs w:val="24"/>
          <w:lang w:eastAsia="zh-CN"/>
        </w:rPr>
        <w:t>“</w:t>
      </w:r>
      <w:r w:rsidR="00C83DE5" w:rsidRPr="00075FCC">
        <w:rPr>
          <w:rFonts w:ascii="STKaiti" w:eastAsia="STKaiti" w:hAnsi="STKaiti"/>
          <w:szCs w:val="24"/>
          <w:lang w:eastAsia="zh-CN"/>
        </w:rPr>
        <w:t>各成员国对于军用无线电设施保留其完全的自由权</w:t>
      </w:r>
      <w:r w:rsidR="00C83DE5" w:rsidRPr="00C83DE5">
        <w:rPr>
          <w:rFonts w:ascii="SimSun" w:hAnsi="SimSun"/>
          <w:iCs/>
          <w:szCs w:val="24"/>
          <w:lang w:eastAsia="zh-CN"/>
        </w:rPr>
        <w:t>”</w:t>
      </w:r>
      <w:r w:rsidR="00C83DE5">
        <w:rPr>
          <w:rFonts w:cs="Calibri" w:hint="eastAsia"/>
          <w:bCs/>
          <w:iCs/>
          <w:szCs w:val="24"/>
          <w:lang w:eastAsia="zh-CN"/>
        </w:rPr>
        <w:t>。</w:t>
      </w:r>
      <w:bookmarkEnd w:id="14"/>
      <w:r w:rsidR="00C83DE5" w:rsidRPr="00C83DE5">
        <w:rPr>
          <w:rFonts w:hint="eastAsia"/>
          <w:szCs w:val="24"/>
          <w:lang w:eastAsia="zh-CN"/>
        </w:rPr>
        <w:t>然而，第</w:t>
      </w:r>
      <w:r w:rsidR="00C83DE5" w:rsidRPr="00C83DE5">
        <w:rPr>
          <w:rFonts w:hint="eastAsia"/>
          <w:szCs w:val="24"/>
          <w:lang w:eastAsia="zh-CN"/>
        </w:rPr>
        <w:t>48</w:t>
      </w:r>
      <w:r w:rsidR="00C83DE5" w:rsidRPr="00C83DE5">
        <w:rPr>
          <w:rFonts w:hint="eastAsia"/>
          <w:szCs w:val="24"/>
          <w:lang w:eastAsia="zh-CN"/>
        </w:rPr>
        <w:t>条的</w:t>
      </w:r>
      <w:r w:rsidR="00EE368B">
        <w:rPr>
          <w:rFonts w:hint="eastAsia"/>
          <w:szCs w:val="24"/>
          <w:lang w:eastAsia="zh-CN"/>
        </w:rPr>
        <w:t>下列</w:t>
      </w:r>
      <w:r w:rsidR="00C83DE5" w:rsidRPr="00C83DE5">
        <w:rPr>
          <w:rFonts w:hint="eastAsia"/>
          <w:szCs w:val="24"/>
          <w:lang w:eastAsia="zh-CN"/>
        </w:rPr>
        <w:t>两项</w:t>
      </w:r>
      <w:r w:rsidR="00EE368B">
        <w:rPr>
          <w:rFonts w:hint="eastAsia"/>
          <w:szCs w:val="24"/>
          <w:lang w:eastAsia="zh-CN"/>
        </w:rPr>
        <w:t>规定</w:t>
      </w:r>
      <w:r w:rsidR="00C83DE5" w:rsidRPr="00C83DE5">
        <w:rPr>
          <w:rFonts w:hint="eastAsia"/>
          <w:szCs w:val="24"/>
          <w:lang w:eastAsia="zh-CN"/>
        </w:rPr>
        <w:t>确认，这一</w:t>
      </w:r>
      <w:r w:rsidR="00C83DE5">
        <w:rPr>
          <w:rFonts w:hint="eastAsia"/>
          <w:szCs w:val="24"/>
          <w:lang w:eastAsia="zh-CN"/>
        </w:rPr>
        <w:t>认可</w:t>
      </w:r>
      <w:r w:rsidR="00C83DE5" w:rsidRPr="00C83DE5">
        <w:rPr>
          <w:rFonts w:hint="eastAsia"/>
          <w:szCs w:val="24"/>
          <w:lang w:eastAsia="zh-CN"/>
        </w:rPr>
        <w:t>并不构成对《行政</w:t>
      </w:r>
      <w:r w:rsidR="00EE368B">
        <w:rPr>
          <w:rFonts w:hint="eastAsia"/>
          <w:szCs w:val="24"/>
          <w:lang w:eastAsia="zh-CN"/>
        </w:rPr>
        <w:t>规则</w:t>
      </w:r>
      <w:r w:rsidR="00C83DE5" w:rsidRPr="00C83DE5">
        <w:rPr>
          <w:rFonts w:hint="eastAsia"/>
          <w:szCs w:val="24"/>
          <w:lang w:eastAsia="zh-CN"/>
        </w:rPr>
        <w:t>》</w:t>
      </w:r>
      <w:r w:rsidR="00EE368B">
        <w:rPr>
          <w:rFonts w:hint="eastAsia"/>
          <w:szCs w:val="24"/>
          <w:lang w:eastAsia="zh-CN"/>
        </w:rPr>
        <w:t>条款</w:t>
      </w:r>
      <w:r w:rsidR="00C83DE5" w:rsidRPr="00C83DE5">
        <w:rPr>
          <w:rFonts w:hint="eastAsia"/>
          <w:szCs w:val="24"/>
          <w:lang w:eastAsia="zh-CN"/>
        </w:rPr>
        <w:t>的完全和明确的减损：</w:t>
      </w:r>
    </w:p>
    <w:p w14:paraId="6AC6E9AC" w14:textId="0A59000B" w:rsidR="00D0100F" w:rsidRPr="006B5D7F" w:rsidRDefault="00D0100F" w:rsidP="007F0452">
      <w:pPr>
        <w:keepNext/>
        <w:spacing w:before="360" w:line="276" w:lineRule="auto"/>
        <w:ind w:left="1134" w:right="284" w:hanging="1134"/>
        <w:rPr>
          <w:rStyle w:val="Emphasis"/>
          <w:rFonts w:ascii="STKaiti" w:eastAsia="STKaiti" w:hAnsi="STKaiti" w:cstheme="minorHAnsi"/>
          <w:b/>
          <w:bCs/>
          <w:lang w:eastAsia="zh-CN"/>
        </w:rPr>
      </w:pPr>
      <w:r w:rsidRPr="007F0452">
        <w:rPr>
          <w:rStyle w:val="Emphasis"/>
          <w:rFonts w:asciiTheme="minorHAnsi" w:hAnsiTheme="minorHAnsi" w:cstheme="minorHAnsi"/>
          <w:b/>
          <w:bCs/>
          <w:i w:val="0"/>
          <w:iCs w:val="0"/>
          <w:lang w:eastAsia="zh-CN"/>
        </w:rPr>
        <w:lastRenderedPageBreak/>
        <w:t>203</w:t>
      </w:r>
      <w:r w:rsidRPr="007F0452">
        <w:rPr>
          <w:rStyle w:val="Emphasis"/>
          <w:rFonts w:asciiTheme="minorHAnsi" w:hAnsiTheme="minorHAnsi" w:cstheme="minorHAnsi"/>
          <w:b/>
          <w:bCs/>
          <w:i w:val="0"/>
          <w:iCs w:val="0"/>
          <w:lang w:eastAsia="zh-CN"/>
        </w:rPr>
        <w:tab/>
        <w:t>2</w:t>
      </w:r>
      <w:r w:rsidRPr="005B05DC">
        <w:rPr>
          <w:rStyle w:val="Emphasis"/>
          <w:rFonts w:asciiTheme="minorHAnsi" w:hAnsiTheme="minorHAnsi" w:cstheme="minorHAnsi"/>
          <w:b/>
          <w:bCs/>
          <w:lang w:eastAsia="zh-CN"/>
        </w:rPr>
        <w:tab/>
      </w:r>
      <w:r w:rsidR="006B5D7F" w:rsidRPr="006B5D7F">
        <w:rPr>
          <w:rFonts w:ascii="STKaiti" w:eastAsia="STKaiti" w:hAnsi="STKaiti"/>
          <w:b/>
          <w:bCs/>
          <w:lang w:eastAsia="zh-CN"/>
        </w:rPr>
        <w:t>但是，这些设施必须</w:t>
      </w:r>
      <w:r w:rsidR="006B5D7F" w:rsidRPr="006B5D7F">
        <w:rPr>
          <w:rFonts w:ascii="STKaiti" w:eastAsia="STKaiti" w:hAnsi="STKaiti"/>
          <w:b/>
          <w:bCs/>
          <w:u w:val="single"/>
          <w:lang w:eastAsia="zh-CN"/>
        </w:rPr>
        <w:t>尽可能</w:t>
      </w:r>
      <w:r w:rsidR="006B5D7F" w:rsidRPr="006B5D7F">
        <w:rPr>
          <w:rFonts w:ascii="STKaiti" w:eastAsia="STKaiti" w:hAnsi="STKaiti"/>
          <w:b/>
          <w:bCs/>
          <w:lang w:eastAsia="zh-CN"/>
        </w:rPr>
        <w:t>遵守有关遇险时给予援助和采取防止有害干扰的措施的法定条款，并遵守</w:t>
      </w:r>
      <w:r w:rsidR="00EE368B">
        <w:rPr>
          <w:rFonts w:ascii="STKaiti" w:eastAsia="STKaiti" w:hAnsi="STKaiti" w:hint="eastAsia"/>
          <w:b/>
          <w:bCs/>
          <w:lang w:eastAsia="zh-CN"/>
        </w:rPr>
        <w:t>《</w:t>
      </w:r>
      <w:r w:rsidR="006B5D7F" w:rsidRPr="006B5D7F">
        <w:rPr>
          <w:rFonts w:ascii="STKaiti" w:eastAsia="STKaiti" w:hAnsi="STKaiti"/>
          <w:b/>
          <w:bCs/>
          <w:lang w:eastAsia="zh-CN"/>
        </w:rPr>
        <w:t>行政规则</w:t>
      </w:r>
      <w:r w:rsidR="00EE368B">
        <w:rPr>
          <w:rFonts w:ascii="STKaiti" w:eastAsia="STKaiti" w:hAnsi="STKaiti" w:hint="eastAsia"/>
          <w:b/>
          <w:bCs/>
          <w:lang w:eastAsia="zh-CN"/>
        </w:rPr>
        <w:t>》</w:t>
      </w:r>
      <w:r w:rsidR="006B5D7F" w:rsidRPr="006B5D7F">
        <w:rPr>
          <w:rFonts w:ascii="STKaiti" w:eastAsia="STKaiti" w:hAnsi="STKaiti"/>
          <w:b/>
          <w:bCs/>
          <w:lang w:eastAsia="zh-CN"/>
        </w:rPr>
        <w:t>中关于按其所提供业务的性质所使用的发射类型和频率的条款</w:t>
      </w:r>
      <w:r w:rsidR="006B5D7F" w:rsidRPr="006B5D7F">
        <w:rPr>
          <w:rFonts w:ascii="STKaiti" w:eastAsia="STKaiti" w:hAnsi="STKaiti" w:cs="SimSun" w:hint="eastAsia"/>
          <w:b/>
          <w:bCs/>
          <w:lang w:eastAsia="zh-CN"/>
        </w:rPr>
        <w:t>。</w:t>
      </w:r>
    </w:p>
    <w:p w14:paraId="6BFF5894" w14:textId="6643DEED" w:rsidR="00D0100F" w:rsidRPr="006B5D7F" w:rsidRDefault="00D0100F" w:rsidP="006B5D7F">
      <w:pPr>
        <w:spacing w:line="276" w:lineRule="auto"/>
        <w:ind w:left="1134" w:right="284" w:hanging="1134"/>
        <w:rPr>
          <w:rStyle w:val="Emphasis"/>
          <w:rFonts w:ascii="STKaiti" w:eastAsia="STKaiti" w:hAnsi="STKaiti" w:cstheme="minorHAnsi"/>
          <w:b/>
          <w:bCs/>
          <w:lang w:eastAsia="zh-CN"/>
        </w:rPr>
      </w:pPr>
      <w:r w:rsidRPr="007F0452">
        <w:rPr>
          <w:rStyle w:val="Emphasis"/>
          <w:rFonts w:asciiTheme="minorHAnsi" w:hAnsiTheme="minorHAnsi" w:cstheme="minorHAnsi"/>
          <w:b/>
          <w:bCs/>
          <w:i w:val="0"/>
          <w:iCs w:val="0"/>
          <w:lang w:eastAsia="zh-CN"/>
        </w:rPr>
        <w:t>204</w:t>
      </w:r>
      <w:r w:rsidRPr="007F0452">
        <w:rPr>
          <w:rStyle w:val="Emphasis"/>
          <w:rFonts w:asciiTheme="minorHAnsi" w:hAnsiTheme="minorHAnsi" w:cstheme="minorHAnsi"/>
          <w:b/>
          <w:bCs/>
          <w:i w:val="0"/>
          <w:iCs w:val="0"/>
          <w:lang w:eastAsia="zh-CN"/>
        </w:rPr>
        <w:tab/>
        <w:t>3</w:t>
      </w:r>
      <w:r w:rsidRPr="005B05DC">
        <w:rPr>
          <w:rStyle w:val="Emphasis"/>
          <w:rFonts w:asciiTheme="minorHAnsi" w:hAnsiTheme="minorHAnsi" w:cstheme="minorHAnsi"/>
          <w:b/>
          <w:bCs/>
          <w:lang w:eastAsia="zh-CN"/>
        </w:rPr>
        <w:tab/>
      </w:r>
      <w:r w:rsidR="006B5D7F" w:rsidRPr="006B5D7F">
        <w:rPr>
          <w:rFonts w:ascii="STKaiti" w:eastAsia="STKaiti" w:hAnsi="STKaiti"/>
          <w:b/>
          <w:bCs/>
          <w:lang w:eastAsia="zh-CN"/>
        </w:rPr>
        <w:t>此外，如果这种军用设施参予提供公众通信业务或</w:t>
      </w:r>
      <w:r w:rsidR="00EE368B">
        <w:rPr>
          <w:rFonts w:ascii="STKaiti" w:eastAsia="STKaiti" w:hAnsi="STKaiti" w:hint="eastAsia"/>
          <w:b/>
          <w:bCs/>
          <w:lang w:eastAsia="zh-CN"/>
        </w:rPr>
        <w:t>《</w:t>
      </w:r>
      <w:r w:rsidR="006B5D7F" w:rsidRPr="006B5D7F">
        <w:rPr>
          <w:rFonts w:ascii="STKaiti" w:eastAsia="STKaiti" w:hAnsi="STKaiti"/>
          <w:b/>
          <w:bCs/>
          <w:lang w:eastAsia="zh-CN"/>
        </w:rPr>
        <w:t>行政规则</w:t>
      </w:r>
      <w:r w:rsidR="00EE368B">
        <w:rPr>
          <w:rFonts w:ascii="STKaiti" w:eastAsia="STKaiti" w:hAnsi="STKaiti" w:hint="eastAsia"/>
          <w:b/>
          <w:bCs/>
          <w:lang w:eastAsia="zh-CN"/>
        </w:rPr>
        <w:t>》</w:t>
      </w:r>
      <w:r w:rsidR="006B5D7F" w:rsidRPr="006B5D7F">
        <w:rPr>
          <w:rFonts w:ascii="STKaiti" w:eastAsia="STKaiti" w:hAnsi="STKaiti"/>
          <w:b/>
          <w:bCs/>
          <w:lang w:eastAsia="zh-CN"/>
        </w:rPr>
        <w:t>所规定的其他业务，则</w:t>
      </w:r>
      <w:r w:rsidR="006B5D7F" w:rsidRPr="006B5D7F">
        <w:rPr>
          <w:rFonts w:ascii="STKaiti" w:eastAsia="STKaiti" w:hAnsi="STKaiti"/>
          <w:b/>
          <w:bCs/>
          <w:u w:val="single"/>
          <w:lang w:eastAsia="zh-CN"/>
        </w:rPr>
        <w:t>通常</w:t>
      </w:r>
      <w:r w:rsidR="006B5D7F" w:rsidRPr="006B5D7F">
        <w:rPr>
          <w:rFonts w:ascii="STKaiti" w:eastAsia="STKaiti" w:hAnsi="STKaiti"/>
          <w:b/>
          <w:bCs/>
          <w:lang w:eastAsia="zh-CN"/>
        </w:rPr>
        <w:t>必须遵守适用于此类业务的运营的监管条款</w:t>
      </w:r>
      <w:r w:rsidR="006B5D7F" w:rsidRPr="006B5D7F">
        <w:rPr>
          <w:rFonts w:ascii="STKaiti" w:eastAsia="STKaiti" w:hAnsi="STKaiti" w:cs="SimSun" w:hint="eastAsia"/>
          <w:b/>
          <w:bCs/>
          <w:lang w:eastAsia="zh-CN"/>
        </w:rPr>
        <w:t>。</w:t>
      </w:r>
    </w:p>
    <w:p w14:paraId="3DF61197" w14:textId="616F1E54" w:rsidR="00D0100F" w:rsidRPr="003C15FE" w:rsidRDefault="001A6B17" w:rsidP="007F0452">
      <w:pPr>
        <w:ind w:firstLineChars="200" w:firstLine="480"/>
        <w:rPr>
          <w:lang w:eastAsia="ar-SA"/>
        </w:rPr>
      </w:pPr>
      <w:r>
        <w:rPr>
          <w:rFonts w:hint="eastAsia"/>
          <w:lang w:eastAsia="zh-CN"/>
        </w:rPr>
        <w:t>委员会</w:t>
      </w:r>
      <w:proofErr w:type="spellStart"/>
      <w:r w:rsidRPr="001A6B17">
        <w:rPr>
          <w:rFonts w:hint="eastAsia"/>
          <w:lang w:eastAsia="ar-SA"/>
        </w:rPr>
        <w:t>认为</w:t>
      </w:r>
      <w:proofErr w:type="spellEnd"/>
      <w:r w:rsidRPr="001A6B17">
        <w:rPr>
          <w:rFonts w:hint="eastAsia"/>
          <w:lang w:eastAsia="ar-SA"/>
        </w:rPr>
        <w:t>，《</w:t>
      </w:r>
      <w:r w:rsidR="00057248">
        <w:rPr>
          <w:rFonts w:hint="eastAsia"/>
          <w:lang w:eastAsia="zh-CN"/>
        </w:rPr>
        <w:t>组织法</w:t>
      </w:r>
      <w:r w:rsidRPr="001A6B17">
        <w:rPr>
          <w:rFonts w:hint="eastAsia"/>
          <w:lang w:eastAsia="ar-SA"/>
        </w:rPr>
        <w:t>》</w:t>
      </w:r>
      <w:proofErr w:type="spellStart"/>
      <w:r w:rsidRPr="001A6B17">
        <w:rPr>
          <w:rFonts w:hint="eastAsia"/>
          <w:lang w:eastAsia="ar-SA"/>
        </w:rPr>
        <w:t>的这些</w:t>
      </w:r>
      <w:proofErr w:type="spellEnd"/>
      <w:r w:rsidR="00057248">
        <w:rPr>
          <w:rFonts w:hint="eastAsia"/>
          <w:lang w:eastAsia="zh-CN"/>
        </w:rPr>
        <w:t>条款</w:t>
      </w:r>
      <w:proofErr w:type="spellStart"/>
      <w:r w:rsidRPr="001A6B17">
        <w:rPr>
          <w:rFonts w:hint="eastAsia"/>
          <w:lang w:eastAsia="ar-SA"/>
        </w:rPr>
        <w:t>并不意味着可以通过援引第</w:t>
      </w:r>
      <w:proofErr w:type="spellEnd"/>
      <w:r w:rsidRPr="001A6B17">
        <w:rPr>
          <w:rFonts w:hint="eastAsia"/>
          <w:lang w:eastAsia="ar-SA"/>
        </w:rPr>
        <w:t>48</w:t>
      </w:r>
      <w:r w:rsidRPr="001A6B17">
        <w:rPr>
          <w:rFonts w:hint="eastAsia"/>
          <w:lang w:eastAsia="ar-SA"/>
        </w:rPr>
        <w:t>条</w:t>
      </w:r>
      <w:r w:rsidR="005F5540">
        <w:rPr>
          <w:rFonts w:hint="eastAsia"/>
          <w:lang w:eastAsia="zh-CN"/>
        </w:rPr>
        <w:t>而</w:t>
      </w:r>
      <w:r w:rsidR="007F0452">
        <w:rPr>
          <w:rFonts w:hint="eastAsia"/>
          <w:lang w:eastAsia="zh-CN"/>
        </w:rPr>
        <w:t>在</w:t>
      </w:r>
      <w:r w:rsidR="005F5540">
        <w:rPr>
          <w:rFonts w:hint="eastAsia"/>
          <w:lang w:eastAsia="zh-CN"/>
        </w:rPr>
        <w:t>不在</w:t>
      </w:r>
      <w:r w:rsidR="005F5540" w:rsidRPr="001A6B17">
        <w:rPr>
          <w:rFonts w:hint="eastAsia"/>
          <w:lang w:eastAsia="ar-SA"/>
        </w:rPr>
        <w:t>MIFR</w:t>
      </w:r>
      <w:proofErr w:type="spellStart"/>
      <w:r w:rsidR="005F5540" w:rsidRPr="007F0452">
        <w:rPr>
          <w:rFonts w:hint="eastAsia"/>
          <w:spacing w:val="2"/>
          <w:lang w:eastAsia="ar-SA"/>
        </w:rPr>
        <w:t>中成功记录相关频率</w:t>
      </w:r>
      <w:proofErr w:type="spellEnd"/>
      <w:r w:rsidR="005F5540" w:rsidRPr="007F0452">
        <w:rPr>
          <w:rFonts w:hint="eastAsia"/>
          <w:spacing w:val="2"/>
          <w:lang w:eastAsia="zh-CN"/>
        </w:rPr>
        <w:t>指配的情况下</w:t>
      </w:r>
      <w:proofErr w:type="spellStart"/>
      <w:r w:rsidRPr="007F0452">
        <w:rPr>
          <w:rFonts w:hint="eastAsia"/>
          <w:spacing w:val="2"/>
          <w:lang w:eastAsia="ar-SA"/>
        </w:rPr>
        <w:t>获得</w:t>
      </w:r>
      <w:proofErr w:type="spellEnd"/>
      <w:r w:rsidR="005F5540" w:rsidRPr="007F0452">
        <w:rPr>
          <w:rFonts w:hint="eastAsia"/>
          <w:spacing w:val="2"/>
          <w:lang w:eastAsia="zh-CN"/>
        </w:rPr>
        <w:t>并</w:t>
      </w:r>
      <w:r w:rsidR="00057248" w:rsidRPr="007F0452">
        <w:rPr>
          <w:rFonts w:hint="eastAsia"/>
          <w:spacing w:val="2"/>
          <w:lang w:eastAsia="zh-CN"/>
        </w:rPr>
        <w:t>保持</w:t>
      </w:r>
      <w:proofErr w:type="spellStart"/>
      <w:r w:rsidRPr="007F0452">
        <w:rPr>
          <w:rFonts w:hint="eastAsia"/>
          <w:spacing w:val="2"/>
          <w:lang w:eastAsia="ar-SA"/>
        </w:rPr>
        <w:t>国际</w:t>
      </w:r>
      <w:proofErr w:type="spellEnd"/>
      <w:r w:rsidR="00057248" w:rsidRPr="007F0452">
        <w:rPr>
          <w:rFonts w:hint="eastAsia"/>
          <w:spacing w:val="2"/>
          <w:lang w:eastAsia="zh-CN"/>
        </w:rPr>
        <w:t>认可</w:t>
      </w:r>
      <w:proofErr w:type="spellStart"/>
      <w:r w:rsidRPr="007F0452">
        <w:rPr>
          <w:rFonts w:hint="eastAsia"/>
          <w:spacing w:val="2"/>
          <w:lang w:eastAsia="ar-SA"/>
        </w:rPr>
        <w:t>和保护的权利。此外</w:t>
      </w:r>
      <w:proofErr w:type="spellEnd"/>
      <w:r w:rsidRPr="007F0452">
        <w:rPr>
          <w:rFonts w:hint="eastAsia"/>
          <w:spacing w:val="2"/>
          <w:lang w:eastAsia="ar-SA"/>
        </w:rPr>
        <w:t>，</w:t>
      </w:r>
      <w:r w:rsidR="00057248" w:rsidRPr="007F0452">
        <w:rPr>
          <w:rFonts w:hint="eastAsia"/>
          <w:spacing w:val="2"/>
          <w:lang w:eastAsia="zh-CN"/>
        </w:rPr>
        <w:t>委员会</w:t>
      </w:r>
      <w:proofErr w:type="spellStart"/>
      <w:r w:rsidRPr="007F0452">
        <w:rPr>
          <w:rFonts w:hint="eastAsia"/>
          <w:spacing w:val="2"/>
          <w:lang w:eastAsia="ar-SA"/>
        </w:rPr>
        <w:t>非常关注第</w:t>
      </w:r>
      <w:proofErr w:type="spellEnd"/>
      <w:r w:rsidRPr="001A6B17">
        <w:rPr>
          <w:rFonts w:hint="eastAsia"/>
          <w:lang w:eastAsia="ar-SA"/>
        </w:rPr>
        <w:t>48</w:t>
      </w:r>
      <w:proofErr w:type="spellStart"/>
      <w:r w:rsidRPr="001A6B17">
        <w:rPr>
          <w:rFonts w:hint="eastAsia"/>
          <w:lang w:eastAsia="ar-SA"/>
        </w:rPr>
        <w:t>条被滥用的可能性，以及这种滥用将如何严重损害监管框架的完整性</w:t>
      </w:r>
      <w:proofErr w:type="spellEnd"/>
      <w:r w:rsidRPr="001A6B17">
        <w:rPr>
          <w:rFonts w:hint="eastAsia"/>
          <w:lang w:eastAsia="ar-SA"/>
        </w:rPr>
        <w:t>。</w:t>
      </w:r>
      <w:r w:rsidR="005F5540">
        <w:rPr>
          <w:rFonts w:hint="eastAsia"/>
          <w:lang w:eastAsia="zh-CN"/>
        </w:rPr>
        <w:t>再者</w:t>
      </w:r>
      <w:r w:rsidRPr="001A6B17">
        <w:rPr>
          <w:rFonts w:hint="eastAsia"/>
          <w:lang w:eastAsia="ar-SA"/>
        </w:rPr>
        <w:t>，</w:t>
      </w:r>
      <w:r w:rsidR="005F5540">
        <w:rPr>
          <w:rFonts w:hint="eastAsia"/>
          <w:lang w:eastAsia="zh-CN"/>
        </w:rPr>
        <w:t>倘若</w:t>
      </w:r>
      <w:proofErr w:type="spellStart"/>
      <w:r w:rsidRPr="001A6B17">
        <w:rPr>
          <w:rFonts w:hint="eastAsia"/>
          <w:lang w:eastAsia="ar-SA"/>
        </w:rPr>
        <w:t>似有相互矛盾的信息表明</w:t>
      </w:r>
      <w:proofErr w:type="spellEnd"/>
      <w:r w:rsidR="005F5540">
        <w:rPr>
          <w:rFonts w:hint="eastAsia"/>
          <w:lang w:eastAsia="zh-CN"/>
        </w:rPr>
        <w:t>，</w:t>
      </w:r>
      <w:proofErr w:type="spellStart"/>
      <w:r w:rsidRPr="001A6B17">
        <w:rPr>
          <w:rFonts w:hint="eastAsia"/>
          <w:lang w:eastAsia="ar-SA"/>
        </w:rPr>
        <w:t>援引第</w:t>
      </w:r>
      <w:proofErr w:type="spellEnd"/>
      <w:r w:rsidRPr="001A6B17">
        <w:rPr>
          <w:rFonts w:hint="eastAsia"/>
          <w:lang w:eastAsia="ar-SA"/>
        </w:rPr>
        <w:t>48</w:t>
      </w:r>
      <w:r w:rsidRPr="001A6B17">
        <w:rPr>
          <w:rFonts w:hint="eastAsia"/>
          <w:lang w:eastAsia="ar-SA"/>
        </w:rPr>
        <w:t>条</w:t>
      </w:r>
      <w:r w:rsidR="005F5540">
        <w:rPr>
          <w:rFonts w:hint="eastAsia"/>
          <w:lang w:eastAsia="zh-CN"/>
        </w:rPr>
        <w:t>所针对</w:t>
      </w:r>
      <w:proofErr w:type="spellStart"/>
      <w:r w:rsidRPr="001A6B17">
        <w:rPr>
          <w:rFonts w:hint="eastAsia"/>
          <w:lang w:eastAsia="ar-SA"/>
        </w:rPr>
        <w:t>的频率</w:t>
      </w:r>
      <w:proofErr w:type="spellEnd"/>
      <w:r w:rsidR="005F5540">
        <w:rPr>
          <w:rFonts w:hint="eastAsia"/>
          <w:lang w:eastAsia="zh-CN"/>
        </w:rPr>
        <w:t>指配并非用</w:t>
      </w:r>
      <w:proofErr w:type="spellStart"/>
      <w:r w:rsidRPr="001A6B17">
        <w:rPr>
          <w:rFonts w:hint="eastAsia"/>
          <w:lang w:eastAsia="ar-SA"/>
        </w:rPr>
        <w:t>于军事无线电设施</w:t>
      </w:r>
      <w:proofErr w:type="spellEnd"/>
      <w:r w:rsidRPr="001A6B17">
        <w:rPr>
          <w:rFonts w:hint="eastAsia"/>
          <w:lang w:eastAsia="ar-SA"/>
        </w:rPr>
        <w:t>，</w:t>
      </w:r>
      <w:r w:rsidR="005F5540">
        <w:rPr>
          <w:rFonts w:hint="eastAsia"/>
          <w:lang w:eastAsia="zh-CN"/>
        </w:rPr>
        <w:t>则</w:t>
      </w:r>
      <w:proofErr w:type="spellStart"/>
      <w:r w:rsidRPr="001A6B17">
        <w:rPr>
          <w:rFonts w:hint="eastAsia"/>
          <w:lang w:eastAsia="ar-SA"/>
        </w:rPr>
        <w:t>委员会应请有关</w:t>
      </w:r>
      <w:proofErr w:type="spellEnd"/>
      <w:r w:rsidR="005F5540">
        <w:rPr>
          <w:rFonts w:hint="eastAsia"/>
          <w:lang w:eastAsia="zh-CN"/>
        </w:rPr>
        <w:t>主管</w:t>
      </w:r>
      <w:proofErr w:type="spellStart"/>
      <w:r w:rsidRPr="001A6B17">
        <w:rPr>
          <w:rFonts w:hint="eastAsia"/>
          <w:lang w:eastAsia="ar-SA"/>
        </w:rPr>
        <w:t>部门作出澄清</w:t>
      </w:r>
      <w:proofErr w:type="spellEnd"/>
      <w:r w:rsidRPr="001A6B17">
        <w:rPr>
          <w:rFonts w:hint="eastAsia"/>
          <w:lang w:eastAsia="ar-SA"/>
        </w:rPr>
        <w:t>。</w:t>
      </w:r>
    </w:p>
    <w:p w14:paraId="240D9005" w14:textId="04111EAD" w:rsidR="00D0100F" w:rsidRPr="003C15FE" w:rsidRDefault="00D71ABC" w:rsidP="00D0100F">
      <w:pPr>
        <w:pStyle w:val="Heading1"/>
        <w:spacing w:before="240"/>
        <w:rPr>
          <w:lang w:eastAsia="ar-SA"/>
        </w:rPr>
      </w:pPr>
      <w:r>
        <w:rPr>
          <w:rFonts w:hint="eastAsia"/>
          <w:lang w:eastAsia="zh-CN"/>
        </w:rPr>
        <w:t>结论</w:t>
      </w:r>
    </w:p>
    <w:p w14:paraId="375AD234" w14:textId="647F7E21" w:rsidR="00D0100F" w:rsidRPr="003C15FE" w:rsidRDefault="00D0100F" w:rsidP="007F0452">
      <w:pPr>
        <w:ind w:firstLineChars="200" w:firstLine="480"/>
        <w:rPr>
          <w:lang w:eastAsia="ar-SA"/>
        </w:rPr>
      </w:pPr>
      <w:r w:rsidRPr="003C15FE">
        <w:rPr>
          <w:noProof/>
          <w:lang w:eastAsia="zh-C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975694F" wp14:editId="6855C341">
                <wp:simplePos x="0" y="0"/>
                <wp:positionH relativeFrom="column">
                  <wp:posOffset>6153402</wp:posOffset>
                </wp:positionH>
                <wp:positionV relativeFrom="paragraph">
                  <wp:posOffset>619498</wp:posOffset>
                </wp:positionV>
                <wp:extent cx="22320" cy="10440"/>
                <wp:effectExtent l="38100" t="38100" r="53975" b="4699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232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48BF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83.8pt;margin-top:48.05pt;width:3.1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">
                <v:imagedata r:id="rId10" o:title=""/>
              </v:shape>
            </w:pict>
          </mc:Fallback>
        </mc:AlternateContent>
      </w:r>
      <w:r w:rsidR="0022315C">
        <w:rPr>
          <w:rFonts w:hint="eastAsia"/>
          <w:lang w:eastAsia="zh-CN"/>
        </w:rPr>
        <w:t>委员会</w:t>
      </w:r>
      <w:proofErr w:type="spellStart"/>
      <w:r w:rsidR="0022315C" w:rsidRPr="0022315C">
        <w:rPr>
          <w:rFonts w:hint="eastAsia"/>
          <w:lang w:eastAsia="ar-SA"/>
        </w:rPr>
        <w:t>认为，有必要澄清</w:t>
      </w:r>
      <w:proofErr w:type="spellEnd"/>
      <w:r w:rsidR="0022315C">
        <w:rPr>
          <w:rFonts w:hint="eastAsia"/>
          <w:lang w:eastAsia="zh-CN"/>
        </w:rPr>
        <w:t>对</w:t>
      </w:r>
      <w:r w:rsidR="0022315C" w:rsidRPr="0022315C">
        <w:rPr>
          <w:rFonts w:hint="eastAsia"/>
          <w:lang w:eastAsia="ar-SA"/>
        </w:rPr>
        <w:t>《</w:t>
      </w:r>
      <w:proofErr w:type="spellStart"/>
      <w:r w:rsidR="0022315C" w:rsidRPr="0022315C">
        <w:rPr>
          <w:rFonts w:hint="eastAsia"/>
          <w:lang w:eastAsia="ar-SA"/>
        </w:rPr>
        <w:t>无线电</w:t>
      </w:r>
      <w:proofErr w:type="spellEnd"/>
      <w:r w:rsidR="0022315C">
        <w:rPr>
          <w:rFonts w:hint="eastAsia"/>
          <w:lang w:eastAsia="zh-CN"/>
        </w:rPr>
        <w:t>规则</w:t>
      </w:r>
      <w:r w:rsidR="0022315C" w:rsidRPr="0022315C">
        <w:rPr>
          <w:rFonts w:hint="eastAsia"/>
          <w:lang w:eastAsia="ar-SA"/>
        </w:rPr>
        <w:t>》</w:t>
      </w:r>
      <w:r w:rsidR="0022315C">
        <w:rPr>
          <w:rFonts w:hint="eastAsia"/>
          <w:lang w:eastAsia="zh-CN"/>
        </w:rPr>
        <w:t>援引</w:t>
      </w:r>
      <w:r w:rsidR="0022315C" w:rsidRPr="0022315C">
        <w:rPr>
          <w:rFonts w:hint="eastAsia"/>
          <w:lang w:eastAsia="ar-SA"/>
        </w:rPr>
        <w:t>第</w:t>
      </w:r>
      <w:r w:rsidR="0022315C" w:rsidRPr="0022315C">
        <w:rPr>
          <w:rFonts w:hint="eastAsia"/>
          <w:lang w:eastAsia="ar-SA"/>
        </w:rPr>
        <w:t>48</w:t>
      </w:r>
      <w:proofErr w:type="spellStart"/>
      <w:r w:rsidR="0022315C" w:rsidRPr="0022315C">
        <w:rPr>
          <w:rFonts w:hint="eastAsia"/>
          <w:lang w:eastAsia="ar-SA"/>
        </w:rPr>
        <w:t>条的</w:t>
      </w:r>
      <w:proofErr w:type="spellEnd"/>
      <w:r w:rsidR="0022315C">
        <w:rPr>
          <w:rFonts w:hint="eastAsia"/>
          <w:lang w:eastAsia="zh-CN"/>
        </w:rPr>
        <w:t>问题</w:t>
      </w:r>
      <w:r w:rsidR="0022315C" w:rsidRPr="0022315C">
        <w:rPr>
          <w:rFonts w:hint="eastAsia"/>
          <w:lang w:eastAsia="ar-SA"/>
        </w:rPr>
        <w:t>，</w:t>
      </w:r>
      <w:proofErr w:type="spellStart"/>
      <w:r w:rsidR="0022315C" w:rsidRPr="0022315C">
        <w:rPr>
          <w:rFonts w:hint="eastAsia"/>
          <w:lang w:eastAsia="ar-SA"/>
        </w:rPr>
        <w:t>此外，有必要避免滥用其</w:t>
      </w:r>
      <w:proofErr w:type="spellEnd"/>
      <w:r w:rsidR="0022315C">
        <w:rPr>
          <w:rFonts w:hint="eastAsia"/>
          <w:lang w:eastAsia="zh-CN"/>
        </w:rPr>
        <w:t>应</w:t>
      </w:r>
      <w:r w:rsidR="0022315C" w:rsidRPr="0022315C">
        <w:rPr>
          <w:rFonts w:hint="eastAsia"/>
          <w:lang w:eastAsia="ar-SA"/>
        </w:rPr>
        <w:t>用。</w:t>
      </w:r>
      <w:r w:rsidR="0022315C">
        <w:rPr>
          <w:rFonts w:hint="eastAsia"/>
          <w:lang w:eastAsia="zh-CN"/>
        </w:rPr>
        <w:t>委员会</w:t>
      </w:r>
      <w:proofErr w:type="spellStart"/>
      <w:r w:rsidR="0022315C" w:rsidRPr="0022315C">
        <w:rPr>
          <w:rFonts w:hint="eastAsia"/>
          <w:lang w:eastAsia="ar-SA"/>
        </w:rPr>
        <w:t>寻求</w:t>
      </w:r>
      <w:proofErr w:type="spellEnd"/>
      <w:r w:rsidR="0022315C">
        <w:rPr>
          <w:rFonts w:hint="eastAsia"/>
          <w:lang w:eastAsia="zh-CN"/>
        </w:rPr>
        <w:t>可用于</w:t>
      </w:r>
      <w:proofErr w:type="spellStart"/>
      <w:r w:rsidR="0022315C" w:rsidRPr="0022315C">
        <w:rPr>
          <w:rFonts w:hint="eastAsia"/>
          <w:lang w:eastAsia="ar-SA"/>
        </w:rPr>
        <w:t>处理第</w:t>
      </w:r>
      <w:proofErr w:type="spellEnd"/>
      <w:r w:rsidR="0022315C" w:rsidRPr="0022315C">
        <w:rPr>
          <w:rFonts w:hint="eastAsia"/>
          <w:lang w:eastAsia="ar-SA"/>
        </w:rPr>
        <w:t>48</w:t>
      </w:r>
      <w:proofErr w:type="spellStart"/>
      <w:r w:rsidR="0022315C" w:rsidRPr="0022315C">
        <w:rPr>
          <w:rFonts w:hint="eastAsia"/>
          <w:lang w:eastAsia="ar-SA"/>
        </w:rPr>
        <w:t>条下</w:t>
      </w:r>
      <w:proofErr w:type="spellEnd"/>
      <w:r w:rsidR="0022315C">
        <w:rPr>
          <w:rFonts w:hint="eastAsia"/>
          <w:lang w:eastAsia="zh-CN"/>
        </w:rPr>
        <w:t>的情况</w:t>
      </w:r>
      <w:proofErr w:type="spellStart"/>
      <w:r w:rsidR="0022315C" w:rsidRPr="0022315C">
        <w:rPr>
          <w:rFonts w:hint="eastAsia"/>
          <w:lang w:eastAsia="ar-SA"/>
        </w:rPr>
        <w:t>的指导</w:t>
      </w:r>
      <w:proofErr w:type="spellEnd"/>
      <w:r w:rsidR="0022315C" w:rsidRPr="0022315C">
        <w:rPr>
          <w:rFonts w:hint="eastAsia"/>
          <w:lang w:eastAsia="ar-SA"/>
        </w:rPr>
        <w:t>。</w:t>
      </w:r>
      <w:r w:rsidR="0022315C">
        <w:rPr>
          <w:rFonts w:hint="eastAsia"/>
          <w:lang w:eastAsia="zh-CN"/>
        </w:rPr>
        <w:t>委员会</w:t>
      </w:r>
      <w:r w:rsidR="0022315C" w:rsidRPr="0022315C">
        <w:rPr>
          <w:rFonts w:hint="eastAsia"/>
          <w:lang w:eastAsia="ar-SA"/>
        </w:rPr>
        <w:t>请</w:t>
      </w:r>
      <w:r w:rsidR="0022315C" w:rsidRPr="0022315C">
        <w:rPr>
          <w:rFonts w:hint="eastAsia"/>
          <w:lang w:eastAsia="ar-SA"/>
        </w:rPr>
        <w:t>PP-22</w:t>
      </w:r>
      <w:proofErr w:type="spellStart"/>
      <w:r w:rsidR="0022315C" w:rsidRPr="0022315C">
        <w:rPr>
          <w:rFonts w:hint="eastAsia"/>
          <w:lang w:eastAsia="ar-SA"/>
        </w:rPr>
        <w:t>确认</w:t>
      </w:r>
      <w:proofErr w:type="spellEnd"/>
      <w:r w:rsidR="0022315C" w:rsidRPr="0022315C">
        <w:rPr>
          <w:rFonts w:hint="eastAsia"/>
          <w:lang w:eastAsia="ar-SA"/>
        </w:rPr>
        <w:t>：</w:t>
      </w:r>
    </w:p>
    <w:p w14:paraId="323EEC2F" w14:textId="60EAEB3D" w:rsidR="00D0100F" w:rsidRPr="005B05DC" w:rsidRDefault="00D0100F" w:rsidP="00D0100F">
      <w:pPr>
        <w:pStyle w:val="enumlev1"/>
        <w:rPr>
          <w:lang w:eastAsia="ar-SA"/>
        </w:rPr>
      </w:pPr>
      <w:r w:rsidRPr="003C15FE">
        <w:rPr>
          <w:lang w:eastAsia="ar-SA"/>
        </w:rPr>
        <w:t>1)</w:t>
      </w:r>
      <w:r w:rsidRPr="003C15FE">
        <w:rPr>
          <w:lang w:eastAsia="ar-SA"/>
        </w:rPr>
        <w:tab/>
      </w:r>
      <w:proofErr w:type="gramStart"/>
      <w:r w:rsidR="0022315C">
        <w:rPr>
          <w:rFonts w:hint="eastAsia"/>
          <w:lang w:eastAsia="zh-CN"/>
        </w:rPr>
        <w:t>针对频率指配</w:t>
      </w:r>
      <w:proofErr w:type="spellStart"/>
      <w:r w:rsidR="0022315C" w:rsidRPr="0022315C">
        <w:rPr>
          <w:rFonts w:hint="eastAsia"/>
          <w:lang w:eastAsia="ar-SA"/>
        </w:rPr>
        <w:t>援引第</w:t>
      </w:r>
      <w:proofErr w:type="spellEnd"/>
      <w:r w:rsidR="0022315C" w:rsidRPr="0022315C">
        <w:rPr>
          <w:rFonts w:hint="eastAsia"/>
          <w:lang w:eastAsia="ar-SA"/>
        </w:rPr>
        <w:t>48</w:t>
      </w:r>
      <w:proofErr w:type="spellStart"/>
      <w:r w:rsidR="0022315C" w:rsidRPr="0022315C">
        <w:rPr>
          <w:rFonts w:hint="eastAsia"/>
          <w:lang w:eastAsia="ar-SA"/>
        </w:rPr>
        <w:t>条的成员国须将这些频率</w:t>
      </w:r>
      <w:proofErr w:type="spellEnd"/>
      <w:r w:rsidR="00893B1D">
        <w:rPr>
          <w:rFonts w:hint="eastAsia"/>
          <w:lang w:eastAsia="zh-CN"/>
        </w:rPr>
        <w:t>指</w:t>
      </w:r>
      <w:proofErr w:type="spellStart"/>
      <w:r w:rsidR="0022315C" w:rsidRPr="0022315C">
        <w:rPr>
          <w:rFonts w:hint="eastAsia"/>
          <w:lang w:eastAsia="ar-SA"/>
        </w:rPr>
        <w:t>配专门用于军事无线电设施</w:t>
      </w:r>
      <w:proofErr w:type="spellEnd"/>
      <w:r w:rsidR="0022315C" w:rsidRPr="0022315C">
        <w:rPr>
          <w:rFonts w:hint="eastAsia"/>
          <w:lang w:eastAsia="ar-SA"/>
        </w:rPr>
        <w:t>；</w:t>
      </w:r>
      <w:proofErr w:type="gramEnd"/>
    </w:p>
    <w:p w14:paraId="32F79201" w14:textId="17441719" w:rsidR="00D0100F" w:rsidRPr="005B05DC" w:rsidRDefault="00D0100F" w:rsidP="00D0100F">
      <w:pPr>
        <w:pStyle w:val="enumlev1"/>
        <w:rPr>
          <w:lang w:eastAsia="zh-CN"/>
        </w:rPr>
      </w:pPr>
      <w:r w:rsidRPr="005B05DC">
        <w:rPr>
          <w:lang w:eastAsia="zh-CN"/>
        </w:rPr>
        <w:t>2)</w:t>
      </w:r>
      <w:r w:rsidRPr="005B05DC">
        <w:rPr>
          <w:lang w:eastAsia="zh-CN"/>
        </w:rPr>
        <w:tab/>
      </w:r>
      <w:proofErr w:type="gramStart"/>
      <w:r w:rsidR="00893B1D">
        <w:rPr>
          <w:rFonts w:hint="eastAsia"/>
          <w:lang w:eastAsia="zh-CN"/>
        </w:rPr>
        <w:t>不得针对</w:t>
      </w:r>
      <w:r w:rsidR="0022315C" w:rsidRPr="0022315C">
        <w:rPr>
          <w:rFonts w:hint="eastAsia"/>
          <w:lang w:eastAsia="zh-CN"/>
        </w:rPr>
        <w:t>非军事无线电设施或军事和非军事</w:t>
      </w:r>
      <w:r w:rsidR="00893B1D">
        <w:rPr>
          <w:rFonts w:hint="eastAsia"/>
          <w:lang w:eastAsia="zh-CN"/>
        </w:rPr>
        <w:t>兼有的</w:t>
      </w:r>
      <w:r w:rsidR="0022315C" w:rsidRPr="0022315C">
        <w:rPr>
          <w:rFonts w:hint="eastAsia"/>
          <w:lang w:eastAsia="zh-CN"/>
        </w:rPr>
        <w:t>无线电设施</w:t>
      </w:r>
      <w:r w:rsidR="00893B1D">
        <w:rPr>
          <w:rFonts w:hint="eastAsia"/>
          <w:lang w:eastAsia="zh-CN"/>
        </w:rPr>
        <w:t>所</w:t>
      </w:r>
      <w:r w:rsidR="0022315C" w:rsidRPr="0022315C">
        <w:rPr>
          <w:rFonts w:hint="eastAsia"/>
          <w:lang w:eastAsia="zh-CN"/>
        </w:rPr>
        <w:t>使用的频率</w:t>
      </w:r>
      <w:r w:rsidR="00893B1D">
        <w:rPr>
          <w:rFonts w:hint="eastAsia"/>
          <w:lang w:eastAsia="zh-CN"/>
        </w:rPr>
        <w:t>指</w:t>
      </w:r>
      <w:r w:rsidR="0022315C" w:rsidRPr="0022315C">
        <w:rPr>
          <w:rFonts w:hint="eastAsia"/>
          <w:lang w:eastAsia="zh-CN"/>
        </w:rPr>
        <w:t>配援引第</w:t>
      </w:r>
      <w:r w:rsidR="0022315C" w:rsidRPr="0022315C">
        <w:rPr>
          <w:rFonts w:hint="eastAsia"/>
          <w:lang w:eastAsia="zh-CN"/>
        </w:rPr>
        <w:t>48</w:t>
      </w:r>
      <w:r w:rsidR="0022315C" w:rsidRPr="0022315C">
        <w:rPr>
          <w:rFonts w:hint="eastAsia"/>
          <w:lang w:eastAsia="zh-CN"/>
        </w:rPr>
        <w:t>条；</w:t>
      </w:r>
      <w:proofErr w:type="gramEnd"/>
    </w:p>
    <w:p w14:paraId="5EA8FC6A" w14:textId="3A4BF176" w:rsidR="00D0100F" w:rsidRPr="005B05DC" w:rsidRDefault="00D0100F" w:rsidP="00D0100F">
      <w:pPr>
        <w:pStyle w:val="enumlev1"/>
        <w:rPr>
          <w:lang w:eastAsia="zh-CN"/>
        </w:rPr>
      </w:pPr>
      <w:r w:rsidRPr="005B05DC">
        <w:rPr>
          <w:lang w:eastAsia="zh-CN"/>
        </w:rPr>
        <w:t>3)</w:t>
      </w:r>
      <w:r w:rsidRPr="005B05DC">
        <w:rPr>
          <w:lang w:eastAsia="zh-CN"/>
        </w:rPr>
        <w:tab/>
      </w:r>
      <w:r w:rsidR="0022315C" w:rsidRPr="0022315C">
        <w:rPr>
          <w:rFonts w:hint="eastAsia"/>
          <w:lang w:eastAsia="zh-CN"/>
        </w:rPr>
        <w:t>如果从可靠信息来看，援引第</w:t>
      </w:r>
      <w:r w:rsidR="0022315C" w:rsidRPr="0022315C">
        <w:rPr>
          <w:rFonts w:hint="eastAsia"/>
          <w:lang w:eastAsia="zh-CN"/>
        </w:rPr>
        <w:t>48</w:t>
      </w:r>
      <w:r w:rsidR="0022315C" w:rsidRPr="0022315C">
        <w:rPr>
          <w:rFonts w:hint="eastAsia"/>
          <w:lang w:eastAsia="zh-CN"/>
        </w:rPr>
        <w:t>条</w:t>
      </w:r>
      <w:r w:rsidR="00893B1D">
        <w:rPr>
          <w:rFonts w:hint="eastAsia"/>
          <w:lang w:eastAsia="zh-CN"/>
        </w:rPr>
        <w:t>所针对</w:t>
      </w:r>
      <w:r w:rsidR="0022315C" w:rsidRPr="0022315C">
        <w:rPr>
          <w:rFonts w:hint="eastAsia"/>
          <w:lang w:eastAsia="zh-CN"/>
        </w:rPr>
        <w:t>的</w:t>
      </w:r>
      <w:r w:rsidR="00893B1D">
        <w:rPr>
          <w:rFonts w:hint="eastAsia"/>
          <w:lang w:eastAsia="zh-CN"/>
        </w:rPr>
        <w:t>有</w:t>
      </w:r>
      <w:r w:rsidR="0022315C" w:rsidRPr="0022315C">
        <w:rPr>
          <w:rFonts w:hint="eastAsia"/>
          <w:lang w:eastAsia="zh-CN"/>
        </w:rPr>
        <w:t>记录</w:t>
      </w:r>
      <w:r w:rsidR="00893B1D">
        <w:rPr>
          <w:rFonts w:hint="eastAsia"/>
          <w:lang w:eastAsia="zh-CN"/>
        </w:rPr>
        <w:t>的</w:t>
      </w:r>
      <w:r w:rsidR="0022315C" w:rsidRPr="0022315C">
        <w:rPr>
          <w:rFonts w:hint="eastAsia"/>
          <w:lang w:eastAsia="zh-CN"/>
        </w:rPr>
        <w:t>频率</w:t>
      </w:r>
      <w:r w:rsidR="00893B1D">
        <w:rPr>
          <w:rFonts w:hint="eastAsia"/>
          <w:lang w:eastAsia="zh-CN"/>
        </w:rPr>
        <w:t>指</w:t>
      </w:r>
      <w:r w:rsidR="0022315C" w:rsidRPr="0022315C">
        <w:rPr>
          <w:rFonts w:hint="eastAsia"/>
          <w:lang w:eastAsia="zh-CN"/>
        </w:rPr>
        <w:t>配实际上不符合</w:t>
      </w:r>
      <w:r w:rsidR="00893B1D">
        <w:rPr>
          <w:rFonts w:hint="eastAsia"/>
          <w:lang w:eastAsia="zh-CN"/>
        </w:rPr>
        <w:t>该</w:t>
      </w:r>
      <w:r w:rsidR="0022315C" w:rsidRPr="0022315C">
        <w:rPr>
          <w:rFonts w:hint="eastAsia"/>
          <w:lang w:eastAsia="zh-CN"/>
        </w:rPr>
        <w:t>条规定，</w:t>
      </w:r>
      <w:r w:rsidR="00893B1D">
        <w:rPr>
          <w:rFonts w:hint="eastAsia"/>
          <w:lang w:eastAsia="zh-CN"/>
        </w:rPr>
        <w:t>则</w:t>
      </w:r>
      <w:r w:rsidR="00893B1D">
        <w:rPr>
          <w:rFonts w:hint="eastAsia"/>
          <w:lang w:val="en-US" w:eastAsia="zh-CN"/>
        </w:rPr>
        <w:t>无线电通信局</w:t>
      </w:r>
      <w:r w:rsidR="0022315C" w:rsidRPr="0022315C">
        <w:rPr>
          <w:rFonts w:hint="eastAsia"/>
          <w:lang w:eastAsia="zh-CN"/>
        </w:rPr>
        <w:t>和</w:t>
      </w:r>
      <w:r w:rsidR="00893B1D">
        <w:rPr>
          <w:rFonts w:hint="eastAsia"/>
          <w:lang w:eastAsia="zh-CN"/>
        </w:rPr>
        <w:t>委员</w:t>
      </w:r>
      <w:r w:rsidR="0022315C" w:rsidRPr="0022315C">
        <w:rPr>
          <w:rFonts w:hint="eastAsia"/>
          <w:lang w:eastAsia="zh-CN"/>
        </w:rPr>
        <w:t>会可以寻求澄清，</w:t>
      </w:r>
      <w:proofErr w:type="gramStart"/>
      <w:r w:rsidR="0022315C" w:rsidRPr="0022315C">
        <w:rPr>
          <w:rFonts w:hint="eastAsia"/>
          <w:lang w:eastAsia="zh-CN"/>
        </w:rPr>
        <w:t>并因此</w:t>
      </w:r>
      <w:r w:rsidR="00893B1D">
        <w:rPr>
          <w:rFonts w:hint="eastAsia"/>
          <w:lang w:eastAsia="zh-CN"/>
        </w:rPr>
        <w:t>应</w:t>
      </w:r>
      <w:r w:rsidR="0022315C" w:rsidRPr="0022315C">
        <w:rPr>
          <w:rFonts w:hint="eastAsia"/>
          <w:lang w:eastAsia="zh-CN"/>
        </w:rPr>
        <w:t>用所有相关</w:t>
      </w:r>
      <w:r w:rsidR="00893B1D">
        <w:rPr>
          <w:rFonts w:hint="eastAsia"/>
          <w:lang w:eastAsia="zh-CN"/>
        </w:rPr>
        <w:t>的</w:t>
      </w:r>
      <w:r w:rsidR="0022315C" w:rsidRPr="0022315C">
        <w:rPr>
          <w:rFonts w:hint="eastAsia"/>
          <w:lang w:eastAsia="zh-CN"/>
        </w:rPr>
        <w:t>监管规定；</w:t>
      </w:r>
      <w:proofErr w:type="gramEnd"/>
    </w:p>
    <w:p w14:paraId="13E8565D" w14:textId="73DB2905" w:rsidR="00D0100F" w:rsidRDefault="00D0100F" w:rsidP="00D0100F">
      <w:pPr>
        <w:pStyle w:val="enumlev1"/>
        <w:rPr>
          <w:lang w:eastAsia="zh-CN"/>
        </w:rPr>
      </w:pPr>
      <w:r w:rsidRPr="005B05DC">
        <w:rPr>
          <w:lang w:eastAsia="zh-CN"/>
        </w:rPr>
        <w:t>4)</w:t>
      </w:r>
      <w:r w:rsidRPr="005B05DC">
        <w:rPr>
          <w:lang w:eastAsia="zh-CN"/>
        </w:rPr>
        <w:tab/>
      </w:r>
      <w:r w:rsidR="0022315C" w:rsidRPr="0022315C">
        <w:rPr>
          <w:rFonts w:hint="eastAsia"/>
          <w:lang w:eastAsia="zh-CN"/>
        </w:rPr>
        <w:t>无论第</w:t>
      </w:r>
      <w:r w:rsidR="0022315C" w:rsidRPr="0022315C">
        <w:rPr>
          <w:rFonts w:hint="eastAsia"/>
          <w:lang w:eastAsia="zh-CN"/>
        </w:rPr>
        <w:t>48</w:t>
      </w:r>
      <w:r w:rsidR="0022315C" w:rsidRPr="0022315C">
        <w:rPr>
          <w:rFonts w:hint="eastAsia"/>
          <w:lang w:eastAsia="zh-CN"/>
        </w:rPr>
        <w:t>条</w:t>
      </w:r>
      <w:r w:rsidR="00DB2E4C" w:rsidRPr="0022315C">
        <w:rPr>
          <w:rFonts w:hint="eastAsia"/>
          <w:lang w:eastAsia="zh-CN"/>
        </w:rPr>
        <w:t>是否</w:t>
      </w:r>
      <w:r w:rsidR="00DB2E4C">
        <w:rPr>
          <w:rFonts w:hint="eastAsia"/>
          <w:lang w:eastAsia="zh-CN"/>
        </w:rPr>
        <w:t>得到</w:t>
      </w:r>
      <w:r w:rsidR="00DB2E4C" w:rsidRPr="0022315C">
        <w:rPr>
          <w:rFonts w:hint="eastAsia"/>
          <w:lang w:eastAsia="zh-CN"/>
        </w:rPr>
        <w:t>援引</w:t>
      </w:r>
      <w:r w:rsidR="0022315C" w:rsidRPr="0022315C">
        <w:rPr>
          <w:rFonts w:hint="eastAsia"/>
          <w:lang w:eastAsia="zh-CN"/>
        </w:rPr>
        <w:t>，军事无线电设施使用的频率</w:t>
      </w:r>
      <w:r w:rsidR="00DB2E4C">
        <w:rPr>
          <w:rFonts w:hint="eastAsia"/>
          <w:lang w:eastAsia="zh-CN"/>
        </w:rPr>
        <w:t>指</w:t>
      </w:r>
      <w:r w:rsidR="0022315C" w:rsidRPr="0022315C">
        <w:rPr>
          <w:rFonts w:hint="eastAsia"/>
          <w:lang w:eastAsia="zh-CN"/>
        </w:rPr>
        <w:t>配只有</w:t>
      </w:r>
      <w:r w:rsidR="00DB2E4C">
        <w:rPr>
          <w:rFonts w:hint="eastAsia"/>
          <w:lang w:eastAsia="zh-CN"/>
        </w:rPr>
        <w:t>被</w:t>
      </w:r>
      <w:r w:rsidR="0022315C" w:rsidRPr="0022315C">
        <w:rPr>
          <w:rFonts w:hint="eastAsia"/>
          <w:lang w:eastAsia="zh-CN"/>
        </w:rPr>
        <w:t>记录在</w:t>
      </w:r>
      <w:r w:rsidR="0022315C" w:rsidRPr="0022315C">
        <w:rPr>
          <w:rFonts w:hint="eastAsia"/>
          <w:lang w:eastAsia="zh-CN"/>
        </w:rPr>
        <w:t>MIFR</w:t>
      </w:r>
      <w:r w:rsidR="0022315C" w:rsidRPr="0022315C">
        <w:rPr>
          <w:rFonts w:hint="eastAsia"/>
          <w:lang w:eastAsia="zh-CN"/>
        </w:rPr>
        <w:t>中时才有权获得国际</w:t>
      </w:r>
      <w:r w:rsidR="00DB2E4C">
        <w:rPr>
          <w:rFonts w:hint="eastAsia"/>
          <w:lang w:eastAsia="zh-CN"/>
        </w:rPr>
        <w:t>认可</w:t>
      </w:r>
      <w:r w:rsidR="00790C3B">
        <w:rPr>
          <w:rFonts w:hint="eastAsia"/>
          <w:lang w:eastAsia="zh-CN"/>
        </w:rPr>
        <w:t>和</w:t>
      </w:r>
      <w:r w:rsidR="0022315C" w:rsidRPr="0022315C">
        <w:rPr>
          <w:rFonts w:hint="eastAsia"/>
          <w:lang w:eastAsia="zh-CN"/>
        </w:rPr>
        <w:t>有权要求保护</w:t>
      </w:r>
      <w:r w:rsidR="00DB2E4C">
        <w:rPr>
          <w:rFonts w:hint="eastAsia"/>
          <w:lang w:eastAsia="zh-CN"/>
        </w:rPr>
        <w:t>其</w:t>
      </w:r>
      <w:r w:rsidR="0022315C" w:rsidRPr="0022315C">
        <w:rPr>
          <w:rFonts w:hint="eastAsia"/>
          <w:lang w:eastAsia="zh-CN"/>
        </w:rPr>
        <w:t>免受有害干扰。</w:t>
      </w:r>
    </w:p>
    <w:bookmarkEnd w:id="11"/>
    <w:p w14:paraId="66BA1B07" w14:textId="77777777" w:rsidR="00D0100F" w:rsidRDefault="00D0100F" w:rsidP="0032202E">
      <w:pPr>
        <w:pStyle w:val="Reasons"/>
        <w:rPr>
          <w:lang w:eastAsia="zh-CN"/>
        </w:rPr>
      </w:pPr>
    </w:p>
    <w:p w14:paraId="735446BC" w14:textId="03AF98FD" w:rsidR="00476923" w:rsidRDefault="00D0100F" w:rsidP="00D0100F">
      <w:pPr>
        <w:jc w:val="center"/>
        <w:rPr>
          <w:lang w:val="en-US" w:eastAsia="zh-CN"/>
        </w:rPr>
      </w:pPr>
      <w:r>
        <w:t>______________</w:t>
      </w:r>
    </w:p>
    <w:sectPr w:rsidR="00476923" w:rsidSect="00BA20B6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CEEB" w14:textId="77777777" w:rsidR="00C6583D" w:rsidRDefault="00C6583D">
      <w:r>
        <w:separator/>
      </w:r>
    </w:p>
  </w:endnote>
  <w:endnote w:type="continuationSeparator" w:id="0">
    <w:p w14:paraId="40F8911D" w14:textId="77777777" w:rsidR="00C6583D" w:rsidRDefault="00C6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06F5" w14:textId="53DE9873" w:rsidR="00D0100F" w:rsidRPr="000B5B1F" w:rsidRDefault="005A76EB">
    <w:pPr>
      <w:pStyle w:val="Footer"/>
      <w:rPr>
        <w:color w:val="F2F2F2" w:themeColor="background1" w:themeShade="F2"/>
      </w:rPr>
    </w:pPr>
    <w:r w:rsidRPr="000B5B1F">
      <w:rPr>
        <w:color w:val="F2F2F2" w:themeColor="background1" w:themeShade="F2"/>
      </w:rPr>
      <w:fldChar w:fldCharType="begin"/>
    </w:r>
    <w:r w:rsidRPr="000B5B1F">
      <w:rPr>
        <w:color w:val="F2F2F2" w:themeColor="background1" w:themeShade="F2"/>
      </w:rPr>
      <w:instrText xml:space="preserve"> FILENAME \p  \* MERGEFORMAT </w:instrText>
    </w:r>
    <w:r w:rsidRPr="000B5B1F">
      <w:rPr>
        <w:color w:val="F2F2F2" w:themeColor="background1" w:themeShade="F2"/>
      </w:rPr>
      <w:fldChar w:fldCharType="separate"/>
    </w:r>
    <w:r w:rsidR="00B072CA" w:rsidRPr="000B5B1F">
      <w:rPr>
        <w:color w:val="F2F2F2" w:themeColor="background1" w:themeShade="F2"/>
      </w:rPr>
      <w:t>P:\CHI\SG\CONF-SG\PP22\000\063C.docx</w:t>
    </w:r>
    <w:r w:rsidRPr="000B5B1F">
      <w:rPr>
        <w:color w:val="F2F2F2" w:themeColor="background1" w:themeShade="F2"/>
      </w:rPr>
      <w:fldChar w:fldCharType="end"/>
    </w:r>
    <w:r w:rsidR="00D0100F" w:rsidRPr="000B5B1F">
      <w:rPr>
        <w:color w:val="F2F2F2" w:themeColor="background1" w:themeShade="F2"/>
      </w:rPr>
      <w:t xml:space="preserve"> </w:t>
    </w:r>
    <w:r w:rsidR="00D0100F" w:rsidRPr="000B5B1F">
      <w:rPr>
        <w:rFonts w:hint="eastAsia"/>
        <w:color w:val="F2F2F2" w:themeColor="background1" w:themeShade="F2"/>
        <w:lang w:eastAsia="zh-CN"/>
      </w:rPr>
      <w:t>(</w:t>
    </w:r>
    <w:r w:rsidR="00D0100F" w:rsidRPr="000B5B1F">
      <w:rPr>
        <w:color w:val="F2F2F2" w:themeColor="background1" w:themeShade="F2"/>
        <w:lang w:eastAsia="zh-CN"/>
      </w:rPr>
      <w:t>509881)</w:t>
    </w:r>
    <w:r w:rsidR="00D0100F" w:rsidRPr="000B5B1F">
      <w:rPr>
        <w:color w:val="F2F2F2" w:themeColor="background1" w:themeShade="F2"/>
      </w:rPr>
      <w:tab/>
    </w:r>
    <w:r w:rsidR="00D0100F" w:rsidRPr="000B5B1F">
      <w:rPr>
        <w:color w:val="F2F2F2" w:themeColor="background1" w:themeShade="F2"/>
      </w:rPr>
      <w:fldChar w:fldCharType="begin"/>
    </w:r>
    <w:r w:rsidR="00D0100F" w:rsidRPr="000B5B1F">
      <w:rPr>
        <w:color w:val="F2F2F2" w:themeColor="background1" w:themeShade="F2"/>
      </w:rPr>
      <w:instrText xml:space="preserve"> SAVEDATE \@ DD.MM.YY </w:instrText>
    </w:r>
    <w:r w:rsidR="00D0100F" w:rsidRPr="000B5B1F">
      <w:rPr>
        <w:color w:val="F2F2F2" w:themeColor="background1" w:themeShade="F2"/>
      </w:rPr>
      <w:fldChar w:fldCharType="separate"/>
    </w:r>
    <w:r w:rsidR="000B5B1F" w:rsidRPr="000B5B1F">
      <w:rPr>
        <w:color w:val="F2F2F2" w:themeColor="background1" w:themeShade="F2"/>
      </w:rPr>
      <w:t>19.07.22</w:t>
    </w:r>
    <w:r w:rsidR="00D0100F" w:rsidRPr="000B5B1F">
      <w:rPr>
        <w:color w:val="F2F2F2" w:themeColor="background1" w:themeShade="F2"/>
      </w:rPr>
      <w:fldChar w:fldCharType="end"/>
    </w:r>
    <w:r w:rsidR="00D0100F" w:rsidRPr="000B5B1F">
      <w:rPr>
        <w:color w:val="F2F2F2" w:themeColor="background1" w:themeShade="F2"/>
      </w:rPr>
      <w:tab/>
    </w:r>
    <w:r w:rsidR="00D0100F" w:rsidRPr="000B5B1F">
      <w:rPr>
        <w:color w:val="F2F2F2" w:themeColor="background1" w:themeShade="F2"/>
      </w:rPr>
      <w:fldChar w:fldCharType="begin"/>
    </w:r>
    <w:r w:rsidR="00D0100F" w:rsidRPr="000B5B1F">
      <w:rPr>
        <w:color w:val="F2F2F2" w:themeColor="background1" w:themeShade="F2"/>
      </w:rPr>
      <w:instrText xml:space="preserve"> PRINTDATE \@ DD.MM.YY </w:instrText>
    </w:r>
    <w:r w:rsidR="00D0100F" w:rsidRPr="000B5B1F">
      <w:rPr>
        <w:color w:val="F2F2F2" w:themeColor="background1" w:themeShade="F2"/>
      </w:rPr>
      <w:fldChar w:fldCharType="separate"/>
    </w:r>
    <w:r w:rsidR="00D0100F" w:rsidRPr="000B5B1F">
      <w:rPr>
        <w:color w:val="F2F2F2" w:themeColor="background1" w:themeShade="F2"/>
      </w:rPr>
      <w:t>00.00.00</w:t>
    </w:r>
    <w:r w:rsidR="00D0100F" w:rsidRPr="000B5B1F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3233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0298AD8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B178" w14:textId="77777777" w:rsidR="00C6583D" w:rsidRDefault="00C6583D">
      <w:r>
        <w:t>____________________</w:t>
      </w:r>
    </w:p>
  </w:footnote>
  <w:footnote w:type="continuationSeparator" w:id="0">
    <w:p w14:paraId="7CE4DB8E" w14:textId="77777777" w:rsidR="00C6583D" w:rsidRDefault="00C6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4478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037196D9" w14:textId="326BC714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D0100F">
      <w:t>63</w:t>
    </w:r>
    <w:r w:rsidR="000077F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C7892"/>
    <w:multiLevelType w:val="hybridMultilevel"/>
    <w:tmpl w:val="2EA84DBE"/>
    <w:lvl w:ilvl="0" w:tplc="2C7CF180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DA2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C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6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E7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8D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C6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8A5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46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5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21113"/>
    <w:rsid w:val="00040A47"/>
    <w:rsid w:val="00057248"/>
    <w:rsid w:val="00057B6E"/>
    <w:rsid w:val="00075FCC"/>
    <w:rsid w:val="00076062"/>
    <w:rsid w:val="0009673E"/>
    <w:rsid w:val="000B5B1F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86B28"/>
    <w:rsid w:val="001A0EEB"/>
    <w:rsid w:val="001A4A66"/>
    <w:rsid w:val="001A6B17"/>
    <w:rsid w:val="001B25D1"/>
    <w:rsid w:val="002043DD"/>
    <w:rsid w:val="002155B0"/>
    <w:rsid w:val="0022315C"/>
    <w:rsid w:val="00226B70"/>
    <w:rsid w:val="00231ABC"/>
    <w:rsid w:val="00235FAD"/>
    <w:rsid w:val="00241DDB"/>
    <w:rsid w:val="002554F9"/>
    <w:rsid w:val="002578B4"/>
    <w:rsid w:val="002A0F5C"/>
    <w:rsid w:val="002A2125"/>
    <w:rsid w:val="002B39F5"/>
    <w:rsid w:val="002D6E6D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21AD4"/>
    <w:rsid w:val="005356FD"/>
    <w:rsid w:val="00542073"/>
    <w:rsid w:val="00550151"/>
    <w:rsid w:val="00552BA5"/>
    <w:rsid w:val="00554E24"/>
    <w:rsid w:val="00564B8D"/>
    <w:rsid w:val="00567130"/>
    <w:rsid w:val="00576E68"/>
    <w:rsid w:val="00596A53"/>
    <w:rsid w:val="005A6A1D"/>
    <w:rsid w:val="005A76EB"/>
    <w:rsid w:val="005C1E39"/>
    <w:rsid w:val="005E4794"/>
    <w:rsid w:val="005F5540"/>
    <w:rsid w:val="005F67CE"/>
    <w:rsid w:val="00617BE4"/>
    <w:rsid w:val="00622189"/>
    <w:rsid w:val="0067125A"/>
    <w:rsid w:val="00680265"/>
    <w:rsid w:val="006857B7"/>
    <w:rsid w:val="006930A0"/>
    <w:rsid w:val="006A0092"/>
    <w:rsid w:val="006A2AA8"/>
    <w:rsid w:val="006B5D7F"/>
    <w:rsid w:val="006E57C8"/>
    <w:rsid w:val="006E6BA4"/>
    <w:rsid w:val="006F0211"/>
    <w:rsid w:val="007034DD"/>
    <w:rsid w:val="00722343"/>
    <w:rsid w:val="007235A4"/>
    <w:rsid w:val="0073319E"/>
    <w:rsid w:val="00750829"/>
    <w:rsid w:val="00770CF8"/>
    <w:rsid w:val="00790C3B"/>
    <w:rsid w:val="007917DE"/>
    <w:rsid w:val="007A5031"/>
    <w:rsid w:val="007B558F"/>
    <w:rsid w:val="007C4DC3"/>
    <w:rsid w:val="007F0452"/>
    <w:rsid w:val="007F518D"/>
    <w:rsid w:val="007F61C2"/>
    <w:rsid w:val="00814482"/>
    <w:rsid w:val="008160BF"/>
    <w:rsid w:val="008433E4"/>
    <w:rsid w:val="00850AEF"/>
    <w:rsid w:val="008652E7"/>
    <w:rsid w:val="008726C7"/>
    <w:rsid w:val="00873D04"/>
    <w:rsid w:val="00893B1D"/>
    <w:rsid w:val="008A4729"/>
    <w:rsid w:val="008B15BA"/>
    <w:rsid w:val="008B44F5"/>
    <w:rsid w:val="008B6759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22FD8"/>
    <w:rsid w:val="009361C2"/>
    <w:rsid w:val="00941CEE"/>
    <w:rsid w:val="00950E0F"/>
    <w:rsid w:val="0095344B"/>
    <w:rsid w:val="00966EBB"/>
    <w:rsid w:val="0099173A"/>
    <w:rsid w:val="00994768"/>
    <w:rsid w:val="009A47A2"/>
    <w:rsid w:val="009C4B97"/>
    <w:rsid w:val="009D1E93"/>
    <w:rsid w:val="009D6EA5"/>
    <w:rsid w:val="009E68C1"/>
    <w:rsid w:val="00A03693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E6098"/>
    <w:rsid w:val="00AF45E1"/>
    <w:rsid w:val="00B04E59"/>
    <w:rsid w:val="00B05785"/>
    <w:rsid w:val="00B072CA"/>
    <w:rsid w:val="00B11373"/>
    <w:rsid w:val="00B15AF8"/>
    <w:rsid w:val="00B1733E"/>
    <w:rsid w:val="00B23943"/>
    <w:rsid w:val="00B60A63"/>
    <w:rsid w:val="00B650EC"/>
    <w:rsid w:val="00B958C5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0B46"/>
    <w:rsid w:val="00C16846"/>
    <w:rsid w:val="00C16AC0"/>
    <w:rsid w:val="00C23787"/>
    <w:rsid w:val="00C40FEE"/>
    <w:rsid w:val="00C47D1C"/>
    <w:rsid w:val="00C561F1"/>
    <w:rsid w:val="00C637AE"/>
    <w:rsid w:val="00C6583D"/>
    <w:rsid w:val="00C710E5"/>
    <w:rsid w:val="00C73FA3"/>
    <w:rsid w:val="00C74FED"/>
    <w:rsid w:val="00C83DE5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0100F"/>
    <w:rsid w:val="00D2057D"/>
    <w:rsid w:val="00D215E8"/>
    <w:rsid w:val="00D527E2"/>
    <w:rsid w:val="00D57C64"/>
    <w:rsid w:val="00D65220"/>
    <w:rsid w:val="00D70FF1"/>
    <w:rsid w:val="00D71ABC"/>
    <w:rsid w:val="00D80804"/>
    <w:rsid w:val="00D82A9F"/>
    <w:rsid w:val="00D97614"/>
    <w:rsid w:val="00DB2E4C"/>
    <w:rsid w:val="00DC2750"/>
    <w:rsid w:val="00DD26B1"/>
    <w:rsid w:val="00DD70E8"/>
    <w:rsid w:val="00DF23FC"/>
    <w:rsid w:val="00DF39CD"/>
    <w:rsid w:val="00DF51DD"/>
    <w:rsid w:val="00E00BFB"/>
    <w:rsid w:val="00E121F2"/>
    <w:rsid w:val="00E12CDA"/>
    <w:rsid w:val="00E26F09"/>
    <w:rsid w:val="00E54C8F"/>
    <w:rsid w:val="00E56E57"/>
    <w:rsid w:val="00E749DA"/>
    <w:rsid w:val="00EE368B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91E0F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enumlev1Char">
    <w:name w:val="enumlev1 Char"/>
    <w:link w:val="enumlev1"/>
    <w:locked/>
    <w:rsid w:val="00D0100F"/>
    <w:rPr>
      <w:rFonts w:ascii="Calibri" w:eastAsia="SimSun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0100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Emphasis">
    <w:name w:val="Emphasis"/>
    <w:aliases w:val="ECC HL italics"/>
    <w:basedOn w:val="DefaultParagraphFont"/>
    <w:uiPriority w:val="1"/>
    <w:qFormat/>
    <w:rsid w:val="00D0100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0100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30T07:57:28.2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 23 11808,'0'0'90,"-11"5"604,19-7-686,-4 2-208,0-1 0,0 0 0,0 0 0,0-1 0,0 1 0,0-1 0,0 0 0,-1 0 0,6-3 0,0-3-3672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1602</Words>
  <Characters>275</Characters>
  <Application>Microsoft Office Word</Application>
  <DocSecurity>4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1874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the Radio Regulations Board - Invocation of Article 48 of the Constitution in relation to the Radio Regulations</dc:title>
  <dc:subject>Plenipotentiary Conference (PP-22)</dc:subject>
  <dc:creator>Chen, meng</dc:creator>
  <cp:keywords>PP-22, PP22</cp:keywords>
  <cp:lastModifiedBy>Xue, Kun</cp:lastModifiedBy>
  <cp:revision>2</cp:revision>
  <dcterms:created xsi:type="dcterms:W3CDTF">2022-07-19T16:14:00Z</dcterms:created>
  <dcterms:modified xsi:type="dcterms:W3CDTF">2022-07-19T16:14:00Z</dcterms:modified>
  <cp:category>Conference document</cp:category>
</cp:coreProperties>
</file>