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62AAC629" w:rsidR="001A16ED" w:rsidRPr="00F44B1A" w:rsidRDefault="001A16ED" w:rsidP="003740BC">
            <w:pPr>
              <w:tabs>
                <w:tab w:val="left" w:pos="851"/>
              </w:tabs>
              <w:spacing w:before="0"/>
              <w:rPr>
                <w:rFonts w:cstheme="minorHAnsi"/>
                <w:b/>
                <w:szCs w:val="24"/>
              </w:rPr>
            </w:pPr>
            <w:r>
              <w:rPr>
                <w:rFonts w:cstheme="minorHAnsi"/>
                <w:b/>
                <w:szCs w:val="24"/>
              </w:rPr>
              <w:t>Document</w:t>
            </w:r>
            <w:r w:rsidR="00965658">
              <w:rPr>
                <w:rFonts w:cstheme="minorHAnsi"/>
                <w:b/>
                <w:szCs w:val="24"/>
              </w:rPr>
              <w:t xml:space="preserve"> 63</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0E9CE455" w:rsidR="001A16ED" w:rsidRPr="00B46D66" w:rsidRDefault="00965658" w:rsidP="00B46D66">
            <w:pPr>
              <w:tabs>
                <w:tab w:val="left" w:pos="851"/>
              </w:tabs>
              <w:spacing w:before="0"/>
              <w:rPr>
                <w:rFonts w:cstheme="minorHAnsi"/>
                <w:b/>
                <w:szCs w:val="24"/>
              </w:rPr>
            </w:pPr>
            <w:r>
              <w:rPr>
                <w:rFonts w:cstheme="minorHAnsi"/>
                <w:b/>
                <w:szCs w:val="24"/>
              </w:rPr>
              <w:t>13</w:t>
            </w:r>
            <w:r w:rsidR="001A16ED" w:rsidRPr="00D96B4B">
              <w:rPr>
                <w:rFonts w:cstheme="minorHAnsi"/>
                <w:b/>
                <w:szCs w:val="24"/>
              </w:rPr>
              <w:t xml:space="preserve"> </w:t>
            </w:r>
            <w:r w:rsidR="00073825">
              <w:rPr>
                <w:rFonts w:cstheme="minorHAnsi"/>
                <w:b/>
                <w:szCs w:val="24"/>
              </w:rPr>
              <w:t>July</w:t>
            </w:r>
            <w:r w:rsidR="001A16ED" w:rsidRPr="00D96B4B">
              <w:rPr>
                <w:rFonts w:cstheme="minorHAnsi"/>
                <w:b/>
                <w:szCs w:val="24"/>
              </w:rPr>
              <w:t xml:space="preserve"> 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02A42A84" w:rsidR="001A16ED" w:rsidRDefault="00EC6D9E" w:rsidP="00D21A8D">
            <w:pPr>
              <w:pStyle w:val="Source"/>
              <w:framePr w:hSpace="0" w:wrap="auto" w:hAnchor="text" w:yAlign="inline"/>
            </w:pPr>
            <w:r>
              <w:t xml:space="preserve">Note by the </w:t>
            </w:r>
            <w:r w:rsidR="009374E2">
              <w:t>Secretary</w:t>
            </w:r>
            <w:r w:rsidR="00685DB4">
              <w:t>-</w:t>
            </w:r>
            <w:r w:rsidR="009374E2">
              <w:t>General</w:t>
            </w:r>
          </w:p>
        </w:tc>
      </w:tr>
      <w:tr w:rsidR="001A16ED" w:rsidRPr="00C324A8" w14:paraId="03CCFD97" w14:textId="77777777" w:rsidTr="006A046E">
        <w:trPr>
          <w:cantSplit/>
          <w:trHeight w:val="23"/>
        </w:trPr>
        <w:tc>
          <w:tcPr>
            <w:tcW w:w="10031" w:type="dxa"/>
            <w:gridSpan w:val="2"/>
            <w:shd w:val="clear" w:color="auto" w:fill="auto"/>
          </w:tcPr>
          <w:p w14:paraId="31A43689" w14:textId="6FCD5CE6" w:rsidR="001A16ED" w:rsidRDefault="006918D3" w:rsidP="00685DB4">
            <w:pPr>
              <w:pStyle w:val="Title1"/>
              <w:framePr w:hSpace="0" w:wrap="auto" w:hAnchor="text" w:yAlign="inline"/>
            </w:pPr>
            <w:bookmarkStart w:id="9" w:name="_Hlk104839004"/>
            <w:r w:rsidRPr="00350DD6">
              <w:t>Re</w:t>
            </w:r>
            <w:r w:rsidR="00073825">
              <w:t>PORT</w:t>
            </w:r>
            <w:r w:rsidR="009374E2">
              <w:t xml:space="preserve"> from the </w:t>
            </w:r>
            <w:r w:rsidR="00073825">
              <w:t>RADIO REGULATIONS BOARD</w:t>
            </w:r>
            <w:r w:rsidR="00EC6D9E">
              <w:t xml:space="preserve"> </w:t>
            </w:r>
            <w:bookmarkEnd w:id="9"/>
          </w:p>
        </w:tc>
      </w:tr>
      <w:tr w:rsidR="001A16ED" w:rsidRPr="00C324A8" w14:paraId="4A763F4F" w14:textId="77777777" w:rsidTr="006A046E">
        <w:trPr>
          <w:cantSplit/>
          <w:trHeight w:val="23"/>
        </w:trPr>
        <w:tc>
          <w:tcPr>
            <w:tcW w:w="10031" w:type="dxa"/>
            <w:gridSpan w:val="2"/>
            <w:shd w:val="clear" w:color="auto" w:fill="auto"/>
          </w:tcPr>
          <w:p w14:paraId="6A2938D5" w14:textId="3A99AA94" w:rsidR="001A16ED" w:rsidRDefault="009374E2" w:rsidP="00685DB4">
            <w:pPr>
              <w:pStyle w:val="Title2"/>
              <w:framePr w:hSpace="0" w:wrap="auto" w:hAnchor="text" w:yAlign="inline"/>
            </w:pPr>
            <w:bookmarkStart w:id="10" w:name="_Hlk104839025"/>
            <w:r w:rsidRPr="000F102F">
              <w:rPr>
                <w:lang w:val="en-CA"/>
              </w:rPr>
              <w:t xml:space="preserve">invocation of Article 48 </w:t>
            </w:r>
            <w:r>
              <w:rPr>
                <w:lang w:val="en-CA"/>
              </w:rPr>
              <w:t xml:space="preserve">of the Constitution </w:t>
            </w:r>
            <w:r>
              <w:rPr>
                <w:lang w:val="en-CA"/>
              </w:rPr>
              <w:br/>
            </w:r>
            <w:r w:rsidRPr="000F102F">
              <w:rPr>
                <w:lang w:val="en-CA"/>
              </w:rPr>
              <w:t>in relation to the Radio Regulations</w:t>
            </w:r>
            <w:bookmarkEnd w:id="10"/>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965658" w:rsidRDefault="001A16ED" w:rsidP="006A046E">
            <w:pPr>
              <w:pStyle w:val="Agendaitem"/>
              <w:rPr>
                <w:lang w:val="en-GB"/>
              </w:rPr>
            </w:pPr>
          </w:p>
        </w:tc>
      </w:tr>
    </w:tbl>
    <w:bookmarkEnd w:id="7"/>
    <w:bookmarkEnd w:id="8"/>
    <w:p w14:paraId="5C69930C" w14:textId="6C4F94B6" w:rsidR="00EC6D9E" w:rsidRDefault="00EC6D9E" w:rsidP="00E23B8C">
      <w:pPr>
        <w:jc w:val="both"/>
        <w:rPr>
          <w:szCs w:val="24"/>
          <w:lang w:val="en-CA"/>
        </w:rPr>
      </w:pPr>
      <w:r>
        <w:t>T</w:t>
      </w:r>
      <w:r w:rsidR="009374E2">
        <w:t xml:space="preserve">he </w:t>
      </w:r>
      <w:r>
        <w:t xml:space="preserve">annexed </w:t>
      </w:r>
      <w:r w:rsidR="004B36A7">
        <w:t>report</w:t>
      </w:r>
      <w:r w:rsidR="009374E2">
        <w:t xml:space="preserve"> </w:t>
      </w:r>
      <w:r w:rsidR="004B36A7">
        <w:t xml:space="preserve">from the Radio Regulations Board </w:t>
      </w:r>
      <w:r w:rsidR="00BA1094">
        <w:t xml:space="preserve">complements </w:t>
      </w:r>
      <w:r w:rsidR="004B36A7">
        <w:t xml:space="preserve">the decision </w:t>
      </w:r>
      <w:r w:rsidR="009374E2">
        <w:t>of the 2019 World Radiocommunication Conference</w:t>
      </w:r>
      <w:r w:rsidR="00355B63">
        <w:t xml:space="preserve"> on the invocation of Article 48 of the Constitution </w:t>
      </w:r>
      <w:r w:rsidR="00674155">
        <w:t>(</w:t>
      </w:r>
      <w:r w:rsidR="00674155">
        <w:rPr>
          <w:szCs w:val="24"/>
          <w:lang w:val="en-CA"/>
        </w:rPr>
        <w:t xml:space="preserve">see </w:t>
      </w:r>
      <w:r w:rsidR="00BA1094">
        <w:rPr>
          <w:szCs w:val="24"/>
          <w:lang w:val="en-CA"/>
        </w:rPr>
        <w:t>D</w:t>
      </w:r>
      <w:r w:rsidR="00674155">
        <w:rPr>
          <w:szCs w:val="24"/>
          <w:lang w:val="en-CA"/>
        </w:rPr>
        <w:t xml:space="preserve">ocument </w:t>
      </w:r>
      <w:hyperlink r:id="rId11" w:history="1">
        <w:r w:rsidR="00674155" w:rsidRPr="00674155">
          <w:rPr>
            <w:rStyle w:val="Hyperlink"/>
            <w:szCs w:val="24"/>
            <w:lang w:val="en-CA"/>
          </w:rPr>
          <w:t>PP</w:t>
        </w:r>
        <w:r w:rsidR="00965658">
          <w:rPr>
            <w:rStyle w:val="Hyperlink"/>
            <w:szCs w:val="24"/>
            <w:lang w:val="en-CA"/>
          </w:rPr>
          <w:t>-</w:t>
        </w:r>
        <w:r w:rsidR="00674155" w:rsidRPr="00674155">
          <w:rPr>
            <w:rStyle w:val="Hyperlink"/>
            <w:szCs w:val="24"/>
            <w:lang w:val="en-CA"/>
          </w:rPr>
          <w:t>22/41</w:t>
        </w:r>
      </w:hyperlink>
      <w:r w:rsidR="00674155">
        <w:t>)</w:t>
      </w:r>
      <w:r>
        <w:rPr>
          <w:szCs w:val="24"/>
          <w:lang w:val="en-CA"/>
        </w:rPr>
        <w:t>.</w:t>
      </w:r>
    </w:p>
    <w:p w14:paraId="31878FFF" w14:textId="608FB55E" w:rsidR="00EC6D9E" w:rsidRDefault="00EC6D9E" w:rsidP="00234820">
      <w:pPr>
        <w:tabs>
          <w:tab w:val="clear" w:pos="567"/>
          <w:tab w:val="clear" w:pos="1134"/>
          <w:tab w:val="clear" w:pos="1701"/>
          <w:tab w:val="clear" w:pos="2268"/>
          <w:tab w:val="clear" w:pos="2835"/>
        </w:tabs>
        <w:overflowPunct/>
        <w:autoSpaceDE/>
        <w:autoSpaceDN/>
        <w:adjustRightInd/>
        <w:spacing w:before="720"/>
        <w:ind w:left="5041" w:firstLine="720"/>
        <w:jc w:val="center"/>
        <w:textAlignment w:val="auto"/>
      </w:pPr>
      <w:r>
        <w:t xml:space="preserve">Houlin </w:t>
      </w:r>
      <w:r w:rsidR="00234820">
        <w:t>ZHAO</w:t>
      </w:r>
    </w:p>
    <w:p w14:paraId="38ABE49B" w14:textId="77777777" w:rsidR="00EC6D9E" w:rsidRDefault="00EC6D9E" w:rsidP="00234820">
      <w:pPr>
        <w:tabs>
          <w:tab w:val="clear" w:pos="567"/>
          <w:tab w:val="clear" w:pos="1134"/>
          <w:tab w:val="clear" w:pos="1701"/>
          <w:tab w:val="clear" w:pos="2268"/>
          <w:tab w:val="clear" w:pos="2835"/>
        </w:tabs>
        <w:overflowPunct/>
        <w:autoSpaceDE/>
        <w:autoSpaceDN/>
        <w:adjustRightInd/>
        <w:spacing w:before="0"/>
        <w:ind w:left="5040" w:firstLine="720"/>
        <w:jc w:val="center"/>
        <w:textAlignment w:val="auto"/>
      </w:pPr>
      <w:r>
        <w:t>Secretary-General</w:t>
      </w:r>
    </w:p>
    <w:p w14:paraId="30271FC2" w14:textId="2F078C6D" w:rsidR="009374E2" w:rsidRPr="009374E2" w:rsidRDefault="00A95ACF" w:rsidP="00234820">
      <w:pPr>
        <w:spacing w:before="2640"/>
        <w:jc w:val="both"/>
        <w:rPr>
          <w:bCs/>
        </w:rPr>
      </w:pPr>
      <w:r w:rsidRPr="00234820">
        <w:rPr>
          <w:b/>
          <w:szCs w:val="24"/>
          <w:lang w:val="en-CA"/>
        </w:rPr>
        <w:t>Annex</w:t>
      </w:r>
      <w:r w:rsidR="00234820">
        <w:rPr>
          <w:szCs w:val="24"/>
          <w:lang w:val="en-CA"/>
        </w:rPr>
        <w:t>: 1</w:t>
      </w:r>
    </w:p>
    <w:p w14:paraId="359B221D" w14:textId="77777777" w:rsidR="00A95ACF" w:rsidRDefault="00A95ACF">
      <w:pPr>
        <w:tabs>
          <w:tab w:val="clear" w:pos="567"/>
          <w:tab w:val="clear" w:pos="1134"/>
          <w:tab w:val="clear" w:pos="1701"/>
          <w:tab w:val="clear" w:pos="2268"/>
          <w:tab w:val="clear" w:pos="2835"/>
        </w:tabs>
        <w:overflowPunct/>
        <w:autoSpaceDE/>
        <w:autoSpaceDN/>
        <w:adjustRightInd/>
        <w:spacing w:before="0"/>
        <w:textAlignment w:val="auto"/>
        <w:rPr>
          <w:szCs w:val="24"/>
          <w:lang w:val="en-CA"/>
        </w:rPr>
      </w:pPr>
      <w:r>
        <w:rPr>
          <w:szCs w:val="24"/>
          <w:lang w:val="en-CA"/>
        </w:rPr>
        <w:br w:type="page"/>
      </w:r>
    </w:p>
    <w:p w14:paraId="04782105" w14:textId="77777777" w:rsidR="004B36A7" w:rsidRPr="005B05DC" w:rsidRDefault="004B36A7" w:rsidP="00965658">
      <w:pPr>
        <w:pStyle w:val="AnnexNoS2"/>
        <w:jc w:val="center"/>
      </w:pPr>
      <w:r w:rsidRPr="005B05DC">
        <w:lastRenderedPageBreak/>
        <w:t>ANNEX</w:t>
      </w:r>
    </w:p>
    <w:p w14:paraId="0F978127" w14:textId="77777777" w:rsidR="004B36A7" w:rsidRPr="005B05DC" w:rsidRDefault="004B36A7" w:rsidP="00965658">
      <w:pPr>
        <w:pStyle w:val="AnnextitleS2"/>
        <w:jc w:val="center"/>
        <w:rPr>
          <w:lang w:eastAsia="zh-CN"/>
        </w:rPr>
      </w:pPr>
      <w:bookmarkStart w:id="11" w:name="_Toc520420668"/>
      <w:bookmarkStart w:id="12" w:name="_Toc14990971"/>
      <w:r w:rsidRPr="005B05DC">
        <w:rPr>
          <w:lang w:eastAsia="zh-CN"/>
        </w:rPr>
        <w:t>Invocation of Article 48</w:t>
      </w:r>
      <w:bookmarkEnd w:id="11"/>
      <w:bookmarkEnd w:id="12"/>
      <w:r>
        <w:rPr>
          <w:lang w:eastAsia="zh-CN"/>
        </w:rPr>
        <w:t xml:space="preserve"> of the ITU Constitution</w:t>
      </w:r>
      <w:r w:rsidRPr="005B05DC">
        <w:rPr>
          <w:lang w:eastAsia="zh-CN"/>
        </w:rPr>
        <w:t xml:space="preserve"> in relation to the Radio Regulations</w:t>
      </w:r>
    </w:p>
    <w:p w14:paraId="424281D2" w14:textId="77777777" w:rsidR="004B36A7" w:rsidRPr="005B05DC" w:rsidRDefault="004B36A7" w:rsidP="00965658">
      <w:pPr>
        <w:pStyle w:val="Heading1"/>
      </w:pPr>
      <w:bookmarkStart w:id="13" w:name="_Hlk10207266"/>
      <w:r w:rsidRPr="005B05DC">
        <w:t>Introduction</w:t>
      </w:r>
    </w:p>
    <w:p w14:paraId="0C7B282A" w14:textId="77777777" w:rsidR="004B36A7" w:rsidRPr="005B05DC" w:rsidRDefault="004B36A7" w:rsidP="00965658">
      <w:pPr>
        <w:jc w:val="both"/>
      </w:pPr>
      <w:r w:rsidRPr="005B05DC">
        <w:t>In its report to the World Radiocommunication Conference of 2019 (WRC-19) on issues affecting the fulfilment of the principles contained in Article 44 of the ITU Constitution, the Radio Regulations Board (here</w:t>
      </w:r>
      <w:r>
        <w:t>in</w:t>
      </w:r>
      <w:r w:rsidRPr="005B05DC">
        <w:t>after referred to as the Board) considered concerns raised by some administrations’ application of Article 48</w:t>
      </w:r>
      <w:r>
        <w:t xml:space="preserve"> of the Constitution</w:t>
      </w:r>
      <w:r w:rsidRPr="005B05DC">
        <w:t>.</w:t>
      </w:r>
      <w:r>
        <w:t xml:space="preserve"> </w:t>
      </w:r>
      <w:r w:rsidRPr="005B05DC">
        <w:t>These concerns were relating to the invocation of Article 48 in response to investigations initiated by the Radiocommunication Bureau (BR) in application of provisions of the Radio Regulations.</w:t>
      </w:r>
      <w:r>
        <w:t xml:space="preserve"> </w:t>
      </w:r>
      <w:r w:rsidRPr="005B05DC">
        <w:t>WRC-19, in accordance with Article 21 of the Convention, invited the Plenipotentiary Conference 2022 (PP-22) to consider the question of the invocation of Article 48 in relation to the Radio Regulations and</w:t>
      </w:r>
      <w:r>
        <w:t xml:space="preserve"> to</w:t>
      </w:r>
      <w:r w:rsidRPr="005B05DC">
        <w:t xml:space="preserve"> take necessary actions, as appropriate.</w:t>
      </w:r>
    </w:p>
    <w:p w14:paraId="6BC082AF" w14:textId="77777777" w:rsidR="004B36A7" w:rsidRPr="005B05DC" w:rsidRDefault="004B36A7" w:rsidP="00965658">
      <w:pPr>
        <w:pStyle w:val="Heading1"/>
      </w:pPr>
      <w:r w:rsidRPr="005B05DC">
        <w:t xml:space="preserve">Background </w:t>
      </w:r>
    </w:p>
    <w:p w14:paraId="536272F4" w14:textId="77777777" w:rsidR="004B36A7" w:rsidRPr="005B05DC" w:rsidRDefault="004B36A7" w:rsidP="00965658">
      <w:pPr>
        <w:jc w:val="both"/>
        <w:rPr>
          <w:lang w:eastAsia="ar-SA"/>
        </w:rPr>
      </w:pPr>
      <w:r w:rsidRPr="005B05DC">
        <w:rPr>
          <w:rFonts w:eastAsia="Calibri"/>
          <w:szCs w:val="24"/>
          <w:lang w:val="en-CA"/>
        </w:rPr>
        <w:t xml:space="preserve">In its report to WRC-19, the Board identified </w:t>
      </w:r>
      <w:r w:rsidRPr="005B05DC">
        <w:rPr>
          <w:lang w:eastAsia="ar-SA"/>
        </w:rPr>
        <w:t xml:space="preserve">concerns raised by some administrations regarding the appropriateness of other administrations’ </w:t>
      </w:r>
      <w:r w:rsidRPr="005B05DC">
        <w:t>invocation</w:t>
      </w:r>
      <w:r w:rsidRPr="005B05DC">
        <w:rPr>
          <w:lang w:eastAsia="ar-SA"/>
        </w:rPr>
        <w:t xml:space="preserve"> of Article 48. The alleged cases of non-compliance with Article 48 that were presented to the Board can be categorized as follows:</w:t>
      </w:r>
    </w:p>
    <w:p w14:paraId="02E0CC64" w14:textId="77777777" w:rsidR="004B36A7" w:rsidRPr="002F0396" w:rsidRDefault="004B36A7" w:rsidP="004B36A7">
      <w:pPr>
        <w:pStyle w:val="ListParagraph"/>
        <w:numPr>
          <w:ilvl w:val="0"/>
          <w:numId w:val="1"/>
        </w:numPr>
        <w:suppressAutoHyphens/>
        <w:spacing w:before="120" w:after="120" w:line="240" w:lineRule="auto"/>
        <w:contextualSpacing w:val="0"/>
        <w:jc w:val="both"/>
        <w:rPr>
          <w:rFonts w:eastAsia="Calibri" w:cstheme="minorHAnsi"/>
          <w:sz w:val="24"/>
          <w:szCs w:val="24"/>
          <w:lang w:val="en-CA" w:eastAsia="en-US"/>
        </w:rPr>
      </w:pPr>
      <w:r w:rsidRPr="002F0396">
        <w:rPr>
          <w:rFonts w:eastAsia="Calibri" w:cstheme="minorHAnsi"/>
          <w:sz w:val="24"/>
          <w:szCs w:val="24"/>
          <w:lang w:val="en-CA" w:eastAsia="en-US"/>
        </w:rPr>
        <w:t>Administrations invoking Article 48 after the Bureau has launched an investigation to verify whether frequency assignments were actually in use within regulatory deadlines as a means to prevent the investigation and retain rights in the Master International Frequency Register (MIFR</w:t>
      </w:r>
      <w:proofErr w:type="gramStart"/>
      <w:r w:rsidRPr="002F0396">
        <w:rPr>
          <w:rFonts w:eastAsia="Calibri" w:cstheme="minorHAnsi"/>
          <w:sz w:val="24"/>
          <w:szCs w:val="24"/>
          <w:lang w:val="en-CA" w:eastAsia="en-US"/>
        </w:rPr>
        <w:t>)</w:t>
      </w:r>
      <w:r>
        <w:rPr>
          <w:rFonts w:eastAsia="Calibri" w:cstheme="minorHAnsi"/>
          <w:sz w:val="24"/>
          <w:szCs w:val="24"/>
          <w:lang w:val="en-CA" w:eastAsia="en-US"/>
        </w:rPr>
        <w:t>;</w:t>
      </w:r>
      <w:proofErr w:type="gramEnd"/>
    </w:p>
    <w:p w14:paraId="050DD254" w14:textId="77777777" w:rsidR="004B36A7" w:rsidRPr="005B05DC" w:rsidRDefault="004B36A7" w:rsidP="004B36A7">
      <w:pPr>
        <w:numPr>
          <w:ilvl w:val="0"/>
          <w:numId w:val="1"/>
        </w:numPr>
        <w:tabs>
          <w:tab w:val="clear" w:pos="567"/>
          <w:tab w:val="clear" w:pos="1134"/>
          <w:tab w:val="clear" w:pos="1701"/>
          <w:tab w:val="clear" w:pos="2268"/>
          <w:tab w:val="clear" w:pos="2835"/>
        </w:tabs>
        <w:suppressAutoHyphens/>
        <w:overflowPunct/>
        <w:autoSpaceDE/>
        <w:autoSpaceDN/>
        <w:adjustRightInd/>
        <w:spacing w:before="0" w:after="120"/>
        <w:jc w:val="both"/>
        <w:textAlignment w:val="auto"/>
        <w:rPr>
          <w:rFonts w:asciiTheme="minorHAnsi" w:hAnsiTheme="minorHAnsi" w:cstheme="minorHAnsi"/>
          <w:lang w:eastAsia="ar-SA"/>
        </w:rPr>
      </w:pPr>
      <w:r w:rsidRPr="005B05DC">
        <w:rPr>
          <w:rFonts w:asciiTheme="minorHAnsi" w:hAnsiTheme="minorHAnsi" w:cstheme="minorHAnsi"/>
          <w:lang w:eastAsia="ar-SA"/>
        </w:rPr>
        <w:t xml:space="preserve">Administrations invoking Article 48 for frequency assignments that are not used for military radio </w:t>
      </w:r>
      <w:r w:rsidRPr="005B05DC">
        <w:rPr>
          <w:rFonts w:asciiTheme="minorHAnsi" w:hAnsiTheme="minorHAnsi" w:cstheme="minorHAnsi"/>
        </w:rPr>
        <w:t>installations</w:t>
      </w:r>
      <w:r w:rsidRPr="005B05DC">
        <w:rPr>
          <w:rFonts w:asciiTheme="minorHAnsi" w:hAnsiTheme="minorHAnsi" w:cstheme="minorHAnsi"/>
          <w:lang w:eastAsia="ar-SA"/>
        </w:rPr>
        <w:t>.</w:t>
      </w:r>
    </w:p>
    <w:p w14:paraId="7E4A8441" w14:textId="77777777" w:rsidR="004B36A7" w:rsidRPr="005B05DC" w:rsidRDefault="004B36A7" w:rsidP="00965658">
      <w:pPr>
        <w:jc w:val="both"/>
        <w:rPr>
          <w:lang w:eastAsia="zh-CN"/>
        </w:rPr>
      </w:pPr>
      <w:r w:rsidRPr="005B05DC">
        <w:rPr>
          <w:lang w:eastAsia="zh-CN"/>
        </w:rPr>
        <w:t>The Board considered that invoking Article 48 for the sole purpose of preventing the Bureau from investigating the status of satellite networks</w:t>
      </w:r>
      <w:r w:rsidRPr="005B05DC">
        <w:rPr>
          <w:b/>
          <w:lang w:eastAsia="zh-CN"/>
        </w:rPr>
        <w:t xml:space="preserve"> </w:t>
      </w:r>
      <w:r>
        <w:rPr>
          <w:lang w:eastAsia="zh-CN"/>
        </w:rPr>
        <w:t>wa</w:t>
      </w:r>
      <w:r w:rsidRPr="005B05DC">
        <w:rPr>
          <w:lang w:eastAsia="zh-CN"/>
        </w:rPr>
        <w:t>s incompatible with the Constitution and the Radio Regulations.</w:t>
      </w:r>
    </w:p>
    <w:p w14:paraId="0BC0BB1A" w14:textId="77777777" w:rsidR="004B36A7" w:rsidRPr="005B05DC" w:rsidRDefault="004B36A7" w:rsidP="00965658">
      <w:pPr>
        <w:jc w:val="both"/>
        <w:rPr>
          <w:lang w:eastAsia="zh-CN"/>
        </w:rPr>
      </w:pPr>
      <w:r w:rsidRPr="005B05DC">
        <w:rPr>
          <w:lang w:eastAsia="zh-CN"/>
        </w:rPr>
        <w:t xml:space="preserve">In addressing the cases mentioned above, the Board </w:t>
      </w:r>
      <w:proofErr w:type="gramStart"/>
      <w:r w:rsidRPr="005B05DC">
        <w:rPr>
          <w:lang w:eastAsia="zh-CN"/>
        </w:rPr>
        <w:t>took into account</w:t>
      </w:r>
      <w:proofErr w:type="gramEnd"/>
      <w:r w:rsidRPr="005B05DC">
        <w:rPr>
          <w:lang w:eastAsia="zh-CN"/>
        </w:rPr>
        <w:t xml:space="preserve"> the guidance offered by WRC-15</w:t>
      </w:r>
      <w:r>
        <w:rPr>
          <w:lang w:eastAsia="zh-CN"/>
        </w:rPr>
        <w:t>,</w:t>
      </w:r>
      <w:r w:rsidRPr="005B05DC">
        <w:rPr>
          <w:lang w:eastAsia="zh-CN"/>
        </w:rPr>
        <w:t xml:space="preserve"> which </w:t>
      </w:r>
      <w:r>
        <w:rPr>
          <w:lang w:eastAsia="zh-CN"/>
        </w:rPr>
        <w:t xml:space="preserve">had </w:t>
      </w:r>
      <w:r w:rsidRPr="005B05DC">
        <w:rPr>
          <w:lang w:eastAsia="zh-CN"/>
        </w:rPr>
        <w:t>concluded that</w:t>
      </w:r>
      <w:r>
        <w:rPr>
          <w:lang w:eastAsia="zh-CN"/>
        </w:rPr>
        <w:t>,</w:t>
      </w:r>
      <w:r w:rsidRPr="005B05DC">
        <w:rPr>
          <w:lang w:eastAsia="zh-CN"/>
        </w:rPr>
        <w:t xml:space="preserve"> once administrations ha</w:t>
      </w:r>
      <w:r>
        <w:rPr>
          <w:lang w:eastAsia="zh-CN"/>
        </w:rPr>
        <w:t>d</w:t>
      </w:r>
      <w:r w:rsidRPr="005B05DC">
        <w:rPr>
          <w:lang w:eastAsia="zh-CN"/>
        </w:rPr>
        <w:t xml:space="preserve"> invoked Article 48 explicitly, information to respond to an investigation </w:t>
      </w:r>
      <w:r>
        <w:rPr>
          <w:lang w:eastAsia="zh-CN"/>
        </w:rPr>
        <w:t>could</w:t>
      </w:r>
      <w:r w:rsidRPr="005B05DC">
        <w:rPr>
          <w:lang w:eastAsia="zh-CN"/>
        </w:rPr>
        <w:t xml:space="preserve"> no longer be requested by the Bureau or the Board.</w:t>
      </w:r>
      <w:r>
        <w:rPr>
          <w:lang w:eastAsia="zh-CN"/>
        </w:rPr>
        <w:t xml:space="preserve"> </w:t>
      </w:r>
      <w:r w:rsidRPr="005B05DC">
        <w:rPr>
          <w:lang w:eastAsia="zh-CN"/>
        </w:rPr>
        <w:t xml:space="preserve">As a result, the Board was not </w:t>
      </w:r>
      <w:proofErr w:type="gramStart"/>
      <w:r w:rsidRPr="005B05DC">
        <w:rPr>
          <w:lang w:eastAsia="zh-CN"/>
        </w:rPr>
        <w:t>in a position</w:t>
      </w:r>
      <w:proofErr w:type="gramEnd"/>
      <w:r w:rsidRPr="005B05DC">
        <w:rPr>
          <w:lang w:eastAsia="zh-CN"/>
        </w:rPr>
        <w:t xml:space="preserve"> to make decisions on cases where Article 48 was invoked</w:t>
      </w:r>
      <w:r>
        <w:rPr>
          <w:lang w:eastAsia="zh-CN"/>
        </w:rPr>
        <w:t>,</w:t>
      </w:r>
      <w:r w:rsidRPr="005B05DC">
        <w:rPr>
          <w:lang w:eastAsia="zh-CN"/>
        </w:rPr>
        <w:t xml:space="preserve"> in the absence of clear direction to ensure coherent application of the rights of administrations under Article 48 and their obligations under the Radio Regulations.</w:t>
      </w:r>
    </w:p>
    <w:p w14:paraId="7BD6849F" w14:textId="5E7D59D1" w:rsidR="004B36A7" w:rsidRDefault="004B36A7" w:rsidP="00965658">
      <w:pPr>
        <w:jc w:val="both"/>
        <w:rPr>
          <w:lang w:eastAsia="zh-CN"/>
        </w:rPr>
      </w:pPr>
      <w:r w:rsidRPr="005B05DC">
        <w:rPr>
          <w:lang w:eastAsia="zh-CN"/>
        </w:rPr>
        <w:t>Since WRC-19, the Board has received a request to develop a rule of procedure in respect of Article</w:t>
      </w:r>
      <w:r w:rsidRPr="009844FC">
        <w:rPr>
          <w:rFonts w:cs="Calibri"/>
          <w:sz w:val="22"/>
          <w:szCs w:val="22"/>
        </w:rPr>
        <w:t> </w:t>
      </w:r>
      <w:r w:rsidRPr="005B05DC">
        <w:rPr>
          <w:lang w:eastAsia="zh-CN"/>
        </w:rPr>
        <w:t>48.</w:t>
      </w:r>
      <w:r>
        <w:rPr>
          <w:lang w:eastAsia="zh-CN"/>
        </w:rPr>
        <w:t xml:space="preserve"> </w:t>
      </w:r>
      <w:r w:rsidRPr="005B05DC">
        <w:rPr>
          <w:lang w:eastAsia="zh-CN"/>
        </w:rPr>
        <w:t xml:space="preserve">This request stemmed from concerns of </w:t>
      </w:r>
      <w:r>
        <w:rPr>
          <w:lang w:eastAsia="zh-CN"/>
        </w:rPr>
        <w:t>Article 48 being invoked</w:t>
      </w:r>
      <w:r w:rsidRPr="005B05DC">
        <w:rPr>
          <w:lang w:eastAsia="zh-CN"/>
        </w:rPr>
        <w:t xml:space="preserve"> in response to a coordination request for terrestrial frequency assignments </w:t>
      </w:r>
      <w:proofErr w:type="gramStart"/>
      <w:r>
        <w:rPr>
          <w:lang w:eastAsia="zh-CN"/>
        </w:rPr>
        <w:t>in order</w:t>
      </w:r>
      <w:r w:rsidRPr="005B05DC">
        <w:rPr>
          <w:lang w:eastAsia="zh-CN"/>
        </w:rPr>
        <w:t xml:space="preserve"> to</w:t>
      </w:r>
      <w:proofErr w:type="gramEnd"/>
      <w:r w:rsidRPr="005B05DC">
        <w:rPr>
          <w:lang w:eastAsia="zh-CN"/>
        </w:rPr>
        <w:t xml:space="preserve"> avoid providing the characteristics of the assignments on which the objection was based</w:t>
      </w:r>
      <w:r>
        <w:rPr>
          <w:lang w:eastAsia="zh-CN"/>
        </w:rPr>
        <w:t>,</w:t>
      </w:r>
      <w:r w:rsidRPr="005B05DC">
        <w:rPr>
          <w:lang w:eastAsia="zh-CN"/>
        </w:rPr>
        <w:t xml:space="preserve"> </w:t>
      </w:r>
      <w:r>
        <w:rPr>
          <w:lang w:eastAsia="zh-CN"/>
        </w:rPr>
        <w:t>making</w:t>
      </w:r>
      <w:r w:rsidRPr="005B05DC">
        <w:rPr>
          <w:lang w:eastAsia="zh-CN"/>
        </w:rPr>
        <w:t xml:space="preserve"> it impossible to address potential interference.</w:t>
      </w:r>
      <w:r>
        <w:rPr>
          <w:lang w:eastAsia="zh-CN"/>
        </w:rPr>
        <w:t xml:space="preserve"> </w:t>
      </w:r>
      <w:r w:rsidRPr="005B05DC">
        <w:rPr>
          <w:lang w:eastAsia="zh-CN"/>
        </w:rPr>
        <w:t>Noting that WRC-19 had invited PP-22 to provide guidance on the invocation of Article</w:t>
      </w:r>
      <w:r w:rsidRPr="009844FC">
        <w:rPr>
          <w:rFonts w:cs="Calibri"/>
          <w:sz w:val="22"/>
          <w:szCs w:val="22"/>
        </w:rPr>
        <w:t> </w:t>
      </w:r>
      <w:r w:rsidRPr="005B05DC">
        <w:rPr>
          <w:lang w:eastAsia="zh-CN"/>
        </w:rPr>
        <w:t>48, the Board decided not to develop a rule of procedure on invoking Article 48 under the application of coordination procedures at th</w:t>
      </w:r>
      <w:r>
        <w:rPr>
          <w:lang w:eastAsia="zh-CN"/>
        </w:rPr>
        <w:t>at</w:t>
      </w:r>
      <w:r w:rsidRPr="005B05DC">
        <w:rPr>
          <w:lang w:eastAsia="zh-CN"/>
        </w:rPr>
        <w:t xml:space="preserve"> stage.</w:t>
      </w:r>
    </w:p>
    <w:p w14:paraId="6FAAC018" w14:textId="3768C63F" w:rsidR="004B36A7" w:rsidRPr="005B05DC" w:rsidRDefault="004B36A7" w:rsidP="00965658">
      <w:pPr>
        <w:pStyle w:val="Heading1"/>
        <w:tabs>
          <w:tab w:val="clear" w:pos="1701"/>
          <w:tab w:val="clear" w:pos="2268"/>
          <w:tab w:val="clear" w:pos="2835"/>
          <w:tab w:val="center" w:pos="4680"/>
        </w:tabs>
        <w:rPr>
          <w:lang w:val="en-CA"/>
        </w:rPr>
      </w:pPr>
      <w:r w:rsidRPr="005B05DC">
        <w:rPr>
          <w:lang w:val="en-CA"/>
        </w:rPr>
        <w:lastRenderedPageBreak/>
        <w:t>Discussion</w:t>
      </w:r>
    </w:p>
    <w:p w14:paraId="04984E23" w14:textId="77777777" w:rsidR="004B36A7" w:rsidRPr="005B05DC" w:rsidRDefault="004B36A7" w:rsidP="00965658">
      <w:pPr>
        <w:jc w:val="both"/>
      </w:pPr>
      <w:r w:rsidRPr="006A43BF">
        <w:rPr>
          <w:rStyle w:val="Emphasis"/>
          <w:rFonts w:asciiTheme="minorHAnsi" w:hAnsiTheme="minorHAnsi" w:cstheme="minorHAnsi"/>
          <w:i w:val="0"/>
          <w:iCs w:val="0"/>
        </w:rPr>
        <w:t>Article 6 of the Constitution, on execution of the instruments of the Union, recognizes that Article</w:t>
      </w:r>
      <w:r w:rsidRPr="006A43BF">
        <w:rPr>
          <w:rFonts w:cs="Calibri"/>
          <w:i/>
          <w:iCs/>
          <w:sz w:val="22"/>
          <w:szCs w:val="22"/>
        </w:rPr>
        <w:t> </w:t>
      </w:r>
      <w:r w:rsidRPr="006A43BF">
        <w:rPr>
          <w:rStyle w:val="Emphasis"/>
          <w:rFonts w:asciiTheme="minorHAnsi" w:hAnsiTheme="minorHAnsi" w:cstheme="minorHAnsi"/>
          <w:i w:val="0"/>
          <w:iCs w:val="0"/>
        </w:rPr>
        <w:t>48 provides an exemption to the overall obligation to abide by the provisions of the Radio Regulations.</w:t>
      </w:r>
      <w:r w:rsidRPr="005B05DC">
        <w:rPr>
          <w:rStyle w:val="Emphasis"/>
          <w:rFonts w:asciiTheme="minorHAnsi" w:hAnsiTheme="minorHAnsi" w:cstheme="minorHAnsi"/>
        </w:rPr>
        <w:t xml:space="preserve"> </w:t>
      </w:r>
      <w:r w:rsidRPr="005B05DC">
        <w:t>Article 48</w:t>
      </w:r>
      <w:r w:rsidRPr="005B05DC">
        <w:rPr>
          <w:b/>
        </w:rPr>
        <w:t xml:space="preserve"> </w:t>
      </w:r>
      <w:r w:rsidRPr="005B05DC">
        <w:t>further recognizes that “</w:t>
      </w:r>
      <w:r w:rsidRPr="005B05DC">
        <w:rPr>
          <w:i/>
        </w:rPr>
        <w:t>Member States retain their entire freedom with regard to military radio installations</w:t>
      </w:r>
      <w:r w:rsidRPr="005B05DC">
        <w:rPr>
          <w:iCs/>
        </w:rPr>
        <w:t xml:space="preserve">”, as stipulated in </w:t>
      </w:r>
      <w:r>
        <w:rPr>
          <w:iCs/>
        </w:rPr>
        <w:t>No.</w:t>
      </w:r>
      <w:r w:rsidRPr="005B05DC">
        <w:rPr>
          <w:iCs/>
        </w:rPr>
        <w:t xml:space="preserve"> 202</w:t>
      </w:r>
      <w:r>
        <w:rPr>
          <w:iCs/>
        </w:rPr>
        <w:t xml:space="preserve"> of the Constitution</w:t>
      </w:r>
      <w:r w:rsidRPr="005B05DC">
        <w:rPr>
          <w:iCs/>
        </w:rPr>
        <w:t>.</w:t>
      </w:r>
      <w:r w:rsidRPr="005B05DC">
        <w:rPr>
          <w:i/>
        </w:rPr>
        <w:t xml:space="preserve"> </w:t>
      </w:r>
      <w:r>
        <w:rPr>
          <w:iCs/>
        </w:rPr>
        <w:t>The following two provisions of Article 48 confirm, however, that t</w:t>
      </w:r>
      <w:r w:rsidRPr="005B05DC">
        <w:t>his recognition does not provide a complete and definitive derogation to the provisions of the Administrative Regulations:</w:t>
      </w:r>
    </w:p>
    <w:p w14:paraId="61FA3A1A" w14:textId="77777777" w:rsidR="004B36A7" w:rsidRPr="005B05DC" w:rsidRDefault="004B36A7" w:rsidP="004B36A7">
      <w:pPr>
        <w:spacing w:before="360" w:line="276" w:lineRule="auto"/>
        <w:rPr>
          <w:rStyle w:val="Emphasis"/>
          <w:rFonts w:asciiTheme="minorHAnsi" w:hAnsiTheme="minorHAnsi" w:cstheme="minorHAnsi"/>
          <w:b/>
          <w:bCs/>
        </w:rPr>
      </w:pPr>
      <w:r w:rsidRPr="005B05DC">
        <w:rPr>
          <w:rStyle w:val="Emphasis"/>
          <w:rFonts w:asciiTheme="minorHAnsi" w:hAnsiTheme="minorHAnsi" w:cstheme="minorHAnsi"/>
          <w:b/>
          <w:bCs/>
        </w:rPr>
        <w:t>203</w:t>
      </w:r>
      <w:r w:rsidRPr="005B05DC">
        <w:rPr>
          <w:rStyle w:val="Emphasis"/>
          <w:rFonts w:asciiTheme="minorHAnsi" w:hAnsiTheme="minorHAnsi" w:cstheme="minorHAnsi"/>
          <w:b/>
          <w:bCs/>
        </w:rPr>
        <w:tab/>
        <w:t>2</w:t>
      </w:r>
      <w:r w:rsidRPr="005B05DC">
        <w:rPr>
          <w:rStyle w:val="Emphasis"/>
          <w:rFonts w:asciiTheme="minorHAnsi" w:hAnsiTheme="minorHAnsi" w:cstheme="minorHAnsi"/>
          <w:b/>
          <w:bCs/>
        </w:rPr>
        <w:tab/>
        <w:t xml:space="preserve">Nevertheless, these installations must, </w:t>
      </w:r>
      <w:r w:rsidRPr="005B05DC">
        <w:rPr>
          <w:rStyle w:val="Emphasis"/>
          <w:rFonts w:asciiTheme="minorHAnsi" w:hAnsiTheme="minorHAnsi" w:cstheme="minorHAnsi"/>
          <w:b/>
          <w:bCs/>
          <w:u w:val="single"/>
        </w:rPr>
        <w:t>so far as possible</w:t>
      </w:r>
      <w:r w:rsidRPr="005B05DC">
        <w:rPr>
          <w:rStyle w:val="Emphasis"/>
          <w:rFonts w:asciiTheme="minorHAnsi" w:hAnsiTheme="minorHAnsi" w:cstheme="minorHAnsi"/>
          <w:b/>
          <w:bCs/>
        </w:rPr>
        <w:t xml:space="preserve">, observe statutory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provisions relative to giving assistance in case of distress and to the measures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to be taken to prevent harmful interference, and the provisions of the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Administrative Regulations concerning the types of emission and the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frequencies to be used, according to the nature of the service performed by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such installations.</w:t>
      </w:r>
    </w:p>
    <w:p w14:paraId="5793E9C9" w14:textId="77777777" w:rsidR="004B36A7" w:rsidRPr="005B05DC" w:rsidRDefault="004B36A7" w:rsidP="004B36A7">
      <w:pPr>
        <w:spacing w:line="276" w:lineRule="auto"/>
        <w:rPr>
          <w:rStyle w:val="Emphasis"/>
          <w:rFonts w:asciiTheme="minorHAnsi" w:hAnsiTheme="minorHAnsi" w:cstheme="minorHAnsi"/>
          <w:b/>
          <w:bCs/>
        </w:rPr>
      </w:pPr>
      <w:r w:rsidRPr="005B05DC">
        <w:rPr>
          <w:rStyle w:val="Emphasis"/>
          <w:rFonts w:asciiTheme="minorHAnsi" w:hAnsiTheme="minorHAnsi" w:cstheme="minorHAnsi"/>
          <w:b/>
          <w:bCs/>
        </w:rPr>
        <w:t>204</w:t>
      </w:r>
      <w:r w:rsidRPr="005B05DC">
        <w:rPr>
          <w:rStyle w:val="Emphasis"/>
          <w:rFonts w:asciiTheme="minorHAnsi" w:hAnsiTheme="minorHAnsi" w:cstheme="minorHAnsi"/>
          <w:b/>
          <w:bCs/>
        </w:rPr>
        <w:tab/>
        <w:t>3</w:t>
      </w:r>
      <w:r w:rsidRPr="005B05DC">
        <w:rPr>
          <w:rStyle w:val="Emphasis"/>
          <w:rFonts w:asciiTheme="minorHAnsi" w:hAnsiTheme="minorHAnsi" w:cstheme="minorHAnsi"/>
          <w:b/>
          <w:bCs/>
        </w:rPr>
        <w:tab/>
        <w:t xml:space="preserve">Moreover, when these installations take part in the service of public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correspondence or other services governed by the Administrative Regulations,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they must, </w:t>
      </w:r>
      <w:r w:rsidRPr="005B05DC">
        <w:rPr>
          <w:rStyle w:val="Emphasis"/>
          <w:rFonts w:asciiTheme="minorHAnsi" w:hAnsiTheme="minorHAnsi" w:cstheme="minorHAnsi"/>
          <w:b/>
          <w:bCs/>
          <w:u w:val="single"/>
        </w:rPr>
        <w:t>in general</w:t>
      </w:r>
      <w:r w:rsidRPr="005B05DC">
        <w:rPr>
          <w:rStyle w:val="Emphasis"/>
          <w:rFonts w:asciiTheme="minorHAnsi" w:hAnsiTheme="minorHAnsi" w:cstheme="minorHAnsi"/>
          <w:b/>
          <w:bCs/>
        </w:rPr>
        <w:t xml:space="preserve">, comply with the regulatory provisions for the conduct of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such services.</w:t>
      </w:r>
    </w:p>
    <w:p w14:paraId="607CA4E6" w14:textId="11BEB021" w:rsidR="004B36A7" w:rsidRPr="005B05DC" w:rsidRDefault="004B36A7" w:rsidP="00965658">
      <w:pPr>
        <w:jc w:val="both"/>
        <w:rPr>
          <w:lang w:eastAsia="ar-SA"/>
        </w:rPr>
      </w:pPr>
      <w:r w:rsidRPr="000410AA">
        <w:rPr>
          <w:rStyle w:val="Emphasis"/>
          <w:rFonts w:asciiTheme="minorHAnsi" w:hAnsiTheme="minorHAnsi" w:cstheme="minorHAnsi"/>
          <w:i w:val="0"/>
          <w:iCs w:val="0"/>
        </w:rPr>
        <w:t>The Board is of the view that these provisions of the Constitution do not imply that the rights for international recognition and protection could be obtained and maintained through the invocation of Article 48 without the relevant frequency assignments having been successfully recorded in the MIFR. In addition, the</w:t>
      </w:r>
      <w:r>
        <w:rPr>
          <w:rStyle w:val="Emphasis"/>
          <w:rFonts w:asciiTheme="minorHAnsi" w:hAnsiTheme="minorHAnsi" w:cstheme="minorHAnsi"/>
        </w:rPr>
        <w:t xml:space="preserve"> </w:t>
      </w:r>
      <w:r w:rsidRPr="005B05DC">
        <w:rPr>
          <w:rFonts w:eastAsiaTheme="minorEastAsia"/>
          <w:lang w:eastAsia="zh-CN"/>
        </w:rPr>
        <w:t xml:space="preserve">Board is </w:t>
      </w:r>
      <w:r w:rsidRPr="005B05DC">
        <w:rPr>
          <w:lang w:eastAsia="zh-CN"/>
        </w:rPr>
        <w:t xml:space="preserve">very concerned </w:t>
      </w:r>
      <w:r>
        <w:rPr>
          <w:lang w:eastAsia="zh-CN"/>
        </w:rPr>
        <w:t>about</w:t>
      </w:r>
      <w:r w:rsidRPr="005B05DC">
        <w:rPr>
          <w:lang w:eastAsia="zh-CN"/>
        </w:rPr>
        <w:t xml:space="preserve"> the potential for </w:t>
      </w:r>
      <w:r w:rsidR="00CF3FAF">
        <w:rPr>
          <w:lang w:eastAsia="zh-CN"/>
        </w:rPr>
        <w:t>ab</w:t>
      </w:r>
      <w:r w:rsidRPr="005B05DC">
        <w:rPr>
          <w:lang w:eastAsia="zh-CN"/>
        </w:rPr>
        <w:t xml:space="preserve">use of Article 48 and how such abuse would seriously compromise the integrity of the regulatory framework. Furthermore, in instances where there appears to be contradictory information suggesting that frequency assignments for which Article 48 </w:t>
      </w:r>
      <w:r>
        <w:rPr>
          <w:lang w:eastAsia="zh-CN"/>
        </w:rPr>
        <w:t>has been</w:t>
      </w:r>
      <w:r w:rsidRPr="005B05DC">
        <w:rPr>
          <w:lang w:eastAsia="zh-CN"/>
        </w:rPr>
        <w:t xml:space="preserve"> invoked </w:t>
      </w:r>
      <w:r>
        <w:rPr>
          <w:lang w:eastAsia="zh-CN"/>
        </w:rPr>
        <w:t>are</w:t>
      </w:r>
      <w:r w:rsidRPr="005B05DC">
        <w:rPr>
          <w:lang w:eastAsia="zh-CN"/>
        </w:rPr>
        <w:t xml:space="preserve"> not used for military radio installations, </w:t>
      </w:r>
      <w:r w:rsidRPr="005B05DC">
        <w:rPr>
          <w:lang w:eastAsia="ar-SA"/>
        </w:rPr>
        <w:t xml:space="preserve">the Board </w:t>
      </w:r>
      <w:r w:rsidRPr="005B05DC">
        <w:t>should be able to invite the administration concerned to provide clarification</w:t>
      </w:r>
      <w:r w:rsidRPr="005B05DC">
        <w:rPr>
          <w:lang w:eastAsia="ar-SA"/>
        </w:rPr>
        <w:t>.</w:t>
      </w:r>
    </w:p>
    <w:p w14:paraId="28CF0670" w14:textId="77777777" w:rsidR="004B36A7" w:rsidRPr="005B05DC" w:rsidRDefault="004B36A7" w:rsidP="00965658">
      <w:pPr>
        <w:pStyle w:val="Heading1"/>
        <w:spacing w:before="240"/>
        <w:rPr>
          <w:lang w:eastAsia="ar-SA"/>
        </w:rPr>
      </w:pPr>
      <w:r w:rsidRPr="005B05DC">
        <w:rPr>
          <w:lang w:eastAsia="ar-SA"/>
        </w:rPr>
        <w:t>Conclusions</w:t>
      </w:r>
    </w:p>
    <w:p w14:paraId="2936CC55" w14:textId="77777777" w:rsidR="004B36A7" w:rsidRPr="005B05DC" w:rsidRDefault="004B36A7" w:rsidP="00965658">
      <w:pPr>
        <w:jc w:val="both"/>
        <w:rPr>
          <w:lang w:eastAsia="ar-SA"/>
        </w:rPr>
      </w:pPr>
      <w:r w:rsidRPr="005B05DC">
        <w:rPr>
          <w:noProof/>
          <w:lang w:eastAsia="zh-CN"/>
        </w:rPr>
        <mc:AlternateContent>
          <mc:Choice Requires="wpi">
            <w:drawing>
              <wp:anchor distT="0" distB="0" distL="114300" distR="114300" simplePos="0" relativeHeight="251661824" behindDoc="0" locked="0" layoutInCell="1" allowOverlap="1" wp14:anchorId="3936ECA7" wp14:editId="0B2187D5">
                <wp:simplePos x="0" y="0"/>
                <wp:positionH relativeFrom="column">
                  <wp:posOffset>6153402</wp:posOffset>
                </wp:positionH>
                <wp:positionV relativeFrom="paragraph">
                  <wp:posOffset>619498</wp:posOffset>
                </wp:positionV>
                <wp:extent cx="22320" cy="10440"/>
                <wp:effectExtent l="38100" t="38100" r="53975" b="4699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22320" cy="10440"/>
                      </w14:xfrm>
                    </w14:contentPart>
                  </a:graphicData>
                </a:graphic>
              </wp:anchor>
            </w:drawing>
          </mc:Choice>
          <mc:Fallback>
            <w:pict>
              <v:shapetype w14:anchorId="565B9D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83.8pt;margin-top:48.05pt;width:3.15pt;height:2.2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bom13AQAABwMAAA4AAABkcnMvZTJvRG9jLnhtbJxSXU/CMBR9N/E/&#10;NH2XfYAKC4MHiQkPKg/6A2rXssa1d7ntGPx7LxsIaIyJL8vuPenp+eh0vrUV2yj0BlzOk0HMmXIS&#10;CuPWOX97fbwZc+aDcIWowKmc75Tn89n11bStM5VCCVWhkBGJ81lb57wMoc6iyMtSWeEHUCtHoAa0&#10;ItCI66hA0RK7raI0ju+iFrCoEaTynraLHuSzjl9rJcOL1l4FVuV8EsckL9DPME04w5yP74e3nL3T&#10;Jk0nPJpNRbZGUZdGHiSJfyiywjgS8EW1EEGwBs0PKmskggcdBhJsBFobqTo/5CyJvzlbuo+9q2Qk&#10;G8wkuKBcWAkMx+w64D9X2IoSaJ+goHZEE4AfGCmev8voRS9ANpb09I2gqkSg5+BLU3uKOTNFznFZ&#10;JCf9bvNwcrDCk6/nS4AaiQ6Wfzuy1Wj3YZMSts05Fbzbf7su1TYwScs0HaYESEKSeDTq0CNvf/44&#10;nQVLV19UeD7vZZ2939knAAAA//8DAFBLAwQUAAYACAAAACEAViiF4/QBAADEBAAAEAAAAGRycy9p&#10;bmsvaW5rMS54bWy0U11vmzAUfZ+0/2B5D3uJwTYJEFTSp0WatElT20nrIwU3WAUTGROSf78LOA5V&#10;0z5tsmTZ9+P43nOPb26PdYUOQreyUSlmHsVIqLwppNql+PfDlsQYtSZTRVY1SqT4JFp8u/n86Uaq&#10;l7pKYEeAoNrhVFcpLo3ZJ77f973XB16jdz6nNPC/q5efP/DGZhXiWSpp4Mn2bMobZcTRDGCJLFKc&#10;myN18YB933Q6F849WHR+iTA6y8W20XVmHGKZKSUqpLIa6v6DkTnt4SDhnZ3QGNUSGibcY8toGX9b&#10;gyE7pnh276DEFiqpsX8d8/E/YG7fYg5lBTwKI4xsSYU4DDX5I+fJ+73/0s1eaCPFheaJFOs4oXy6&#10;j/xMRGnRNlU3zAajQ1Z1QBmjFGRh32b+FULe4gE3/xQPeHkXb17ca2pse3MeLGlOUufRGlkLEHq9&#10;dxozLQAP5nujx+/AKeeEhiSgDzRKVlHCY4+HfDYKq+Iz5pPu2tLhPemLXkePY23qrJeFKR3p1KMr&#10;R/qc8muppZC70nyUa9sek51yrvzDUUzI9nEnnlP8ZfyKaMycDGMjjCMeIMZiGi++UlhrusCEMbzC&#10;IV0u2JpEJIzDBVkiTjgEUcIQXVAE67xby2ifeYcjBAHRQygJSBBG/JXaXQcwxs1fAAAA//8DAFBL&#10;AwQUAAYACAAAACEA9RA5Id0AAAAKAQAADwAAAGRycy9kb3ducmV2LnhtbEyPTW/CMAyG75P2HyIj&#10;cRspbCpr1xRVk8Z5fIhzaExbaJyqSaHj18+ctpstP3rfx9lqtK24Yu8bRwrmswgEUulMQ5WC/e7r&#10;5R2ED5qMbh2hgh/0sMqfnzKdGnejDV63oRIcQj7VCuoQulRKX9ZotZ+5DolvJ9dbHXjtK2l6feNw&#10;28pFFMXS6oa4odYdftZYXraDVTAUZbFOzpfm/nbvFi58H04bskpNJ2PxASLgGP5geOizOuTsdHQD&#10;GS9aBUm8jBl9DHMQDCTL1wTEkUnuBZln8v8L+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FduibXcBAAAHAwAADgAAAAAAAAAAAAAAAAA8AgAAZHJzL2Uy&#10;b0RvYy54bWxQSwECLQAUAAYACAAAACEAViiF4/QBAADEBAAAEAAAAAAAAAAAAAAAAADfAwAAZHJz&#10;L2luay9pbmsxLnhtbFBLAQItABQABgAIAAAAIQD1EDkh3QAAAAoBAAAPAAAAAAAAAAAAAAAAAAEG&#10;AABkcnMvZG93bnJldi54bWxQSwECLQAUAAYACAAAACEAeRi8nb8AAAAhAQAAGQAAAAAAAAAAAAAA&#10;AAALBwAAZHJzL19yZWxzL2Uyb0RvYy54bWwucmVsc1BLBQYAAAAABgAGAHgBAAABCAAAAAA=&#10;">
                <v:imagedata r:id="rId13" o:title=""/>
              </v:shape>
            </w:pict>
          </mc:Fallback>
        </mc:AlternateContent>
      </w:r>
      <w:r w:rsidRPr="005B05DC">
        <w:rPr>
          <w:lang w:eastAsia="zh-CN"/>
        </w:rPr>
        <w:t>T</w:t>
      </w:r>
      <w:r w:rsidRPr="005B05DC">
        <w:rPr>
          <w:lang w:eastAsia="ar-SA"/>
        </w:rPr>
        <w:t>he Board considers that it is necessary to provide clarity on the invocation of Article 48 in relation to the Radio Regulations and</w:t>
      </w:r>
      <w:r>
        <w:rPr>
          <w:lang w:eastAsia="ar-SA"/>
        </w:rPr>
        <w:t>,</w:t>
      </w:r>
      <w:r w:rsidRPr="005B05DC">
        <w:rPr>
          <w:lang w:eastAsia="ar-SA"/>
        </w:rPr>
        <w:t xml:space="preserve"> further, that it is essential to avoid abuse of its application. The Board seeks guidance that could be used to address cases under Article 48.</w:t>
      </w:r>
      <w:r>
        <w:rPr>
          <w:lang w:eastAsia="ar-SA"/>
        </w:rPr>
        <w:t xml:space="preserve"> </w:t>
      </w:r>
      <w:r w:rsidRPr="005B05DC">
        <w:rPr>
          <w:lang w:eastAsia="ar-SA"/>
        </w:rPr>
        <w:t>The Board invites PP-22 to confirm that:</w:t>
      </w:r>
    </w:p>
    <w:p w14:paraId="4223C7FE" w14:textId="77777777" w:rsidR="004B36A7" w:rsidRPr="005B05DC" w:rsidRDefault="004B36A7" w:rsidP="00965658">
      <w:pPr>
        <w:pStyle w:val="enumlev1"/>
        <w:rPr>
          <w:lang w:eastAsia="ar-SA"/>
        </w:rPr>
      </w:pPr>
      <w:r w:rsidRPr="005B05DC">
        <w:rPr>
          <w:lang w:eastAsia="ar-SA"/>
        </w:rPr>
        <w:t>1)</w:t>
      </w:r>
      <w:r w:rsidRPr="005B05DC">
        <w:rPr>
          <w:lang w:eastAsia="ar-SA"/>
        </w:rPr>
        <w:tab/>
        <w:t xml:space="preserve">a Member State invoking Article 48 for frequency assignments must use these frequency assignments exclusively for military radio </w:t>
      </w:r>
      <w:proofErr w:type="gramStart"/>
      <w:r w:rsidRPr="005B05DC">
        <w:rPr>
          <w:lang w:eastAsia="ar-SA"/>
        </w:rPr>
        <w:t>installations;</w:t>
      </w:r>
      <w:proofErr w:type="gramEnd"/>
    </w:p>
    <w:p w14:paraId="71BC3AE1" w14:textId="77777777" w:rsidR="004B36A7" w:rsidRPr="005B05DC" w:rsidRDefault="004B36A7" w:rsidP="00965658">
      <w:pPr>
        <w:pStyle w:val="enumlev1"/>
      </w:pPr>
      <w:r w:rsidRPr="005B05DC">
        <w:t>2)</w:t>
      </w:r>
      <w:r w:rsidRPr="005B05DC">
        <w:tab/>
        <w:t xml:space="preserve">Article 48 cannot be invoked for frequency assignments used by non-military radio installations or by both military and non-military radio </w:t>
      </w:r>
      <w:proofErr w:type="gramStart"/>
      <w:r w:rsidRPr="005B05DC">
        <w:t>installations;</w:t>
      </w:r>
      <w:proofErr w:type="gramEnd"/>
    </w:p>
    <w:p w14:paraId="5D2BC13F" w14:textId="7156C232" w:rsidR="004B36A7" w:rsidRPr="005B05DC" w:rsidRDefault="004B36A7" w:rsidP="00965658">
      <w:pPr>
        <w:pStyle w:val="enumlev1"/>
      </w:pPr>
      <w:r w:rsidRPr="005B05DC">
        <w:t>3)</w:t>
      </w:r>
      <w:r w:rsidRPr="005B05DC">
        <w:tab/>
      </w:r>
      <w:r w:rsidR="00D31DD8">
        <w:t xml:space="preserve">the </w:t>
      </w:r>
      <w:r w:rsidRPr="005B05DC">
        <w:t xml:space="preserve">BR and the Board can seek clarification and consequently apply all relevant regulatory provisions if it appears from reliable information that a recorded frequency assignment for which Article 48 has been invoked is actually not in compliance </w:t>
      </w:r>
      <w:r w:rsidR="000410AA">
        <w:t xml:space="preserve">with the </w:t>
      </w:r>
      <w:proofErr w:type="gramStart"/>
      <w:r w:rsidR="000410AA">
        <w:t>article</w:t>
      </w:r>
      <w:r w:rsidRPr="005B05DC">
        <w:t>;</w:t>
      </w:r>
      <w:proofErr w:type="gramEnd"/>
    </w:p>
    <w:p w14:paraId="72A1834C" w14:textId="2F59CC2E" w:rsidR="004B36A7" w:rsidRDefault="004B36A7" w:rsidP="00965658">
      <w:pPr>
        <w:pStyle w:val="enumlev1"/>
      </w:pPr>
      <w:r w:rsidRPr="005B05DC">
        <w:t>4)</w:t>
      </w:r>
      <w:r w:rsidRPr="005B05DC">
        <w:tab/>
        <w:t>regardless of whether Article 48 is invoked, frequency assignments used by military radio installations are entitled to international recognition and the right to claim protection from harmful interference only if they are recorded in the MIFR.</w:t>
      </w:r>
    </w:p>
    <w:p w14:paraId="67D6C788" w14:textId="77777777" w:rsidR="00965658" w:rsidRDefault="00965658" w:rsidP="00965658">
      <w:pPr>
        <w:spacing w:before="0"/>
        <w:jc w:val="center"/>
      </w:pPr>
      <w:r>
        <w:t>______________</w:t>
      </w:r>
      <w:bookmarkEnd w:id="13"/>
    </w:p>
    <w:sectPr w:rsidR="00965658">
      <w:headerReference w:type="default" r:id="rId14"/>
      <w:footerReference w:type="first" r:id="rId15"/>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2F19" w14:textId="77777777" w:rsidR="00F04F08" w:rsidRDefault="00F04F08">
      <w:r>
        <w:separator/>
      </w:r>
    </w:p>
    <w:p w14:paraId="3CFD6AEE" w14:textId="77777777" w:rsidR="00022713" w:rsidRDefault="00022713"/>
  </w:endnote>
  <w:endnote w:type="continuationSeparator" w:id="0">
    <w:p w14:paraId="2FC0377A" w14:textId="77777777" w:rsidR="00F04F08" w:rsidRDefault="00F04F08">
      <w:r>
        <w:continuationSeparator/>
      </w:r>
    </w:p>
    <w:p w14:paraId="1EC37585" w14:textId="77777777" w:rsidR="00022713" w:rsidRDefault="00022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C344" w14:textId="77777777" w:rsidR="00F04F08" w:rsidRDefault="00F04F08">
      <w:r>
        <w:t>____________________</w:t>
      </w:r>
    </w:p>
    <w:p w14:paraId="7D1E087C" w14:textId="77777777" w:rsidR="00022713" w:rsidRDefault="00022713"/>
  </w:footnote>
  <w:footnote w:type="continuationSeparator" w:id="0">
    <w:p w14:paraId="6CAEA993" w14:textId="77777777" w:rsidR="00F04F08" w:rsidRDefault="00F04F08">
      <w:r>
        <w:continuationSeparator/>
      </w:r>
    </w:p>
    <w:p w14:paraId="4F2D795F" w14:textId="77777777" w:rsidR="00022713" w:rsidRDefault="00022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4A233869" w:rsidR="00CE1B90" w:rsidRDefault="00CE1B90" w:rsidP="004F7925">
    <w:pPr>
      <w:pStyle w:val="Header"/>
    </w:pPr>
    <w:r>
      <w:t>PP</w:t>
    </w:r>
    <w:r w:rsidR="000235EC">
      <w:t>22</w:t>
    </w:r>
    <w:r>
      <w:t>/</w:t>
    </w:r>
    <w:r w:rsidR="00965658">
      <w:t>63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70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2713"/>
    <w:rsid w:val="000235EC"/>
    <w:rsid w:val="00027EF2"/>
    <w:rsid w:val="000410AA"/>
    <w:rsid w:val="00041924"/>
    <w:rsid w:val="000507C1"/>
    <w:rsid w:val="00053B97"/>
    <w:rsid w:val="00073825"/>
    <w:rsid w:val="00082EB9"/>
    <w:rsid w:val="000842DF"/>
    <w:rsid w:val="0008540E"/>
    <w:rsid w:val="00094B3C"/>
    <w:rsid w:val="00094B4F"/>
    <w:rsid w:val="000A1015"/>
    <w:rsid w:val="000A4114"/>
    <w:rsid w:val="000B03F9"/>
    <w:rsid w:val="000B0A77"/>
    <w:rsid w:val="000B0D6C"/>
    <w:rsid w:val="000B409D"/>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4BBE"/>
    <w:rsid w:val="00146057"/>
    <w:rsid w:val="0015022E"/>
    <w:rsid w:val="00153151"/>
    <w:rsid w:val="0016633C"/>
    <w:rsid w:val="00171990"/>
    <w:rsid w:val="00195B70"/>
    <w:rsid w:val="001A0EEB"/>
    <w:rsid w:val="001A16ED"/>
    <w:rsid w:val="001A5497"/>
    <w:rsid w:val="001B0754"/>
    <w:rsid w:val="001B18AB"/>
    <w:rsid w:val="001B70D1"/>
    <w:rsid w:val="001C3804"/>
    <w:rsid w:val="001D3322"/>
    <w:rsid w:val="001E01A5"/>
    <w:rsid w:val="001E18AB"/>
    <w:rsid w:val="001E1C8F"/>
    <w:rsid w:val="002115E0"/>
    <w:rsid w:val="00215F12"/>
    <w:rsid w:val="002275BF"/>
    <w:rsid w:val="00232B31"/>
    <w:rsid w:val="00234820"/>
    <w:rsid w:val="00235A3B"/>
    <w:rsid w:val="00243BE4"/>
    <w:rsid w:val="00250C34"/>
    <w:rsid w:val="00257188"/>
    <w:rsid w:val="002578B4"/>
    <w:rsid w:val="00260FBA"/>
    <w:rsid w:val="00267D12"/>
    <w:rsid w:val="00281792"/>
    <w:rsid w:val="0028799E"/>
    <w:rsid w:val="002962A8"/>
    <w:rsid w:val="002A56C0"/>
    <w:rsid w:val="002E77F4"/>
    <w:rsid w:val="002F36B9"/>
    <w:rsid w:val="002F5FA2"/>
    <w:rsid w:val="003126B0"/>
    <w:rsid w:val="00314127"/>
    <w:rsid w:val="00314C12"/>
    <w:rsid w:val="003261C3"/>
    <w:rsid w:val="003453DA"/>
    <w:rsid w:val="00350DD6"/>
    <w:rsid w:val="00355B63"/>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43FE"/>
    <w:rsid w:val="00426AC1"/>
    <w:rsid w:val="004321DC"/>
    <w:rsid w:val="00435252"/>
    <w:rsid w:val="00435AA4"/>
    <w:rsid w:val="00435EA8"/>
    <w:rsid w:val="004360BB"/>
    <w:rsid w:val="0045533C"/>
    <w:rsid w:val="004606DA"/>
    <w:rsid w:val="00463092"/>
    <w:rsid w:val="004676C0"/>
    <w:rsid w:val="00474E00"/>
    <w:rsid w:val="004771BB"/>
    <w:rsid w:val="004835DB"/>
    <w:rsid w:val="00491D2D"/>
    <w:rsid w:val="00494797"/>
    <w:rsid w:val="004B0C10"/>
    <w:rsid w:val="004B167B"/>
    <w:rsid w:val="004B36A7"/>
    <w:rsid w:val="004C19D7"/>
    <w:rsid w:val="004C297B"/>
    <w:rsid w:val="004C73C9"/>
    <w:rsid w:val="004E01FA"/>
    <w:rsid w:val="004E6764"/>
    <w:rsid w:val="004F041D"/>
    <w:rsid w:val="004F1C55"/>
    <w:rsid w:val="004F7925"/>
    <w:rsid w:val="00502B5D"/>
    <w:rsid w:val="00504FE5"/>
    <w:rsid w:val="00507348"/>
    <w:rsid w:val="00522C97"/>
    <w:rsid w:val="0052730F"/>
    <w:rsid w:val="005356FD"/>
    <w:rsid w:val="00547D75"/>
    <w:rsid w:val="00551C8B"/>
    <w:rsid w:val="00554E24"/>
    <w:rsid w:val="00555A0F"/>
    <w:rsid w:val="00567130"/>
    <w:rsid w:val="0057034B"/>
    <w:rsid w:val="00570BA5"/>
    <w:rsid w:val="00581E8F"/>
    <w:rsid w:val="00586A98"/>
    <w:rsid w:val="00591C15"/>
    <w:rsid w:val="005927A4"/>
    <w:rsid w:val="00596B48"/>
    <w:rsid w:val="005B10E8"/>
    <w:rsid w:val="005B5026"/>
    <w:rsid w:val="005B661F"/>
    <w:rsid w:val="005C3315"/>
    <w:rsid w:val="005E1CC3"/>
    <w:rsid w:val="005E257C"/>
    <w:rsid w:val="005F05C8"/>
    <w:rsid w:val="00604079"/>
    <w:rsid w:val="00617BE4"/>
    <w:rsid w:val="00620233"/>
    <w:rsid w:val="00627DF4"/>
    <w:rsid w:val="006355E2"/>
    <w:rsid w:val="006404B0"/>
    <w:rsid w:val="0066499C"/>
    <w:rsid w:val="00674155"/>
    <w:rsid w:val="00676E68"/>
    <w:rsid w:val="00685DB4"/>
    <w:rsid w:val="006918D3"/>
    <w:rsid w:val="006A43BF"/>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1EBE"/>
    <w:rsid w:val="0082780C"/>
    <w:rsid w:val="00831AB3"/>
    <w:rsid w:val="008333C7"/>
    <w:rsid w:val="00833E0F"/>
    <w:rsid w:val="008404FD"/>
    <w:rsid w:val="00841AB4"/>
    <w:rsid w:val="00846DBA"/>
    <w:rsid w:val="00850AEF"/>
    <w:rsid w:val="00855DAB"/>
    <w:rsid w:val="00860C6A"/>
    <w:rsid w:val="00862891"/>
    <w:rsid w:val="00875048"/>
    <w:rsid w:val="00875BE1"/>
    <w:rsid w:val="00877715"/>
    <w:rsid w:val="00892944"/>
    <w:rsid w:val="00895CE3"/>
    <w:rsid w:val="0089603F"/>
    <w:rsid w:val="00897970"/>
    <w:rsid w:val="008A26AB"/>
    <w:rsid w:val="008B5A71"/>
    <w:rsid w:val="008B64C9"/>
    <w:rsid w:val="008D3BE2"/>
    <w:rsid w:val="008D4D98"/>
    <w:rsid w:val="008E2A7B"/>
    <w:rsid w:val="008E6E9B"/>
    <w:rsid w:val="008F2C56"/>
    <w:rsid w:val="008F3C99"/>
    <w:rsid w:val="008F58A7"/>
    <w:rsid w:val="00900D5B"/>
    <w:rsid w:val="009236FE"/>
    <w:rsid w:val="009374E2"/>
    <w:rsid w:val="00940E00"/>
    <w:rsid w:val="00945D4B"/>
    <w:rsid w:val="0094741F"/>
    <w:rsid w:val="00950E0F"/>
    <w:rsid w:val="0096150D"/>
    <w:rsid w:val="009630FA"/>
    <w:rsid w:val="00965658"/>
    <w:rsid w:val="00967103"/>
    <w:rsid w:val="00967670"/>
    <w:rsid w:val="00970996"/>
    <w:rsid w:val="009800CC"/>
    <w:rsid w:val="009A078E"/>
    <w:rsid w:val="009A2B30"/>
    <w:rsid w:val="009A4211"/>
    <w:rsid w:val="009A47A2"/>
    <w:rsid w:val="009E425E"/>
    <w:rsid w:val="009E4322"/>
    <w:rsid w:val="009E5611"/>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95ACF"/>
    <w:rsid w:val="00AB0B32"/>
    <w:rsid w:val="00AB2D04"/>
    <w:rsid w:val="00AB5C39"/>
    <w:rsid w:val="00AB75A9"/>
    <w:rsid w:val="00AD1C5C"/>
    <w:rsid w:val="00AD566F"/>
    <w:rsid w:val="00B1395F"/>
    <w:rsid w:val="00B156F9"/>
    <w:rsid w:val="00B1733E"/>
    <w:rsid w:val="00B25A86"/>
    <w:rsid w:val="00B304B9"/>
    <w:rsid w:val="00B46D66"/>
    <w:rsid w:val="00B55E1A"/>
    <w:rsid w:val="00B57988"/>
    <w:rsid w:val="00B62032"/>
    <w:rsid w:val="00B65F8C"/>
    <w:rsid w:val="00B7263B"/>
    <w:rsid w:val="00B73F47"/>
    <w:rsid w:val="00B7638A"/>
    <w:rsid w:val="00B80DF9"/>
    <w:rsid w:val="00B840D8"/>
    <w:rsid w:val="00B96467"/>
    <w:rsid w:val="00BA1094"/>
    <w:rsid w:val="00BA154E"/>
    <w:rsid w:val="00BA37CE"/>
    <w:rsid w:val="00BA4692"/>
    <w:rsid w:val="00BC6FDB"/>
    <w:rsid w:val="00BC7DE8"/>
    <w:rsid w:val="00BE0966"/>
    <w:rsid w:val="00BF43BA"/>
    <w:rsid w:val="00BF5722"/>
    <w:rsid w:val="00BF6268"/>
    <w:rsid w:val="00BF65F1"/>
    <w:rsid w:val="00BF720B"/>
    <w:rsid w:val="00C00BEB"/>
    <w:rsid w:val="00C04511"/>
    <w:rsid w:val="00C112A3"/>
    <w:rsid w:val="00C16846"/>
    <w:rsid w:val="00C306EB"/>
    <w:rsid w:val="00C34851"/>
    <w:rsid w:val="00C42A5B"/>
    <w:rsid w:val="00C5419D"/>
    <w:rsid w:val="00C56038"/>
    <w:rsid w:val="00C60189"/>
    <w:rsid w:val="00C6729F"/>
    <w:rsid w:val="00C72664"/>
    <w:rsid w:val="00C86F24"/>
    <w:rsid w:val="00CA38C9"/>
    <w:rsid w:val="00CB4984"/>
    <w:rsid w:val="00CB5DD7"/>
    <w:rsid w:val="00CB7795"/>
    <w:rsid w:val="00CB77D5"/>
    <w:rsid w:val="00CC14F0"/>
    <w:rsid w:val="00CE1B90"/>
    <w:rsid w:val="00CE3B0F"/>
    <w:rsid w:val="00CE40BB"/>
    <w:rsid w:val="00CF1C71"/>
    <w:rsid w:val="00CF3FAF"/>
    <w:rsid w:val="00CF510F"/>
    <w:rsid w:val="00D07696"/>
    <w:rsid w:val="00D11956"/>
    <w:rsid w:val="00D15A98"/>
    <w:rsid w:val="00D21A8D"/>
    <w:rsid w:val="00D31DD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3771"/>
    <w:rsid w:val="00DE4CC2"/>
    <w:rsid w:val="00DF23FC"/>
    <w:rsid w:val="00DF39CD"/>
    <w:rsid w:val="00DF3BBE"/>
    <w:rsid w:val="00DF62C0"/>
    <w:rsid w:val="00E0094D"/>
    <w:rsid w:val="00E10A17"/>
    <w:rsid w:val="00E13427"/>
    <w:rsid w:val="00E1374D"/>
    <w:rsid w:val="00E20134"/>
    <w:rsid w:val="00E23B8C"/>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B4AAE"/>
    <w:rsid w:val="00EC6D9E"/>
    <w:rsid w:val="00ED401C"/>
    <w:rsid w:val="00EE333B"/>
    <w:rsid w:val="00EF2642"/>
    <w:rsid w:val="00EF3681"/>
    <w:rsid w:val="00F04F08"/>
    <w:rsid w:val="00F10790"/>
    <w:rsid w:val="00F10E7C"/>
    <w:rsid w:val="00F13C1E"/>
    <w:rsid w:val="00F16F17"/>
    <w:rsid w:val="00F20BC2"/>
    <w:rsid w:val="00F342E4"/>
    <w:rsid w:val="00F35330"/>
    <w:rsid w:val="00F41C91"/>
    <w:rsid w:val="00F433A4"/>
    <w:rsid w:val="00F4421A"/>
    <w:rsid w:val="00F44B1A"/>
    <w:rsid w:val="00F47316"/>
    <w:rsid w:val="00F55DA5"/>
    <w:rsid w:val="00F63CE9"/>
    <w:rsid w:val="00F92966"/>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685DB4"/>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character" w:customStyle="1" w:styleId="enumlev1Char">
    <w:name w:val="enumlev1 Char"/>
    <w:link w:val="enumlev1"/>
    <w:locked/>
    <w:rsid w:val="009374E2"/>
    <w:rPr>
      <w:rFonts w:ascii="Calibri" w:hAnsi="Calibri"/>
      <w:sz w:val="24"/>
      <w:lang w:val="en-GB" w:eastAsia="en-US"/>
    </w:rPr>
  </w:style>
  <w:style w:type="paragraph" w:styleId="Revision">
    <w:name w:val="Revision"/>
    <w:hidden/>
    <w:uiPriority w:val="99"/>
    <w:semiHidden/>
    <w:rsid w:val="00BF65F1"/>
    <w:rPr>
      <w:rFonts w:ascii="Calibri" w:hAnsi="Calibri"/>
      <w:sz w:val="24"/>
      <w:lang w:val="en-GB" w:eastAsia="en-US"/>
    </w:rPr>
  </w:style>
  <w:style w:type="character" w:styleId="UnresolvedMention">
    <w:name w:val="Unresolved Mention"/>
    <w:basedOn w:val="DefaultParagraphFont"/>
    <w:uiPriority w:val="99"/>
    <w:semiHidden/>
    <w:unhideWhenUsed/>
    <w:rsid w:val="005E257C"/>
    <w:rPr>
      <w:color w:val="605E5C"/>
      <w:shd w:val="clear" w:color="auto" w:fill="E1DFDD"/>
    </w:rPr>
  </w:style>
  <w:style w:type="paragraph" w:styleId="ListParagraph">
    <w:name w:val="List Paragraph"/>
    <w:basedOn w:val="Normal"/>
    <w:link w:val="ListParagraphChar"/>
    <w:uiPriority w:val="34"/>
    <w:qFormat/>
    <w:rsid w:val="004B36A7"/>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Emphasis">
    <w:name w:val="Emphasis"/>
    <w:aliases w:val="ECC HL italics"/>
    <w:basedOn w:val="DefaultParagraphFont"/>
    <w:uiPriority w:val="1"/>
    <w:qFormat/>
    <w:rsid w:val="004B36A7"/>
    <w:rPr>
      <w:i/>
      <w:iCs/>
    </w:rPr>
  </w:style>
  <w:style w:type="character" w:customStyle="1" w:styleId="ListParagraphChar">
    <w:name w:val="List Paragraph Char"/>
    <w:basedOn w:val="DefaultParagraphFont"/>
    <w:link w:val="ListParagraph"/>
    <w:uiPriority w:val="34"/>
    <w:locked/>
    <w:rsid w:val="004B36A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22-PP-C-0041/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7:57:28.262"/>
    </inkml:context>
    <inkml:brush xml:id="br0">
      <inkml:brushProperty name="width" value="0.05" units="cm"/>
      <inkml:brushProperty name="height" value="0.05" units="cm"/>
    </inkml:brush>
  </inkml:definitions>
  <inkml:trace contextRef="#ctx0" brushRef="#br0">12 23 11808,'0'0'90,"-11"5"604,19-7-686,-4 2-208,0-1 0,0 0 0,0 0 0,0-1 0,0 1 0,0-1 0,0 0 0,-1 0 0,6-3 0,0-3-3672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600D5-ADEF-47C7-B789-C365543B6696}"/>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37f052c1-43ce-4a96-97d4-c73dff54226e"/>
    <ds:schemaRef ds:uri="996b2e75-67fd-4955-a3b0-5ab9934cb50b"/>
  </ds:schemaRefs>
</ds:datastoreItem>
</file>

<file path=customXml/itemProps3.xml><?xml version="1.0" encoding="utf-8"?>
<ds:datastoreItem xmlns:ds="http://schemas.openxmlformats.org/officeDocument/2006/customXml" ds:itemID="{983F9E25-52FF-4DC8-A168-E12C95B0797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Report from the Radio Regulations Board to the Plenipotentiary Conference - Invocation of Article 48 of the Constitution in relation to the Radio Regulations</vt:lpstr>
    </vt:vector>
  </TitlesOfParts>
  <Manager/>
  <Company>International Telecommunication Union (ITU)</Company>
  <LinksUpToDate>false</LinksUpToDate>
  <CharactersWithSpaces>6759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Radio Regulations Board - Invocation of Article 48 of the Constitution in relation to the Radio Regulations</dc:title>
  <dc:subject>Plenipotentiary Conference (PP-22)</dc:subject>
  <dc:creator>Brouard, Ricarda</dc:creator>
  <cp:keywords>PP22, PP-22</cp:keywords>
  <cp:lastModifiedBy>Xue, Kun</cp:lastModifiedBy>
  <cp:revision>2</cp:revision>
  <dcterms:created xsi:type="dcterms:W3CDTF">2022-07-14T07:45:00Z</dcterms:created>
  <dcterms:modified xsi:type="dcterms:W3CDTF">2022-07-14T07:45:00Z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