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535A63" w14:paraId="6871A9FA" w14:textId="77777777" w:rsidTr="00AB2D04">
        <w:trPr>
          <w:cantSplit/>
        </w:trPr>
        <w:tc>
          <w:tcPr>
            <w:tcW w:w="6629" w:type="dxa"/>
          </w:tcPr>
          <w:p w14:paraId="7EC7CE66" w14:textId="017ADD04" w:rsidR="001A16ED" w:rsidRPr="00535A63" w:rsidRDefault="001A16ED" w:rsidP="004F7925">
            <w:pPr>
              <w:spacing w:before="240" w:after="48" w:line="240" w:lineRule="atLeast"/>
              <w:rPr>
                <w:rFonts w:cstheme="minorHAnsi"/>
                <w:b/>
                <w:bCs/>
                <w:position w:val="6"/>
                <w:sz w:val="28"/>
                <w:szCs w:val="28"/>
                <w:lang w:val="fr-FR"/>
              </w:rPr>
            </w:pPr>
            <w:bookmarkStart w:id="0" w:name="dpp"/>
            <w:bookmarkEnd w:id="0"/>
            <w:r w:rsidRPr="00A13E74">
              <w:rPr>
                <w:b/>
                <w:bCs/>
                <w:sz w:val="30"/>
                <w:szCs w:val="30"/>
                <w:lang w:val="fr-FR"/>
              </w:rPr>
              <w:t>Conférence de plénipotentiaires (PP-22)</w:t>
            </w:r>
            <w:r w:rsidR="00A45ADE" w:rsidRPr="00535A63">
              <w:rPr>
                <w:b/>
                <w:bCs/>
                <w:lang w:val="fr-FR"/>
              </w:rPr>
              <w:br/>
            </w:r>
            <w:r w:rsidRPr="00535A63">
              <w:rPr>
                <w:b/>
                <w:bCs/>
                <w:lang w:val="fr-FR"/>
              </w:rPr>
              <w:t>Bucarest, 26 septembre – 14 octobre 2022</w:t>
            </w:r>
          </w:p>
        </w:tc>
        <w:tc>
          <w:tcPr>
            <w:tcW w:w="3402" w:type="dxa"/>
          </w:tcPr>
          <w:p w14:paraId="524627CC" w14:textId="77777777" w:rsidR="001A16ED" w:rsidRPr="00535A63" w:rsidRDefault="000235EC" w:rsidP="006A046E">
            <w:pPr>
              <w:spacing w:line="240" w:lineRule="atLeast"/>
              <w:rPr>
                <w:rFonts w:cstheme="minorHAnsi"/>
                <w:lang w:val="fr-FR"/>
              </w:rPr>
            </w:pPr>
            <w:bookmarkStart w:id="1" w:name="ditulogo"/>
            <w:bookmarkEnd w:id="1"/>
            <w:r w:rsidRPr="00535A63">
              <w:rPr>
                <w:noProof/>
                <w:lang w:val="en-US"/>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535A63" w14:paraId="325399ED" w14:textId="77777777" w:rsidTr="00AB2D04">
        <w:trPr>
          <w:cantSplit/>
        </w:trPr>
        <w:tc>
          <w:tcPr>
            <w:tcW w:w="6629" w:type="dxa"/>
            <w:tcBorders>
              <w:bottom w:val="single" w:sz="12" w:space="0" w:color="auto"/>
            </w:tcBorders>
          </w:tcPr>
          <w:p w14:paraId="6B92D919" w14:textId="77777777" w:rsidR="001A16ED" w:rsidRPr="00535A63" w:rsidRDefault="001A16ED" w:rsidP="003740BC">
            <w:pPr>
              <w:spacing w:before="0"/>
              <w:rPr>
                <w:rFonts w:cstheme="minorHAnsi"/>
                <w:b/>
                <w:smallCaps/>
                <w:szCs w:val="24"/>
                <w:lang w:val="fr-FR"/>
              </w:rPr>
            </w:pPr>
            <w:bookmarkStart w:id="2" w:name="dhead"/>
          </w:p>
        </w:tc>
        <w:tc>
          <w:tcPr>
            <w:tcW w:w="3402" w:type="dxa"/>
            <w:tcBorders>
              <w:bottom w:val="single" w:sz="12" w:space="0" w:color="auto"/>
            </w:tcBorders>
          </w:tcPr>
          <w:p w14:paraId="7B9F88E4" w14:textId="77777777" w:rsidR="001A16ED" w:rsidRPr="00535A63" w:rsidRDefault="001A16ED" w:rsidP="003740BC">
            <w:pPr>
              <w:spacing w:before="0"/>
              <w:rPr>
                <w:rFonts w:cstheme="minorHAnsi"/>
                <w:szCs w:val="24"/>
                <w:lang w:val="fr-FR"/>
              </w:rPr>
            </w:pPr>
          </w:p>
        </w:tc>
      </w:tr>
      <w:tr w:rsidR="001A16ED" w:rsidRPr="00535A63" w14:paraId="49F8974D" w14:textId="77777777" w:rsidTr="00AB2D04">
        <w:trPr>
          <w:cantSplit/>
        </w:trPr>
        <w:tc>
          <w:tcPr>
            <w:tcW w:w="6629" w:type="dxa"/>
            <w:tcBorders>
              <w:top w:val="single" w:sz="12" w:space="0" w:color="auto"/>
            </w:tcBorders>
          </w:tcPr>
          <w:p w14:paraId="4C44DFC1" w14:textId="77777777" w:rsidR="001A16ED" w:rsidRPr="00535A63" w:rsidRDefault="001A16ED" w:rsidP="003740BC">
            <w:pPr>
              <w:spacing w:before="0"/>
              <w:rPr>
                <w:rFonts w:cstheme="minorHAnsi"/>
                <w:b/>
                <w:smallCaps/>
                <w:sz w:val="20"/>
                <w:lang w:val="fr-FR"/>
              </w:rPr>
            </w:pPr>
          </w:p>
        </w:tc>
        <w:tc>
          <w:tcPr>
            <w:tcW w:w="3402" w:type="dxa"/>
            <w:tcBorders>
              <w:top w:val="single" w:sz="12" w:space="0" w:color="auto"/>
            </w:tcBorders>
          </w:tcPr>
          <w:p w14:paraId="0948D3F8" w14:textId="77777777" w:rsidR="001A16ED" w:rsidRPr="00535A63" w:rsidRDefault="001A16ED" w:rsidP="003740BC">
            <w:pPr>
              <w:spacing w:before="0"/>
              <w:rPr>
                <w:rFonts w:cstheme="minorHAnsi"/>
                <w:sz w:val="20"/>
                <w:lang w:val="fr-FR"/>
              </w:rPr>
            </w:pPr>
          </w:p>
        </w:tc>
      </w:tr>
      <w:tr w:rsidR="001A16ED" w:rsidRPr="00535A63" w14:paraId="44763525" w14:textId="77777777" w:rsidTr="00AB2D04">
        <w:trPr>
          <w:cantSplit/>
          <w:trHeight w:val="23"/>
        </w:trPr>
        <w:tc>
          <w:tcPr>
            <w:tcW w:w="6629" w:type="dxa"/>
            <w:shd w:val="clear" w:color="auto" w:fill="auto"/>
          </w:tcPr>
          <w:p w14:paraId="60D14661" w14:textId="77777777" w:rsidR="001A16ED" w:rsidRPr="00535A63" w:rsidRDefault="00E844D5" w:rsidP="002E77F4">
            <w:pPr>
              <w:pStyle w:val="Committee"/>
              <w:spacing w:after="0"/>
              <w:rPr>
                <w:lang w:val="fr-FR"/>
              </w:rPr>
            </w:pPr>
            <w:bookmarkStart w:id="3" w:name="dnum" w:colFirst="1" w:colLast="1"/>
            <w:bookmarkStart w:id="4" w:name="dmeeting" w:colFirst="0" w:colLast="0"/>
            <w:bookmarkEnd w:id="2"/>
            <w:r w:rsidRPr="00535A63">
              <w:rPr>
                <w:bCs/>
                <w:lang w:val="fr-FR"/>
              </w:rPr>
              <w:t>SÉANCE PLÉNIÈRE</w:t>
            </w:r>
          </w:p>
        </w:tc>
        <w:tc>
          <w:tcPr>
            <w:tcW w:w="3402" w:type="dxa"/>
          </w:tcPr>
          <w:p w14:paraId="5785D62C" w14:textId="62AAC629" w:rsidR="001A16ED" w:rsidRPr="00535A63" w:rsidRDefault="001A16ED" w:rsidP="003740BC">
            <w:pPr>
              <w:tabs>
                <w:tab w:val="left" w:pos="851"/>
              </w:tabs>
              <w:spacing w:before="0"/>
              <w:rPr>
                <w:rFonts w:cstheme="minorHAnsi"/>
                <w:b/>
                <w:bCs/>
                <w:szCs w:val="24"/>
                <w:lang w:val="fr-FR"/>
              </w:rPr>
            </w:pPr>
            <w:r w:rsidRPr="00535A63">
              <w:rPr>
                <w:b/>
                <w:bCs/>
                <w:lang w:val="fr-FR"/>
              </w:rPr>
              <w:t>Document 63-F</w:t>
            </w:r>
          </w:p>
        </w:tc>
      </w:tr>
      <w:tr w:rsidR="001A16ED" w:rsidRPr="00535A63" w14:paraId="3AEC411E" w14:textId="77777777" w:rsidTr="00AB2D04">
        <w:trPr>
          <w:cantSplit/>
          <w:trHeight w:val="23"/>
        </w:trPr>
        <w:tc>
          <w:tcPr>
            <w:tcW w:w="6629" w:type="dxa"/>
            <w:shd w:val="clear" w:color="auto" w:fill="auto"/>
          </w:tcPr>
          <w:p w14:paraId="05E19A25" w14:textId="77777777" w:rsidR="001A16ED" w:rsidRPr="00535A63" w:rsidRDefault="001A16ED" w:rsidP="003740BC">
            <w:pPr>
              <w:tabs>
                <w:tab w:val="left" w:pos="851"/>
              </w:tabs>
              <w:spacing w:before="0"/>
              <w:rPr>
                <w:rFonts w:asciiTheme="minorHAnsi" w:hAnsiTheme="minorHAnsi" w:cstheme="minorHAnsi"/>
                <w:b/>
                <w:szCs w:val="24"/>
                <w:lang w:val="fr-FR"/>
              </w:rPr>
            </w:pPr>
            <w:bookmarkStart w:id="5" w:name="ddate" w:colFirst="1" w:colLast="1"/>
            <w:bookmarkStart w:id="6" w:name="dblank" w:colFirst="0" w:colLast="0"/>
            <w:bookmarkEnd w:id="3"/>
            <w:bookmarkEnd w:id="4"/>
          </w:p>
        </w:tc>
        <w:tc>
          <w:tcPr>
            <w:tcW w:w="3402" w:type="dxa"/>
          </w:tcPr>
          <w:p w14:paraId="3AE33EC8" w14:textId="0E9CE455" w:rsidR="001A16ED" w:rsidRPr="00535A63" w:rsidRDefault="00965658" w:rsidP="00B46D66">
            <w:pPr>
              <w:tabs>
                <w:tab w:val="left" w:pos="851"/>
              </w:tabs>
              <w:spacing w:before="0"/>
              <w:rPr>
                <w:rFonts w:cstheme="minorHAnsi"/>
                <w:b/>
                <w:bCs/>
                <w:szCs w:val="24"/>
                <w:lang w:val="fr-FR"/>
              </w:rPr>
            </w:pPr>
            <w:r w:rsidRPr="00535A63">
              <w:rPr>
                <w:b/>
                <w:bCs/>
                <w:lang w:val="fr-FR"/>
              </w:rPr>
              <w:t>13 juillet 2022</w:t>
            </w:r>
          </w:p>
        </w:tc>
      </w:tr>
      <w:tr w:rsidR="001A16ED" w:rsidRPr="00535A63" w14:paraId="01996ED2" w14:textId="77777777" w:rsidTr="00AB2D04">
        <w:trPr>
          <w:cantSplit/>
          <w:trHeight w:val="23"/>
        </w:trPr>
        <w:tc>
          <w:tcPr>
            <w:tcW w:w="6629" w:type="dxa"/>
            <w:shd w:val="clear" w:color="auto" w:fill="auto"/>
          </w:tcPr>
          <w:p w14:paraId="148AFA29" w14:textId="77777777" w:rsidR="001A16ED" w:rsidRPr="00535A63" w:rsidRDefault="001A16ED" w:rsidP="003740BC">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402" w:type="dxa"/>
          </w:tcPr>
          <w:p w14:paraId="32ABBDB4" w14:textId="77777777" w:rsidR="001A16ED" w:rsidRPr="00535A63" w:rsidRDefault="001A16ED" w:rsidP="003740BC">
            <w:pPr>
              <w:tabs>
                <w:tab w:val="left" w:pos="993"/>
              </w:tabs>
              <w:spacing w:before="0"/>
              <w:rPr>
                <w:rFonts w:cstheme="minorHAnsi"/>
                <w:b/>
                <w:bCs/>
                <w:szCs w:val="24"/>
                <w:lang w:val="fr-FR"/>
              </w:rPr>
            </w:pPr>
            <w:proofErr w:type="gramStart"/>
            <w:r w:rsidRPr="00535A63">
              <w:rPr>
                <w:b/>
                <w:bCs/>
                <w:lang w:val="fr-FR"/>
              </w:rPr>
              <w:t>Original:</w:t>
            </w:r>
            <w:proofErr w:type="gramEnd"/>
            <w:r w:rsidRPr="00535A63">
              <w:rPr>
                <w:b/>
                <w:bCs/>
                <w:lang w:val="fr-FR"/>
              </w:rPr>
              <w:t xml:space="preserve"> anglais</w:t>
            </w:r>
          </w:p>
        </w:tc>
      </w:tr>
      <w:tr w:rsidR="001A16ED" w:rsidRPr="00535A63" w14:paraId="23D79BC6" w14:textId="77777777" w:rsidTr="006A046E">
        <w:trPr>
          <w:cantSplit/>
          <w:trHeight w:val="23"/>
        </w:trPr>
        <w:tc>
          <w:tcPr>
            <w:tcW w:w="10031" w:type="dxa"/>
            <w:gridSpan w:val="2"/>
            <w:shd w:val="clear" w:color="auto" w:fill="auto"/>
          </w:tcPr>
          <w:p w14:paraId="763D2C40" w14:textId="77777777" w:rsidR="001A16ED" w:rsidRPr="00535A63" w:rsidRDefault="001A16ED" w:rsidP="006A046E">
            <w:pPr>
              <w:tabs>
                <w:tab w:val="left" w:pos="993"/>
              </w:tabs>
              <w:rPr>
                <w:rFonts w:ascii="Verdana" w:hAnsi="Verdana"/>
                <w:b/>
                <w:szCs w:val="24"/>
                <w:lang w:val="fr-FR"/>
              </w:rPr>
            </w:pPr>
          </w:p>
        </w:tc>
      </w:tr>
      <w:tr w:rsidR="001A16ED" w:rsidRPr="00535A63" w14:paraId="3BC28CE6" w14:textId="77777777" w:rsidTr="006A046E">
        <w:trPr>
          <w:cantSplit/>
          <w:trHeight w:val="23"/>
        </w:trPr>
        <w:tc>
          <w:tcPr>
            <w:tcW w:w="10031" w:type="dxa"/>
            <w:gridSpan w:val="2"/>
            <w:shd w:val="clear" w:color="auto" w:fill="auto"/>
          </w:tcPr>
          <w:p w14:paraId="217FB800" w14:textId="02A42A84" w:rsidR="001A16ED" w:rsidRPr="00535A63" w:rsidRDefault="00EC6D9E" w:rsidP="00D21A8D">
            <w:pPr>
              <w:pStyle w:val="Source"/>
              <w:framePr w:hSpace="0" w:wrap="auto" w:hAnchor="text" w:yAlign="inline"/>
              <w:rPr>
                <w:lang w:val="fr-FR"/>
              </w:rPr>
            </w:pPr>
            <w:r w:rsidRPr="00535A63">
              <w:rPr>
                <w:lang w:val="fr-FR"/>
              </w:rPr>
              <w:t>Note du Secrétaire général</w:t>
            </w:r>
          </w:p>
        </w:tc>
      </w:tr>
      <w:tr w:rsidR="001A16ED" w:rsidRPr="003C2AA6" w14:paraId="03CCFD97" w14:textId="77777777" w:rsidTr="006A046E">
        <w:trPr>
          <w:cantSplit/>
          <w:trHeight w:val="23"/>
        </w:trPr>
        <w:tc>
          <w:tcPr>
            <w:tcW w:w="10031" w:type="dxa"/>
            <w:gridSpan w:val="2"/>
            <w:shd w:val="clear" w:color="auto" w:fill="auto"/>
          </w:tcPr>
          <w:p w14:paraId="31A43689" w14:textId="47209D5D" w:rsidR="001A16ED" w:rsidRPr="00535A63" w:rsidRDefault="006918D3" w:rsidP="00685DB4">
            <w:pPr>
              <w:pStyle w:val="Title1"/>
              <w:framePr w:hSpace="0" w:wrap="auto" w:hAnchor="text" w:yAlign="inline"/>
              <w:rPr>
                <w:lang w:val="fr-FR"/>
              </w:rPr>
            </w:pPr>
            <w:bookmarkStart w:id="9" w:name="_Hlk104839004"/>
            <w:bookmarkStart w:id="10" w:name="_Hlk111198105"/>
            <w:r w:rsidRPr="00535A63">
              <w:rPr>
                <w:lang w:val="fr-FR"/>
              </w:rPr>
              <w:t>RAPPORT DU COMITÉ DU RÈGLEMENT DES RADIOCOMMUNICATIONS</w:t>
            </w:r>
            <w:bookmarkEnd w:id="9"/>
          </w:p>
        </w:tc>
      </w:tr>
      <w:tr w:rsidR="001A16ED" w:rsidRPr="003C2AA6" w14:paraId="4A763F4F" w14:textId="77777777" w:rsidTr="006A046E">
        <w:trPr>
          <w:cantSplit/>
          <w:trHeight w:val="23"/>
        </w:trPr>
        <w:tc>
          <w:tcPr>
            <w:tcW w:w="10031" w:type="dxa"/>
            <w:gridSpan w:val="2"/>
            <w:shd w:val="clear" w:color="auto" w:fill="auto"/>
          </w:tcPr>
          <w:p w14:paraId="6A2938D5" w14:textId="56F1CFDC" w:rsidR="001A16ED" w:rsidRPr="00535A63" w:rsidRDefault="009374E2" w:rsidP="00685DB4">
            <w:pPr>
              <w:pStyle w:val="Title2"/>
              <w:framePr w:hSpace="0" w:wrap="auto" w:hAnchor="text" w:yAlign="inline"/>
              <w:rPr>
                <w:lang w:val="fr-FR"/>
              </w:rPr>
            </w:pPr>
            <w:bookmarkStart w:id="11" w:name="_Hlk104839025"/>
            <w:r w:rsidRPr="00535A63">
              <w:rPr>
                <w:lang w:val="fr-FR"/>
              </w:rPr>
              <w:t>invocation de l'article 48 de la Con</w:t>
            </w:r>
            <w:r w:rsidR="00A13E74">
              <w:rPr>
                <w:lang w:val="fr-FR"/>
              </w:rPr>
              <w:t>stitution en ce qui concerne le </w:t>
            </w:r>
            <w:r w:rsidRPr="00535A63">
              <w:rPr>
                <w:lang w:val="fr-FR"/>
              </w:rPr>
              <w:t>Règlement des radiocommunications</w:t>
            </w:r>
            <w:bookmarkEnd w:id="11"/>
          </w:p>
        </w:tc>
      </w:tr>
      <w:bookmarkEnd w:id="10"/>
      <w:tr w:rsidR="001A16ED" w:rsidRPr="003C2AA6" w14:paraId="64120A18" w14:textId="77777777" w:rsidTr="006A046E">
        <w:trPr>
          <w:cantSplit/>
          <w:trHeight w:val="23"/>
        </w:trPr>
        <w:tc>
          <w:tcPr>
            <w:tcW w:w="10031" w:type="dxa"/>
            <w:gridSpan w:val="2"/>
            <w:shd w:val="clear" w:color="auto" w:fill="auto"/>
          </w:tcPr>
          <w:p w14:paraId="3567A42C" w14:textId="77777777" w:rsidR="001A16ED" w:rsidRPr="00535A63" w:rsidRDefault="001A16ED" w:rsidP="006A046E">
            <w:pPr>
              <w:pStyle w:val="Agendaitem"/>
              <w:rPr>
                <w:lang w:val="fr-FR"/>
              </w:rPr>
            </w:pPr>
          </w:p>
        </w:tc>
      </w:tr>
    </w:tbl>
    <w:bookmarkEnd w:id="7"/>
    <w:bookmarkEnd w:id="8"/>
    <w:p w14:paraId="5C69930C" w14:textId="53472D5F" w:rsidR="00EC6D9E" w:rsidRPr="00535A63" w:rsidRDefault="00EC6D9E" w:rsidP="00290E2B">
      <w:pPr>
        <w:rPr>
          <w:szCs w:val="24"/>
          <w:lang w:val="fr-FR"/>
        </w:rPr>
      </w:pPr>
      <w:r w:rsidRPr="00535A63">
        <w:rPr>
          <w:lang w:val="fr-FR"/>
        </w:rPr>
        <w:t xml:space="preserve">Le rapport du Comité du Règlement des radiocommunications joint en annexe </w:t>
      </w:r>
      <w:r w:rsidR="008F5057" w:rsidRPr="00535A63">
        <w:rPr>
          <w:lang w:val="fr-FR"/>
        </w:rPr>
        <w:t xml:space="preserve">vient </w:t>
      </w:r>
      <w:r w:rsidRPr="00535A63">
        <w:rPr>
          <w:lang w:val="fr-FR"/>
        </w:rPr>
        <w:t>compl</w:t>
      </w:r>
      <w:r w:rsidR="008F5057" w:rsidRPr="00535A63">
        <w:rPr>
          <w:lang w:val="fr-FR"/>
        </w:rPr>
        <w:t>éter</w:t>
      </w:r>
      <w:r w:rsidR="00290E2B" w:rsidRPr="00535A63">
        <w:rPr>
          <w:lang w:val="fr-FR"/>
        </w:rPr>
        <w:t xml:space="preserve"> </w:t>
      </w:r>
      <w:r w:rsidRPr="00535A63">
        <w:rPr>
          <w:lang w:val="fr-FR"/>
        </w:rPr>
        <w:t xml:space="preserve">la décision de la Conférence mondiale des radiocommunications de 2019 concernant </w:t>
      </w:r>
      <w:proofErr w:type="gramStart"/>
      <w:r w:rsidRPr="00535A63">
        <w:rPr>
          <w:lang w:val="fr-FR"/>
        </w:rPr>
        <w:t>l'invocation</w:t>
      </w:r>
      <w:proofErr w:type="gramEnd"/>
      <w:r w:rsidRPr="00535A63">
        <w:rPr>
          <w:lang w:val="fr-FR"/>
        </w:rPr>
        <w:t xml:space="preserve"> de l'article 48 de la Constitution (voir le Document </w:t>
      </w:r>
      <w:hyperlink r:id="rId12" w:history="1">
        <w:r w:rsidRPr="00535A63">
          <w:rPr>
            <w:rStyle w:val="Hyperlink"/>
            <w:lang w:val="fr-FR"/>
          </w:rPr>
          <w:t>PP-22/41</w:t>
        </w:r>
      </w:hyperlink>
      <w:r w:rsidRPr="00535A63">
        <w:rPr>
          <w:lang w:val="fr-FR"/>
        </w:rPr>
        <w:t>).</w:t>
      </w:r>
    </w:p>
    <w:p w14:paraId="38ABE49B" w14:textId="2E73F596" w:rsidR="00EC6D9E" w:rsidRPr="00535A63" w:rsidRDefault="00290E2B" w:rsidP="00290E2B">
      <w:pPr>
        <w:tabs>
          <w:tab w:val="clear" w:pos="567"/>
          <w:tab w:val="clear" w:pos="1134"/>
          <w:tab w:val="clear" w:pos="1701"/>
          <w:tab w:val="clear" w:pos="2268"/>
          <w:tab w:val="clear" w:pos="2835"/>
          <w:tab w:val="center" w:pos="7088"/>
        </w:tabs>
        <w:overflowPunct/>
        <w:autoSpaceDE/>
        <w:autoSpaceDN/>
        <w:adjustRightInd/>
        <w:spacing w:before="840"/>
        <w:textAlignment w:val="auto"/>
        <w:rPr>
          <w:lang w:val="fr-FR"/>
        </w:rPr>
      </w:pPr>
      <w:r w:rsidRPr="00535A63">
        <w:rPr>
          <w:lang w:val="fr-FR"/>
        </w:rPr>
        <w:tab/>
      </w:r>
      <w:r w:rsidR="00EC6D9E" w:rsidRPr="00535A63">
        <w:rPr>
          <w:lang w:val="fr-FR"/>
        </w:rPr>
        <w:t>Houlin ZHAO</w:t>
      </w:r>
      <w:r w:rsidRPr="00535A63">
        <w:rPr>
          <w:lang w:val="fr-FR"/>
        </w:rPr>
        <w:br/>
      </w:r>
      <w:r w:rsidRPr="00535A63">
        <w:rPr>
          <w:lang w:val="fr-FR"/>
        </w:rPr>
        <w:tab/>
      </w:r>
      <w:r w:rsidR="00EC6D9E" w:rsidRPr="00535A63">
        <w:rPr>
          <w:lang w:val="fr-FR"/>
        </w:rPr>
        <w:t>Secrétaire général</w:t>
      </w:r>
    </w:p>
    <w:p w14:paraId="30271FC2" w14:textId="2F078C6D" w:rsidR="009374E2" w:rsidRPr="00535A63" w:rsidRDefault="00A95ACF" w:rsidP="00234820">
      <w:pPr>
        <w:spacing w:before="2640"/>
        <w:jc w:val="both"/>
        <w:rPr>
          <w:bCs/>
          <w:lang w:val="fr-FR"/>
        </w:rPr>
      </w:pPr>
      <w:proofErr w:type="gramStart"/>
      <w:r w:rsidRPr="00535A63">
        <w:rPr>
          <w:b/>
          <w:bCs/>
          <w:lang w:val="fr-FR"/>
        </w:rPr>
        <w:t>Annexe</w:t>
      </w:r>
      <w:r w:rsidRPr="00A13E74">
        <w:rPr>
          <w:bCs/>
          <w:lang w:val="fr-FR"/>
        </w:rPr>
        <w:t>:</w:t>
      </w:r>
      <w:proofErr w:type="gramEnd"/>
      <w:r w:rsidRPr="00535A63">
        <w:rPr>
          <w:lang w:val="fr-FR"/>
        </w:rPr>
        <w:t xml:space="preserve"> 1</w:t>
      </w:r>
    </w:p>
    <w:p w14:paraId="359B221D" w14:textId="77777777" w:rsidR="00A95ACF" w:rsidRPr="00535A63" w:rsidRDefault="00A95ACF">
      <w:pPr>
        <w:tabs>
          <w:tab w:val="clear" w:pos="567"/>
          <w:tab w:val="clear" w:pos="1134"/>
          <w:tab w:val="clear" w:pos="1701"/>
          <w:tab w:val="clear" w:pos="2268"/>
          <w:tab w:val="clear" w:pos="2835"/>
        </w:tabs>
        <w:overflowPunct/>
        <w:autoSpaceDE/>
        <w:autoSpaceDN/>
        <w:adjustRightInd/>
        <w:spacing w:before="0"/>
        <w:textAlignment w:val="auto"/>
        <w:rPr>
          <w:szCs w:val="24"/>
          <w:lang w:val="fr-FR"/>
        </w:rPr>
      </w:pPr>
      <w:r w:rsidRPr="00535A63">
        <w:rPr>
          <w:szCs w:val="24"/>
          <w:lang w:val="fr-FR"/>
        </w:rPr>
        <w:br w:type="page"/>
      </w:r>
    </w:p>
    <w:p w14:paraId="04782105" w14:textId="77777777" w:rsidR="004B36A7" w:rsidRPr="00535A63" w:rsidRDefault="004B36A7" w:rsidP="003D16C6">
      <w:pPr>
        <w:pStyle w:val="Annextitle"/>
        <w:rPr>
          <w:lang w:val="fr-FR"/>
        </w:rPr>
      </w:pPr>
      <w:r w:rsidRPr="00535A63">
        <w:rPr>
          <w:lang w:val="fr-FR"/>
        </w:rPr>
        <w:lastRenderedPageBreak/>
        <w:t>ANNEXE</w:t>
      </w:r>
    </w:p>
    <w:p w14:paraId="0F978127" w14:textId="1EA447D9" w:rsidR="004B36A7" w:rsidRPr="00535A63" w:rsidRDefault="004B36A7" w:rsidP="003D16C6">
      <w:pPr>
        <w:pStyle w:val="Annextitle"/>
        <w:rPr>
          <w:szCs w:val="28"/>
          <w:lang w:val="fr-FR"/>
        </w:rPr>
      </w:pPr>
      <w:bookmarkStart w:id="12" w:name="_Toc520420668"/>
      <w:bookmarkStart w:id="13" w:name="_Toc14990971"/>
      <w:r w:rsidRPr="00535A63">
        <w:rPr>
          <w:szCs w:val="28"/>
          <w:lang w:val="fr-FR"/>
        </w:rPr>
        <w:t>Invocation de l'article 48 de la Constitution</w:t>
      </w:r>
      <w:r w:rsidR="00A13E74">
        <w:rPr>
          <w:szCs w:val="28"/>
          <w:lang w:val="fr-FR"/>
        </w:rPr>
        <w:t xml:space="preserve"> de l'UIT en ce qui concerne le </w:t>
      </w:r>
      <w:r w:rsidRPr="00535A63">
        <w:rPr>
          <w:szCs w:val="28"/>
          <w:lang w:val="fr-FR"/>
        </w:rPr>
        <w:t>Règlement des radiocommunications</w:t>
      </w:r>
      <w:bookmarkEnd w:id="12"/>
      <w:bookmarkEnd w:id="13"/>
    </w:p>
    <w:p w14:paraId="424281D2" w14:textId="77777777" w:rsidR="004B36A7" w:rsidRPr="00535A63" w:rsidRDefault="004B36A7" w:rsidP="00965658">
      <w:pPr>
        <w:pStyle w:val="Heading1"/>
        <w:rPr>
          <w:lang w:val="fr-FR"/>
        </w:rPr>
      </w:pPr>
      <w:bookmarkStart w:id="14" w:name="_Hlk10207266"/>
      <w:r w:rsidRPr="00535A63">
        <w:rPr>
          <w:lang w:val="fr-FR"/>
        </w:rPr>
        <w:t>Introduction</w:t>
      </w:r>
    </w:p>
    <w:p w14:paraId="0C7B282A" w14:textId="59E01F60" w:rsidR="004B36A7" w:rsidRPr="00535A63" w:rsidRDefault="004B36A7" w:rsidP="003D16C6">
      <w:pPr>
        <w:rPr>
          <w:lang w:val="fr-FR"/>
        </w:rPr>
      </w:pPr>
      <w:r w:rsidRPr="00535A63">
        <w:rPr>
          <w:lang w:val="fr-FR"/>
        </w:rPr>
        <w:t xml:space="preserve">Dans son rapport à l'intention de la Conférence mondiale des radiocommunications de 2019 (CMR-19) sur les </w:t>
      </w:r>
      <w:r w:rsidR="008F5057" w:rsidRPr="00535A63">
        <w:rPr>
          <w:lang w:val="fr-FR"/>
        </w:rPr>
        <w:t xml:space="preserve">questions </w:t>
      </w:r>
      <w:r w:rsidRPr="00535A63">
        <w:rPr>
          <w:lang w:val="fr-FR"/>
        </w:rPr>
        <w:t xml:space="preserve">ayant une incidence sur le respect des principes énoncés dans l'article 44 de la Constitution de l'UIT, le Comité du Règlement des radiocommunications (dénommé ci-après </w:t>
      </w:r>
      <w:r w:rsidR="003D16C6" w:rsidRPr="00535A63">
        <w:rPr>
          <w:lang w:val="fr-FR"/>
        </w:rPr>
        <w:t>"</w:t>
      </w:r>
      <w:r w:rsidRPr="00535A63">
        <w:rPr>
          <w:lang w:val="fr-FR"/>
        </w:rPr>
        <w:t>le Comité</w:t>
      </w:r>
      <w:r w:rsidR="003D16C6" w:rsidRPr="00535A63">
        <w:rPr>
          <w:lang w:val="fr-FR"/>
        </w:rPr>
        <w:t>"</w:t>
      </w:r>
      <w:r w:rsidRPr="00535A63">
        <w:rPr>
          <w:lang w:val="fr-FR"/>
        </w:rPr>
        <w:t xml:space="preserve">) a examiné les problèmes soulevés par </w:t>
      </w:r>
      <w:r w:rsidR="008F5057" w:rsidRPr="00535A63">
        <w:rPr>
          <w:lang w:val="fr-FR"/>
        </w:rPr>
        <w:t xml:space="preserve">l'application par </w:t>
      </w:r>
      <w:r w:rsidRPr="00535A63">
        <w:rPr>
          <w:lang w:val="fr-FR"/>
        </w:rPr>
        <w:t>certaines administrations</w:t>
      </w:r>
      <w:r w:rsidR="003D16C6" w:rsidRPr="00535A63">
        <w:rPr>
          <w:lang w:val="fr-FR"/>
        </w:rPr>
        <w:t xml:space="preserve"> </w:t>
      </w:r>
      <w:r w:rsidRPr="00535A63">
        <w:rPr>
          <w:lang w:val="fr-FR"/>
        </w:rPr>
        <w:t>de l'article 48 de la Constitution. Ces problèmes avaient trait à l'invocation de l'article 48 à la suite d'études effectuées par le Bureau des radiocommunications (BR) en application des dispositions du Règlement des radiocommunications. La CMR-19,</w:t>
      </w:r>
      <w:r w:rsidR="003D16C6" w:rsidRPr="00535A63">
        <w:rPr>
          <w:lang w:val="fr-FR"/>
        </w:rPr>
        <w:t xml:space="preserve"> </w:t>
      </w:r>
      <w:r w:rsidR="008F5057" w:rsidRPr="00535A63">
        <w:rPr>
          <w:lang w:val="fr-FR"/>
        </w:rPr>
        <w:t>conformément à</w:t>
      </w:r>
      <w:r w:rsidR="003D16C6" w:rsidRPr="00535A63">
        <w:rPr>
          <w:lang w:val="fr-FR"/>
        </w:rPr>
        <w:t xml:space="preserve"> </w:t>
      </w:r>
      <w:r w:rsidRPr="00535A63">
        <w:rPr>
          <w:lang w:val="fr-FR"/>
        </w:rPr>
        <w:t>l'article 21 de la Convention, a invité la Conférence de plénipotentiaires de</w:t>
      </w:r>
      <w:r w:rsidR="003D16C6" w:rsidRPr="00535A63">
        <w:rPr>
          <w:lang w:val="fr-FR"/>
        </w:rPr>
        <w:t> </w:t>
      </w:r>
      <w:r w:rsidRPr="00535A63">
        <w:rPr>
          <w:lang w:val="fr-FR"/>
        </w:rPr>
        <w:t>2022 (PP-22) à examiner la question relative à l'invocation de l'article 48 en ce qui concerne le Règlement des radiocommunications et à prendre les mesures nécessaires, selon qu'il convient.</w:t>
      </w:r>
    </w:p>
    <w:p w14:paraId="6BC082AF" w14:textId="4AB1FEF0" w:rsidR="004B36A7" w:rsidRPr="00535A63" w:rsidRDefault="004B36A7" w:rsidP="00A13E74">
      <w:pPr>
        <w:pStyle w:val="Heading1"/>
        <w:spacing w:before="240"/>
        <w:rPr>
          <w:lang w:val="fr-FR"/>
        </w:rPr>
      </w:pPr>
      <w:r w:rsidRPr="00535A63">
        <w:rPr>
          <w:lang w:val="fr-FR"/>
        </w:rPr>
        <w:t>Considérations générales</w:t>
      </w:r>
    </w:p>
    <w:p w14:paraId="536272F4" w14:textId="77777777" w:rsidR="004B36A7" w:rsidRPr="00535A63" w:rsidRDefault="004B36A7" w:rsidP="003D16C6">
      <w:pPr>
        <w:rPr>
          <w:lang w:val="fr-FR"/>
        </w:rPr>
      </w:pPr>
      <w:r w:rsidRPr="00535A63">
        <w:rPr>
          <w:lang w:val="fr-FR"/>
        </w:rPr>
        <w:t xml:space="preserve">Dans son rapport à la CMR-19, le Comité a recensé les problèmes soulevés par certaines administrations, qui se demandaient si l'invocation par d'autres administrations de l'article 48 était justifiée. Les cas allégués de non-respect de l'article 48 qui ont été présentés au Comité peuvent être résumés comme </w:t>
      </w:r>
      <w:proofErr w:type="gramStart"/>
      <w:r w:rsidRPr="00535A63">
        <w:rPr>
          <w:lang w:val="fr-FR"/>
        </w:rPr>
        <w:t>suit:</w:t>
      </w:r>
      <w:proofErr w:type="gramEnd"/>
    </w:p>
    <w:p w14:paraId="02E0CC64" w14:textId="64EB0B58" w:rsidR="004B36A7" w:rsidRPr="00535A63" w:rsidRDefault="003D16C6" w:rsidP="003D16C6">
      <w:pPr>
        <w:pStyle w:val="enumlev1"/>
        <w:rPr>
          <w:rFonts w:eastAsia="Calibri" w:cstheme="minorHAnsi"/>
          <w:szCs w:val="24"/>
          <w:lang w:val="fr-FR"/>
        </w:rPr>
      </w:pPr>
      <w:r w:rsidRPr="00535A63">
        <w:rPr>
          <w:lang w:val="fr-FR"/>
        </w:rPr>
        <w:t>–</w:t>
      </w:r>
      <w:r w:rsidRPr="00535A63">
        <w:rPr>
          <w:lang w:val="fr-FR"/>
        </w:rPr>
        <w:tab/>
      </w:r>
      <w:r w:rsidR="004B36A7" w:rsidRPr="00535A63">
        <w:rPr>
          <w:lang w:val="fr-FR"/>
        </w:rPr>
        <w:t xml:space="preserve">Administrations invoquant l'article 48 après que le Bureau a entrepris </w:t>
      </w:r>
      <w:r w:rsidR="00924565" w:rsidRPr="00535A63">
        <w:rPr>
          <w:lang w:val="fr-FR"/>
        </w:rPr>
        <w:t>un examen</w:t>
      </w:r>
      <w:r w:rsidR="004B36A7" w:rsidRPr="00535A63">
        <w:rPr>
          <w:lang w:val="fr-FR"/>
        </w:rPr>
        <w:t xml:space="preserve"> pour vérifier si les assignations de fréquence</w:t>
      </w:r>
      <w:r w:rsidRPr="00535A63">
        <w:rPr>
          <w:lang w:val="fr-FR"/>
        </w:rPr>
        <w:t xml:space="preserve"> </w:t>
      </w:r>
      <w:r w:rsidR="00924565" w:rsidRPr="00535A63">
        <w:rPr>
          <w:lang w:val="fr-FR"/>
        </w:rPr>
        <w:t xml:space="preserve">ont </w:t>
      </w:r>
      <w:r w:rsidR="004B36A7" w:rsidRPr="00535A63">
        <w:rPr>
          <w:lang w:val="fr-FR"/>
        </w:rPr>
        <w:t>bien été mises en service dans les délais réglementaires, afin d'empêcher</w:t>
      </w:r>
      <w:r w:rsidRPr="00535A63">
        <w:rPr>
          <w:lang w:val="fr-FR"/>
        </w:rPr>
        <w:t xml:space="preserve"> </w:t>
      </w:r>
      <w:r w:rsidR="00924565" w:rsidRPr="00535A63">
        <w:rPr>
          <w:lang w:val="fr-FR"/>
        </w:rPr>
        <w:t>l</w:t>
      </w:r>
      <w:r w:rsidRPr="00535A63">
        <w:rPr>
          <w:lang w:val="fr-FR"/>
        </w:rPr>
        <w:t>'</w:t>
      </w:r>
      <w:r w:rsidR="00924565" w:rsidRPr="00535A63">
        <w:rPr>
          <w:lang w:val="fr-FR"/>
        </w:rPr>
        <w:t xml:space="preserve">examen </w:t>
      </w:r>
      <w:r w:rsidR="004B36A7" w:rsidRPr="00535A63">
        <w:rPr>
          <w:lang w:val="fr-FR"/>
        </w:rPr>
        <w:t>et de conserver leurs droits dans le Fichier de référence international des fréquences.</w:t>
      </w:r>
    </w:p>
    <w:p w14:paraId="050DD254" w14:textId="74FDDD18" w:rsidR="004B36A7" w:rsidRPr="00535A63" w:rsidRDefault="003D16C6" w:rsidP="003D16C6">
      <w:pPr>
        <w:pStyle w:val="enumlev1"/>
        <w:rPr>
          <w:rFonts w:asciiTheme="minorHAnsi" w:hAnsiTheme="minorHAnsi" w:cstheme="minorHAnsi"/>
          <w:lang w:val="fr-FR"/>
        </w:rPr>
      </w:pPr>
      <w:r w:rsidRPr="00535A63">
        <w:rPr>
          <w:lang w:val="fr-FR"/>
        </w:rPr>
        <w:t>–</w:t>
      </w:r>
      <w:r w:rsidRPr="00535A63">
        <w:rPr>
          <w:lang w:val="fr-FR"/>
        </w:rPr>
        <w:tab/>
      </w:r>
      <w:r w:rsidR="004B36A7" w:rsidRPr="00535A63">
        <w:rPr>
          <w:lang w:val="fr-FR"/>
        </w:rPr>
        <w:t>Administrations invoquant l'article 48 pour des assignations de fréquence qui ne sont pas utilisées pour des installations radioélectriques militaires.</w:t>
      </w:r>
    </w:p>
    <w:p w14:paraId="7E4A8441" w14:textId="4EDD429B" w:rsidR="004B36A7" w:rsidRPr="00535A63" w:rsidRDefault="004B36A7" w:rsidP="003D16C6">
      <w:pPr>
        <w:rPr>
          <w:lang w:val="fr-FR"/>
        </w:rPr>
      </w:pPr>
      <w:r w:rsidRPr="00535A63">
        <w:rPr>
          <w:lang w:val="fr-FR"/>
        </w:rPr>
        <w:t xml:space="preserve">Le Comité a considéré qu'invoquer l'article 48 dans le seul but d'empêcher le Bureau </w:t>
      </w:r>
      <w:r w:rsidR="00924565" w:rsidRPr="00535A63">
        <w:rPr>
          <w:lang w:val="fr-FR"/>
        </w:rPr>
        <w:t>d</w:t>
      </w:r>
      <w:r w:rsidR="003D16C6" w:rsidRPr="00535A63">
        <w:rPr>
          <w:lang w:val="fr-FR"/>
        </w:rPr>
        <w:t>'</w:t>
      </w:r>
      <w:r w:rsidR="00924565" w:rsidRPr="00535A63">
        <w:rPr>
          <w:lang w:val="fr-FR"/>
        </w:rPr>
        <w:t xml:space="preserve">examiner </w:t>
      </w:r>
      <w:r w:rsidRPr="00535A63">
        <w:rPr>
          <w:lang w:val="fr-FR"/>
        </w:rPr>
        <w:t>le statut de réseaux à satellite était incompatible avec la Constitution et le Règlement des radiocommunications.</w:t>
      </w:r>
    </w:p>
    <w:p w14:paraId="0BC0BB1A" w14:textId="162B1BDB" w:rsidR="004B36A7" w:rsidRPr="00535A63" w:rsidRDefault="004B36A7" w:rsidP="003D16C6">
      <w:pPr>
        <w:rPr>
          <w:lang w:val="fr-FR"/>
        </w:rPr>
      </w:pPr>
      <w:r w:rsidRPr="00535A63">
        <w:rPr>
          <w:lang w:val="fr-FR"/>
        </w:rPr>
        <w:t>Lorsqu'il a examiné les cas mentionnés ci-dessus, le Comité a tenu compte des orientations fournies par la CMR-15, qui avait conclu que, dès lors que des administrations avaient expressément invoqué l'article 48, le Bureau ou le Comité ne pouvait plus demander de</w:t>
      </w:r>
      <w:r w:rsidR="00924565" w:rsidRPr="00535A63">
        <w:rPr>
          <w:lang w:val="fr-FR"/>
        </w:rPr>
        <w:t>s</w:t>
      </w:r>
      <w:r w:rsidRPr="00535A63">
        <w:rPr>
          <w:lang w:val="fr-FR"/>
        </w:rPr>
        <w:t xml:space="preserve"> renseignements pour donner suite à un</w:t>
      </w:r>
      <w:r w:rsidR="00924565" w:rsidRPr="00535A63">
        <w:rPr>
          <w:lang w:val="fr-FR"/>
        </w:rPr>
        <w:t xml:space="preserve"> examen</w:t>
      </w:r>
      <w:r w:rsidR="003D16C6" w:rsidRPr="00535A63">
        <w:rPr>
          <w:lang w:val="fr-FR"/>
        </w:rPr>
        <w:t>.</w:t>
      </w:r>
      <w:r w:rsidRPr="00535A63">
        <w:rPr>
          <w:lang w:val="fr-FR"/>
        </w:rPr>
        <w:t xml:space="preserve"> Par conséquent, le Comité n'était pas en mesure de prendre des décisions sur les cas dans lesquels l'article 48 était invoqué, compte tenu de l'absence d'orientations claires permettant de garantir une application cohérente des droits des administrations au titre de l'article 48 et de leurs obligations au titre du Règlement des radiocommunications.</w:t>
      </w:r>
    </w:p>
    <w:p w14:paraId="7BD6849F" w14:textId="4CA44BF2" w:rsidR="004B36A7" w:rsidRPr="00535A63" w:rsidRDefault="004B36A7" w:rsidP="003D16C6">
      <w:pPr>
        <w:rPr>
          <w:lang w:val="fr-FR"/>
        </w:rPr>
      </w:pPr>
      <w:r w:rsidRPr="00535A63">
        <w:rPr>
          <w:lang w:val="fr-FR"/>
        </w:rPr>
        <w:t xml:space="preserve">Depuis la CMR-19, le Comité a été saisi d'une demande visant à élaborer une Règle de procédure relative à l'article 48. Cette demande a été formulée, car on craignait que l'article 48 soit invoqué </w:t>
      </w:r>
      <w:proofErr w:type="gramStart"/>
      <w:r w:rsidRPr="00535A63">
        <w:rPr>
          <w:lang w:val="fr-FR"/>
        </w:rPr>
        <w:t>suite à une</w:t>
      </w:r>
      <w:proofErr w:type="gramEnd"/>
      <w:r w:rsidRPr="00535A63">
        <w:rPr>
          <w:lang w:val="fr-FR"/>
        </w:rPr>
        <w:t xml:space="preserve"> demande de coordination relative à des assignations de fréquence à des services de Terre, pour éviter d'avoir à fournir les caractéristiques des assignations sur lesquelles s'appuyaient l'objection, rendant ainsi impossible le traitement des brouillages </w:t>
      </w:r>
      <w:r w:rsidRPr="00535A63">
        <w:rPr>
          <w:lang w:val="fr-FR"/>
        </w:rPr>
        <w:lastRenderedPageBreak/>
        <w:t xml:space="preserve">susceptibles d'être causés. </w:t>
      </w:r>
      <w:r w:rsidR="00164069" w:rsidRPr="00535A63">
        <w:rPr>
          <w:lang w:val="fr-FR"/>
        </w:rPr>
        <w:t>Sachant</w:t>
      </w:r>
      <w:r w:rsidR="003D16C6" w:rsidRPr="00535A63">
        <w:rPr>
          <w:lang w:val="fr-FR"/>
        </w:rPr>
        <w:t xml:space="preserve"> </w:t>
      </w:r>
      <w:r w:rsidRPr="00535A63">
        <w:rPr>
          <w:lang w:val="fr-FR"/>
        </w:rPr>
        <w:t>que la CMR-19 avait invité la PP-22 à fournir des orientations sur l'invocation de l'article 48, le Comité a décidé de ne pas établir à ce stade une Règle de procédure relative à l'invocation de l'article 48 en application des procédures de coordination.</w:t>
      </w:r>
    </w:p>
    <w:p w14:paraId="6FAAC018" w14:textId="3768C63F" w:rsidR="004B36A7" w:rsidRPr="00535A63" w:rsidRDefault="004B36A7" w:rsidP="00A13E74">
      <w:pPr>
        <w:pStyle w:val="Heading1"/>
        <w:tabs>
          <w:tab w:val="clear" w:pos="1701"/>
          <w:tab w:val="clear" w:pos="2268"/>
          <w:tab w:val="clear" w:pos="2835"/>
          <w:tab w:val="center" w:pos="4680"/>
        </w:tabs>
        <w:spacing w:before="240"/>
        <w:rPr>
          <w:lang w:val="fr-FR"/>
        </w:rPr>
      </w:pPr>
      <w:r w:rsidRPr="00535A63">
        <w:rPr>
          <w:lang w:val="fr-FR"/>
        </w:rPr>
        <w:t>Examen</w:t>
      </w:r>
    </w:p>
    <w:p w14:paraId="04984E23" w14:textId="7C74DAAC" w:rsidR="004B36A7" w:rsidRPr="00535A63" w:rsidRDefault="004B36A7" w:rsidP="003D16C6">
      <w:pPr>
        <w:rPr>
          <w:lang w:val="fr-FR"/>
        </w:rPr>
      </w:pPr>
      <w:r w:rsidRPr="00535A63">
        <w:rPr>
          <w:lang w:val="fr-FR"/>
        </w:rPr>
        <w:t xml:space="preserve">Dans l'article 6 de la Constitution, intitulé </w:t>
      </w:r>
      <w:r w:rsidR="003D16C6" w:rsidRPr="00535A63">
        <w:rPr>
          <w:lang w:val="fr-FR"/>
        </w:rPr>
        <w:t>"</w:t>
      </w:r>
      <w:r w:rsidRPr="00535A63">
        <w:rPr>
          <w:lang w:val="fr-FR"/>
        </w:rPr>
        <w:t>Exécution des instruments de l'Union</w:t>
      </w:r>
      <w:r w:rsidR="003D16C6" w:rsidRPr="00535A63">
        <w:rPr>
          <w:lang w:val="fr-FR"/>
        </w:rPr>
        <w:t>"</w:t>
      </w:r>
      <w:r w:rsidRPr="00535A63">
        <w:rPr>
          <w:lang w:val="fr-FR"/>
        </w:rPr>
        <w:t xml:space="preserve">, il est reconnu que l'article 48 prévoit une exception à l'obligation générale de se conformer aux dispositions du Règlement des radiocommunications. Dans l'article 48, il est également reconnu que </w:t>
      </w:r>
      <w:r w:rsidR="003D16C6" w:rsidRPr="00535A63">
        <w:rPr>
          <w:lang w:val="fr-FR"/>
        </w:rPr>
        <w:t>"</w:t>
      </w:r>
      <w:r w:rsidRPr="00535A63">
        <w:rPr>
          <w:lang w:val="fr-FR"/>
        </w:rPr>
        <w:t>Les États Membres conservent leur entière liberté en ce qui concerne les installations radioélectriques militaires</w:t>
      </w:r>
      <w:r w:rsidR="003D16C6" w:rsidRPr="00535A63">
        <w:rPr>
          <w:lang w:val="fr-FR"/>
        </w:rPr>
        <w:t>"</w:t>
      </w:r>
      <w:r w:rsidRPr="00535A63">
        <w:rPr>
          <w:lang w:val="fr-FR"/>
        </w:rPr>
        <w:t>, comme indiqué au numéro 202 de la Constitution. Les deux</w:t>
      </w:r>
      <w:r w:rsidR="00575088" w:rsidRPr="00535A63">
        <w:rPr>
          <w:lang w:val="fr-FR"/>
        </w:rPr>
        <w:t> </w:t>
      </w:r>
      <w:r w:rsidR="00164069" w:rsidRPr="00535A63">
        <w:rPr>
          <w:lang w:val="fr-FR"/>
        </w:rPr>
        <w:t>dispositions</w:t>
      </w:r>
      <w:r w:rsidR="003D16C6" w:rsidRPr="00535A63">
        <w:rPr>
          <w:lang w:val="fr-FR"/>
        </w:rPr>
        <w:t xml:space="preserve"> </w:t>
      </w:r>
      <w:r w:rsidRPr="00535A63">
        <w:rPr>
          <w:lang w:val="fr-FR"/>
        </w:rPr>
        <w:t xml:space="preserve">ci-après de l'article 48 confirment cependant que cette reconnaissance ne constitue pas une dérogation complète et définitive aux dispositions des Règlements </w:t>
      </w:r>
      <w:proofErr w:type="gramStart"/>
      <w:r w:rsidRPr="00535A63">
        <w:rPr>
          <w:lang w:val="fr-FR"/>
        </w:rPr>
        <w:t>administratifs:</w:t>
      </w:r>
      <w:proofErr w:type="gramEnd"/>
    </w:p>
    <w:p w14:paraId="4AFD5761" w14:textId="77777777" w:rsidR="0010755F" w:rsidRPr="00535A63" w:rsidRDefault="0010755F" w:rsidP="00575088">
      <w:pPr>
        <w:ind w:left="1134" w:hanging="1134"/>
        <w:rPr>
          <w:rStyle w:val="Emphasis"/>
          <w:rFonts w:asciiTheme="minorHAnsi" w:hAnsiTheme="minorHAnsi" w:cstheme="minorHAnsi"/>
          <w:b/>
          <w:bCs/>
          <w:lang w:val="fr-FR"/>
        </w:rPr>
      </w:pPr>
      <w:r w:rsidRPr="00535A63">
        <w:rPr>
          <w:rStyle w:val="Emphasis"/>
          <w:rFonts w:asciiTheme="minorHAnsi" w:hAnsiTheme="minorHAnsi" w:cstheme="minorHAnsi"/>
          <w:b/>
          <w:bCs/>
          <w:lang w:val="fr-FR"/>
        </w:rPr>
        <w:t>203</w:t>
      </w:r>
      <w:r w:rsidRPr="00535A63">
        <w:rPr>
          <w:rStyle w:val="Emphasis"/>
          <w:rFonts w:asciiTheme="minorHAnsi" w:hAnsiTheme="minorHAnsi" w:cstheme="minorHAnsi"/>
          <w:b/>
          <w:bCs/>
          <w:lang w:val="fr-FR"/>
        </w:rPr>
        <w:tab/>
        <w:t>2</w:t>
      </w:r>
      <w:r w:rsidRPr="00535A63">
        <w:rPr>
          <w:rStyle w:val="Emphasis"/>
          <w:rFonts w:asciiTheme="minorHAnsi" w:hAnsiTheme="minorHAnsi" w:cstheme="minorHAnsi"/>
          <w:b/>
          <w:bCs/>
          <w:lang w:val="fr-FR"/>
        </w:rPr>
        <w:tab/>
        <w:t>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d'émission et les fréquences à utiliser, selon la nature du service qu'elles assurent.</w:t>
      </w:r>
    </w:p>
    <w:p w14:paraId="791EEBA2" w14:textId="77777777" w:rsidR="009412A9" w:rsidRPr="00535A63" w:rsidRDefault="004B36A7" w:rsidP="00575088">
      <w:pPr>
        <w:ind w:left="1134" w:hanging="1134"/>
        <w:rPr>
          <w:rStyle w:val="Emphasis"/>
          <w:rFonts w:asciiTheme="minorHAnsi" w:hAnsiTheme="minorHAnsi" w:cstheme="minorHAnsi"/>
          <w:b/>
          <w:bCs/>
          <w:lang w:val="fr-FR"/>
        </w:rPr>
      </w:pPr>
      <w:r w:rsidRPr="00535A63">
        <w:rPr>
          <w:b/>
          <w:bCs/>
          <w:i/>
          <w:iCs/>
          <w:lang w:val="fr-FR"/>
        </w:rPr>
        <w:t>204</w:t>
      </w:r>
      <w:r w:rsidRPr="00535A63">
        <w:rPr>
          <w:b/>
          <w:bCs/>
          <w:i/>
          <w:iCs/>
          <w:lang w:val="fr-FR"/>
        </w:rPr>
        <w:tab/>
        <w:t>3</w:t>
      </w:r>
      <w:r w:rsidRPr="00535A63">
        <w:rPr>
          <w:b/>
          <w:bCs/>
          <w:i/>
          <w:iCs/>
          <w:lang w:val="fr-FR"/>
        </w:rPr>
        <w:tab/>
      </w:r>
      <w:r w:rsidR="009412A9" w:rsidRPr="00535A63">
        <w:rPr>
          <w:rStyle w:val="Emphasis"/>
          <w:rFonts w:asciiTheme="minorHAnsi" w:hAnsiTheme="minorHAnsi" w:cstheme="minorHAnsi"/>
          <w:b/>
          <w:bCs/>
          <w:lang w:val="fr-FR"/>
        </w:rPr>
        <w:t>En outre, lorsque ces installations participent au service de la correspondance publique ou aux autres services régis par les Règlements administratifs, elles doivent se conformer, en général, aux prescriptions réglementaires applicables à ces services.</w:t>
      </w:r>
    </w:p>
    <w:p w14:paraId="607CA4E6" w14:textId="11BEB021" w:rsidR="004B36A7" w:rsidRPr="00535A63" w:rsidRDefault="004B36A7" w:rsidP="003D16C6">
      <w:pPr>
        <w:rPr>
          <w:lang w:val="fr-FR"/>
        </w:rPr>
      </w:pPr>
      <w:r w:rsidRPr="00535A63">
        <w:rPr>
          <w:lang w:val="fr-FR"/>
        </w:rPr>
        <w:t xml:space="preserve">Le Comité est d'avis que ces dispositions de la Constitution ne signifient pas que les droits à une reconnaissance et à </w:t>
      </w:r>
      <w:proofErr w:type="gramStart"/>
      <w:r w:rsidRPr="00535A63">
        <w:rPr>
          <w:lang w:val="fr-FR"/>
        </w:rPr>
        <w:t>une protection internationales</w:t>
      </w:r>
      <w:proofErr w:type="gramEnd"/>
      <w:r w:rsidRPr="00535A63">
        <w:rPr>
          <w:lang w:val="fr-FR"/>
        </w:rPr>
        <w:t xml:space="preserve"> pourraient être obtenus et conservés en invoquant l'article 48 sans que les assignations de fréquence correspondantes aient été inscrites avec succès dans le Fichier de référence international des fréquences. De plus, le Comité est très préoccupé par le risque d'utilisation abusive dudit article et par le fait qu'une telle utilisation abusive compromettrait gravement l'intégrité du cadre réglementaire. En outre, dans les cas où il apparaît que des renseignements contradictoires donnent à penser que les assignations de fréquence pour lesquelles l'article 48 a été invoqué ne sont pas utilisées pour des installations radioélectriques militaires, le Comité devrait pouvoir inviter l'administration concernée à apporter des éclaircissements.</w:t>
      </w:r>
    </w:p>
    <w:p w14:paraId="28CF0670" w14:textId="77777777" w:rsidR="004B36A7" w:rsidRPr="00535A63" w:rsidRDefault="004B36A7" w:rsidP="00A13E74">
      <w:pPr>
        <w:pStyle w:val="Heading1"/>
        <w:spacing w:before="240"/>
        <w:rPr>
          <w:lang w:val="fr-FR"/>
        </w:rPr>
      </w:pPr>
      <w:r w:rsidRPr="00535A63">
        <w:rPr>
          <w:lang w:val="fr-FR"/>
        </w:rPr>
        <w:t>Conclusions</w:t>
      </w:r>
    </w:p>
    <w:p w14:paraId="01ECD1F2" w14:textId="58880310" w:rsidR="004B36A7" w:rsidRPr="00535A63" w:rsidRDefault="004B36A7" w:rsidP="00575088">
      <w:pPr>
        <w:rPr>
          <w:lang w:val="fr-FR"/>
        </w:rPr>
      </w:pPr>
      <w:r w:rsidRPr="00535A63">
        <w:rPr>
          <w:lang w:val="fr-FR"/>
        </w:rPr>
        <w:t xml:space="preserve">Le Comité considère qu'il est nécessaire d'apporter des éclaircissements sur l'invocation de l'article 48 en ce qui concerne le Règlement des radiocommunications et estime en outre qu'il est indispensable d'éviter tout recours abusif à l'application dudit article. Le Comité souhaite obtenir des orientations qui pourraient être utilisées pour traiter les cas relevant de l'article 48. Le Comité invite la PP-22 à confirmer ce qui </w:t>
      </w:r>
      <w:proofErr w:type="gramStart"/>
      <w:r w:rsidRPr="00535A63">
        <w:rPr>
          <w:lang w:val="fr-FR"/>
        </w:rPr>
        <w:t>suit:</w:t>
      </w:r>
      <w:proofErr w:type="gramEnd"/>
    </w:p>
    <w:p w14:paraId="4223C7FE" w14:textId="57D64B42" w:rsidR="004B36A7" w:rsidRPr="00535A63" w:rsidRDefault="004B36A7" w:rsidP="003D16C6">
      <w:pPr>
        <w:pStyle w:val="enumlev1"/>
        <w:rPr>
          <w:lang w:val="fr-FR"/>
        </w:rPr>
      </w:pPr>
      <w:r w:rsidRPr="00535A63">
        <w:rPr>
          <w:lang w:val="fr-FR"/>
        </w:rPr>
        <w:t>1)</w:t>
      </w:r>
      <w:r w:rsidRPr="00535A63">
        <w:rPr>
          <w:lang w:val="fr-FR"/>
        </w:rPr>
        <w:tab/>
        <w:t>un État Membre invoquant l'article 48 pour des assignations de fréquence doit utiliser ces assignations exclusivement pour</w:t>
      </w:r>
      <w:r w:rsidR="003D16C6" w:rsidRPr="00535A63">
        <w:rPr>
          <w:lang w:val="fr-FR"/>
        </w:rPr>
        <w:t xml:space="preserve"> </w:t>
      </w:r>
      <w:r w:rsidR="00D8068A" w:rsidRPr="00535A63">
        <w:rPr>
          <w:lang w:val="fr-FR"/>
        </w:rPr>
        <w:t xml:space="preserve">des </w:t>
      </w:r>
      <w:r w:rsidRPr="00535A63">
        <w:rPr>
          <w:lang w:val="fr-FR"/>
        </w:rPr>
        <w:t xml:space="preserve">installations radioélectriques </w:t>
      </w:r>
      <w:proofErr w:type="gramStart"/>
      <w:r w:rsidRPr="00535A63">
        <w:rPr>
          <w:lang w:val="fr-FR"/>
        </w:rPr>
        <w:t>militaires;</w:t>
      </w:r>
      <w:proofErr w:type="gramEnd"/>
    </w:p>
    <w:p w14:paraId="71BC3AE1" w14:textId="75DD1B6B" w:rsidR="004B36A7" w:rsidRPr="00535A63" w:rsidRDefault="004B36A7" w:rsidP="003D16C6">
      <w:pPr>
        <w:pStyle w:val="enumlev1"/>
        <w:rPr>
          <w:lang w:val="fr-FR"/>
        </w:rPr>
      </w:pPr>
      <w:r w:rsidRPr="00535A63">
        <w:rPr>
          <w:lang w:val="fr-FR"/>
        </w:rPr>
        <w:t>2)</w:t>
      </w:r>
      <w:r w:rsidRPr="00535A63">
        <w:rPr>
          <w:lang w:val="fr-FR"/>
        </w:rPr>
        <w:tab/>
        <w:t>l'article 48 ne peut</w:t>
      </w:r>
      <w:r w:rsidR="00D8068A" w:rsidRPr="00535A63">
        <w:rPr>
          <w:lang w:val="fr-FR"/>
        </w:rPr>
        <w:t xml:space="preserve"> pas</w:t>
      </w:r>
      <w:r w:rsidR="003D16C6" w:rsidRPr="00535A63">
        <w:rPr>
          <w:lang w:val="fr-FR"/>
        </w:rPr>
        <w:t xml:space="preserve"> </w:t>
      </w:r>
      <w:r w:rsidRPr="00535A63">
        <w:rPr>
          <w:lang w:val="fr-FR"/>
        </w:rPr>
        <w:t xml:space="preserve">être invoqué pour les assignations de fréquence utilisées par des installations radioélectriques non militaires, ou à la fois par des installations radioélectriques militaires et non </w:t>
      </w:r>
      <w:proofErr w:type="gramStart"/>
      <w:r w:rsidRPr="00535A63">
        <w:rPr>
          <w:lang w:val="fr-FR"/>
        </w:rPr>
        <w:t>militaires;</w:t>
      </w:r>
      <w:proofErr w:type="gramEnd"/>
    </w:p>
    <w:p w14:paraId="5D2BC13F" w14:textId="7156C232" w:rsidR="004B36A7" w:rsidRPr="00535A63" w:rsidRDefault="004B36A7" w:rsidP="003D16C6">
      <w:pPr>
        <w:pStyle w:val="enumlev1"/>
        <w:rPr>
          <w:lang w:val="fr-FR"/>
        </w:rPr>
      </w:pPr>
      <w:r w:rsidRPr="00535A63">
        <w:rPr>
          <w:lang w:val="fr-FR"/>
        </w:rPr>
        <w:lastRenderedPageBreak/>
        <w:t>3)</w:t>
      </w:r>
      <w:r w:rsidRPr="00535A63">
        <w:rPr>
          <w:lang w:val="fr-FR"/>
        </w:rPr>
        <w:tab/>
        <w:t xml:space="preserve">le BR et le Comité peuvent demander des précisions et, par conséquent, appliquer toutes les dispositions réglementaires pertinentes s'il apparaît, d'après des renseignements fiables, qu'une assignation de fréquence inscrite pour laquelle l'article 48 a été invoqué n'est en réalité pas conforme audit </w:t>
      </w:r>
      <w:proofErr w:type="gramStart"/>
      <w:r w:rsidRPr="00535A63">
        <w:rPr>
          <w:lang w:val="fr-FR"/>
        </w:rPr>
        <w:t>article;</w:t>
      </w:r>
      <w:proofErr w:type="gramEnd"/>
    </w:p>
    <w:p w14:paraId="72A1834C" w14:textId="55311E22" w:rsidR="004B36A7" w:rsidRPr="00535A63" w:rsidRDefault="004B36A7" w:rsidP="003D16C6">
      <w:pPr>
        <w:pStyle w:val="enumlev1"/>
        <w:rPr>
          <w:lang w:val="fr-FR"/>
        </w:rPr>
      </w:pPr>
      <w:r w:rsidRPr="00535A63">
        <w:rPr>
          <w:lang w:val="fr-FR"/>
        </w:rPr>
        <w:t>4)</w:t>
      </w:r>
      <w:r w:rsidRPr="00535A63">
        <w:rPr>
          <w:lang w:val="fr-FR"/>
        </w:rPr>
        <w:tab/>
        <w:t>que les assignations de fréquence utilisées par</w:t>
      </w:r>
      <w:r w:rsidR="003D16C6" w:rsidRPr="00535A63">
        <w:rPr>
          <w:lang w:val="fr-FR"/>
        </w:rPr>
        <w:t xml:space="preserve"> </w:t>
      </w:r>
      <w:r w:rsidR="00D8068A" w:rsidRPr="00535A63">
        <w:rPr>
          <w:lang w:val="fr-FR"/>
        </w:rPr>
        <w:t xml:space="preserve">des </w:t>
      </w:r>
      <w:r w:rsidRPr="00535A63">
        <w:rPr>
          <w:lang w:val="fr-FR"/>
        </w:rPr>
        <w:t xml:space="preserve">installations radioélectriques militaires, que l'article 48 soit invoqué ou non, </w:t>
      </w:r>
      <w:r w:rsidR="00D8068A" w:rsidRPr="00535A63">
        <w:rPr>
          <w:lang w:val="fr-FR"/>
        </w:rPr>
        <w:t xml:space="preserve">ne </w:t>
      </w:r>
      <w:r w:rsidRPr="00535A63">
        <w:rPr>
          <w:lang w:val="fr-FR"/>
        </w:rPr>
        <w:t xml:space="preserve">sont admises à obtenir une reconnaissance internationale et </w:t>
      </w:r>
      <w:r w:rsidR="00D8068A" w:rsidRPr="00535A63">
        <w:rPr>
          <w:lang w:val="fr-FR"/>
        </w:rPr>
        <w:t>n</w:t>
      </w:r>
      <w:r w:rsidR="003D16C6" w:rsidRPr="00535A63">
        <w:rPr>
          <w:lang w:val="fr-FR"/>
        </w:rPr>
        <w:t>'</w:t>
      </w:r>
      <w:r w:rsidRPr="00535A63">
        <w:rPr>
          <w:lang w:val="fr-FR"/>
        </w:rPr>
        <w:t>ont le droit de demander une protection contre les brouillages préjudiciables</w:t>
      </w:r>
      <w:r w:rsidR="00D8068A" w:rsidRPr="00535A63">
        <w:rPr>
          <w:lang w:val="fr-FR"/>
        </w:rPr>
        <w:t xml:space="preserve"> que si elles sont</w:t>
      </w:r>
      <w:r w:rsidR="003D16C6" w:rsidRPr="00535A63">
        <w:rPr>
          <w:lang w:val="fr-FR"/>
        </w:rPr>
        <w:t xml:space="preserve"> </w:t>
      </w:r>
      <w:r w:rsidRPr="00535A63">
        <w:rPr>
          <w:lang w:val="fr-FR"/>
        </w:rPr>
        <w:t>inscrites dans le Fichier de référence international des fréquences.</w:t>
      </w:r>
    </w:p>
    <w:p w14:paraId="67D6C788" w14:textId="77777777" w:rsidR="00965658" w:rsidRPr="00535A63" w:rsidRDefault="00965658" w:rsidP="00575088">
      <w:pPr>
        <w:spacing w:before="360"/>
        <w:jc w:val="center"/>
        <w:rPr>
          <w:lang w:val="fr-FR"/>
        </w:rPr>
      </w:pPr>
      <w:r w:rsidRPr="00535A63">
        <w:rPr>
          <w:lang w:val="fr-FR"/>
        </w:rPr>
        <w:t>______________</w:t>
      </w:r>
      <w:bookmarkEnd w:id="14"/>
    </w:p>
    <w:sectPr w:rsidR="00965658" w:rsidRPr="00535A63">
      <w:headerReference w:type="default" r:id="rId13"/>
      <w:footerReference w:type="default" r:id="rId14"/>
      <w:footerReference w:type="first" r:id="rId15"/>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2F19" w14:textId="77777777" w:rsidR="00F04F08" w:rsidRDefault="00F04F08">
      <w:r>
        <w:separator/>
      </w:r>
    </w:p>
    <w:p w14:paraId="3CFD6AEE" w14:textId="77777777" w:rsidR="00022713" w:rsidRDefault="00022713"/>
  </w:endnote>
  <w:endnote w:type="continuationSeparator" w:id="0">
    <w:p w14:paraId="2FC0377A" w14:textId="77777777" w:rsidR="00F04F08" w:rsidRDefault="00F04F08">
      <w:r>
        <w:continuationSeparator/>
      </w:r>
    </w:p>
    <w:p w14:paraId="1EC37585" w14:textId="77777777" w:rsidR="00022713" w:rsidRDefault="00022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1A8F" w14:textId="0672F6CA" w:rsidR="003D16C6" w:rsidRDefault="00CB0519" w:rsidP="003D16C6">
    <w:pPr>
      <w:pStyle w:val="Footer"/>
    </w:pPr>
    <w:r w:rsidRPr="003C2AA6">
      <w:rPr>
        <w:color w:val="F2F2F2" w:themeColor="background1" w:themeShade="F2"/>
      </w:rPr>
      <w:fldChar w:fldCharType="begin"/>
    </w:r>
    <w:r w:rsidRPr="003C2AA6">
      <w:rPr>
        <w:color w:val="F2F2F2" w:themeColor="background1" w:themeShade="F2"/>
      </w:rPr>
      <w:instrText xml:space="preserve"> FILENAME \p  \* MERGEFORMAT </w:instrText>
    </w:r>
    <w:r w:rsidRPr="003C2AA6">
      <w:rPr>
        <w:color w:val="F2F2F2" w:themeColor="background1" w:themeShade="F2"/>
      </w:rPr>
      <w:fldChar w:fldCharType="separate"/>
    </w:r>
    <w:r w:rsidRPr="003C2AA6">
      <w:rPr>
        <w:color w:val="F2F2F2" w:themeColor="background1" w:themeShade="F2"/>
      </w:rPr>
      <w:t>P:\FRA\SG\CONF-SG\PP22\000\063F.docx</w:t>
    </w:r>
    <w:r w:rsidRPr="003C2AA6">
      <w:rPr>
        <w:color w:val="F2F2F2" w:themeColor="background1" w:themeShade="F2"/>
      </w:rPr>
      <w:fldChar w:fldCharType="end"/>
    </w:r>
    <w:r w:rsidR="003D16C6" w:rsidRPr="003C2AA6">
      <w:rPr>
        <w:color w:val="F2F2F2" w:themeColor="background1" w:themeShade="F2"/>
      </w:rPr>
      <w:t xml:space="preserve"> (509881)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3AF5" w14:textId="77777777" w:rsidR="003D16C6" w:rsidRDefault="003D16C6" w:rsidP="003D16C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C344" w14:textId="77777777" w:rsidR="00F04F08" w:rsidRDefault="00F04F08">
      <w:r>
        <w:t>____________________</w:t>
      </w:r>
    </w:p>
    <w:p w14:paraId="7D1E087C" w14:textId="77777777" w:rsidR="00022713" w:rsidRDefault="00022713"/>
  </w:footnote>
  <w:footnote w:type="continuationSeparator" w:id="0">
    <w:p w14:paraId="6CAEA993" w14:textId="77777777" w:rsidR="00F04F08" w:rsidRDefault="00F04F08">
      <w:r>
        <w:continuationSeparator/>
      </w:r>
    </w:p>
    <w:p w14:paraId="4F2D795F" w14:textId="77777777" w:rsidR="00022713" w:rsidRDefault="00022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359F4F75" w:rsidR="000507C1" w:rsidRDefault="000507C1" w:rsidP="00CE1B90">
    <w:pPr>
      <w:pStyle w:val="Header"/>
    </w:pPr>
    <w:r>
      <w:fldChar w:fldCharType="begin"/>
    </w:r>
    <w:r>
      <w:instrText xml:space="preserve"> PAGE   \* MERGEFORMAT </w:instrText>
    </w:r>
    <w:r>
      <w:fldChar w:fldCharType="separate"/>
    </w:r>
    <w:r w:rsidR="00CB0519">
      <w:rPr>
        <w:noProof/>
      </w:rPr>
      <w:t>4</w:t>
    </w:r>
    <w:r>
      <w:fldChar w:fldCharType="end"/>
    </w:r>
  </w:p>
  <w:p w14:paraId="0DCF0FBD" w14:textId="4A233869" w:rsidR="00CE1B90" w:rsidRDefault="00CE1B90" w:rsidP="004F7925">
    <w:pPr>
      <w:pStyle w:val="Header"/>
    </w:pPr>
    <w:r>
      <w:rPr>
        <w:lang w:val="fr-FR"/>
      </w:rPr>
      <w:t>PP 22/63-F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12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2713"/>
    <w:rsid w:val="000235EC"/>
    <w:rsid w:val="00027EF2"/>
    <w:rsid w:val="000410AA"/>
    <w:rsid w:val="00041924"/>
    <w:rsid w:val="000507C1"/>
    <w:rsid w:val="00053B97"/>
    <w:rsid w:val="00073825"/>
    <w:rsid w:val="0007537D"/>
    <w:rsid w:val="00082EB9"/>
    <w:rsid w:val="000842DF"/>
    <w:rsid w:val="0008540E"/>
    <w:rsid w:val="00094B3C"/>
    <w:rsid w:val="00094B4F"/>
    <w:rsid w:val="000A1015"/>
    <w:rsid w:val="000A4114"/>
    <w:rsid w:val="000B03F9"/>
    <w:rsid w:val="000B0A77"/>
    <w:rsid w:val="000B0D6C"/>
    <w:rsid w:val="000B409D"/>
    <w:rsid w:val="000B5BB9"/>
    <w:rsid w:val="000B7152"/>
    <w:rsid w:val="000C4701"/>
    <w:rsid w:val="000E4C7A"/>
    <w:rsid w:val="000E5E15"/>
    <w:rsid w:val="000F5A9A"/>
    <w:rsid w:val="000F73D1"/>
    <w:rsid w:val="001001C5"/>
    <w:rsid w:val="00105EFE"/>
    <w:rsid w:val="00106777"/>
    <w:rsid w:val="0010755F"/>
    <w:rsid w:val="0011489E"/>
    <w:rsid w:val="00114BA3"/>
    <w:rsid w:val="00115DEC"/>
    <w:rsid w:val="00123F09"/>
    <w:rsid w:val="00136175"/>
    <w:rsid w:val="00140FF0"/>
    <w:rsid w:val="00142F28"/>
    <w:rsid w:val="00144BBE"/>
    <w:rsid w:val="00146057"/>
    <w:rsid w:val="0015022E"/>
    <w:rsid w:val="00153151"/>
    <w:rsid w:val="00164069"/>
    <w:rsid w:val="0016633C"/>
    <w:rsid w:val="00171990"/>
    <w:rsid w:val="00195B70"/>
    <w:rsid w:val="001A0EEB"/>
    <w:rsid w:val="001A16ED"/>
    <w:rsid w:val="001A5497"/>
    <w:rsid w:val="001B0754"/>
    <w:rsid w:val="001B18AB"/>
    <w:rsid w:val="001B70D1"/>
    <w:rsid w:val="001C165B"/>
    <w:rsid w:val="001C3804"/>
    <w:rsid w:val="001D3322"/>
    <w:rsid w:val="001E01A5"/>
    <w:rsid w:val="001E18AB"/>
    <w:rsid w:val="001E1C8F"/>
    <w:rsid w:val="002115E0"/>
    <w:rsid w:val="00215F12"/>
    <w:rsid w:val="002275BF"/>
    <w:rsid w:val="00232B31"/>
    <w:rsid w:val="00233691"/>
    <w:rsid w:val="00234820"/>
    <w:rsid w:val="00235A3B"/>
    <w:rsid w:val="00243BE4"/>
    <w:rsid w:val="00250C34"/>
    <w:rsid w:val="00257188"/>
    <w:rsid w:val="002578B4"/>
    <w:rsid w:val="00260FBA"/>
    <w:rsid w:val="00267D12"/>
    <w:rsid w:val="00281792"/>
    <w:rsid w:val="0028799E"/>
    <w:rsid w:val="00290E2B"/>
    <w:rsid w:val="002962A8"/>
    <w:rsid w:val="002A56C0"/>
    <w:rsid w:val="002A5D89"/>
    <w:rsid w:val="002E77F4"/>
    <w:rsid w:val="002F36B9"/>
    <w:rsid w:val="002F5FA2"/>
    <w:rsid w:val="003126B0"/>
    <w:rsid w:val="00314127"/>
    <w:rsid w:val="00314C12"/>
    <w:rsid w:val="003261C3"/>
    <w:rsid w:val="003453DA"/>
    <w:rsid w:val="00350DD6"/>
    <w:rsid w:val="00355B63"/>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2AA6"/>
    <w:rsid w:val="003D16C6"/>
    <w:rsid w:val="003F0763"/>
    <w:rsid w:val="003F2121"/>
    <w:rsid w:val="003F5771"/>
    <w:rsid w:val="004014B0"/>
    <w:rsid w:val="004059B0"/>
    <w:rsid w:val="004243FE"/>
    <w:rsid w:val="00426AC1"/>
    <w:rsid w:val="004321DC"/>
    <w:rsid w:val="00435252"/>
    <w:rsid w:val="00435AA4"/>
    <w:rsid w:val="00435EA8"/>
    <w:rsid w:val="004360BB"/>
    <w:rsid w:val="00447E5D"/>
    <w:rsid w:val="0045533C"/>
    <w:rsid w:val="004606DA"/>
    <w:rsid w:val="00463092"/>
    <w:rsid w:val="004676C0"/>
    <w:rsid w:val="00474E00"/>
    <w:rsid w:val="004771BB"/>
    <w:rsid w:val="004835DB"/>
    <w:rsid w:val="00491D2D"/>
    <w:rsid w:val="00494797"/>
    <w:rsid w:val="004B0C10"/>
    <w:rsid w:val="004B167B"/>
    <w:rsid w:val="004B36A7"/>
    <w:rsid w:val="004C19D7"/>
    <w:rsid w:val="004C297B"/>
    <w:rsid w:val="004C73C9"/>
    <w:rsid w:val="004E01FA"/>
    <w:rsid w:val="004E6764"/>
    <w:rsid w:val="004F041D"/>
    <w:rsid w:val="004F1C55"/>
    <w:rsid w:val="004F7925"/>
    <w:rsid w:val="00502B5D"/>
    <w:rsid w:val="00504FE5"/>
    <w:rsid w:val="00507348"/>
    <w:rsid w:val="00522C97"/>
    <w:rsid w:val="0052730F"/>
    <w:rsid w:val="005356FD"/>
    <w:rsid w:val="00535A63"/>
    <w:rsid w:val="00547D75"/>
    <w:rsid w:val="00551C8B"/>
    <w:rsid w:val="00554E24"/>
    <w:rsid w:val="00555A0F"/>
    <w:rsid w:val="00567130"/>
    <w:rsid w:val="0057034B"/>
    <w:rsid w:val="00570BA5"/>
    <w:rsid w:val="00575088"/>
    <w:rsid w:val="00581E8F"/>
    <w:rsid w:val="00586A98"/>
    <w:rsid w:val="00591C15"/>
    <w:rsid w:val="005927A4"/>
    <w:rsid w:val="00596B48"/>
    <w:rsid w:val="005B10E8"/>
    <w:rsid w:val="005B5026"/>
    <w:rsid w:val="005B661F"/>
    <w:rsid w:val="005C3315"/>
    <w:rsid w:val="005E1CC3"/>
    <w:rsid w:val="005E257C"/>
    <w:rsid w:val="005F05C8"/>
    <w:rsid w:val="00604079"/>
    <w:rsid w:val="00617BE4"/>
    <w:rsid w:val="00620233"/>
    <w:rsid w:val="00627DF4"/>
    <w:rsid w:val="006355E2"/>
    <w:rsid w:val="006404B0"/>
    <w:rsid w:val="0066499C"/>
    <w:rsid w:val="00674155"/>
    <w:rsid w:val="00676E68"/>
    <w:rsid w:val="00685DB4"/>
    <w:rsid w:val="006918D3"/>
    <w:rsid w:val="006A43BF"/>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1EBE"/>
    <w:rsid w:val="0082780C"/>
    <w:rsid w:val="00831AB3"/>
    <w:rsid w:val="008333C7"/>
    <w:rsid w:val="00833E0F"/>
    <w:rsid w:val="008404FD"/>
    <w:rsid w:val="00841AB4"/>
    <w:rsid w:val="00846DBA"/>
    <w:rsid w:val="00850AEF"/>
    <w:rsid w:val="00855DAB"/>
    <w:rsid w:val="00860C6A"/>
    <w:rsid w:val="00862891"/>
    <w:rsid w:val="00875048"/>
    <w:rsid w:val="00875BE1"/>
    <w:rsid w:val="00877715"/>
    <w:rsid w:val="00892944"/>
    <w:rsid w:val="00893B22"/>
    <w:rsid w:val="00895CE3"/>
    <w:rsid w:val="0089603F"/>
    <w:rsid w:val="00897970"/>
    <w:rsid w:val="008A26AB"/>
    <w:rsid w:val="008B5A71"/>
    <w:rsid w:val="008B64C9"/>
    <w:rsid w:val="008D3BE2"/>
    <w:rsid w:val="008D4D98"/>
    <w:rsid w:val="008E2A7B"/>
    <w:rsid w:val="008E6E9B"/>
    <w:rsid w:val="008F2C56"/>
    <w:rsid w:val="008F3C99"/>
    <w:rsid w:val="008F5057"/>
    <w:rsid w:val="008F58A7"/>
    <w:rsid w:val="00900D5B"/>
    <w:rsid w:val="009236FE"/>
    <w:rsid w:val="00924565"/>
    <w:rsid w:val="009374E2"/>
    <w:rsid w:val="00940E00"/>
    <w:rsid w:val="009412A9"/>
    <w:rsid w:val="00945D4B"/>
    <w:rsid w:val="0094741F"/>
    <w:rsid w:val="00950E0F"/>
    <w:rsid w:val="0096150D"/>
    <w:rsid w:val="009630FA"/>
    <w:rsid w:val="00965658"/>
    <w:rsid w:val="00967103"/>
    <w:rsid w:val="00967670"/>
    <w:rsid w:val="00970996"/>
    <w:rsid w:val="009800CC"/>
    <w:rsid w:val="009A078E"/>
    <w:rsid w:val="009A2B30"/>
    <w:rsid w:val="009A4211"/>
    <w:rsid w:val="009A47A2"/>
    <w:rsid w:val="009E425E"/>
    <w:rsid w:val="009E4322"/>
    <w:rsid w:val="009E5611"/>
    <w:rsid w:val="009E69B9"/>
    <w:rsid w:val="009F21EF"/>
    <w:rsid w:val="009F4384"/>
    <w:rsid w:val="009F442D"/>
    <w:rsid w:val="009F50DA"/>
    <w:rsid w:val="00A06D56"/>
    <w:rsid w:val="00A13E74"/>
    <w:rsid w:val="00A314A2"/>
    <w:rsid w:val="00A45925"/>
    <w:rsid w:val="00A45ADE"/>
    <w:rsid w:val="00A516BB"/>
    <w:rsid w:val="00A619C5"/>
    <w:rsid w:val="00A65741"/>
    <w:rsid w:val="00A808E1"/>
    <w:rsid w:val="00A8262F"/>
    <w:rsid w:val="00A84B32"/>
    <w:rsid w:val="00A84B3A"/>
    <w:rsid w:val="00A87124"/>
    <w:rsid w:val="00A93B71"/>
    <w:rsid w:val="00A95ACF"/>
    <w:rsid w:val="00AB0B32"/>
    <w:rsid w:val="00AB2D04"/>
    <w:rsid w:val="00AB5C39"/>
    <w:rsid w:val="00AB75A9"/>
    <w:rsid w:val="00AD1C5C"/>
    <w:rsid w:val="00AD566F"/>
    <w:rsid w:val="00B1395F"/>
    <w:rsid w:val="00B156F9"/>
    <w:rsid w:val="00B1733E"/>
    <w:rsid w:val="00B25A86"/>
    <w:rsid w:val="00B304B9"/>
    <w:rsid w:val="00B46D66"/>
    <w:rsid w:val="00B55E1A"/>
    <w:rsid w:val="00B57988"/>
    <w:rsid w:val="00B62032"/>
    <w:rsid w:val="00B65F8C"/>
    <w:rsid w:val="00B7263B"/>
    <w:rsid w:val="00B73F47"/>
    <w:rsid w:val="00B7638A"/>
    <w:rsid w:val="00B80DF9"/>
    <w:rsid w:val="00B840D8"/>
    <w:rsid w:val="00B96043"/>
    <w:rsid w:val="00B96467"/>
    <w:rsid w:val="00BA1094"/>
    <w:rsid w:val="00BA154E"/>
    <w:rsid w:val="00BA37CE"/>
    <w:rsid w:val="00BA4692"/>
    <w:rsid w:val="00BC6FDB"/>
    <w:rsid w:val="00BC7DE8"/>
    <w:rsid w:val="00BE0966"/>
    <w:rsid w:val="00BF43BA"/>
    <w:rsid w:val="00BF5722"/>
    <w:rsid w:val="00BF6268"/>
    <w:rsid w:val="00BF65F1"/>
    <w:rsid w:val="00BF720B"/>
    <w:rsid w:val="00C00BEB"/>
    <w:rsid w:val="00C04511"/>
    <w:rsid w:val="00C112A3"/>
    <w:rsid w:val="00C13646"/>
    <w:rsid w:val="00C16846"/>
    <w:rsid w:val="00C306EB"/>
    <w:rsid w:val="00C34851"/>
    <w:rsid w:val="00C42A5B"/>
    <w:rsid w:val="00C5419D"/>
    <w:rsid w:val="00C56038"/>
    <w:rsid w:val="00C60189"/>
    <w:rsid w:val="00C6729F"/>
    <w:rsid w:val="00C72664"/>
    <w:rsid w:val="00C86F24"/>
    <w:rsid w:val="00CA38C9"/>
    <w:rsid w:val="00CB0519"/>
    <w:rsid w:val="00CB4984"/>
    <w:rsid w:val="00CB5DD7"/>
    <w:rsid w:val="00CB7795"/>
    <w:rsid w:val="00CB77D5"/>
    <w:rsid w:val="00CC14F0"/>
    <w:rsid w:val="00CE1B90"/>
    <w:rsid w:val="00CE3B0F"/>
    <w:rsid w:val="00CE40BB"/>
    <w:rsid w:val="00CF1C71"/>
    <w:rsid w:val="00CF3FAF"/>
    <w:rsid w:val="00CF510F"/>
    <w:rsid w:val="00D07696"/>
    <w:rsid w:val="00D11956"/>
    <w:rsid w:val="00D15A98"/>
    <w:rsid w:val="00D21A8D"/>
    <w:rsid w:val="00D31DD8"/>
    <w:rsid w:val="00D500DC"/>
    <w:rsid w:val="00D54B39"/>
    <w:rsid w:val="00D64FF3"/>
    <w:rsid w:val="00D657A2"/>
    <w:rsid w:val="00D760C8"/>
    <w:rsid w:val="00D8068A"/>
    <w:rsid w:val="00D83FFD"/>
    <w:rsid w:val="00D8451F"/>
    <w:rsid w:val="00D8617D"/>
    <w:rsid w:val="00D92563"/>
    <w:rsid w:val="00DC7C10"/>
    <w:rsid w:val="00DD26B1"/>
    <w:rsid w:val="00DD5177"/>
    <w:rsid w:val="00DE16B8"/>
    <w:rsid w:val="00DE20DF"/>
    <w:rsid w:val="00DE3771"/>
    <w:rsid w:val="00DE4CC2"/>
    <w:rsid w:val="00DF23FC"/>
    <w:rsid w:val="00DF39CD"/>
    <w:rsid w:val="00DF3BBE"/>
    <w:rsid w:val="00DF62C0"/>
    <w:rsid w:val="00E0094D"/>
    <w:rsid w:val="00E10A17"/>
    <w:rsid w:val="00E13427"/>
    <w:rsid w:val="00E1374D"/>
    <w:rsid w:val="00E20134"/>
    <w:rsid w:val="00E23B8C"/>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B4AAE"/>
    <w:rsid w:val="00EC6D9E"/>
    <w:rsid w:val="00ED401C"/>
    <w:rsid w:val="00EE333B"/>
    <w:rsid w:val="00EF2642"/>
    <w:rsid w:val="00EF3681"/>
    <w:rsid w:val="00F04F08"/>
    <w:rsid w:val="00F10790"/>
    <w:rsid w:val="00F10E7C"/>
    <w:rsid w:val="00F13C1E"/>
    <w:rsid w:val="00F16F17"/>
    <w:rsid w:val="00F20BC2"/>
    <w:rsid w:val="00F342E4"/>
    <w:rsid w:val="00F35330"/>
    <w:rsid w:val="00F41C91"/>
    <w:rsid w:val="00F433A4"/>
    <w:rsid w:val="00F4421A"/>
    <w:rsid w:val="00F44B1A"/>
    <w:rsid w:val="00F47316"/>
    <w:rsid w:val="00F55DA5"/>
    <w:rsid w:val="00F63CE9"/>
    <w:rsid w:val="00F92966"/>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685DB4"/>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character" w:customStyle="1" w:styleId="enumlev1Char">
    <w:name w:val="enumlev1 Char"/>
    <w:link w:val="enumlev1"/>
    <w:locked/>
    <w:rsid w:val="009374E2"/>
    <w:rPr>
      <w:rFonts w:ascii="Calibri" w:hAnsi="Calibri"/>
      <w:sz w:val="24"/>
      <w:lang w:val="en-GB" w:eastAsia="en-US"/>
    </w:rPr>
  </w:style>
  <w:style w:type="paragraph" w:styleId="Revision">
    <w:name w:val="Revision"/>
    <w:hidden/>
    <w:uiPriority w:val="99"/>
    <w:semiHidden/>
    <w:rsid w:val="00BF65F1"/>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5E257C"/>
    <w:rPr>
      <w:color w:val="605E5C"/>
      <w:shd w:val="clear" w:color="auto" w:fill="E1DFDD"/>
    </w:rPr>
  </w:style>
  <w:style w:type="paragraph" w:styleId="ListParagraph">
    <w:name w:val="List Paragraph"/>
    <w:basedOn w:val="Normal"/>
    <w:link w:val="ListParagraphChar"/>
    <w:uiPriority w:val="34"/>
    <w:qFormat/>
    <w:rsid w:val="004B36A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Emphasis">
    <w:name w:val="Emphasis"/>
    <w:aliases w:val="ECC HL italics"/>
    <w:basedOn w:val="DefaultParagraphFont"/>
    <w:uiPriority w:val="1"/>
    <w:qFormat/>
    <w:rsid w:val="004B36A7"/>
    <w:rPr>
      <w:i/>
      <w:iCs/>
    </w:rPr>
  </w:style>
  <w:style w:type="character" w:customStyle="1" w:styleId="ListParagraphChar">
    <w:name w:val="List Paragraph Char"/>
    <w:basedOn w:val="DefaultParagraphFont"/>
    <w:link w:val="ListParagraph"/>
    <w:uiPriority w:val="34"/>
    <w:locked/>
    <w:rsid w:val="004B36A7"/>
    <w:rPr>
      <w:rFonts w:asciiTheme="minorHAnsi" w:eastAsiaTheme="minorEastAsia" w:hAnsiTheme="minorHAnsi" w:cstheme="minorBidi"/>
      <w:sz w:val="22"/>
      <w:szCs w:val="22"/>
    </w:rPr>
  </w:style>
  <w:style w:type="paragraph" w:customStyle="1" w:styleId="Heading">
    <w:name w:val="Heading"/>
    <w:basedOn w:val="Heading1"/>
    <w:rsid w:val="003D16C6"/>
    <w:pPr>
      <w:spacing w:before="24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itu.int/md/S22-PP-C-0041/fr"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00D5-ADEF-47C7-B789-C365543B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d523d8b4-15d9-487b-a77a-d7a7f82925c6"/>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83F9E25-52FF-4DC8-A168-E12C95B07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Report from the Radio Regulations Board - Invocation of Article 48 of the Constitution in relation to the Radio Regulations</vt:lpstr>
    </vt:vector>
  </TitlesOfParts>
  <Manager/>
  <Company>International Telecommunication Union (ITU)</Company>
  <LinksUpToDate>false</LinksUpToDate>
  <CharactersWithSpaces>7893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Radio Regulations Board - Invocation of Article 48 of the Constitution in relation to the Radio Regulations</dc:title>
  <dc:subject>Plenipotentiary Conference (PP-22)</dc:subject>
  <dc:creator>Brouard, Ricarda</dc:creator>
  <cp:keywords>PP22, PP-22</cp:keywords>
  <cp:lastModifiedBy>Xue, Kun</cp:lastModifiedBy>
  <cp:revision>2</cp:revision>
  <dcterms:created xsi:type="dcterms:W3CDTF">2022-08-12T10:03:00Z</dcterms:created>
  <dcterms:modified xsi:type="dcterms:W3CDTF">2022-08-12T10:03:00Z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TranslatedWith">
    <vt:lpwstr>Mercury</vt:lpwstr>
  </property>
  <property fmtid="{D5CDD505-2E9C-101B-9397-08002B2CF9AE}" pid="4" name="GeneratedBy">
    <vt:lpwstr>hugo.vignal</vt:lpwstr>
  </property>
  <property fmtid="{D5CDD505-2E9C-101B-9397-08002B2CF9AE}" pid="5" name="GeneratedDate">
    <vt:lpwstr>08/05/2022 12:23:43</vt:lpwstr>
  </property>
  <property fmtid="{D5CDD505-2E9C-101B-9397-08002B2CF9AE}" pid="6" name="OriginalDocID">
    <vt:lpwstr>c3d76fb0-f843-4ac0-9456-f6858a2833bf</vt:lpwstr>
  </property>
</Properties>
</file>