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F96AB4" w:rsidRPr="00477623" w14:paraId="35DAFB8D" w14:textId="77777777" w:rsidTr="009751CA">
        <w:trPr>
          <w:cantSplit/>
        </w:trPr>
        <w:tc>
          <w:tcPr>
            <w:tcW w:w="6911" w:type="dxa"/>
          </w:tcPr>
          <w:p w14:paraId="6C5D7CD3" w14:textId="63320C9A" w:rsidR="00F96AB4" w:rsidRPr="00477623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7762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47762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7762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77623">
              <w:rPr>
                <w:rFonts w:ascii="Verdana" w:hAnsi="Verdana"/>
                <w:szCs w:val="22"/>
                <w:lang w:val="ru-RU"/>
              </w:rPr>
              <w:br/>
            </w:r>
            <w:bookmarkStart w:id="1" w:name="_Hlk106476154"/>
            <w:r w:rsidR="00513BE3" w:rsidRPr="00477623">
              <w:rPr>
                <w:b/>
                <w:szCs w:val="22"/>
                <w:lang w:val="ru-RU"/>
              </w:rPr>
              <w:t>Бухарест</w:t>
            </w:r>
            <w:r w:rsidRPr="00477623">
              <w:rPr>
                <w:b/>
                <w:bCs/>
                <w:lang w:val="ru-RU"/>
              </w:rPr>
              <w:t>, 2</w:t>
            </w:r>
            <w:r w:rsidR="00513BE3" w:rsidRPr="00477623">
              <w:rPr>
                <w:b/>
                <w:bCs/>
                <w:lang w:val="ru-RU"/>
              </w:rPr>
              <w:t>6</w:t>
            </w:r>
            <w:r w:rsidRPr="00477623">
              <w:rPr>
                <w:b/>
                <w:bCs/>
                <w:lang w:val="ru-RU"/>
              </w:rPr>
              <w:t xml:space="preserve"> </w:t>
            </w:r>
            <w:r w:rsidR="00513BE3" w:rsidRPr="00477623">
              <w:rPr>
                <w:b/>
                <w:bCs/>
                <w:lang w:val="ru-RU"/>
              </w:rPr>
              <w:t xml:space="preserve">сентября </w:t>
            </w:r>
            <w:r w:rsidRPr="00477623">
              <w:rPr>
                <w:b/>
                <w:bCs/>
                <w:lang w:val="ru-RU"/>
              </w:rPr>
              <w:t xml:space="preserve">– </w:t>
            </w:r>
            <w:r w:rsidR="002D024B" w:rsidRPr="00477623">
              <w:rPr>
                <w:b/>
                <w:bCs/>
                <w:lang w:val="ru-RU"/>
              </w:rPr>
              <w:t>1</w:t>
            </w:r>
            <w:r w:rsidR="00513BE3" w:rsidRPr="00477623">
              <w:rPr>
                <w:b/>
                <w:bCs/>
                <w:lang w:val="ru-RU"/>
              </w:rPr>
              <w:t>4</w:t>
            </w:r>
            <w:r w:rsidRPr="00477623">
              <w:rPr>
                <w:b/>
                <w:bCs/>
                <w:lang w:val="ru-RU"/>
              </w:rPr>
              <w:t xml:space="preserve"> </w:t>
            </w:r>
            <w:r w:rsidR="00513BE3" w:rsidRPr="00477623">
              <w:rPr>
                <w:b/>
                <w:bCs/>
                <w:lang w:val="ru-RU"/>
              </w:rPr>
              <w:t xml:space="preserve">октября </w:t>
            </w:r>
            <w:r w:rsidRPr="00477623">
              <w:rPr>
                <w:b/>
                <w:bCs/>
                <w:lang w:val="ru-RU"/>
              </w:rPr>
              <w:t>20</w:t>
            </w:r>
            <w:r w:rsidR="00513BE3" w:rsidRPr="00477623">
              <w:rPr>
                <w:b/>
                <w:bCs/>
                <w:lang w:val="ru-RU"/>
              </w:rPr>
              <w:t>22</w:t>
            </w:r>
            <w:r w:rsidRPr="00477623">
              <w:rPr>
                <w:b/>
                <w:bCs/>
                <w:lang w:val="ru-RU"/>
              </w:rPr>
              <w:t xml:space="preserve"> г.</w:t>
            </w:r>
            <w:bookmarkEnd w:id="1"/>
          </w:p>
        </w:tc>
        <w:tc>
          <w:tcPr>
            <w:tcW w:w="2728" w:type="dxa"/>
          </w:tcPr>
          <w:p w14:paraId="598A9DF7" w14:textId="77777777" w:rsidR="00F96AB4" w:rsidRPr="00477623" w:rsidRDefault="00513BE3" w:rsidP="00E11B2B">
            <w:pPr>
              <w:rPr>
                <w:lang w:val="ru-RU"/>
              </w:rPr>
            </w:pPr>
            <w:bookmarkStart w:id="2" w:name="ditulogo"/>
            <w:bookmarkEnd w:id="2"/>
            <w:r w:rsidRPr="00477623">
              <w:rPr>
                <w:noProof/>
                <w:lang w:val="ru-RU" w:eastAsia="zh-CN"/>
              </w:rPr>
              <w:drawing>
                <wp:inline distT="0" distB="0" distL="0" distR="0" wp14:anchorId="46FB1CAE" wp14:editId="2A8810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77623" w14:paraId="65638539" w14:textId="77777777" w:rsidTr="009751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F11C80" w14:textId="77777777" w:rsidR="00F96AB4" w:rsidRPr="00477623" w:rsidRDefault="00F96AB4" w:rsidP="00E11B2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DF30E5" w14:textId="77777777" w:rsidR="00F96AB4" w:rsidRPr="00477623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77623" w14:paraId="0A1657C1" w14:textId="77777777" w:rsidTr="009751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FAD936" w14:textId="77777777" w:rsidR="00F96AB4" w:rsidRPr="0047762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736BCFF8" w14:textId="77777777" w:rsidR="00F96AB4" w:rsidRPr="0047762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477623" w14:paraId="715BA8F8" w14:textId="77777777" w:rsidTr="009751CA">
        <w:trPr>
          <w:cantSplit/>
        </w:trPr>
        <w:tc>
          <w:tcPr>
            <w:tcW w:w="6911" w:type="dxa"/>
          </w:tcPr>
          <w:p w14:paraId="163147EE" w14:textId="02C4965A" w:rsidR="00F96AB4" w:rsidRPr="00477623" w:rsidRDefault="00931767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77623">
              <w:rPr>
                <w:lang w:val="ru-RU"/>
              </w:rPr>
              <w:t>ПЛЕНАРНОЕ ЗАСЕДАНИЕ</w:t>
            </w:r>
          </w:p>
        </w:tc>
        <w:tc>
          <w:tcPr>
            <w:tcW w:w="2728" w:type="dxa"/>
          </w:tcPr>
          <w:p w14:paraId="7BA12D81" w14:textId="663B8914" w:rsidR="00F96AB4" w:rsidRPr="0047762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77623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615BFC" w:rsidRPr="00477623">
              <w:rPr>
                <w:rFonts w:cstheme="minorHAnsi"/>
                <w:b/>
                <w:bCs/>
                <w:szCs w:val="28"/>
                <w:lang w:val="ru-RU"/>
              </w:rPr>
              <w:t>63</w:t>
            </w:r>
            <w:r w:rsidRPr="0047762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477623" w14:paraId="7EFBE5E7" w14:textId="77777777" w:rsidTr="009751CA">
        <w:trPr>
          <w:cantSplit/>
        </w:trPr>
        <w:tc>
          <w:tcPr>
            <w:tcW w:w="6911" w:type="dxa"/>
          </w:tcPr>
          <w:p w14:paraId="646E1CB7" w14:textId="77777777" w:rsidR="00F96AB4" w:rsidRPr="0047762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F508499" w14:textId="683B36FA" w:rsidR="00F96AB4" w:rsidRPr="00477623" w:rsidRDefault="00615BFC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77623">
              <w:rPr>
                <w:rFonts w:cstheme="minorHAnsi"/>
                <w:b/>
                <w:bCs/>
                <w:szCs w:val="28"/>
                <w:lang w:val="ru-RU"/>
              </w:rPr>
              <w:t>13</w:t>
            </w:r>
            <w:r w:rsidR="009F4EDF" w:rsidRPr="00477623">
              <w:rPr>
                <w:rFonts w:cstheme="minorHAnsi"/>
                <w:b/>
                <w:bCs/>
                <w:szCs w:val="28"/>
                <w:lang w:val="ru-RU"/>
              </w:rPr>
              <w:t xml:space="preserve"> ию</w:t>
            </w:r>
            <w:r w:rsidRPr="00477623">
              <w:rPr>
                <w:rFonts w:cstheme="minorHAnsi"/>
                <w:b/>
                <w:bCs/>
                <w:szCs w:val="28"/>
                <w:lang w:val="ru-RU"/>
              </w:rPr>
              <w:t>л</w:t>
            </w:r>
            <w:r w:rsidR="009F4EDF" w:rsidRPr="00477623">
              <w:rPr>
                <w:rFonts w:cstheme="minorHAnsi"/>
                <w:b/>
                <w:bCs/>
                <w:szCs w:val="28"/>
                <w:lang w:val="ru-RU"/>
              </w:rPr>
              <w:t>я</w:t>
            </w:r>
            <w:r w:rsidR="00BC4B72" w:rsidRPr="00477623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="009F4EDF" w:rsidRPr="00477623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477623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477623" w14:paraId="301D9B55" w14:textId="77777777" w:rsidTr="009751CA">
        <w:trPr>
          <w:cantSplit/>
        </w:trPr>
        <w:tc>
          <w:tcPr>
            <w:tcW w:w="6911" w:type="dxa"/>
          </w:tcPr>
          <w:p w14:paraId="20AFC6BB" w14:textId="77777777" w:rsidR="00F96AB4" w:rsidRPr="0047762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1267B87F" w14:textId="77777777" w:rsidR="00F96AB4" w:rsidRPr="00477623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7762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477623" w14:paraId="047FF6E3" w14:textId="77777777" w:rsidTr="009751CA">
        <w:trPr>
          <w:cantSplit/>
        </w:trPr>
        <w:tc>
          <w:tcPr>
            <w:tcW w:w="9639" w:type="dxa"/>
            <w:gridSpan w:val="2"/>
          </w:tcPr>
          <w:p w14:paraId="7ADCD262" w14:textId="77777777" w:rsidR="00F96AB4" w:rsidRPr="0047762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477623" w14:paraId="73B4A3E1" w14:textId="77777777" w:rsidTr="009751CA">
        <w:trPr>
          <w:cantSplit/>
        </w:trPr>
        <w:tc>
          <w:tcPr>
            <w:tcW w:w="9639" w:type="dxa"/>
            <w:gridSpan w:val="2"/>
          </w:tcPr>
          <w:p w14:paraId="3C2F0A8D" w14:textId="03FF9A4A" w:rsidR="00F96AB4" w:rsidRPr="00477623" w:rsidRDefault="00DE6403" w:rsidP="00E11B2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477623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477623" w14:paraId="38905290" w14:textId="77777777" w:rsidTr="009751CA">
        <w:trPr>
          <w:cantSplit/>
        </w:trPr>
        <w:tc>
          <w:tcPr>
            <w:tcW w:w="9639" w:type="dxa"/>
            <w:gridSpan w:val="2"/>
          </w:tcPr>
          <w:p w14:paraId="73FFD4B6" w14:textId="59B70F91" w:rsidR="00F96AB4" w:rsidRPr="00477623" w:rsidRDefault="004E7203" w:rsidP="00E11B2B">
            <w:pPr>
              <w:pStyle w:val="Title1"/>
              <w:rPr>
                <w:lang w:val="ru-RU"/>
              </w:rPr>
            </w:pPr>
            <w:bookmarkStart w:id="6" w:name="lt_pId011"/>
            <w:bookmarkStart w:id="7" w:name="_Hlk104839004"/>
            <w:bookmarkStart w:id="8" w:name="dtitle1" w:colFirst="0" w:colLast="0"/>
            <w:bookmarkEnd w:id="5"/>
            <w:r w:rsidRPr="00477623">
              <w:rPr>
                <w:lang w:val="ru-RU"/>
              </w:rPr>
              <w:t>отчет радиорегламентарного комитета</w:t>
            </w:r>
            <w:bookmarkEnd w:id="6"/>
            <w:bookmarkEnd w:id="7"/>
          </w:p>
        </w:tc>
      </w:tr>
      <w:tr w:rsidR="00F96AB4" w:rsidRPr="00477623" w14:paraId="356FD11A" w14:textId="77777777" w:rsidTr="009751CA">
        <w:trPr>
          <w:cantSplit/>
        </w:trPr>
        <w:tc>
          <w:tcPr>
            <w:tcW w:w="9639" w:type="dxa"/>
            <w:gridSpan w:val="2"/>
          </w:tcPr>
          <w:p w14:paraId="13BC2F50" w14:textId="5196522B" w:rsidR="00F96AB4" w:rsidRPr="00477623" w:rsidRDefault="00931767" w:rsidP="00931767">
            <w:pPr>
              <w:pStyle w:val="Title2"/>
              <w:rPr>
                <w:lang w:val="ru-RU"/>
              </w:rPr>
            </w:pPr>
            <w:bookmarkStart w:id="9" w:name="dtitle2" w:colFirst="0" w:colLast="0"/>
            <w:bookmarkEnd w:id="8"/>
            <w:r w:rsidRPr="00477623">
              <w:rPr>
                <w:lang w:val="ru-RU"/>
              </w:rPr>
              <w:t>ССЫЛКА НА СТАТЬЮ 48 УСТАВА В СВЯЗИ С РЕГЛАМЕНТОМ РАДИОСВЯЗИ</w:t>
            </w:r>
          </w:p>
        </w:tc>
      </w:tr>
      <w:tr w:rsidR="00F96AB4" w:rsidRPr="00477623" w14:paraId="5BB0D46F" w14:textId="77777777" w:rsidTr="009751CA">
        <w:trPr>
          <w:cantSplit/>
        </w:trPr>
        <w:tc>
          <w:tcPr>
            <w:tcW w:w="9639" w:type="dxa"/>
            <w:gridSpan w:val="2"/>
          </w:tcPr>
          <w:p w14:paraId="1DB59F66" w14:textId="77777777" w:rsidR="00F96AB4" w:rsidRPr="00477623" w:rsidRDefault="00F96AB4" w:rsidP="00E11B2B">
            <w:pPr>
              <w:pStyle w:val="Agendaitem"/>
              <w:rPr>
                <w:lang w:val="ru-RU"/>
              </w:rPr>
            </w:pPr>
            <w:bookmarkStart w:id="10" w:name="dtitle3" w:colFirst="0" w:colLast="0"/>
            <w:bookmarkEnd w:id="9"/>
          </w:p>
        </w:tc>
      </w:tr>
    </w:tbl>
    <w:p w14:paraId="6E3D13DB" w14:textId="6328DFF9" w:rsidR="00DE6403" w:rsidRPr="00477623" w:rsidRDefault="004E7203" w:rsidP="00477623">
      <w:pPr>
        <w:pStyle w:val="Normalaftertitle"/>
        <w:rPr>
          <w:lang w:val="ru-RU"/>
        </w:rPr>
      </w:pPr>
      <w:bookmarkStart w:id="11" w:name="lt_pId014"/>
      <w:bookmarkEnd w:id="10"/>
      <w:r w:rsidRPr="00477623">
        <w:rPr>
          <w:lang w:val="ru-RU"/>
        </w:rPr>
        <w:t>При</w:t>
      </w:r>
      <w:r w:rsidR="00C06532" w:rsidRPr="00477623">
        <w:rPr>
          <w:lang w:val="ru-RU"/>
        </w:rPr>
        <w:t xml:space="preserve">лагаемый отчет </w:t>
      </w:r>
      <w:proofErr w:type="spellStart"/>
      <w:r w:rsidR="00C06532" w:rsidRPr="00477623">
        <w:rPr>
          <w:lang w:val="ru-RU"/>
        </w:rPr>
        <w:t>Радиорегламентарного</w:t>
      </w:r>
      <w:proofErr w:type="spellEnd"/>
      <w:r w:rsidR="00C06532" w:rsidRPr="00477623">
        <w:rPr>
          <w:lang w:val="ru-RU"/>
        </w:rPr>
        <w:t xml:space="preserve"> комитета дополняет решение Всемирной конференции радиосвязи 2019 года </w:t>
      </w:r>
      <w:r w:rsidR="000E1540" w:rsidRPr="00477623">
        <w:rPr>
          <w:lang w:val="ru-RU"/>
        </w:rPr>
        <w:t>о ссылке на Статью 48 Устава</w:t>
      </w:r>
      <w:r w:rsidR="00615BFC" w:rsidRPr="00477623">
        <w:rPr>
          <w:lang w:val="ru-RU"/>
        </w:rPr>
        <w:t xml:space="preserve"> (</w:t>
      </w:r>
      <w:r w:rsidR="000E1540" w:rsidRPr="00477623">
        <w:rPr>
          <w:lang w:val="ru-RU"/>
        </w:rPr>
        <w:t>см. Документ </w:t>
      </w:r>
      <w:r w:rsidR="00532236">
        <w:fldChar w:fldCharType="begin"/>
      </w:r>
      <w:r w:rsidR="00532236" w:rsidRPr="00532236">
        <w:rPr>
          <w:lang w:val="ru-RU"/>
        </w:rPr>
        <w:instrText xml:space="preserve"> </w:instrText>
      </w:r>
      <w:r w:rsidR="00532236">
        <w:instrText>HYPERLINK</w:instrText>
      </w:r>
      <w:r w:rsidR="00532236" w:rsidRPr="00532236">
        <w:rPr>
          <w:lang w:val="ru-RU"/>
        </w:rPr>
        <w:instrText xml:space="preserve"> "</w:instrText>
      </w:r>
      <w:r w:rsidR="00532236">
        <w:instrText>https</w:instrText>
      </w:r>
      <w:r w:rsidR="00532236" w:rsidRPr="00532236">
        <w:rPr>
          <w:lang w:val="ru-RU"/>
        </w:rPr>
        <w:instrText>://</w:instrText>
      </w:r>
      <w:r w:rsidR="00532236">
        <w:instrText>www</w:instrText>
      </w:r>
      <w:r w:rsidR="00532236" w:rsidRPr="00532236">
        <w:rPr>
          <w:lang w:val="ru-RU"/>
        </w:rPr>
        <w:instrText>.</w:instrText>
      </w:r>
      <w:r w:rsidR="00532236">
        <w:instrText>itu</w:instrText>
      </w:r>
      <w:r w:rsidR="00532236" w:rsidRPr="00532236">
        <w:rPr>
          <w:lang w:val="ru-RU"/>
        </w:rPr>
        <w:instrText>.</w:instrText>
      </w:r>
      <w:r w:rsidR="00532236">
        <w:instrText>int</w:instrText>
      </w:r>
      <w:r w:rsidR="00532236" w:rsidRPr="00532236">
        <w:rPr>
          <w:lang w:val="ru-RU"/>
        </w:rPr>
        <w:instrText>/</w:instrText>
      </w:r>
      <w:r w:rsidR="00532236">
        <w:instrText>md</w:instrText>
      </w:r>
      <w:r w:rsidR="00532236" w:rsidRPr="00532236">
        <w:rPr>
          <w:lang w:val="ru-RU"/>
        </w:rPr>
        <w:instrText>/</w:instrText>
      </w:r>
      <w:r w:rsidR="00532236">
        <w:instrText>S</w:instrText>
      </w:r>
      <w:r w:rsidR="00532236" w:rsidRPr="00532236">
        <w:rPr>
          <w:lang w:val="ru-RU"/>
        </w:rPr>
        <w:instrText>22-</w:instrText>
      </w:r>
      <w:r w:rsidR="00532236">
        <w:instrText>PP</w:instrText>
      </w:r>
      <w:r w:rsidR="00532236" w:rsidRPr="00532236">
        <w:rPr>
          <w:lang w:val="ru-RU"/>
        </w:rPr>
        <w:instrText>-</w:instrText>
      </w:r>
      <w:r w:rsidR="00532236">
        <w:instrText>C</w:instrText>
      </w:r>
      <w:r w:rsidR="00532236" w:rsidRPr="00532236">
        <w:rPr>
          <w:lang w:val="ru-RU"/>
        </w:rPr>
        <w:instrText>-0041/</w:instrText>
      </w:r>
      <w:r w:rsidR="00532236">
        <w:instrText>en</w:instrText>
      </w:r>
      <w:r w:rsidR="00532236" w:rsidRPr="00532236">
        <w:rPr>
          <w:lang w:val="ru-RU"/>
        </w:rPr>
        <w:instrText xml:space="preserve">" </w:instrText>
      </w:r>
      <w:r w:rsidR="00532236">
        <w:fldChar w:fldCharType="separate"/>
      </w:r>
      <w:r w:rsidR="00615BFC" w:rsidRPr="00477623">
        <w:rPr>
          <w:rStyle w:val="Hyperlink"/>
          <w:lang w:val="ru-RU"/>
        </w:rPr>
        <w:t>PP</w:t>
      </w:r>
      <w:r w:rsidR="00931767" w:rsidRPr="00477623">
        <w:rPr>
          <w:rStyle w:val="Hyperlink"/>
          <w:lang w:val="ru-RU"/>
        </w:rPr>
        <w:noBreakHyphen/>
      </w:r>
      <w:r w:rsidR="00615BFC" w:rsidRPr="00477623">
        <w:rPr>
          <w:rStyle w:val="Hyperlink"/>
          <w:lang w:val="ru-RU"/>
        </w:rPr>
        <w:t>22/41</w:t>
      </w:r>
      <w:r w:rsidR="00532236">
        <w:rPr>
          <w:rStyle w:val="Hyperlink"/>
          <w:lang w:val="ru-RU"/>
        </w:rPr>
        <w:fldChar w:fldCharType="end"/>
      </w:r>
      <w:r w:rsidR="00615BFC" w:rsidRPr="00477623">
        <w:rPr>
          <w:lang w:val="ru-RU"/>
        </w:rPr>
        <w:t>).</w:t>
      </w:r>
      <w:bookmarkEnd w:id="11"/>
    </w:p>
    <w:p w14:paraId="382FAE7F" w14:textId="77777777" w:rsidR="00DE6403" w:rsidRPr="00477623" w:rsidRDefault="00DE6403" w:rsidP="00DE64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477623">
        <w:rPr>
          <w:lang w:val="ru-RU"/>
        </w:rPr>
        <w:tab/>
      </w:r>
      <w:proofErr w:type="spellStart"/>
      <w:r w:rsidRPr="00477623">
        <w:rPr>
          <w:lang w:val="ru-RU"/>
        </w:rPr>
        <w:t>Хоулинь</w:t>
      </w:r>
      <w:proofErr w:type="spellEnd"/>
      <w:r w:rsidRPr="00477623">
        <w:rPr>
          <w:lang w:val="ru-RU"/>
        </w:rPr>
        <w:t xml:space="preserve"> ЧЖАО</w:t>
      </w:r>
      <w:r w:rsidRPr="00477623">
        <w:rPr>
          <w:lang w:val="ru-RU"/>
        </w:rPr>
        <w:br/>
      </w:r>
      <w:r w:rsidRPr="00477623">
        <w:rPr>
          <w:lang w:val="ru-RU"/>
        </w:rPr>
        <w:tab/>
        <w:t>Генеральный секретарь</w:t>
      </w:r>
    </w:p>
    <w:p w14:paraId="39ABB68D" w14:textId="1A01EAEE" w:rsidR="00DE6403" w:rsidRPr="00477623" w:rsidRDefault="00DE6403" w:rsidP="00DE640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/>
        <w:textAlignment w:val="auto"/>
        <w:rPr>
          <w:lang w:val="ru-RU"/>
        </w:rPr>
      </w:pPr>
      <w:r w:rsidRPr="00477623">
        <w:rPr>
          <w:b/>
          <w:bCs/>
          <w:lang w:val="ru-RU"/>
        </w:rPr>
        <w:t>Приложение</w:t>
      </w:r>
      <w:r w:rsidRPr="00477623">
        <w:rPr>
          <w:lang w:val="ru-RU"/>
        </w:rPr>
        <w:t>: 1</w:t>
      </w:r>
    </w:p>
    <w:p w14:paraId="0E37BE27" w14:textId="74F6C335" w:rsidR="00F96AB4" w:rsidRPr="00477623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77623">
        <w:rPr>
          <w:lang w:val="ru-RU"/>
        </w:rPr>
        <w:br w:type="page"/>
      </w:r>
    </w:p>
    <w:p w14:paraId="386F7B16" w14:textId="77777777" w:rsidR="00DE6403" w:rsidRPr="00477623" w:rsidRDefault="00DE6403" w:rsidP="00D906F0">
      <w:pPr>
        <w:pStyle w:val="AnnexNo"/>
        <w:rPr>
          <w:lang w:val="ru-RU"/>
        </w:rPr>
      </w:pPr>
      <w:r w:rsidRPr="00477623">
        <w:rPr>
          <w:lang w:val="ru-RU"/>
        </w:rPr>
        <w:lastRenderedPageBreak/>
        <w:t>ПРИЛОЖЕНИЕ</w:t>
      </w:r>
    </w:p>
    <w:p w14:paraId="27D1C28D" w14:textId="4B07FE1F" w:rsidR="00DE6403" w:rsidRPr="00477623" w:rsidRDefault="00931767" w:rsidP="00931767">
      <w:pPr>
        <w:pStyle w:val="Annextitle"/>
        <w:rPr>
          <w:lang w:val="ru-RU"/>
        </w:rPr>
      </w:pPr>
      <w:r w:rsidRPr="00477623">
        <w:rPr>
          <w:lang w:val="ru-RU"/>
        </w:rPr>
        <w:t xml:space="preserve">Ссылка на Статью 48 Устава </w:t>
      </w:r>
      <w:r w:rsidR="000E1540" w:rsidRPr="00477623">
        <w:rPr>
          <w:lang w:val="ru-RU"/>
        </w:rPr>
        <w:t xml:space="preserve">МСЭ </w:t>
      </w:r>
      <w:r w:rsidRPr="00477623">
        <w:rPr>
          <w:lang w:val="ru-RU"/>
        </w:rPr>
        <w:t>в связи с Регламентом радиосвязи</w:t>
      </w:r>
    </w:p>
    <w:p w14:paraId="11872387" w14:textId="4B9D7C9F" w:rsidR="00615BFC" w:rsidRPr="00477623" w:rsidRDefault="005E0EDD" w:rsidP="00931767">
      <w:pPr>
        <w:pStyle w:val="Headingb"/>
        <w:rPr>
          <w:lang w:val="ru-RU"/>
        </w:rPr>
      </w:pPr>
      <w:bookmarkStart w:id="12" w:name="lt_pId020"/>
      <w:r w:rsidRPr="00477623">
        <w:rPr>
          <w:lang w:val="ru-RU"/>
        </w:rPr>
        <w:t>Введение</w:t>
      </w:r>
      <w:bookmarkEnd w:id="12"/>
    </w:p>
    <w:p w14:paraId="086A9A95" w14:textId="3C078EBB" w:rsidR="00615BFC" w:rsidRPr="00477623" w:rsidRDefault="005E0EDD" w:rsidP="00615BFC">
      <w:pPr>
        <w:rPr>
          <w:lang w:val="ru-RU"/>
        </w:rPr>
      </w:pPr>
      <w:bookmarkStart w:id="13" w:name="lt_pId021"/>
      <w:r w:rsidRPr="00477623">
        <w:rPr>
          <w:lang w:val="ru-RU"/>
        </w:rPr>
        <w:t>В своем отчете Всемирной конференции радиосвязи 2019 года (ВКР</w:t>
      </w:r>
      <w:r w:rsidRPr="00477623">
        <w:rPr>
          <w:lang w:val="ru-RU"/>
        </w:rPr>
        <w:noBreakHyphen/>
        <w:t>19) по вопросам, касающимся реализации принципов, содержащихся в Статье 44 Устава МСЭ</w:t>
      </w:r>
      <w:r w:rsidR="00615BFC" w:rsidRPr="00477623">
        <w:rPr>
          <w:lang w:val="ru-RU"/>
        </w:rPr>
        <w:t xml:space="preserve">, </w:t>
      </w:r>
      <w:proofErr w:type="spellStart"/>
      <w:r w:rsidR="002916EB" w:rsidRPr="00477623">
        <w:rPr>
          <w:lang w:val="ru-RU"/>
        </w:rPr>
        <w:t>Радиорегламентарный</w:t>
      </w:r>
      <w:proofErr w:type="spellEnd"/>
      <w:r w:rsidR="002916EB" w:rsidRPr="00477623">
        <w:rPr>
          <w:lang w:val="ru-RU"/>
        </w:rPr>
        <w:t xml:space="preserve"> комитет (далее – Комитет) рассмотрел проблемы, вызванные </w:t>
      </w:r>
      <w:r w:rsidR="005E31E9" w:rsidRPr="00477623">
        <w:rPr>
          <w:lang w:val="ru-RU"/>
        </w:rPr>
        <w:t>применением некоторыми администрациями Статьи 48 Устава</w:t>
      </w:r>
      <w:r w:rsidR="00615BFC" w:rsidRPr="00477623">
        <w:rPr>
          <w:lang w:val="ru-RU"/>
        </w:rPr>
        <w:t>.</w:t>
      </w:r>
      <w:bookmarkEnd w:id="13"/>
      <w:r w:rsidR="00615BFC" w:rsidRPr="00477623">
        <w:rPr>
          <w:lang w:val="ru-RU"/>
        </w:rPr>
        <w:t xml:space="preserve"> </w:t>
      </w:r>
      <w:bookmarkStart w:id="14" w:name="lt_pId022"/>
      <w:r w:rsidR="00E36610" w:rsidRPr="00477623">
        <w:rPr>
          <w:lang w:val="ru-RU"/>
        </w:rPr>
        <w:t xml:space="preserve">Эти проблемы связаны со ссылкой на Статью 48 в связи с расследованиями, проводимыми Бюро радиосвязи (БР) </w:t>
      </w:r>
      <w:r w:rsidR="00324764" w:rsidRPr="00477623">
        <w:rPr>
          <w:lang w:val="ru-RU"/>
        </w:rPr>
        <w:t>при применении положений Регламента радиосвязи</w:t>
      </w:r>
      <w:r w:rsidR="00615BFC" w:rsidRPr="00477623">
        <w:rPr>
          <w:lang w:val="ru-RU"/>
        </w:rPr>
        <w:t>.</w:t>
      </w:r>
      <w:bookmarkEnd w:id="14"/>
      <w:r w:rsidR="00615BFC" w:rsidRPr="00477623">
        <w:rPr>
          <w:lang w:val="ru-RU"/>
        </w:rPr>
        <w:t xml:space="preserve"> </w:t>
      </w:r>
      <w:bookmarkStart w:id="15" w:name="lt_pId023"/>
      <w:r w:rsidR="00CA7EDE" w:rsidRPr="00477623">
        <w:rPr>
          <w:lang w:val="ru-RU"/>
        </w:rPr>
        <w:t>ВКР</w:t>
      </w:r>
      <w:r w:rsidR="00615BFC" w:rsidRPr="00477623">
        <w:rPr>
          <w:lang w:val="ru-RU"/>
        </w:rPr>
        <w:t xml:space="preserve">-19, </w:t>
      </w:r>
      <w:r w:rsidR="00CA7EDE" w:rsidRPr="00477623">
        <w:rPr>
          <w:lang w:val="ru-RU"/>
        </w:rPr>
        <w:t>в соответствии со Статьей 21 Конвенции, предложила Полномочной конференции 2022 года (ПК</w:t>
      </w:r>
      <w:r w:rsidR="00CA7EDE" w:rsidRPr="00477623">
        <w:rPr>
          <w:lang w:val="ru-RU"/>
        </w:rPr>
        <w:noBreakHyphen/>
        <w:t>22) рассмотреть вопрос о ссылке на Статью 48</w:t>
      </w:r>
      <w:r w:rsidR="004E1DF7" w:rsidRPr="00477623">
        <w:rPr>
          <w:lang w:val="ru-RU"/>
        </w:rPr>
        <w:t xml:space="preserve"> в связи с Регламентом радиосвязи и принять необходимые меры, в зависимости от случая</w:t>
      </w:r>
      <w:r w:rsidR="00615BFC" w:rsidRPr="00477623">
        <w:rPr>
          <w:lang w:val="ru-RU"/>
        </w:rPr>
        <w:t>.</w:t>
      </w:r>
      <w:bookmarkEnd w:id="15"/>
    </w:p>
    <w:p w14:paraId="7CB903DE" w14:textId="06EAA21D" w:rsidR="00615BFC" w:rsidRPr="00477623" w:rsidRDefault="004E1DF7" w:rsidP="00615BFC">
      <w:pPr>
        <w:pStyle w:val="Headingb"/>
        <w:rPr>
          <w:lang w:val="ru-RU"/>
        </w:rPr>
      </w:pPr>
      <w:bookmarkStart w:id="16" w:name="lt_pId024"/>
      <w:r w:rsidRPr="00477623">
        <w:rPr>
          <w:lang w:val="ru-RU"/>
        </w:rPr>
        <w:t>Базовая информация</w:t>
      </w:r>
      <w:bookmarkEnd w:id="16"/>
    </w:p>
    <w:p w14:paraId="60D64F43" w14:textId="5A8E1A81" w:rsidR="00615BFC" w:rsidRPr="00477623" w:rsidRDefault="004E1DF7" w:rsidP="00615BFC">
      <w:pPr>
        <w:rPr>
          <w:lang w:val="ru-RU"/>
        </w:rPr>
      </w:pPr>
      <w:bookmarkStart w:id="17" w:name="lt_pId025"/>
      <w:r w:rsidRPr="00477623">
        <w:rPr>
          <w:lang w:val="ru-RU"/>
        </w:rPr>
        <w:t>В своем отчете ВКР</w:t>
      </w:r>
      <w:r w:rsidRPr="00477623">
        <w:rPr>
          <w:lang w:val="ru-RU"/>
        </w:rPr>
        <w:noBreakHyphen/>
        <w:t>19 Комитет определил проблемы</w:t>
      </w:r>
      <w:r w:rsidR="00462C80" w:rsidRPr="00477623">
        <w:rPr>
          <w:lang w:val="ru-RU"/>
        </w:rPr>
        <w:t xml:space="preserve">, поднятые некоторыми администрациями в отношении уместности ссылок других администраций на Статью 48. </w:t>
      </w:r>
      <w:r w:rsidR="00AB29EC" w:rsidRPr="00477623">
        <w:rPr>
          <w:lang w:val="ru-RU"/>
        </w:rPr>
        <w:t>Можно классифицировать случаи сообщений о несоблюдении Статьи 48, представленные Комитету, следующим образом</w:t>
      </w:r>
      <w:bookmarkStart w:id="18" w:name="lt_pId026"/>
      <w:bookmarkEnd w:id="17"/>
      <w:r w:rsidR="00615BFC" w:rsidRPr="00477623">
        <w:rPr>
          <w:lang w:val="ru-RU"/>
        </w:rPr>
        <w:t>:</w:t>
      </w:r>
      <w:bookmarkEnd w:id="18"/>
    </w:p>
    <w:p w14:paraId="18ABA1AC" w14:textId="7B91B3FA" w:rsidR="00615BFC" w:rsidRPr="00477623" w:rsidRDefault="00D76BB9" w:rsidP="00D76BB9">
      <w:pPr>
        <w:pStyle w:val="enumlev1"/>
        <w:rPr>
          <w:lang w:val="ru-RU"/>
        </w:rPr>
      </w:pPr>
      <w:bookmarkStart w:id="19" w:name="lt_pId027"/>
      <w:r w:rsidRPr="00477623">
        <w:rPr>
          <w:lang w:val="ru-RU"/>
        </w:rPr>
        <w:t>–</w:t>
      </w:r>
      <w:r w:rsidRPr="00477623">
        <w:rPr>
          <w:lang w:val="ru-RU"/>
        </w:rPr>
        <w:tab/>
      </w:r>
      <w:r w:rsidR="00AB29EC" w:rsidRPr="00477623">
        <w:rPr>
          <w:lang w:val="ru-RU"/>
        </w:rPr>
        <w:t xml:space="preserve">администрации, ссылающиеся на Статью 48 после того, как Бюро начало расследование для подтверждения того, действительно ли частотные присвоения используются </w:t>
      </w:r>
      <w:r w:rsidR="00836D95" w:rsidRPr="00477623">
        <w:rPr>
          <w:lang w:val="ru-RU"/>
        </w:rPr>
        <w:t xml:space="preserve">в </w:t>
      </w:r>
      <w:proofErr w:type="spellStart"/>
      <w:r w:rsidR="00836D95" w:rsidRPr="00477623">
        <w:rPr>
          <w:lang w:val="ru-RU"/>
        </w:rPr>
        <w:t>регламентарных</w:t>
      </w:r>
      <w:proofErr w:type="spellEnd"/>
      <w:r w:rsidR="00836D95" w:rsidRPr="00477623">
        <w:rPr>
          <w:lang w:val="ru-RU"/>
        </w:rPr>
        <w:t xml:space="preserve"> предельных сроках, как способ предотвратить расследование и сохранить права в Международном справочном регистре частот (МСРЧ)</w:t>
      </w:r>
      <w:r w:rsidR="00615BFC" w:rsidRPr="00477623">
        <w:rPr>
          <w:lang w:val="ru-RU"/>
        </w:rPr>
        <w:t>;</w:t>
      </w:r>
      <w:bookmarkEnd w:id="19"/>
    </w:p>
    <w:p w14:paraId="0B65FF48" w14:textId="35980A23" w:rsidR="00615BFC" w:rsidRPr="00477623" w:rsidRDefault="00D76BB9" w:rsidP="00D76BB9">
      <w:pPr>
        <w:pStyle w:val="enumlev1"/>
        <w:rPr>
          <w:lang w:val="ru-RU"/>
        </w:rPr>
      </w:pPr>
      <w:bookmarkStart w:id="20" w:name="lt_pId028"/>
      <w:r w:rsidRPr="00477623">
        <w:rPr>
          <w:lang w:val="ru-RU"/>
        </w:rPr>
        <w:t>–</w:t>
      </w:r>
      <w:r w:rsidRPr="00477623">
        <w:rPr>
          <w:lang w:val="ru-RU"/>
        </w:rPr>
        <w:tab/>
      </w:r>
      <w:r w:rsidR="00836D95" w:rsidRPr="00477623">
        <w:rPr>
          <w:lang w:val="ru-RU"/>
        </w:rPr>
        <w:t xml:space="preserve">администрации, ссылающиеся на Статью 48 по частотным присвоениям, не используемым для </w:t>
      </w:r>
      <w:r w:rsidR="00323C99" w:rsidRPr="00477623">
        <w:rPr>
          <w:lang w:val="ru-RU"/>
        </w:rPr>
        <w:t>военного радиооборудования</w:t>
      </w:r>
      <w:r w:rsidR="00615BFC" w:rsidRPr="00477623">
        <w:rPr>
          <w:lang w:val="ru-RU"/>
        </w:rPr>
        <w:t>.</w:t>
      </w:r>
      <w:bookmarkEnd w:id="20"/>
    </w:p>
    <w:p w14:paraId="62FF1EAF" w14:textId="1BD5576F" w:rsidR="00615BFC" w:rsidRPr="00477623" w:rsidRDefault="004C4C8E" w:rsidP="00615BFC">
      <w:pPr>
        <w:rPr>
          <w:lang w:val="ru-RU"/>
        </w:rPr>
      </w:pPr>
      <w:bookmarkStart w:id="21" w:name="lt_pId029"/>
      <w:r w:rsidRPr="00477623">
        <w:rPr>
          <w:lang w:val="ru-RU"/>
        </w:rPr>
        <w:t>Комитет счел, что ссылка на Статью 48 с единственной целью предотвратить расследование Бюро статуса спутниковых сетей несовместима с Уставом и Регламентом радиосвязи</w:t>
      </w:r>
      <w:r w:rsidR="00615BFC" w:rsidRPr="00477623">
        <w:rPr>
          <w:lang w:val="ru-RU"/>
        </w:rPr>
        <w:t>.</w:t>
      </w:r>
      <w:bookmarkEnd w:id="21"/>
    </w:p>
    <w:p w14:paraId="7048FBE2" w14:textId="77A1A2C7" w:rsidR="00615BFC" w:rsidRPr="00477623" w:rsidRDefault="00FC606B" w:rsidP="00615BFC">
      <w:pPr>
        <w:rPr>
          <w:lang w:val="ru-RU"/>
        </w:rPr>
      </w:pPr>
      <w:bookmarkStart w:id="22" w:name="lt_pId030"/>
      <w:r w:rsidRPr="00477623">
        <w:rPr>
          <w:lang w:val="ru-RU"/>
        </w:rPr>
        <w:t>При рассмотрении указанных выше случаев Комитет принял во внимание указания, данные ВКР</w:t>
      </w:r>
      <w:r w:rsidRPr="00477623">
        <w:rPr>
          <w:lang w:val="ru-RU"/>
        </w:rPr>
        <w:noBreakHyphen/>
        <w:t xml:space="preserve">15, которая решила, </w:t>
      </w:r>
      <w:proofErr w:type="gramStart"/>
      <w:r w:rsidRPr="00477623">
        <w:rPr>
          <w:lang w:val="ru-RU"/>
        </w:rPr>
        <w:t>что</w:t>
      </w:r>
      <w:proofErr w:type="gramEnd"/>
      <w:r w:rsidRPr="00477623">
        <w:rPr>
          <w:lang w:val="ru-RU"/>
        </w:rPr>
        <w:t xml:space="preserve"> если администрации в явной форме сослались на Статью 48, Бюро или Комитет более не могут запрашивать информацию в связи с расследованием</w:t>
      </w:r>
      <w:r w:rsidR="00615BFC" w:rsidRPr="00477623">
        <w:rPr>
          <w:lang w:val="ru-RU"/>
        </w:rPr>
        <w:t>.</w:t>
      </w:r>
      <w:bookmarkEnd w:id="22"/>
      <w:r w:rsidR="00615BFC" w:rsidRPr="00477623">
        <w:rPr>
          <w:lang w:val="ru-RU"/>
        </w:rPr>
        <w:t xml:space="preserve"> </w:t>
      </w:r>
      <w:bookmarkStart w:id="23" w:name="lt_pId031"/>
      <w:r w:rsidRPr="00477623">
        <w:rPr>
          <w:lang w:val="ru-RU"/>
        </w:rPr>
        <w:t xml:space="preserve">В результате </w:t>
      </w:r>
      <w:r w:rsidR="00F244BB" w:rsidRPr="00477623">
        <w:rPr>
          <w:lang w:val="ru-RU"/>
        </w:rPr>
        <w:t xml:space="preserve">Комитет не может принимать решения по случаям, </w:t>
      </w:r>
      <w:r w:rsidR="00554994" w:rsidRPr="00477623">
        <w:rPr>
          <w:lang w:val="ru-RU"/>
        </w:rPr>
        <w:t>в которых была сделана ссылка на</w:t>
      </w:r>
      <w:r w:rsidR="00F244BB" w:rsidRPr="00477623">
        <w:rPr>
          <w:lang w:val="ru-RU"/>
        </w:rPr>
        <w:t xml:space="preserve"> Стать</w:t>
      </w:r>
      <w:r w:rsidR="00554994" w:rsidRPr="00477623">
        <w:rPr>
          <w:lang w:val="ru-RU"/>
        </w:rPr>
        <w:t>ю</w:t>
      </w:r>
      <w:r w:rsidR="00F244BB" w:rsidRPr="00477623">
        <w:rPr>
          <w:lang w:val="ru-RU"/>
        </w:rPr>
        <w:t> 48, в отсутствие прямых указаний на обеспечение последовательного применения прав администраций в соответствии со Статьей 48 и их обязательств согласно Регламенту радиосвязи</w:t>
      </w:r>
      <w:r w:rsidR="00615BFC" w:rsidRPr="00477623">
        <w:rPr>
          <w:lang w:val="ru-RU"/>
        </w:rPr>
        <w:t>.</w:t>
      </w:r>
      <w:bookmarkEnd w:id="23"/>
    </w:p>
    <w:p w14:paraId="3AF404EA" w14:textId="73FDB133" w:rsidR="00615BFC" w:rsidRPr="00477623" w:rsidRDefault="00CB267D" w:rsidP="00615BFC">
      <w:pPr>
        <w:rPr>
          <w:lang w:val="ru-RU"/>
        </w:rPr>
      </w:pPr>
      <w:bookmarkStart w:id="24" w:name="lt_pId032"/>
      <w:r w:rsidRPr="00477623">
        <w:rPr>
          <w:lang w:val="ru-RU"/>
        </w:rPr>
        <w:t>После ВКР</w:t>
      </w:r>
      <w:r w:rsidRPr="00477623">
        <w:rPr>
          <w:lang w:val="ru-RU"/>
        </w:rPr>
        <w:noBreakHyphen/>
      </w:r>
      <w:r w:rsidR="00615BFC" w:rsidRPr="00477623">
        <w:rPr>
          <w:lang w:val="ru-RU"/>
        </w:rPr>
        <w:t>19</w:t>
      </w:r>
      <w:r w:rsidRPr="00477623">
        <w:rPr>
          <w:lang w:val="ru-RU"/>
        </w:rPr>
        <w:t xml:space="preserve"> Комитет получил просьбу о разработке Правила процедуры</w:t>
      </w:r>
      <w:r w:rsidR="00D2410D" w:rsidRPr="00477623">
        <w:rPr>
          <w:lang w:val="ru-RU"/>
        </w:rPr>
        <w:t xml:space="preserve"> в отношении Статьи 48</w:t>
      </w:r>
      <w:r w:rsidR="00615BFC" w:rsidRPr="00477623">
        <w:rPr>
          <w:lang w:val="ru-RU"/>
        </w:rPr>
        <w:t>.</w:t>
      </w:r>
      <w:bookmarkEnd w:id="24"/>
      <w:r w:rsidR="00615BFC" w:rsidRPr="00477623">
        <w:rPr>
          <w:lang w:val="ru-RU"/>
        </w:rPr>
        <w:t xml:space="preserve"> </w:t>
      </w:r>
      <w:bookmarkStart w:id="25" w:name="lt_pId033"/>
      <w:r w:rsidR="009975C3" w:rsidRPr="00477623">
        <w:rPr>
          <w:lang w:val="ru-RU"/>
        </w:rPr>
        <w:t xml:space="preserve">Эта просьба вызвана обеспокоенностью по поводу того, что на Статью 48 делается ссылка в ответ на </w:t>
      </w:r>
      <w:r w:rsidR="00497A30" w:rsidRPr="00477623">
        <w:rPr>
          <w:lang w:val="ru-RU"/>
        </w:rPr>
        <w:t>запрос о координации наземных частотных присвоений</w:t>
      </w:r>
      <w:r w:rsidR="00554994" w:rsidRPr="00477623">
        <w:rPr>
          <w:lang w:val="ru-RU"/>
        </w:rPr>
        <w:t>,</w:t>
      </w:r>
      <w:r w:rsidR="00497A30" w:rsidRPr="00477623">
        <w:rPr>
          <w:lang w:val="ru-RU"/>
        </w:rPr>
        <w:t xml:space="preserve"> для того чтобы избежать предоставления характеристик присвоений, на которых основывается</w:t>
      </w:r>
      <w:r w:rsidR="009975C3" w:rsidRPr="00477623">
        <w:rPr>
          <w:lang w:val="ru-RU"/>
        </w:rPr>
        <w:t xml:space="preserve"> </w:t>
      </w:r>
      <w:r w:rsidR="00497A30" w:rsidRPr="00477623">
        <w:rPr>
          <w:lang w:val="ru-RU"/>
        </w:rPr>
        <w:t>возражение</w:t>
      </w:r>
      <w:r w:rsidR="00615BFC" w:rsidRPr="00477623">
        <w:rPr>
          <w:lang w:val="ru-RU"/>
        </w:rPr>
        <w:t xml:space="preserve">, </w:t>
      </w:r>
      <w:r w:rsidR="00497A30" w:rsidRPr="00477623">
        <w:rPr>
          <w:lang w:val="ru-RU"/>
        </w:rPr>
        <w:t xml:space="preserve">делая невозможным принятие мер </w:t>
      </w:r>
      <w:r w:rsidR="00C83A6D" w:rsidRPr="00477623">
        <w:rPr>
          <w:lang w:val="ru-RU"/>
        </w:rPr>
        <w:t>в отношении потенциальных помех</w:t>
      </w:r>
      <w:r w:rsidR="00615BFC" w:rsidRPr="00477623">
        <w:rPr>
          <w:lang w:val="ru-RU"/>
        </w:rPr>
        <w:t>.</w:t>
      </w:r>
      <w:bookmarkEnd w:id="25"/>
      <w:r w:rsidR="00615BFC" w:rsidRPr="00477623">
        <w:rPr>
          <w:lang w:val="ru-RU"/>
        </w:rPr>
        <w:t xml:space="preserve"> </w:t>
      </w:r>
      <w:bookmarkStart w:id="26" w:name="lt_pId034"/>
      <w:r w:rsidR="00C83A6D" w:rsidRPr="00477623">
        <w:rPr>
          <w:lang w:val="ru-RU"/>
        </w:rPr>
        <w:t>Отмечая, что ВКР</w:t>
      </w:r>
      <w:r w:rsidR="00C83A6D" w:rsidRPr="00477623">
        <w:rPr>
          <w:lang w:val="ru-RU"/>
        </w:rPr>
        <w:noBreakHyphen/>
        <w:t>19 предложила ПК</w:t>
      </w:r>
      <w:r w:rsidR="00C83A6D" w:rsidRPr="00477623">
        <w:rPr>
          <w:lang w:val="ru-RU"/>
        </w:rPr>
        <w:noBreakHyphen/>
        <w:t>22 дать указания по ссылкам на Статью 48, Комитет решил не разрабатывать Правила процедуры по ссылкам на Статью 48</w:t>
      </w:r>
      <w:r w:rsidR="009D1260" w:rsidRPr="00477623">
        <w:rPr>
          <w:lang w:val="ru-RU"/>
        </w:rPr>
        <w:t xml:space="preserve"> при применении процедур координации на этом этапе</w:t>
      </w:r>
      <w:r w:rsidR="00615BFC" w:rsidRPr="00477623">
        <w:rPr>
          <w:lang w:val="ru-RU"/>
        </w:rPr>
        <w:t>.</w:t>
      </w:r>
      <w:bookmarkEnd w:id="26"/>
    </w:p>
    <w:p w14:paraId="3E6D4991" w14:textId="7C8FAEEA" w:rsidR="00615BFC" w:rsidRPr="00477623" w:rsidRDefault="009D1260" w:rsidP="00615BFC">
      <w:pPr>
        <w:pStyle w:val="Headingb"/>
        <w:rPr>
          <w:lang w:val="ru-RU"/>
        </w:rPr>
      </w:pPr>
      <w:bookmarkStart w:id="27" w:name="lt_pId035"/>
      <w:r w:rsidRPr="00477623">
        <w:rPr>
          <w:lang w:val="ru-RU"/>
        </w:rPr>
        <w:t>Обсуждаемый вопрос</w:t>
      </w:r>
      <w:bookmarkEnd w:id="27"/>
    </w:p>
    <w:p w14:paraId="01AC213D" w14:textId="6683D4E1" w:rsidR="00615BFC" w:rsidRPr="00477623" w:rsidRDefault="009D1260" w:rsidP="00615BFC">
      <w:pPr>
        <w:rPr>
          <w:lang w:val="ru-RU"/>
        </w:rPr>
      </w:pPr>
      <w:bookmarkStart w:id="28" w:name="lt_pId036"/>
      <w:r w:rsidRPr="00477623">
        <w:rPr>
          <w:lang w:val="ru-RU"/>
        </w:rPr>
        <w:t xml:space="preserve">В Статье 6 Устава по исполнению основных документов Союза признается, что Статья 48 </w:t>
      </w:r>
      <w:r w:rsidR="00C43FB8" w:rsidRPr="00477623">
        <w:rPr>
          <w:lang w:val="ru-RU"/>
        </w:rPr>
        <w:t>представляет собой исключение в отношении общего обязательства соблюдать положения Регламента радиосвязи</w:t>
      </w:r>
      <w:r w:rsidR="00615BFC" w:rsidRPr="00477623">
        <w:rPr>
          <w:i/>
          <w:iCs/>
          <w:lang w:val="ru-RU"/>
        </w:rPr>
        <w:t>.</w:t>
      </w:r>
      <w:bookmarkEnd w:id="28"/>
      <w:r w:rsidR="00615BFC" w:rsidRPr="00477623">
        <w:rPr>
          <w:i/>
          <w:iCs/>
          <w:lang w:val="ru-RU"/>
        </w:rPr>
        <w:t xml:space="preserve"> </w:t>
      </w:r>
      <w:bookmarkStart w:id="29" w:name="lt_pId037"/>
      <w:r w:rsidR="00C43FB8" w:rsidRPr="00477623">
        <w:rPr>
          <w:lang w:val="ru-RU"/>
        </w:rPr>
        <w:t>В Статье</w:t>
      </w:r>
      <w:r w:rsidR="00615BFC" w:rsidRPr="00477623">
        <w:rPr>
          <w:lang w:val="ru-RU"/>
        </w:rPr>
        <w:t xml:space="preserve"> 48 </w:t>
      </w:r>
      <w:r w:rsidR="00C43FB8" w:rsidRPr="00477623">
        <w:rPr>
          <w:lang w:val="ru-RU"/>
        </w:rPr>
        <w:t xml:space="preserve">далее признается, что </w:t>
      </w:r>
      <w:r w:rsidR="00615BFC" w:rsidRPr="00477623">
        <w:rPr>
          <w:lang w:val="ru-RU"/>
        </w:rPr>
        <w:t>"</w:t>
      </w:r>
      <w:r w:rsidR="00615BFC" w:rsidRPr="00477623">
        <w:rPr>
          <w:i/>
          <w:lang w:val="ru-RU"/>
        </w:rPr>
        <w:t>Государства-Члены сохраняют за собой полную свободу в отношении военного радиооборудования</w:t>
      </w:r>
      <w:r w:rsidR="00615BFC" w:rsidRPr="00477623">
        <w:rPr>
          <w:iCs/>
          <w:lang w:val="ru-RU"/>
        </w:rPr>
        <w:t xml:space="preserve">", </w:t>
      </w:r>
      <w:r w:rsidR="00C43FB8" w:rsidRPr="00477623">
        <w:rPr>
          <w:iCs/>
          <w:lang w:val="ru-RU"/>
        </w:rPr>
        <w:t>как указано в п. 202 Устава</w:t>
      </w:r>
      <w:r w:rsidR="00615BFC" w:rsidRPr="00477623">
        <w:rPr>
          <w:iCs/>
          <w:lang w:val="ru-RU"/>
        </w:rPr>
        <w:t>.</w:t>
      </w:r>
      <w:bookmarkEnd w:id="29"/>
      <w:r w:rsidR="00615BFC" w:rsidRPr="00477623">
        <w:rPr>
          <w:i/>
          <w:lang w:val="ru-RU"/>
        </w:rPr>
        <w:t xml:space="preserve"> </w:t>
      </w:r>
      <w:bookmarkStart w:id="30" w:name="lt_pId038"/>
      <w:r w:rsidR="00C43FB8" w:rsidRPr="00477623">
        <w:rPr>
          <w:iCs/>
          <w:lang w:val="ru-RU"/>
        </w:rPr>
        <w:t xml:space="preserve">Тем не менее, следующие два положения Статьи 48 подтверждают, что это признание не обеспечивает полного и окончательного </w:t>
      </w:r>
      <w:r w:rsidR="004B14BA" w:rsidRPr="00477623">
        <w:rPr>
          <w:iCs/>
          <w:lang w:val="ru-RU"/>
        </w:rPr>
        <w:t>отступления от положений Административных регламентов</w:t>
      </w:r>
      <w:r w:rsidR="00615BFC" w:rsidRPr="00477623">
        <w:rPr>
          <w:lang w:val="ru-RU"/>
        </w:rPr>
        <w:t>:</w:t>
      </w:r>
      <w:bookmarkEnd w:id="30"/>
    </w:p>
    <w:p w14:paraId="4383C14E" w14:textId="3B34C254" w:rsidR="00615BFC" w:rsidRPr="00477623" w:rsidRDefault="00615BFC" w:rsidP="00615BFC">
      <w:pPr>
        <w:ind w:left="1134" w:hanging="1134"/>
        <w:rPr>
          <w:lang w:val="ru-RU"/>
        </w:rPr>
      </w:pPr>
      <w:r w:rsidRPr="00477623">
        <w:rPr>
          <w:b/>
          <w:bCs/>
          <w:i/>
          <w:iCs/>
          <w:lang w:val="ru-RU"/>
        </w:rPr>
        <w:t>203</w:t>
      </w:r>
      <w:r w:rsidRPr="00477623">
        <w:rPr>
          <w:b/>
          <w:bCs/>
          <w:i/>
          <w:iCs/>
          <w:lang w:val="ru-RU"/>
        </w:rPr>
        <w:tab/>
      </w:r>
      <w:proofErr w:type="gramStart"/>
      <w:r w:rsidRPr="00477623">
        <w:rPr>
          <w:b/>
          <w:bCs/>
          <w:i/>
          <w:iCs/>
          <w:lang w:val="ru-RU"/>
        </w:rPr>
        <w:t>2</w:t>
      </w:r>
      <w:r w:rsidRPr="00477623">
        <w:rPr>
          <w:b/>
          <w:bCs/>
          <w:i/>
          <w:iCs/>
          <w:lang w:val="ru-RU"/>
        </w:rPr>
        <w:tab/>
      </w:r>
      <w:bookmarkStart w:id="31" w:name="lt_pId046"/>
      <w:r w:rsidRPr="00477623">
        <w:rPr>
          <w:b/>
          <w:bCs/>
          <w:i/>
          <w:iCs/>
          <w:lang w:val="ru-RU"/>
        </w:rPr>
        <w:t>Однако</w:t>
      </w:r>
      <w:proofErr w:type="gramEnd"/>
      <w:r w:rsidRPr="00477623">
        <w:rPr>
          <w:b/>
          <w:bCs/>
          <w:i/>
          <w:iCs/>
          <w:lang w:val="ru-RU"/>
        </w:rPr>
        <w:t xml:space="preserve"> при использовании этого оборудования должны </w:t>
      </w:r>
      <w:r w:rsidRPr="00477623">
        <w:rPr>
          <w:b/>
          <w:bCs/>
          <w:i/>
          <w:iCs/>
          <w:u w:val="single"/>
          <w:lang w:val="ru-RU"/>
        </w:rPr>
        <w:t>по мере возможности</w:t>
      </w:r>
      <w:r w:rsidRPr="00477623">
        <w:rPr>
          <w:b/>
          <w:bCs/>
          <w:i/>
          <w:iCs/>
          <w:lang w:val="ru-RU"/>
        </w:rPr>
        <w:t xml:space="preserve"> соблюдаться установленные положения относительно оказания помощи в случае </w:t>
      </w:r>
      <w:r w:rsidRPr="00477623">
        <w:rPr>
          <w:b/>
          <w:bCs/>
          <w:i/>
          <w:iCs/>
          <w:lang w:val="ru-RU"/>
        </w:rPr>
        <w:lastRenderedPageBreak/>
        <w:t>бедствия и принятия мер для предотвращения вредных помех, а также положения Административных регламентов, касающиеся типов излучения и применения частот, которые следует использовать в соответствии с характером службы, которую они обеспечивают</w:t>
      </w:r>
      <w:r w:rsidRPr="00477623">
        <w:rPr>
          <w:lang w:val="ru-RU"/>
        </w:rPr>
        <w:t>.</w:t>
      </w:r>
      <w:bookmarkEnd w:id="31"/>
    </w:p>
    <w:p w14:paraId="309BA442" w14:textId="31316D9F" w:rsidR="00615BFC" w:rsidRPr="00532236" w:rsidRDefault="00615BFC" w:rsidP="00615BFC">
      <w:pPr>
        <w:ind w:left="1134" w:hanging="1134"/>
        <w:rPr>
          <w:lang w:val="ru-RU"/>
        </w:rPr>
      </w:pPr>
      <w:r w:rsidRPr="00477623">
        <w:rPr>
          <w:b/>
          <w:bCs/>
          <w:i/>
          <w:iCs/>
          <w:lang w:val="ru-RU"/>
        </w:rPr>
        <w:t>204</w:t>
      </w:r>
      <w:r w:rsidRPr="00477623">
        <w:rPr>
          <w:b/>
          <w:bCs/>
          <w:i/>
          <w:iCs/>
          <w:lang w:val="ru-RU"/>
        </w:rPr>
        <w:tab/>
      </w:r>
      <w:proofErr w:type="gramStart"/>
      <w:r w:rsidRPr="00477623">
        <w:rPr>
          <w:b/>
          <w:bCs/>
          <w:i/>
          <w:iCs/>
          <w:lang w:val="ru-RU"/>
        </w:rPr>
        <w:t>3</w:t>
      </w:r>
      <w:r w:rsidRPr="00477623">
        <w:rPr>
          <w:b/>
          <w:bCs/>
          <w:i/>
          <w:iCs/>
          <w:lang w:val="ru-RU"/>
        </w:rPr>
        <w:tab/>
        <w:t>Кроме того</w:t>
      </w:r>
      <w:proofErr w:type="gramEnd"/>
      <w:r w:rsidRPr="00477623">
        <w:rPr>
          <w:b/>
          <w:bCs/>
          <w:i/>
          <w:iCs/>
          <w:lang w:val="ru-RU"/>
        </w:rPr>
        <w:t xml:space="preserve">, если это оборудование используется в службе общественной корреспонденции или в других службах, предусмотренных в Административных регламентах, оно должно, </w:t>
      </w:r>
      <w:r w:rsidRPr="00477623">
        <w:rPr>
          <w:b/>
          <w:bCs/>
          <w:i/>
          <w:iCs/>
          <w:u w:val="single"/>
          <w:lang w:val="ru-RU"/>
        </w:rPr>
        <w:t>как правило</w:t>
      </w:r>
      <w:r w:rsidRPr="00477623">
        <w:rPr>
          <w:b/>
          <w:bCs/>
          <w:i/>
          <w:iCs/>
          <w:lang w:val="ru-RU"/>
        </w:rPr>
        <w:t>, соответствовать положениям, регламентирующим такого рода службы</w:t>
      </w:r>
      <w:r w:rsidR="00477623" w:rsidRPr="00532236">
        <w:rPr>
          <w:lang w:val="ru-RU"/>
        </w:rPr>
        <w:t>.</w:t>
      </w:r>
    </w:p>
    <w:p w14:paraId="5DF93711" w14:textId="1DA931C9" w:rsidR="00615BFC" w:rsidRPr="00477623" w:rsidRDefault="004B14BA" w:rsidP="00615BFC">
      <w:pPr>
        <w:rPr>
          <w:lang w:val="ru-RU"/>
        </w:rPr>
      </w:pPr>
      <w:bookmarkStart w:id="32" w:name="lt_pId053"/>
      <w:r w:rsidRPr="00477623">
        <w:rPr>
          <w:lang w:val="ru-RU"/>
        </w:rPr>
        <w:t xml:space="preserve">Комитет считает, что эти положения Устава не означают, что </w:t>
      </w:r>
      <w:r w:rsidR="0056775F" w:rsidRPr="00477623">
        <w:rPr>
          <w:lang w:val="ru-RU"/>
        </w:rPr>
        <w:t>права на международное признание и защиту можно получать и поддерживать путем ссылки на Статью 48 без успешной регистрации соответствующих частотных присвоений в МСРЧ</w:t>
      </w:r>
      <w:r w:rsidR="00615BFC" w:rsidRPr="00477623">
        <w:rPr>
          <w:lang w:val="ru-RU"/>
        </w:rPr>
        <w:t>.</w:t>
      </w:r>
      <w:bookmarkEnd w:id="32"/>
      <w:r w:rsidR="00615BFC" w:rsidRPr="00477623">
        <w:rPr>
          <w:lang w:val="ru-RU"/>
        </w:rPr>
        <w:t xml:space="preserve"> </w:t>
      </w:r>
      <w:bookmarkStart w:id="33" w:name="lt_pId054"/>
      <w:r w:rsidR="0056775F" w:rsidRPr="00477623">
        <w:rPr>
          <w:lang w:val="ru-RU"/>
        </w:rPr>
        <w:t xml:space="preserve">Кроме того, Комитет весьма обеспокоен возможностью злоупотребления Статьей 48 и тем, что такое злоупотребление </w:t>
      </w:r>
      <w:r w:rsidR="00CF6446" w:rsidRPr="00477623">
        <w:rPr>
          <w:lang w:val="ru-RU"/>
        </w:rPr>
        <w:t xml:space="preserve">серьезно скомпрометирует целостность </w:t>
      </w:r>
      <w:proofErr w:type="spellStart"/>
      <w:r w:rsidR="00CF6446" w:rsidRPr="00477623">
        <w:rPr>
          <w:lang w:val="ru-RU"/>
        </w:rPr>
        <w:t>регламентарной</w:t>
      </w:r>
      <w:proofErr w:type="spellEnd"/>
      <w:r w:rsidR="00CF6446" w:rsidRPr="00477623">
        <w:rPr>
          <w:lang w:val="ru-RU"/>
        </w:rPr>
        <w:t xml:space="preserve"> системы</w:t>
      </w:r>
      <w:r w:rsidR="00615BFC" w:rsidRPr="00477623">
        <w:rPr>
          <w:lang w:val="ru-RU"/>
        </w:rPr>
        <w:t>.</w:t>
      </w:r>
      <w:bookmarkEnd w:id="33"/>
      <w:r w:rsidR="00615BFC" w:rsidRPr="00477623">
        <w:rPr>
          <w:lang w:val="ru-RU"/>
        </w:rPr>
        <w:t xml:space="preserve"> </w:t>
      </w:r>
      <w:bookmarkStart w:id="34" w:name="lt_pId055"/>
      <w:r w:rsidR="00CF6446" w:rsidRPr="00477623">
        <w:rPr>
          <w:lang w:val="ru-RU"/>
        </w:rPr>
        <w:t>Наряду с этим в случаях, когда, как представляется</w:t>
      </w:r>
      <w:r w:rsidR="00FF0EC5" w:rsidRPr="00477623">
        <w:rPr>
          <w:lang w:val="ru-RU"/>
        </w:rPr>
        <w:t xml:space="preserve">, имеется противоречивая информация, согласно которой </w:t>
      </w:r>
      <w:r w:rsidR="00D950C5" w:rsidRPr="00477623">
        <w:rPr>
          <w:lang w:val="ru-RU"/>
        </w:rPr>
        <w:t>частотные присвоения, по которым была сделана ссылка на Статью 48, не используются для военного радиооборудования, Комитет должен иметь возможность предложить соответствующей администрации представить разъяснения</w:t>
      </w:r>
      <w:r w:rsidR="00615BFC" w:rsidRPr="00477623">
        <w:rPr>
          <w:lang w:val="ru-RU"/>
        </w:rPr>
        <w:t>.</w:t>
      </w:r>
      <w:bookmarkEnd w:id="34"/>
    </w:p>
    <w:p w14:paraId="3CC25EC4" w14:textId="712CBB9F" w:rsidR="00615BFC" w:rsidRPr="00477623" w:rsidRDefault="00DD6A01" w:rsidP="00615BFC">
      <w:pPr>
        <w:pStyle w:val="Headingb"/>
        <w:rPr>
          <w:lang w:val="ru-RU"/>
        </w:rPr>
      </w:pPr>
      <w:bookmarkStart w:id="35" w:name="lt_pId056"/>
      <w:r w:rsidRPr="00477623">
        <w:rPr>
          <w:lang w:val="ru-RU"/>
        </w:rPr>
        <w:t>Выводы</w:t>
      </w:r>
      <w:bookmarkEnd w:id="35"/>
    </w:p>
    <w:p w14:paraId="07BA6C02" w14:textId="5E7227A9" w:rsidR="00615BFC" w:rsidRPr="00477623" w:rsidRDefault="00615BFC" w:rsidP="00615BFC">
      <w:pPr>
        <w:rPr>
          <w:lang w:val="ru-RU"/>
        </w:rPr>
      </w:pPr>
      <w:r w:rsidRPr="00477623">
        <w:rPr>
          <w:noProof/>
          <w:lang w:val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473D01" wp14:editId="2BFC1B0B">
                <wp:simplePos x="0" y="0"/>
                <wp:positionH relativeFrom="column">
                  <wp:posOffset>6153402</wp:posOffset>
                </wp:positionH>
                <wp:positionV relativeFrom="paragraph">
                  <wp:posOffset>619498</wp:posOffset>
                </wp:positionV>
                <wp:extent cx="22320" cy="10440"/>
                <wp:effectExtent l="38100" t="38100" r="53975" b="4699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3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7BC4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83.8pt;margin-top:48.05pt;width:3.1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">
                <v:imagedata r:id="rId10" o:title=""/>
              </v:shape>
            </w:pict>
          </mc:Fallback>
        </mc:AlternateContent>
      </w:r>
      <w:bookmarkStart w:id="36" w:name="lt_pId057"/>
      <w:r w:rsidR="00944AE8" w:rsidRPr="00477623">
        <w:rPr>
          <w:lang w:val="ru-RU"/>
        </w:rPr>
        <w:t>Комитет считает</w:t>
      </w:r>
      <w:r w:rsidR="00554994" w:rsidRPr="00477623">
        <w:rPr>
          <w:lang w:val="ru-RU"/>
        </w:rPr>
        <w:t>, что</w:t>
      </w:r>
      <w:r w:rsidR="00944AE8" w:rsidRPr="00477623">
        <w:rPr>
          <w:lang w:val="ru-RU"/>
        </w:rPr>
        <w:t xml:space="preserve"> необходим</w:t>
      </w:r>
      <w:r w:rsidR="00554994" w:rsidRPr="00477623">
        <w:rPr>
          <w:lang w:val="ru-RU"/>
        </w:rPr>
        <w:t>о</w:t>
      </w:r>
      <w:r w:rsidR="00944AE8" w:rsidRPr="00477623">
        <w:rPr>
          <w:lang w:val="ru-RU"/>
        </w:rPr>
        <w:t xml:space="preserve"> обеспечить ясность по вопросу ссылок на Статью 48 в отношении </w:t>
      </w:r>
      <w:r w:rsidR="00FF63B9" w:rsidRPr="00477623">
        <w:rPr>
          <w:lang w:val="ru-RU"/>
        </w:rPr>
        <w:t>Регламента радиосвязи и, кроме того, что необходимо избегать злоупотребления ее применением</w:t>
      </w:r>
      <w:r w:rsidRPr="00477623">
        <w:rPr>
          <w:lang w:val="ru-RU"/>
        </w:rPr>
        <w:t>.</w:t>
      </w:r>
      <w:bookmarkEnd w:id="36"/>
      <w:r w:rsidRPr="00477623">
        <w:rPr>
          <w:lang w:val="ru-RU"/>
        </w:rPr>
        <w:t xml:space="preserve"> </w:t>
      </w:r>
      <w:bookmarkStart w:id="37" w:name="lt_pId058"/>
      <w:r w:rsidR="00FF63B9" w:rsidRPr="00477623">
        <w:rPr>
          <w:lang w:val="ru-RU"/>
        </w:rPr>
        <w:t>Комитет хотел бы получить указания</w:t>
      </w:r>
      <w:r w:rsidR="00085552" w:rsidRPr="00477623">
        <w:rPr>
          <w:lang w:val="ru-RU"/>
        </w:rPr>
        <w:t>, которые можно было бы применять к случаям, касающимся Статьи 48</w:t>
      </w:r>
      <w:r w:rsidRPr="00477623">
        <w:rPr>
          <w:lang w:val="ru-RU"/>
        </w:rPr>
        <w:t>.</w:t>
      </w:r>
      <w:bookmarkEnd w:id="37"/>
      <w:r w:rsidRPr="00477623">
        <w:rPr>
          <w:lang w:val="ru-RU"/>
        </w:rPr>
        <w:t xml:space="preserve"> </w:t>
      </w:r>
      <w:bookmarkStart w:id="38" w:name="lt_pId059"/>
      <w:r w:rsidR="00085552" w:rsidRPr="00477623">
        <w:rPr>
          <w:lang w:val="ru-RU"/>
        </w:rPr>
        <w:t>Комитет предлагает ПК</w:t>
      </w:r>
      <w:r w:rsidR="00085552" w:rsidRPr="00477623">
        <w:rPr>
          <w:lang w:val="ru-RU"/>
        </w:rPr>
        <w:noBreakHyphen/>
        <w:t>22 подтвердить, что</w:t>
      </w:r>
      <w:r w:rsidRPr="00477623">
        <w:rPr>
          <w:lang w:val="ru-RU"/>
        </w:rPr>
        <w:t>:</w:t>
      </w:r>
      <w:bookmarkEnd w:id="38"/>
    </w:p>
    <w:p w14:paraId="15CE444C" w14:textId="316E83FA" w:rsidR="00615BFC" w:rsidRPr="00477623" w:rsidRDefault="00615BFC" w:rsidP="00615BFC">
      <w:pPr>
        <w:pStyle w:val="enumlev1"/>
        <w:rPr>
          <w:lang w:val="ru-RU"/>
        </w:rPr>
      </w:pPr>
      <w:r w:rsidRPr="00477623">
        <w:rPr>
          <w:lang w:val="ru-RU"/>
        </w:rPr>
        <w:t>1)</w:t>
      </w:r>
      <w:r w:rsidRPr="00477623">
        <w:rPr>
          <w:lang w:val="ru-RU"/>
        </w:rPr>
        <w:tab/>
      </w:r>
      <w:bookmarkStart w:id="39" w:name="lt_pId061"/>
      <w:r w:rsidR="00085552" w:rsidRPr="00477623">
        <w:rPr>
          <w:lang w:val="ru-RU"/>
        </w:rPr>
        <w:t xml:space="preserve">Государство-Член, ссылающееся на Статью 48 по частотным присвоениям, </w:t>
      </w:r>
      <w:r w:rsidR="002350F3" w:rsidRPr="00477623">
        <w:rPr>
          <w:lang w:val="ru-RU"/>
        </w:rPr>
        <w:t>обязано</w:t>
      </w:r>
      <w:r w:rsidR="00085552" w:rsidRPr="00477623">
        <w:rPr>
          <w:lang w:val="ru-RU"/>
        </w:rPr>
        <w:t xml:space="preserve"> использовать эти частотные присвоения </w:t>
      </w:r>
      <w:r w:rsidR="009D0B3C" w:rsidRPr="00477623">
        <w:rPr>
          <w:lang w:val="ru-RU"/>
        </w:rPr>
        <w:t>исключительно для военного радиооборудования</w:t>
      </w:r>
      <w:r w:rsidRPr="00477623">
        <w:rPr>
          <w:lang w:val="ru-RU"/>
        </w:rPr>
        <w:t>;</w:t>
      </w:r>
      <w:bookmarkEnd w:id="39"/>
    </w:p>
    <w:p w14:paraId="251EDA99" w14:textId="62F4197E" w:rsidR="00615BFC" w:rsidRPr="00477623" w:rsidRDefault="00615BFC" w:rsidP="00615BFC">
      <w:pPr>
        <w:pStyle w:val="enumlev1"/>
        <w:rPr>
          <w:lang w:val="ru-RU"/>
        </w:rPr>
      </w:pPr>
      <w:r w:rsidRPr="00477623">
        <w:rPr>
          <w:lang w:val="ru-RU"/>
        </w:rPr>
        <w:t>2)</w:t>
      </w:r>
      <w:r w:rsidRPr="00477623">
        <w:rPr>
          <w:lang w:val="ru-RU"/>
        </w:rPr>
        <w:tab/>
      </w:r>
      <w:bookmarkStart w:id="40" w:name="lt_pId063"/>
      <w:r w:rsidR="009D0B3C" w:rsidRPr="00477623">
        <w:rPr>
          <w:lang w:val="ru-RU"/>
        </w:rPr>
        <w:t xml:space="preserve">нельзя ссылаться на Статью 48 по частотным присвоениям, используемым </w:t>
      </w:r>
      <w:r w:rsidR="00821463" w:rsidRPr="00477623">
        <w:rPr>
          <w:lang w:val="ru-RU"/>
        </w:rPr>
        <w:t xml:space="preserve">для </w:t>
      </w:r>
      <w:r w:rsidR="009D0B3C" w:rsidRPr="00477623">
        <w:rPr>
          <w:lang w:val="ru-RU"/>
        </w:rPr>
        <w:t>невоенн</w:t>
      </w:r>
      <w:r w:rsidR="00821463" w:rsidRPr="00477623">
        <w:rPr>
          <w:lang w:val="ru-RU"/>
        </w:rPr>
        <w:t>ого радиооборудования или как для военного, так и для невоенного радиооборудования</w:t>
      </w:r>
      <w:r w:rsidRPr="00477623">
        <w:rPr>
          <w:lang w:val="ru-RU"/>
        </w:rPr>
        <w:t>;</w:t>
      </w:r>
      <w:bookmarkEnd w:id="40"/>
    </w:p>
    <w:p w14:paraId="2BB4E1E5" w14:textId="656E4E34" w:rsidR="00615BFC" w:rsidRPr="00477623" w:rsidRDefault="00615BFC" w:rsidP="00615BFC">
      <w:pPr>
        <w:pStyle w:val="enumlev1"/>
        <w:rPr>
          <w:lang w:val="ru-RU"/>
        </w:rPr>
      </w:pPr>
      <w:r w:rsidRPr="00477623">
        <w:rPr>
          <w:lang w:val="ru-RU"/>
        </w:rPr>
        <w:t>3)</w:t>
      </w:r>
      <w:r w:rsidRPr="00477623">
        <w:rPr>
          <w:lang w:val="ru-RU"/>
        </w:rPr>
        <w:tab/>
      </w:r>
      <w:bookmarkStart w:id="41" w:name="lt_pId065"/>
      <w:r w:rsidR="00821463" w:rsidRPr="00477623">
        <w:rPr>
          <w:lang w:val="ru-RU"/>
        </w:rPr>
        <w:t xml:space="preserve">БР и Комитет могут </w:t>
      </w:r>
      <w:r w:rsidR="002350F3" w:rsidRPr="00477623">
        <w:rPr>
          <w:lang w:val="ru-RU"/>
        </w:rPr>
        <w:t xml:space="preserve">запрашивать </w:t>
      </w:r>
      <w:r w:rsidR="00821463" w:rsidRPr="00477623">
        <w:rPr>
          <w:lang w:val="ru-RU"/>
        </w:rPr>
        <w:t>уточнени</w:t>
      </w:r>
      <w:r w:rsidR="002350F3" w:rsidRPr="00477623">
        <w:rPr>
          <w:lang w:val="ru-RU"/>
        </w:rPr>
        <w:t>е</w:t>
      </w:r>
      <w:r w:rsidR="00821463" w:rsidRPr="00477623">
        <w:rPr>
          <w:lang w:val="ru-RU"/>
        </w:rPr>
        <w:t xml:space="preserve"> и в соответствии с этим применять все соответствующие </w:t>
      </w:r>
      <w:proofErr w:type="spellStart"/>
      <w:r w:rsidR="00821463" w:rsidRPr="00477623">
        <w:rPr>
          <w:lang w:val="ru-RU"/>
        </w:rPr>
        <w:t>регламентарные</w:t>
      </w:r>
      <w:proofErr w:type="spellEnd"/>
      <w:r w:rsidR="00821463" w:rsidRPr="00477623">
        <w:rPr>
          <w:lang w:val="ru-RU"/>
        </w:rPr>
        <w:t xml:space="preserve"> положения, если из надежной информации следует, что зарегистрированное частотное присвоение, в отношении которого сделана ссылка на Статью 48</w:t>
      </w:r>
      <w:r w:rsidR="009460D8" w:rsidRPr="00477623">
        <w:rPr>
          <w:lang w:val="ru-RU"/>
        </w:rPr>
        <w:t>, фактически не соответствует этой статье</w:t>
      </w:r>
      <w:r w:rsidRPr="00477623">
        <w:rPr>
          <w:lang w:val="ru-RU"/>
        </w:rPr>
        <w:t>;</w:t>
      </w:r>
      <w:bookmarkEnd w:id="41"/>
    </w:p>
    <w:p w14:paraId="554ADE83" w14:textId="42E714BE" w:rsidR="00615BFC" w:rsidRPr="00477623" w:rsidRDefault="00615BFC" w:rsidP="00615BFC">
      <w:pPr>
        <w:pStyle w:val="enumlev1"/>
        <w:rPr>
          <w:lang w:val="ru-RU"/>
        </w:rPr>
      </w:pPr>
      <w:r w:rsidRPr="00477623">
        <w:rPr>
          <w:lang w:val="ru-RU"/>
        </w:rPr>
        <w:t>4)</w:t>
      </w:r>
      <w:r w:rsidRPr="00477623">
        <w:rPr>
          <w:lang w:val="ru-RU"/>
        </w:rPr>
        <w:tab/>
      </w:r>
      <w:bookmarkStart w:id="42" w:name="lt_pId067"/>
      <w:r w:rsidR="009460D8" w:rsidRPr="00477623">
        <w:rPr>
          <w:lang w:val="ru-RU"/>
        </w:rPr>
        <w:t>независимо от того, делается ли ссылка на Статью 48, частотные присвоения, используемые военным радиооборудованием, подлежат международному признанию</w:t>
      </w:r>
      <w:r w:rsidR="002D5EED" w:rsidRPr="00477623">
        <w:rPr>
          <w:lang w:val="ru-RU"/>
        </w:rPr>
        <w:t xml:space="preserve"> и имеют право требовать защиты от вредных помех, только если они занесены в МСРЧ</w:t>
      </w:r>
      <w:r w:rsidRPr="00477623">
        <w:rPr>
          <w:lang w:val="ru-RU"/>
        </w:rPr>
        <w:t>.</w:t>
      </w:r>
      <w:bookmarkEnd w:id="42"/>
    </w:p>
    <w:p w14:paraId="51637CB1" w14:textId="376F554C" w:rsidR="00EC6F8E" w:rsidRPr="00477623" w:rsidRDefault="00EC6F8E" w:rsidP="00DE6403">
      <w:pPr>
        <w:spacing w:before="720"/>
        <w:jc w:val="center"/>
        <w:rPr>
          <w:lang w:val="ru-RU"/>
        </w:rPr>
      </w:pPr>
      <w:r w:rsidRPr="00477623">
        <w:rPr>
          <w:lang w:val="ru-RU"/>
        </w:rPr>
        <w:t>______________</w:t>
      </w:r>
    </w:p>
    <w:sectPr w:rsidR="00EC6F8E" w:rsidRPr="00477623" w:rsidSect="00021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CE31" w14:textId="77777777" w:rsidR="00A836F8" w:rsidRDefault="00A836F8" w:rsidP="0079159C">
      <w:r>
        <w:separator/>
      </w:r>
    </w:p>
    <w:p w14:paraId="70BAE82B" w14:textId="77777777" w:rsidR="00A836F8" w:rsidRDefault="00A836F8" w:rsidP="0079159C"/>
    <w:p w14:paraId="4D69A691" w14:textId="77777777" w:rsidR="00A836F8" w:rsidRDefault="00A836F8" w:rsidP="0079159C"/>
    <w:p w14:paraId="6927E6B5" w14:textId="77777777" w:rsidR="00A836F8" w:rsidRDefault="00A836F8" w:rsidP="0079159C"/>
    <w:p w14:paraId="3ACAAC62" w14:textId="77777777" w:rsidR="00A836F8" w:rsidRDefault="00A836F8" w:rsidP="0079159C"/>
    <w:p w14:paraId="0C440465" w14:textId="77777777" w:rsidR="00A836F8" w:rsidRDefault="00A836F8" w:rsidP="0079159C"/>
    <w:p w14:paraId="28695389" w14:textId="77777777" w:rsidR="00A836F8" w:rsidRDefault="00A836F8" w:rsidP="0079159C"/>
    <w:p w14:paraId="6BB67520" w14:textId="77777777" w:rsidR="00A836F8" w:rsidRDefault="00A836F8" w:rsidP="0079159C"/>
    <w:p w14:paraId="51B83BF8" w14:textId="77777777" w:rsidR="00A836F8" w:rsidRDefault="00A836F8" w:rsidP="0079159C"/>
    <w:p w14:paraId="23E16FF0" w14:textId="77777777" w:rsidR="00A836F8" w:rsidRDefault="00A836F8" w:rsidP="0079159C"/>
    <w:p w14:paraId="1A9011AC" w14:textId="77777777" w:rsidR="00A836F8" w:rsidRDefault="00A836F8" w:rsidP="0079159C"/>
    <w:p w14:paraId="2402B1E7" w14:textId="77777777" w:rsidR="00A836F8" w:rsidRDefault="00A836F8" w:rsidP="0079159C"/>
    <w:p w14:paraId="166FAA29" w14:textId="77777777" w:rsidR="00A836F8" w:rsidRDefault="00A836F8" w:rsidP="0079159C"/>
    <w:p w14:paraId="54DFA60F" w14:textId="77777777" w:rsidR="00A836F8" w:rsidRDefault="00A836F8" w:rsidP="0079159C"/>
    <w:p w14:paraId="22F26C03" w14:textId="77777777" w:rsidR="00A836F8" w:rsidRDefault="00A836F8" w:rsidP="004B3A6C"/>
    <w:p w14:paraId="49266B68" w14:textId="77777777" w:rsidR="00A836F8" w:rsidRDefault="00A836F8" w:rsidP="004B3A6C"/>
  </w:endnote>
  <w:endnote w:type="continuationSeparator" w:id="0">
    <w:p w14:paraId="4F60CCD2" w14:textId="77777777" w:rsidR="00A836F8" w:rsidRDefault="00A836F8" w:rsidP="0079159C">
      <w:r>
        <w:continuationSeparator/>
      </w:r>
    </w:p>
    <w:p w14:paraId="4F9E685C" w14:textId="77777777" w:rsidR="00A836F8" w:rsidRDefault="00A836F8" w:rsidP="0079159C"/>
    <w:p w14:paraId="0B16639F" w14:textId="77777777" w:rsidR="00A836F8" w:rsidRDefault="00A836F8" w:rsidP="0079159C"/>
    <w:p w14:paraId="74F88833" w14:textId="77777777" w:rsidR="00A836F8" w:rsidRDefault="00A836F8" w:rsidP="0079159C"/>
    <w:p w14:paraId="7D8E0AA1" w14:textId="77777777" w:rsidR="00A836F8" w:rsidRDefault="00A836F8" w:rsidP="0079159C"/>
    <w:p w14:paraId="4D3AB74D" w14:textId="77777777" w:rsidR="00A836F8" w:rsidRDefault="00A836F8" w:rsidP="0079159C"/>
    <w:p w14:paraId="6096E5B4" w14:textId="77777777" w:rsidR="00A836F8" w:rsidRDefault="00A836F8" w:rsidP="0079159C"/>
    <w:p w14:paraId="17F71757" w14:textId="77777777" w:rsidR="00A836F8" w:rsidRDefault="00A836F8" w:rsidP="0079159C"/>
    <w:p w14:paraId="7D471C20" w14:textId="77777777" w:rsidR="00A836F8" w:rsidRDefault="00A836F8" w:rsidP="0079159C"/>
    <w:p w14:paraId="2C0EE852" w14:textId="77777777" w:rsidR="00A836F8" w:rsidRDefault="00A836F8" w:rsidP="0079159C"/>
    <w:p w14:paraId="52F34C75" w14:textId="77777777" w:rsidR="00A836F8" w:rsidRDefault="00A836F8" w:rsidP="0079159C"/>
    <w:p w14:paraId="5AC906F5" w14:textId="77777777" w:rsidR="00A836F8" w:rsidRDefault="00A836F8" w:rsidP="0079159C"/>
    <w:p w14:paraId="6D1CD8C4" w14:textId="77777777" w:rsidR="00A836F8" w:rsidRDefault="00A836F8" w:rsidP="0079159C"/>
    <w:p w14:paraId="06B4C966" w14:textId="77777777" w:rsidR="00A836F8" w:rsidRDefault="00A836F8" w:rsidP="0079159C"/>
    <w:p w14:paraId="609EFAA3" w14:textId="77777777" w:rsidR="00A836F8" w:rsidRDefault="00A836F8" w:rsidP="004B3A6C"/>
    <w:p w14:paraId="4E021BFA" w14:textId="77777777" w:rsidR="00A836F8" w:rsidRDefault="00A836F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B27E" w14:textId="77777777" w:rsidR="00532236" w:rsidRDefault="00532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8D6" w14:textId="4B50BBAA" w:rsidR="009F4EDF" w:rsidRPr="009F4EDF" w:rsidRDefault="009F4EDF">
    <w:pPr>
      <w:pStyle w:val="Footer"/>
      <w:rPr>
        <w:lang w:val="en-US"/>
      </w:rPr>
    </w:pPr>
    <w:r w:rsidRPr="00532236">
      <w:rPr>
        <w:color w:val="F2F2F2" w:themeColor="background1" w:themeShade="F2"/>
        <w:lang w:val="en-US"/>
      </w:rPr>
      <w:fldChar w:fldCharType="begin"/>
    </w:r>
    <w:r w:rsidRPr="00532236">
      <w:rPr>
        <w:color w:val="F2F2F2" w:themeColor="background1" w:themeShade="F2"/>
        <w:lang w:val="en-US"/>
      </w:rPr>
      <w:instrText xml:space="preserve"> FILENAME  \p  \* MERGEFORMAT </w:instrText>
    </w:r>
    <w:r w:rsidRPr="00532236">
      <w:rPr>
        <w:color w:val="F2F2F2" w:themeColor="background1" w:themeShade="F2"/>
        <w:lang w:val="en-US"/>
      </w:rPr>
      <w:fldChar w:fldCharType="separate"/>
    </w:r>
    <w:r w:rsidR="00D7511F" w:rsidRPr="00532236">
      <w:rPr>
        <w:color w:val="F2F2F2" w:themeColor="background1" w:themeShade="F2"/>
        <w:lang w:val="en-US"/>
      </w:rPr>
      <w:t>P:\RUS\SG\CONF-SG\PP22\000\063R.docx</w:t>
    </w:r>
    <w:r w:rsidRPr="00532236">
      <w:rPr>
        <w:color w:val="F2F2F2" w:themeColor="background1" w:themeShade="F2"/>
        <w:lang w:val="en-US"/>
      </w:rPr>
      <w:fldChar w:fldCharType="end"/>
    </w:r>
    <w:r w:rsidRPr="00532236">
      <w:rPr>
        <w:color w:val="F2F2F2" w:themeColor="background1" w:themeShade="F2"/>
        <w:lang w:val="en-US"/>
      </w:rPr>
      <w:t xml:space="preserve"> (</w:t>
    </w:r>
    <w:r w:rsidR="00D7511F" w:rsidRPr="00532236">
      <w:rPr>
        <w:color w:val="F2F2F2" w:themeColor="background1" w:themeShade="F2"/>
      </w:rPr>
      <w:t>509881</w:t>
    </w:r>
    <w:r w:rsidRPr="00532236">
      <w:rPr>
        <w:color w:val="F2F2F2" w:themeColor="background1" w:themeShade="F2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DC0" w14:textId="40010615" w:rsidR="005C3DE4" w:rsidRPr="009F4EDF" w:rsidRDefault="00D37469" w:rsidP="009F4ED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7C22" w14:textId="77777777" w:rsidR="00A836F8" w:rsidRDefault="00A836F8" w:rsidP="0079159C">
      <w:r>
        <w:t>____________________</w:t>
      </w:r>
    </w:p>
  </w:footnote>
  <w:footnote w:type="continuationSeparator" w:id="0">
    <w:p w14:paraId="40F36344" w14:textId="77777777" w:rsidR="00A836F8" w:rsidRDefault="00A836F8" w:rsidP="0079159C">
      <w:r>
        <w:continuationSeparator/>
      </w:r>
    </w:p>
    <w:p w14:paraId="5433EE96" w14:textId="77777777" w:rsidR="00A836F8" w:rsidRDefault="00A836F8" w:rsidP="0079159C"/>
    <w:p w14:paraId="6754C3E3" w14:textId="77777777" w:rsidR="00A836F8" w:rsidRDefault="00A836F8" w:rsidP="0079159C"/>
    <w:p w14:paraId="39EBBBAC" w14:textId="77777777" w:rsidR="00A836F8" w:rsidRDefault="00A836F8" w:rsidP="0079159C"/>
    <w:p w14:paraId="238B9804" w14:textId="77777777" w:rsidR="00A836F8" w:rsidRDefault="00A836F8" w:rsidP="0079159C"/>
    <w:p w14:paraId="3D53A5D3" w14:textId="77777777" w:rsidR="00A836F8" w:rsidRDefault="00A836F8" w:rsidP="0079159C"/>
    <w:p w14:paraId="4D0D575C" w14:textId="77777777" w:rsidR="00A836F8" w:rsidRDefault="00A836F8" w:rsidP="0079159C"/>
    <w:p w14:paraId="13DD37BF" w14:textId="77777777" w:rsidR="00A836F8" w:rsidRDefault="00A836F8" w:rsidP="0079159C"/>
    <w:p w14:paraId="28B04D44" w14:textId="77777777" w:rsidR="00A836F8" w:rsidRDefault="00A836F8" w:rsidP="0079159C"/>
    <w:p w14:paraId="0E90E9FF" w14:textId="77777777" w:rsidR="00A836F8" w:rsidRDefault="00A836F8" w:rsidP="0079159C"/>
    <w:p w14:paraId="686D8944" w14:textId="77777777" w:rsidR="00A836F8" w:rsidRDefault="00A836F8" w:rsidP="0079159C"/>
    <w:p w14:paraId="4D37E74B" w14:textId="77777777" w:rsidR="00A836F8" w:rsidRDefault="00A836F8" w:rsidP="0079159C"/>
    <w:p w14:paraId="74B1102B" w14:textId="77777777" w:rsidR="00A836F8" w:rsidRDefault="00A836F8" w:rsidP="0079159C"/>
    <w:p w14:paraId="47C63F5A" w14:textId="77777777" w:rsidR="00A836F8" w:rsidRDefault="00A836F8" w:rsidP="0079159C"/>
    <w:p w14:paraId="1B7931BF" w14:textId="77777777" w:rsidR="00A836F8" w:rsidRDefault="00A836F8" w:rsidP="004B3A6C"/>
    <w:p w14:paraId="13761BE5" w14:textId="77777777" w:rsidR="00A836F8" w:rsidRDefault="00A836F8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71ED" w14:textId="77777777" w:rsidR="00532236" w:rsidRDefault="00532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AAC9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02BDCCD" w14:textId="5F09D780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615BFC">
      <w:rPr>
        <w:lang w:val="ru-RU"/>
      </w:rPr>
      <w:t>63</w:t>
    </w:r>
    <w:r w:rsidR="00BC4B72"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652" w14:textId="77777777" w:rsidR="00532236" w:rsidRDefault="00532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7892"/>
    <w:multiLevelType w:val="hybridMultilevel"/>
    <w:tmpl w:val="2EA84DBE"/>
    <w:lvl w:ilvl="0" w:tplc="2C7CF180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DA2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C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6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E7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8D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C6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8A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46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5552"/>
    <w:rsid w:val="000968F5"/>
    <w:rsid w:val="000A68C5"/>
    <w:rsid w:val="000B062A"/>
    <w:rsid w:val="000B3566"/>
    <w:rsid w:val="000B6322"/>
    <w:rsid w:val="000B751C"/>
    <w:rsid w:val="000C4701"/>
    <w:rsid w:val="000C5120"/>
    <w:rsid w:val="000C64BC"/>
    <w:rsid w:val="000C68CB"/>
    <w:rsid w:val="000E1540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E0C"/>
    <w:rsid w:val="001B5FBF"/>
    <w:rsid w:val="00200992"/>
    <w:rsid w:val="00202880"/>
    <w:rsid w:val="0020313F"/>
    <w:rsid w:val="002173B8"/>
    <w:rsid w:val="00232D57"/>
    <w:rsid w:val="002350F3"/>
    <w:rsid w:val="002356E7"/>
    <w:rsid w:val="00241B9A"/>
    <w:rsid w:val="00255EE8"/>
    <w:rsid w:val="002578B4"/>
    <w:rsid w:val="00267FDB"/>
    <w:rsid w:val="00273A0B"/>
    <w:rsid w:val="00277F85"/>
    <w:rsid w:val="002916EB"/>
    <w:rsid w:val="00297915"/>
    <w:rsid w:val="002A409A"/>
    <w:rsid w:val="002A5402"/>
    <w:rsid w:val="002A65EC"/>
    <w:rsid w:val="002B033B"/>
    <w:rsid w:val="002B3829"/>
    <w:rsid w:val="002C5477"/>
    <w:rsid w:val="002C78FF"/>
    <w:rsid w:val="002D0055"/>
    <w:rsid w:val="002D024B"/>
    <w:rsid w:val="002D5EED"/>
    <w:rsid w:val="00323C99"/>
    <w:rsid w:val="00324764"/>
    <w:rsid w:val="003429D1"/>
    <w:rsid w:val="00344A1D"/>
    <w:rsid w:val="00375BBA"/>
    <w:rsid w:val="00384CFC"/>
    <w:rsid w:val="00395CE4"/>
    <w:rsid w:val="003E7EAA"/>
    <w:rsid w:val="004014B0"/>
    <w:rsid w:val="00426AC1"/>
    <w:rsid w:val="00447900"/>
    <w:rsid w:val="00455F82"/>
    <w:rsid w:val="00462C80"/>
    <w:rsid w:val="00464AD4"/>
    <w:rsid w:val="004676C0"/>
    <w:rsid w:val="00471ABB"/>
    <w:rsid w:val="0047238A"/>
    <w:rsid w:val="004746C8"/>
    <w:rsid w:val="00477623"/>
    <w:rsid w:val="00497A30"/>
    <w:rsid w:val="004B03E9"/>
    <w:rsid w:val="004B14BA"/>
    <w:rsid w:val="004B3A6C"/>
    <w:rsid w:val="004B70DA"/>
    <w:rsid w:val="004C029D"/>
    <w:rsid w:val="004C4C8E"/>
    <w:rsid w:val="004C79E4"/>
    <w:rsid w:val="004E1DF7"/>
    <w:rsid w:val="004E7203"/>
    <w:rsid w:val="00513BE3"/>
    <w:rsid w:val="0052010F"/>
    <w:rsid w:val="00532236"/>
    <w:rsid w:val="005356FD"/>
    <w:rsid w:val="00535EDC"/>
    <w:rsid w:val="00541762"/>
    <w:rsid w:val="00554994"/>
    <w:rsid w:val="00554E24"/>
    <w:rsid w:val="00563711"/>
    <w:rsid w:val="005653D6"/>
    <w:rsid w:val="00567130"/>
    <w:rsid w:val="0056775F"/>
    <w:rsid w:val="00584918"/>
    <w:rsid w:val="005C3DE4"/>
    <w:rsid w:val="005C67E8"/>
    <w:rsid w:val="005D0C15"/>
    <w:rsid w:val="005E0EDD"/>
    <w:rsid w:val="005E31E9"/>
    <w:rsid w:val="005F526C"/>
    <w:rsid w:val="00600272"/>
    <w:rsid w:val="006104EA"/>
    <w:rsid w:val="0061434A"/>
    <w:rsid w:val="00615BFC"/>
    <w:rsid w:val="00617BE4"/>
    <w:rsid w:val="0062155D"/>
    <w:rsid w:val="00627A76"/>
    <w:rsid w:val="006418E6"/>
    <w:rsid w:val="00673A07"/>
    <w:rsid w:val="0067722F"/>
    <w:rsid w:val="006A1F2D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11BB"/>
    <w:rsid w:val="0079159C"/>
    <w:rsid w:val="007919C2"/>
    <w:rsid w:val="007C50AF"/>
    <w:rsid w:val="007E4D0F"/>
    <w:rsid w:val="007F42D6"/>
    <w:rsid w:val="008034F1"/>
    <w:rsid w:val="008102A6"/>
    <w:rsid w:val="00821463"/>
    <w:rsid w:val="00822C54"/>
    <w:rsid w:val="00826A7C"/>
    <w:rsid w:val="00836D95"/>
    <w:rsid w:val="00840B13"/>
    <w:rsid w:val="00842BD1"/>
    <w:rsid w:val="00850AEF"/>
    <w:rsid w:val="00870059"/>
    <w:rsid w:val="00887B71"/>
    <w:rsid w:val="008929C1"/>
    <w:rsid w:val="008A2FB3"/>
    <w:rsid w:val="008D2EB4"/>
    <w:rsid w:val="008D3134"/>
    <w:rsid w:val="008D3BE2"/>
    <w:rsid w:val="009125CE"/>
    <w:rsid w:val="00931767"/>
    <w:rsid w:val="0093377B"/>
    <w:rsid w:val="00934241"/>
    <w:rsid w:val="00944AE8"/>
    <w:rsid w:val="009460D8"/>
    <w:rsid w:val="00950E0F"/>
    <w:rsid w:val="00962CCF"/>
    <w:rsid w:val="009751CA"/>
    <w:rsid w:val="0097690C"/>
    <w:rsid w:val="009816BA"/>
    <w:rsid w:val="00996435"/>
    <w:rsid w:val="009975C3"/>
    <w:rsid w:val="009A47A2"/>
    <w:rsid w:val="009A6D9A"/>
    <w:rsid w:val="009D0B3C"/>
    <w:rsid w:val="009D1260"/>
    <w:rsid w:val="009E4F4B"/>
    <w:rsid w:val="009F0BA9"/>
    <w:rsid w:val="009F3A10"/>
    <w:rsid w:val="009F4EDF"/>
    <w:rsid w:val="00A00B62"/>
    <w:rsid w:val="00A3200E"/>
    <w:rsid w:val="00A5382C"/>
    <w:rsid w:val="00A54F56"/>
    <w:rsid w:val="00A75EAA"/>
    <w:rsid w:val="00A836F8"/>
    <w:rsid w:val="00AB29EC"/>
    <w:rsid w:val="00AC20C0"/>
    <w:rsid w:val="00AD6841"/>
    <w:rsid w:val="00B14377"/>
    <w:rsid w:val="00B1733E"/>
    <w:rsid w:val="00B45785"/>
    <w:rsid w:val="00B52354"/>
    <w:rsid w:val="00B62568"/>
    <w:rsid w:val="00BA154E"/>
    <w:rsid w:val="00BA4609"/>
    <w:rsid w:val="00BC4B72"/>
    <w:rsid w:val="00BF252A"/>
    <w:rsid w:val="00BF720B"/>
    <w:rsid w:val="00C04511"/>
    <w:rsid w:val="00C06532"/>
    <w:rsid w:val="00C1004D"/>
    <w:rsid w:val="00C16846"/>
    <w:rsid w:val="00C40979"/>
    <w:rsid w:val="00C43FB8"/>
    <w:rsid w:val="00C46ECA"/>
    <w:rsid w:val="00C62242"/>
    <w:rsid w:val="00C6326D"/>
    <w:rsid w:val="00C83A6D"/>
    <w:rsid w:val="00CA38C9"/>
    <w:rsid w:val="00CA7EDE"/>
    <w:rsid w:val="00CB267D"/>
    <w:rsid w:val="00CC6362"/>
    <w:rsid w:val="00CD163A"/>
    <w:rsid w:val="00CE40BB"/>
    <w:rsid w:val="00CF2E3D"/>
    <w:rsid w:val="00CF6446"/>
    <w:rsid w:val="00D2410D"/>
    <w:rsid w:val="00D37275"/>
    <w:rsid w:val="00D37469"/>
    <w:rsid w:val="00D50E12"/>
    <w:rsid w:val="00D55DD9"/>
    <w:rsid w:val="00D57F41"/>
    <w:rsid w:val="00D7511F"/>
    <w:rsid w:val="00D76BB9"/>
    <w:rsid w:val="00D906F0"/>
    <w:rsid w:val="00D950C5"/>
    <w:rsid w:val="00D955EF"/>
    <w:rsid w:val="00D97CC5"/>
    <w:rsid w:val="00DC7337"/>
    <w:rsid w:val="00DD26B1"/>
    <w:rsid w:val="00DD6770"/>
    <w:rsid w:val="00DD6A01"/>
    <w:rsid w:val="00DE24EF"/>
    <w:rsid w:val="00DE6403"/>
    <w:rsid w:val="00DF23FC"/>
    <w:rsid w:val="00DF39CD"/>
    <w:rsid w:val="00DF449B"/>
    <w:rsid w:val="00DF4F81"/>
    <w:rsid w:val="00E11B2B"/>
    <w:rsid w:val="00E17F8D"/>
    <w:rsid w:val="00E227E4"/>
    <w:rsid w:val="00E2538B"/>
    <w:rsid w:val="00E33188"/>
    <w:rsid w:val="00E36610"/>
    <w:rsid w:val="00E54E66"/>
    <w:rsid w:val="00E56E57"/>
    <w:rsid w:val="00E86DC6"/>
    <w:rsid w:val="00E91D24"/>
    <w:rsid w:val="00EC064C"/>
    <w:rsid w:val="00EC6F8E"/>
    <w:rsid w:val="00ED279F"/>
    <w:rsid w:val="00ED4CB2"/>
    <w:rsid w:val="00EF2642"/>
    <w:rsid w:val="00EF3681"/>
    <w:rsid w:val="00F06FDE"/>
    <w:rsid w:val="00F076D9"/>
    <w:rsid w:val="00F20BC2"/>
    <w:rsid w:val="00F244BB"/>
    <w:rsid w:val="00F27805"/>
    <w:rsid w:val="00F342E4"/>
    <w:rsid w:val="00F35206"/>
    <w:rsid w:val="00F44625"/>
    <w:rsid w:val="00F44B70"/>
    <w:rsid w:val="00F649D6"/>
    <w:rsid w:val="00F654DD"/>
    <w:rsid w:val="00F96AB4"/>
    <w:rsid w:val="00F97481"/>
    <w:rsid w:val="00FA551C"/>
    <w:rsid w:val="00FA6A6E"/>
    <w:rsid w:val="00FC606B"/>
    <w:rsid w:val="00FD7B1D"/>
    <w:rsid w:val="00FE3CC7"/>
    <w:rsid w:val="00FE6822"/>
    <w:rsid w:val="00FF0EC5"/>
    <w:rsid w:val="00FF3218"/>
    <w:rsid w:val="00FF63B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639E"/>
  <w15:docId w15:val="{9A67BFE9-2346-472C-A899-2D288CB9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head0">
    <w:name w:val="Table head"/>
    <w:basedOn w:val="Normal"/>
    <w:uiPriority w:val="99"/>
    <w:rsid w:val="009F4ED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rsid w:val="00F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E64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30T07:57:28.2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23 11808,'0'0'90,"-11"5"604,19-7-686,-4 2-208,0-1 0,0 0 0,0 0 0,0-1 0,0 1 0,0-1 0,0 0 0,-1 0 0,6-3 0,0-3-3672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6424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Radio Regulations Board - Invocation of Article 48 of the Constitution in relation to the Radio Regulations</dc:title>
  <dc:subject>Plenipotentiary Conference (PP-22)</dc:subject>
  <dc:creator>Antipina, Nadezda</dc:creator>
  <cp:keywords>PP22, PP-22</cp:keywords>
  <dc:description/>
  <cp:lastModifiedBy>Xue, Kun</cp:lastModifiedBy>
  <cp:revision>2</cp:revision>
  <cp:lastPrinted>2022-06-15T18:00:00Z</cp:lastPrinted>
  <dcterms:created xsi:type="dcterms:W3CDTF">2022-08-17T20:17:00Z</dcterms:created>
  <dcterms:modified xsi:type="dcterms:W3CDTF">2022-08-17T20:17:00Z</dcterms:modified>
  <cp:category>Conference document</cp:category>
</cp:coreProperties>
</file>