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tblLayout w:type="fixed"/>
        <w:tblLook w:val="0000" w:firstRow="0" w:lastRow="0" w:firstColumn="0" w:lastColumn="0" w:noHBand="0" w:noVBand="0"/>
      </w:tblPr>
      <w:tblGrid>
        <w:gridCol w:w="6911"/>
        <w:gridCol w:w="3120"/>
      </w:tblGrid>
      <w:tr w:rsidR="002364DF" w:rsidRPr="007632EF" w14:paraId="5F436165" w14:textId="77777777" w:rsidTr="002A0B6A">
        <w:trPr>
          <w:cantSplit/>
        </w:trPr>
        <w:tc>
          <w:tcPr>
            <w:tcW w:w="6911" w:type="dxa"/>
          </w:tcPr>
          <w:p w14:paraId="1106AB77" w14:textId="77777777" w:rsidR="00BD1614" w:rsidRPr="007632EF" w:rsidRDefault="008C37D5" w:rsidP="00380009">
            <w:pPr>
              <w:rPr>
                <w:b/>
                <w:bCs/>
                <w:position w:val="6"/>
                <w:szCs w:val="24"/>
              </w:rPr>
            </w:pPr>
            <w:bookmarkStart w:id="0" w:name="dbreak"/>
            <w:bookmarkStart w:id="1" w:name="dpp"/>
            <w:bookmarkEnd w:id="0"/>
            <w:bookmarkEnd w:id="1"/>
            <w:r w:rsidRPr="007632EF">
              <w:rPr>
                <w:rFonts w:cs="Times"/>
                <w:b/>
                <w:sz w:val="30"/>
                <w:szCs w:val="30"/>
              </w:rPr>
              <w:t>Conférence de plénipotentiaires</w:t>
            </w:r>
            <w:r w:rsidRPr="007632EF">
              <w:rPr>
                <w:b/>
                <w:smallCaps/>
                <w:sz w:val="30"/>
                <w:szCs w:val="30"/>
              </w:rPr>
              <w:t xml:space="preserve"> (PP-22)</w:t>
            </w:r>
            <w:r w:rsidRPr="007632EF">
              <w:rPr>
                <w:b/>
                <w:smallCaps/>
                <w:sz w:val="36"/>
              </w:rPr>
              <w:br/>
            </w:r>
            <w:r w:rsidR="002A7A1D" w:rsidRPr="007632EF">
              <w:rPr>
                <w:rFonts w:cs="Times New Roman Bold"/>
                <w:b/>
                <w:bCs/>
                <w:szCs w:val="24"/>
              </w:rPr>
              <w:t>Bucarest, 26 septembre – 14 octobre 2022</w:t>
            </w:r>
          </w:p>
        </w:tc>
        <w:tc>
          <w:tcPr>
            <w:tcW w:w="3120" w:type="dxa"/>
          </w:tcPr>
          <w:p w14:paraId="47ECB75E" w14:textId="77777777" w:rsidR="00BD1614" w:rsidRPr="007632EF" w:rsidRDefault="008C37D5" w:rsidP="00380009">
            <w:pPr>
              <w:spacing w:before="0"/>
              <w:rPr>
                <w:rFonts w:cstheme="minorHAnsi"/>
              </w:rPr>
            </w:pPr>
            <w:bookmarkStart w:id="2" w:name="ditulogo"/>
            <w:bookmarkEnd w:id="2"/>
            <w:r w:rsidRPr="007632EF">
              <w:rPr>
                <w:noProof/>
                <w:lang w:val="en-US"/>
              </w:rPr>
              <w:drawing>
                <wp:inline distT="0" distB="0" distL="0" distR="0" wp14:anchorId="60A0776C" wp14:editId="071251A4">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1552522475"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2364DF" w:rsidRPr="007632EF" w14:paraId="4272E096" w14:textId="77777777" w:rsidTr="002A0B6A">
        <w:trPr>
          <w:cantSplit/>
        </w:trPr>
        <w:tc>
          <w:tcPr>
            <w:tcW w:w="6911" w:type="dxa"/>
            <w:tcBorders>
              <w:bottom w:val="single" w:sz="12" w:space="0" w:color="auto"/>
            </w:tcBorders>
          </w:tcPr>
          <w:p w14:paraId="36FC4E23" w14:textId="77777777" w:rsidR="00BD1614" w:rsidRPr="007632EF" w:rsidRDefault="00BD1614" w:rsidP="00380009">
            <w:pPr>
              <w:spacing w:before="0" w:after="48"/>
              <w:rPr>
                <w:rFonts w:cstheme="minorHAnsi"/>
                <w:b/>
                <w:smallCaps/>
                <w:szCs w:val="24"/>
              </w:rPr>
            </w:pPr>
            <w:bookmarkStart w:id="3" w:name="dhead"/>
          </w:p>
        </w:tc>
        <w:tc>
          <w:tcPr>
            <w:tcW w:w="3120" w:type="dxa"/>
            <w:tcBorders>
              <w:bottom w:val="single" w:sz="12" w:space="0" w:color="auto"/>
            </w:tcBorders>
          </w:tcPr>
          <w:p w14:paraId="084E6484" w14:textId="77777777" w:rsidR="00BD1614" w:rsidRPr="007632EF" w:rsidRDefault="00BD1614" w:rsidP="00380009">
            <w:pPr>
              <w:spacing w:before="0" w:after="48"/>
              <w:rPr>
                <w:rFonts w:cstheme="minorHAnsi"/>
                <w:b/>
                <w:smallCaps/>
                <w:szCs w:val="24"/>
              </w:rPr>
            </w:pPr>
          </w:p>
        </w:tc>
      </w:tr>
      <w:tr w:rsidR="002364DF" w:rsidRPr="007632EF" w14:paraId="6766F72E" w14:textId="77777777" w:rsidTr="002A0B6A">
        <w:trPr>
          <w:cantSplit/>
        </w:trPr>
        <w:tc>
          <w:tcPr>
            <w:tcW w:w="6911" w:type="dxa"/>
            <w:tcBorders>
              <w:top w:val="single" w:sz="12" w:space="0" w:color="auto"/>
            </w:tcBorders>
          </w:tcPr>
          <w:p w14:paraId="4C1EC304" w14:textId="77777777" w:rsidR="00BD1614" w:rsidRPr="007632EF" w:rsidRDefault="00BD1614" w:rsidP="00380009">
            <w:pPr>
              <w:spacing w:before="0"/>
              <w:rPr>
                <w:rFonts w:cstheme="minorHAnsi"/>
                <w:b/>
                <w:smallCaps/>
                <w:szCs w:val="24"/>
              </w:rPr>
            </w:pPr>
          </w:p>
        </w:tc>
        <w:tc>
          <w:tcPr>
            <w:tcW w:w="3120" w:type="dxa"/>
            <w:tcBorders>
              <w:top w:val="single" w:sz="12" w:space="0" w:color="auto"/>
            </w:tcBorders>
          </w:tcPr>
          <w:p w14:paraId="532C5934" w14:textId="77777777" w:rsidR="00BD1614" w:rsidRPr="007632EF" w:rsidRDefault="00BD1614" w:rsidP="00380009">
            <w:pPr>
              <w:spacing w:before="0"/>
              <w:rPr>
                <w:rFonts w:cstheme="minorHAnsi"/>
                <w:szCs w:val="24"/>
              </w:rPr>
            </w:pPr>
          </w:p>
        </w:tc>
      </w:tr>
      <w:tr w:rsidR="002364DF" w:rsidRPr="007632EF" w14:paraId="77488D6E" w14:textId="77777777" w:rsidTr="002A0B6A">
        <w:trPr>
          <w:cantSplit/>
        </w:trPr>
        <w:tc>
          <w:tcPr>
            <w:tcW w:w="6911" w:type="dxa"/>
          </w:tcPr>
          <w:p w14:paraId="74259100" w14:textId="77777777" w:rsidR="00BD1614" w:rsidRPr="007632EF" w:rsidRDefault="008C37D5" w:rsidP="00380009">
            <w:pPr>
              <w:pStyle w:val="Committee"/>
              <w:framePr w:hSpace="0" w:wrap="auto" w:hAnchor="text" w:yAlign="inline"/>
              <w:spacing w:after="0" w:line="240" w:lineRule="auto"/>
              <w:rPr>
                <w:lang w:val="fr-FR"/>
              </w:rPr>
            </w:pPr>
            <w:r w:rsidRPr="007632EF">
              <w:rPr>
                <w:lang w:val="fr-FR"/>
              </w:rPr>
              <w:t>SÉANCE PLÉNIÈRE</w:t>
            </w:r>
          </w:p>
        </w:tc>
        <w:tc>
          <w:tcPr>
            <w:tcW w:w="3120" w:type="dxa"/>
          </w:tcPr>
          <w:p w14:paraId="60389F6A" w14:textId="77777777" w:rsidR="00BD1614" w:rsidRPr="007632EF" w:rsidRDefault="008C37D5" w:rsidP="00380009">
            <w:pPr>
              <w:spacing w:before="0"/>
              <w:rPr>
                <w:rFonts w:cstheme="minorHAnsi"/>
                <w:szCs w:val="24"/>
              </w:rPr>
            </w:pPr>
            <w:r w:rsidRPr="007632EF">
              <w:rPr>
                <w:rFonts w:cstheme="minorHAnsi"/>
                <w:b/>
                <w:szCs w:val="24"/>
              </w:rPr>
              <w:t>Document 64-F</w:t>
            </w:r>
          </w:p>
        </w:tc>
      </w:tr>
      <w:tr w:rsidR="002364DF" w:rsidRPr="007632EF" w14:paraId="5C80E633" w14:textId="77777777" w:rsidTr="002A0B6A">
        <w:trPr>
          <w:cantSplit/>
        </w:trPr>
        <w:tc>
          <w:tcPr>
            <w:tcW w:w="6911" w:type="dxa"/>
          </w:tcPr>
          <w:p w14:paraId="3566B2B1" w14:textId="77777777" w:rsidR="00BD1614" w:rsidRPr="007632EF" w:rsidRDefault="00BD1614" w:rsidP="00380009">
            <w:pPr>
              <w:spacing w:before="0"/>
              <w:rPr>
                <w:rFonts w:cstheme="minorHAnsi"/>
                <w:b/>
                <w:szCs w:val="24"/>
              </w:rPr>
            </w:pPr>
          </w:p>
        </w:tc>
        <w:tc>
          <w:tcPr>
            <w:tcW w:w="3120" w:type="dxa"/>
          </w:tcPr>
          <w:p w14:paraId="3FE20259" w14:textId="77777777" w:rsidR="00BD1614" w:rsidRPr="007632EF" w:rsidRDefault="008C37D5" w:rsidP="00380009">
            <w:pPr>
              <w:spacing w:before="0"/>
              <w:rPr>
                <w:rFonts w:cstheme="minorHAnsi"/>
                <w:b/>
                <w:szCs w:val="24"/>
              </w:rPr>
            </w:pPr>
            <w:r w:rsidRPr="007632EF">
              <w:rPr>
                <w:rFonts w:cstheme="minorHAnsi"/>
                <w:b/>
                <w:szCs w:val="24"/>
              </w:rPr>
              <w:t>20 juillet 2022</w:t>
            </w:r>
          </w:p>
        </w:tc>
      </w:tr>
      <w:tr w:rsidR="002364DF" w:rsidRPr="007632EF" w14:paraId="3F1B93B7" w14:textId="77777777" w:rsidTr="002A0B6A">
        <w:trPr>
          <w:cantSplit/>
        </w:trPr>
        <w:tc>
          <w:tcPr>
            <w:tcW w:w="6911" w:type="dxa"/>
          </w:tcPr>
          <w:p w14:paraId="580C1282" w14:textId="77777777" w:rsidR="00BD1614" w:rsidRPr="007632EF" w:rsidRDefault="00BD1614" w:rsidP="00380009">
            <w:pPr>
              <w:spacing w:before="0"/>
              <w:rPr>
                <w:rFonts w:cstheme="minorHAnsi"/>
                <w:b/>
                <w:smallCaps/>
                <w:szCs w:val="24"/>
              </w:rPr>
            </w:pPr>
          </w:p>
        </w:tc>
        <w:tc>
          <w:tcPr>
            <w:tcW w:w="3120" w:type="dxa"/>
          </w:tcPr>
          <w:p w14:paraId="622EF937" w14:textId="77777777" w:rsidR="00BD1614" w:rsidRPr="007632EF" w:rsidRDefault="008C37D5" w:rsidP="00380009">
            <w:pPr>
              <w:spacing w:before="0"/>
              <w:rPr>
                <w:rFonts w:cstheme="minorHAnsi"/>
                <w:b/>
                <w:szCs w:val="24"/>
              </w:rPr>
            </w:pPr>
            <w:proofErr w:type="gramStart"/>
            <w:r w:rsidRPr="007632EF">
              <w:rPr>
                <w:rFonts w:cstheme="minorHAnsi"/>
                <w:b/>
                <w:szCs w:val="24"/>
              </w:rPr>
              <w:t>Original:</w:t>
            </w:r>
            <w:proofErr w:type="gramEnd"/>
            <w:r w:rsidRPr="007632EF">
              <w:rPr>
                <w:rFonts w:cstheme="minorHAnsi"/>
                <w:b/>
                <w:szCs w:val="24"/>
              </w:rPr>
              <w:t xml:space="preserve"> anglais</w:t>
            </w:r>
          </w:p>
        </w:tc>
      </w:tr>
      <w:tr w:rsidR="002364DF" w:rsidRPr="007632EF" w14:paraId="056935B4" w14:textId="77777777" w:rsidTr="002A0B6A">
        <w:trPr>
          <w:cantSplit/>
        </w:trPr>
        <w:tc>
          <w:tcPr>
            <w:tcW w:w="10031" w:type="dxa"/>
            <w:gridSpan w:val="2"/>
          </w:tcPr>
          <w:p w14:paraId="1FFE9A11" w14:textId="77777777" w:rsidR="00BD1614" w:rsidRPr="007632EF" w:rsidRDefault="00BD1614" w:rsidP="00380009">
            <w:pPr>
              <w:spacing w:before="0"/>
              <w:rPr>
                <w:rFonts w:cstheme="minorHAnsi"/>
                <w:b/>
                <w:szCs w:val="24"/>
              </w:rPr>
            </w:pPr>
          </w:p>
        </w:tc>
      </w:tr>
      <w:tr w:rsidR="002364DF" w:rsidRPr="007632EF" w14:paraId="50882A17" w14:textId="77777777" w:rsidTr="002A0B6A">
        <w:trPr>
          <w:cantSplit/>
        </w:trPr>
        <w:tc>
          <w:tcPr>
            <w:tcW w:w="10031" w:type="dxa"/>
            <w:gridSpan w:val="2"/>
          </w:tcPr>
          <w:p w14:paraId="303DDE5C" w14:textId="77777777" w:rsidR="00BD1614" w:rsidRPr="007632EF" w:rsidRDefault="008C37D5" w:rsidP="002A0B6A">
            <w:pPr>
              <w:pStyle w:val="Source"/>
              <w:spacing w:before="720"/>
            </w:pPr>
            <w:bookmarkStart w:id="4" w:name="dsource" w:colFirst="0" w:colLast="0"/>
            <w:bookmarkEnd w:id="3"/>
            <w:r w:rsidRPr="007632EF">
              <w:rPr>
                <w:rStyle w:val="bri1"/>
                <w:b/>
                <w:color w:val="auto"/>
              </w:rPr>
              <w:t>Note</w:t>
            </w:r>
            <w:r w:rsidRPr="007632EF">
              <w:rPr>
                <w:b w:val="0"/>
              </w:rPr>
              <w:t xml:space="preserve"> </w:t>
            </w:r>
            <w:r w:rsidRPr="007632EF">
              <w:t>du Secrétaire général</w:t>
            </w:r>
          </w:p>
        </w:tc>
      </w:tr>
      <w:tr w:rsidR="002364DF" w:rsidRPr="007632EF" w14:paraId="747D76F6" w14:textId="77777777" w:rsidTr="002A0B6A">
        <w:trPr>
          <w:cantSplit/>
        </w:trPr>
        <w:tc>
          <w:tcPr>
            <w:tcW w:w="10031" w:type="dxa"/>
            <w:gridSpan w:val="2"/>
          </w:tcPr>
          <w:p w14:paraId="12C396D0" w14:textId="2B2F9F66" w:rsidR="00BD1614" w:rsidRPr="007632EF" w:rsidRDefault="008C37D5" w:rsidP="00380009">
            <w:pPr>
              <w:pStyle w:val="Title1"/>
            </w:pPr>
            <w:bookmarkStart w:id="5" w:name="_Hlk108797253"/>
            <w:bookmarkStart w:id="6" w:name="dtitle1" w:colFirst="0" w:colLast="0"/>
            <w:bookmarkEnd w:id="4"/>
            <w:r w:rsidRPr="007632EF">
              <w:rPr>
                <w:iCs/>
              </w:rPr>
              <w:t>Rapport d</w:t>
            </w:r>
            <w:r w:rsidR="00380009" w:rsidRPr="007632EF">
              <w:rPr>
                <w:iCs/>
              </w:rPr>
              <w:t>'</w:t>
            </w:r>
            <w:r w:rsidRPr="007632EF">
              <w:rPr>
                <w:iCs/>
              </w:rPr>
              <w:t>activité sur la mise en œuvre de la Résolution 167 (Rév. Dubaï, 2018) de la Conférence de plénipotentiaires</w:t>
            </w:r>
            <w:bookmarkEnd w:id="5"/>
          </w:p>
        </w:tc>
      </w:tr>
      <w:bookmarkEnd w:id="6"/>
    </w:tbl>
    <w:p w14:paraId="66C0E864" w14:textId="77777777" w:rsidR="0009607E" w:rsidRPr="007632EF" w:rsidRDefault="0009607E" w:rsidP="00380009"/>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4"/>
      </w:tblGrid>
      <w:tr w:rsidR="002364DF" w:rsidRPr="007632EF" w14:paraId="1253C30D" w14:textId="77777777" w:rsidTr="002A0B6A">
        <w:trPr>
          <w:trHeight w:val="390"/>
          <w:jc w:val="center"/>
        </w:trPr>
        <w:tc>
          <w:tcPr>
            <w:tcW w:w="8774" w:type="dxa"/>
            <w:tcBorders>
              <w:top w:val="single" w:sz="12" w:space="0" w:color="auto"/>
              <w:left w:val="single" w:sz="12" w:space="0" w:color="auto"/>
              <w:bottom w:val="single" w:sz="12" w:space="0" w:color="auto"/>
              <w:right w:val="single" w:sz="12" w:space="0" w:color="auto"/>
            </w:tcBorders>
          </w:tcPr>
          <w:p w14:paraId="11A02FC7" w14:textId="77777777" w:rsidR="0009607E" w:rsidRPr="002A0B6A" w:rsidRDefault="008C37D5" w:rsidP="00380009">
            <w:pPr>
              <w:pStyle w:val="Headingb"/>
              <w:keepNext w:val="0"/>
              <w:keepLines w:val="0"/>
              <w:spacing w:before="120" w:after="120"/>
              <w:rPr>
                <w:szCs w:val="24"/>
              </w:rPr>
            </w:pPr>
            <w:r w:rsidRPr="002A0B6A">
              <w:rPr>
                <w:szCs w:val="24"/>
              </w:rPr>
              <w:t>Résumé</w:t>
            </w:r>
          </w:p>
          <w:p w14:paraId="4955AAE7" w14:textId="1438B0F8" w:rsidR="0009607E" w:rsidRPr="002A0B6A" w:rsidRDefault="00253B60" w:rsidP="00380009">
            <w:pPr>
              <w:tabs>
                <w:tab w:val="clear" w:pos="567"/>
                <w:tab w:val="clear" w:pos="1134"/>
                <w:tab w:val="clear" w:pos="1701"/>
                <w:tab w:val="clear" w:pos="2268"/>
                <w:tab w:val="clear" w:pos="2835"/>
              </w:tabs>
              <w:rPr>
                <w:rFonts w:asciiTheme="minorHAnsi" w:hAnsiTheme="minorHAnsi" w:cs="Segoe UI"/>
                <w:szCs w:val="24"/>
              </w:rPr>
            </w:pPr>
            <w:r w:rsidRPr="002A0B6A">
              <w:rPr>
                <w:rFonts w:asciiTheme="minorHAnsi" w:hAnsiTheme="minorHAnsi" w:cs="Segoe UI"/>
                <w:szCs w:val="24"/>
              </w:rPr>
              <w:t>L</w:t>
            </w:r>
            <w:r w:rsidR="00380009" w:rsidRPr="002A0B6A">
              <w:rPr>
                <w:rFonts w:asciiTheme="minorHAnsi" w:hAnsiTheme="minorHAnsi" w:cs="Segoe UI"/>
                <w:szCs w:val="24"/>
              </w:rPr>
              <w:t>'</w:t>
            </w:r>
            <w:r w:rsidRPr="002A0B6A">
              <w:rPr>
                <w:rFonts w:asciiTheme="minorHAnsi" w:hAnsiTheme="minorHAnsi" w:cs="Segoe UI"/>
                <w:szCs w:val="24"/>
              </w:rPr>
              <w:t>UIT fournit</w:t>
            </w:r>
            <w:r w:rsidR="00F33064" w:rsidRPr="002A0B6A">
              <w:rPr>
                <w:rFonts w:asciiTheme="minorHAnsi" w:hAnsiTheme="minorHAnsi" w:cs="Segoe UI"/>
                <w:szCs w:val="24"/>
              </w:rPr>
              <w:t xml:space="preserve">, dans le cadre de ses réunions physiques, </w:t>
            </w:r>
            <w:r w:rsidRPr="002A0B6A">
              <w:rPr>
                <w:rFonts w:asciiTheme="minorHAnsi" w:hAnsiTheme="minorHAnsi" w:cs="Segoe UI"/>
                <w:szCs w:val="24"/>
              </w:rPr>
              <w:t xml:space="preserve">des services de diffusion multilingue sur le web depuis 1998 et </w:t>
            </w:r>
            <w:r w:rsidR="00225C6E" w:rsidRPr="002A0B6A">
              <w:rPr>
                <w:rFonts w:asciiTheme="minorHAnsi" w:hAnsiTheme="minorHAnsi" w:cs="Segoe UI"/>
                <w:szCs w:val="24"/>
              </w:rPr>
              <w:t>assure la</w:t>
            </w:r>
            <w:r w:rsidRPr="002A0B6A">
              <w:rPr>
                <w:rFonts w:asciiTheme="minorHAnsi" w:hAnsiTheme="minorHAnsi" w:cs="Segoe UI"/>
                <w:szCs w:val="24"/>
              </w:rPr>
              <w:t xml:space="preserve"> participation interactive multilingue à distance depuis 2010.</w:t>
            </w:r>
            <w:r w:rsidR="008C37D5" w:rsidRPr="002A0B6A">
              <w:rPr>
                <w:rFonts w:asciiTheme="minorHAnsi" w:hAnsiTheme="minorHAnsi" w:cs="Segoe UI"/>
                <w:szCs w:val="24"/>
              </w:rPr>
              <w:t xml:space="preserve"> </w:t>
            </w:r>
            <w:r w:rsidR="002A0B6A">
              <w:rPr>
                <w:rFonts w:asciiTheme="minorHAnsi" w:hAnsiTheme="minorHAnsi" w:cs="Segoe UI"/>
                <w:szCs w:val="24"/>
              </w:rPr>
              <w:t>En </w:t>
            </w:r>
            <w:r w:rsidR="00616E97" w:rsidRPr="002A0B6A">
              <w:rPr>
                <w:rFonts w:asciiTheme="minorHAnsi" w:hAnsiTheme="minorHAnsi" w:cs="Segoe UI"/>
                <w:szCs w:val="24"/>
              </w:rPr>
              <w:t xml:space="preserve">2020, la pandémie de COVID-19 a accéléré le recours aux réunions virtuelles </w:t>
            </w:r>
            <w:r w:rsidR="00F33064" w:rsidRPr="002A0B6A">
              <w:rPr>
                <w:rFonts w:asciiTheme="minorHAnsi" w:hAnsiTheme="minorHAnsi" w:cs="Segoe UI"/>
                <w:szCs w:val="24"/>
              </w:rPr>
              <w:t>aux fins de la</w:t>
            </w:r>
            <w:r w:rsidR="00616E97" w:rsidRPr="002A0B6A">
              <w:rPr>
                <w:rFonts w:asciiTheme="minorHAnsi" w:hAnsiTheme="minorHAnsi" w:cs="Segoe UI"/>
                <w:szCs w:val="24"/>
              </w:rPr>
              <w:t xml:space="preserve"> continuité des activités, non seulement à l</w:t>
            </w:r>
            <w:r w:rsidR="00380009" w:rsidRPr="002A0B6A">
              <w:rPr>
                <w:rFonts w:asciiTheme="minorHAnsi" w:hAnsiTheme="minorHAnsi" w:cs="Segoe UI"/>
                <w:szCs w:val="24"/>
              </w:rPr>
              <w:t>'</w:t>
            </w:r>
            <w:r w:rsidR="00616E97" w:rsidRPr="002A0B6A">
              <w:rPr>
                <w:rFonts w:asciiTheme="minorHAnsi" w:hAnsiTheme="minorHAnsi" w:cs="Segoe UI"/>
                <w:szCs w:val="24"/>
              </w:rPr>
              <w:t>UIT, mais dans tous les secteurs d</w:t>
            </w:r>
            <w:r w:rsidR="00380009" w:rsidRPr="002A0B6A">
              <w:rPr>
                <w:rFonts w:asciiTheme="minorHAnsi" w:hAnsiTheme="minorHAnsi" w:cs="Segoe UI"/>
                <w:szCs w:val="24"/>
              </w:rPr>
              <w:t>'</w:t>
            </w:r>
            <w:r w:rsidR="00616E97" w:rsidRPr="002A0B6A">
              <w:rPr>
                <w:rFonts w:asciiTheme="minorHAnsi" w:hAnsiTheme="minorHAnsi" w:cs="Segoe UI"/>
                <w:szCs w:val="24"/>
              </w:rPr>
              <w:t>activité.</w:t>
            </w:r>
            <w:r w:rsidR="008C37D5" w:rsidRPr="002A0B6A">
              <w:rPr>
                <w:rFonts w:asciiTheme="minorHAnsi" w:hAnsiTheme="minorHAnsi" w:cs="Segoe UI"/>
                <w:szCs w:val="24"/>
              </w:rPr>
              <w:t xml:space="preserve"> </w:t>
            </w:r>
            <w:r w:rsidR="0065592A" w:rsidRPr="002A0B6A">
              <w:rPr>
                <w:rFonts w:asciiTheme="minorHAnsi" w:hAnsiTheme="minorHAnsi" w:cs="Segoe UI"/>
                <w:szCs w:val="24"/>
              </w:rPr>
              <w:t>Le présent rapport rend compte des mesures</w:t>
            </w:r>
            <w:r w:rsidR="00380009" w:rsidRPr="002A0B6A">
              <w:rPr>
                <w:rFonts w:asciiTheme="minorHAnsi" w:hAnsiTheme="minorHAnsi" w:cs="Segoe UI"/>
                <w:szCs w:val="24"/>
              </w:rPr>
              <w:t xml:space="preserve"> </w:t>
            </w:r>
            <w:r w:rsidR="0065592A" w:rsidRPr="002A0B6A">
              <w:rPr>
                <w:rFonts w:asciiTheme="minorHAnsi" w:hAnsiTheme="minorHAnsi" w:cs="Segoe UI"/>
                <w:szCs w:val="24"/>
              </w:rPr>
              <w:t>prise</w:t>
            </w:r>
            <w:r w:rsidR="00225C6E" w:rsidRPr="002A0B6A">
              <w:rPr>
                <w:rFonts w:asciiTheme="minorHAnsi" w:hAnsiTheme="minorHAnsi" w:cs="Segoe UI"/>
                <w:szCs w:val="24"/>
              </w:rPr>
              <w:t>s</w:t>
            </w:r>
            <w:r w:rsidR="0065592A" w:rsidRPr="002A0B6A">
              <w:rPr>
                <w:rFonts w:asciiTheme="minorHAnsi" w:hAnsiTheme="minorHAnsi" w:cs="Segoe UI"/>
                <w:szCs w:val="24"/>
              </w:rPr>
              <w:t xml:space="preserve"> par l</w:t>
            </w:r>
            <w:r w:rsidR="00380009" w:rsidRPr="002A0B6A">
              <w:rPr>
                <w:rFonts w:asciiTheme="minorHAnsi" w:hAnsiTheme="minorHAnsi" w:cs="Segoe UI"/>
                <w:szCs w:val="24"/>
              </w:rPr>
              <w:t>'</w:t>
            </w:r>
            <w:r w:rsidR="0065592A" w:rsidRPr="002A0B6A">
              <w:rPr>
                <w:rFonts w:asciiTheme="minorHAnsi" w:hAnsiTheme="minorHAnsi" w:cs="Segoe UI"/>
                <w:szCs w:val="24"/>
              </w:rPr>
              <w:t>UIT concernant les méthodes de travail électroniques</w:t>
            </w:r>
            <w:r w:rsidR="00380009" w:rsidRPr="002A0B6A">
              <w:rPr>
                <w:rFonts w:asciiTheme="minorHAnsi" w:hAnsiTheme="minorHAnsi" w:cs="Segoe UI"/>
                <w:szCs w:val="24"/>
              </w:rPr>
              <w:t xml:space="preserve"> </w:t>
            </w:r>
            <w:r w:rsidR="0065592A" w:rsidRPr="002A0B6A">
              <w:rPr>
                <w:rFonts w:asciiTheme="minorHAnsi" w:hAnsiTheme="minorHAnsi" w:cs="Segoe UI"/>
                <w:szCs w:val="24"/>
              </w:rPr>
              <w:t>décrites dans l</w:t>
            </w:r>
            <w:r w:rsidR="00380009" w:rsidRPr="002A0B6A">
              <w:rPr>
                <w:rFonts w:asciiTheme="minorHAnsi" w:hAnsiTheme="minorHAnsi" w:cs="Segoe UI"/>
                <w:szCs w:val="24"/>
              </w:rPr>
              <w:t>'</w:t>
            </w:r>
            <w:r w:rsidR="0065592A" w:rsidRPr="002A0B6A">
              <w:rPr>
                <w:rFonts w:asciiTheme="minorHAnsi" w:hAnsiTheme="minorHAnsi" w:cs="Segoe UI"/>
                <w:szCs w:val="24"/>
              </w:rPr>
              <w:t xml:space="preserve">Annexe 1 de la Résolution 167, </w:t>
            </w:r>
            <w:r w:rsidR="00225C6E" w:rsidRPr="002A0B6A">
              <w:rPr>
                <w:rFonts w:asciiTheme="minorHAnsi" w:hAnsiTheme="minorHAnsi" w:cs="Segoe UI"/>
                <w:szCs w:val="24"/>
              </w:rPr>
              <w:t xml:space="preserve">qui visent </w:t>
            </w:r>
            <w:r w:rsidR="0065592A" w:rsidRPr="002A0B6A">
              <w:rPr>
                <w:rFonts w:asciiTheme="minorHAnsi" w:hAnsiTheme="minorHAnsi" w:cs="Segoe UI"/>
                <w:szCs w:val="24"/>
              </w:rPr>
              <w:t>à tenir compte des incidences juridiques, techniques et financières, ainsi que des conséquences sur le plan de la sécurité</w:t>
            </w:r>
            <w:r w:rsidR="00F33064" w:rsidRPr="002A0B6A">
              <w:rPr>
                <w:rFonts w:asciiTheme="minorHAnsi" w:hAnsiTheme="minorHAnsi" w:cs="Segoe UI"/>
                <w:szCs w:val="24"/>
              </w:rPr>
              <w:t>,</w:t>
            </w:r>
            <w:r w:rsidR="0065592A" w:rsidRPr="002A0B6A">
              <w:rPr>
                <w:rFonts w:asciiTheme="minorHAnsi" w:hAnsiTheme="minorHAnsi" w:cs="Segoe UI"/>
                <w:szCs w:val="24"/>
              </w:rPr>
              <w:t xml:space="preserve"> d</w:t>
            </w:r>
            <w:r w:rsidR="00380009" w:rsidRPr="002A0B6A">
              <w:rPr>
                <w:rFonts w:asciiTheme="minorHAnsi" w:hAnsiTheme="minorHAnsi" w:cs="Segoe UI"/>
                <w:szCs w:val="24"/>
              </w:rPr>
              <w:t>'</w:t>
            </w:r>
            <w:r w:rsidR="0065592A" w:rsidRPr="002A0B6A">
              <w:rPr>
                <w:rFonts w:asciiTheme="minorHAnsi" w:hAnsiTheme="minorHAnsi" w:cs="Segoe UI"/>
                <w:szCs w:val="24"/>
              </w:rPr>
              <w:t>une augmentation des capacités de l</w:t>
            </w:r>
            <w:r w:rsidR="00380009" w:rsidRPr="002A0B6A">
              <w:rPr>
                <w:rFonts w:asciiTheme="minorHAnsi" w:hAnsiTheme="minorHAnsi" w:cs="Segoe UI"/>
                <w:szCs w:val="24"/>
              </w:rPr>
              <w:t>'</w:t>
            </w:r>
            <w:r w:rsidR="0065592A" w:rsidRPr="002A0B6A">
              <w:rPr>
                <w:rFonts w:asciiTheme="minorHAnsi" w:hAnsiTheme="minorHAnsi" w:cs="Segoe UI"/>
                <w:szCs w:val="24"/>
              </w:rPr>
              <w:t>UIT concernant les méthodes de travail électroniques, et des difficultés rencontrées par l</w:t>
            </w:r>
            <w:r w:rsidR="00380009" w:rsidRPr="002A0B6A">
              <w:rPr>
                <w:rFonts w:asciiTheme="minorHAnsi" w:hAnsiTheme="minorHAnsi" w:cs="Segoe UI"/>
                <w:szCs w:val="24"/>
              </w:rPr>
              <w:t>'</w:t>
            </w:r>
            <w:r w:rsidR="0065592A" w:rsidRPr="002A0B6A">
              <w:rPr>
                <w:rFonts w:asciiTheme="minorHAnsi" w:hAnsiTheme="minorHAnsi" w:cs="Segoe UI"/>
                <w:szCs w:val="24"/>
              </w:rPr>
              <w:t xml:space="preserve">Union dans le cadre de la mise en </w:t>
            </w:r>
            <w:r w:rsidR="00F33064" w:rsidRPr="002A0B6A">
              <w:rPr>
                <w:rFonts w:asciiTheme="minorHAnsi" w:hAnsiTheme="minorHAnsi" w:cs="Segoe UI"/>
                <w:szCs w:val="24"/>
              </w:rPr>
              <w:t>œuvre</w:t>
            </w:r>
            <w:r w:rsidR="0065592A" w:rsidRPr="002A0B6A">
              <w:rPr>
                <w:rFonts w:asciiTheme="minorHAnsi" w:hAnsiTheme="minorHAnsi" w:cs="Segoe UI"/>
                <w:szCs w:val="24"/>
              </w:rPr>
              <w:t xml:space="preserve"> de ces mesures.</w:t>
            </w:r>
          </w:p>
          <w:p w14:paraId="768A2FF0" w14:textId="4FAEFF70" w:rsidR="0009607E" w:rsidRPr="007632EF" w:rsidRDefault="00A03FF5" w:rsidP="00380009">
            <w:pPr>
              <w:tabs>
                <w:tab w:val="clear" w:pos="567"/>
                <w:tab w:val="clear" w:pos="1134"/>
                <w:tab w:val="clear" w:pos="1701"/>
                <w:tab w:val="clear" w:pos="2268"/>
                <w:tab w:val="clear" w:pos="2835"/>
              </w:tabs>
              <w:rPr>
                <w:sz w:val="22"/>
                <w:szCs w:val="22"/>
              </w:rPr>
            </w:pPr>
            <w:r w:rsidRPr="002A0B6A">
              <w:rPr>
                <w:rFonts w:eastAsia="Calibri" w:cs="Calibri"/>
                <w:szCs w:val="24"/>
              </w:rPr>
              <w:t>Les ressources supplémentaires</w:t>
            </w:r>
            <w:r w:rsidR="00380009" w:rsidRPr="002A0B6A">
              <w:rPr>
                <w:rFonts w:eastAsia="Calibri" w:cs="Calibri"/>
                <w:szCs w:val="24"/>
              </w:rPr>
              <w:t xml:space="preserve"> </w:t>
            </w:r>
            <w:r w:rsidRPr="002A0B6A">
              <w:rPr>
                <w:rFonts w:eastAsia="Calibri" w:cs="Calibri"/>
                <w:szCs w:val="24"/>
              </w:rPr>
              <w:t xml:space="preserve">nécessaires pour </w:t>
            </w:r>
            <w:r w:rsidR="00F33064" w:rsidRPr="002A0B6A">
              <w:rPr>
                <w:rFonts w:eastAsia="Calibri" w:cs="Calibri"/>
                <w:szCs w:val="24"/>
              </w:rPr>
              <w:t>organiser des réunions entièrement virtuelles et des réunions physiques</w:t>
            </w:r>
            <w:r w:rsidRPr="002A0B6A">
              <w:rPr>
                <w:rFonts w:eastAsia="Calibri" w:cs="Calibri"/>
                <w:szCs w:val="24"/>
              </w:rPr>
              <w:t xml:space="preserve"> avec</w:t>
            </w:r>
            <w:r w:rsidR="00380009" w:rsidRPr="002A0B6A">
              <w:rPr>
                <w:rFonts w:eastAsia="Calibri" w:cs="Calibri"/>
                <w:szCs w:val="24"/>
              </w:rPr>
              <w:t xml:space="preserve"> </w:t>
            </w:r>
            <w:r w:rsidRPr="002A0B6A">
              <w:rPr>
                <w:rFonts w:eastAsia="Calibri" w:cs="Calibri"/>
                <w:szCs w:val="24"/>
              </w:rPr>
              <w:t>participation à distance pour la période</w:t>
            </w:r>
            <w:r w:rsidR="00380009" w:rsidRPr="002A0B6A">
              <w:rPr>
                <w:rFonts w:eastAsia="Calibri" w:cs="Calibri"/>
                <w:szCs w:val="24"/>
              </w:rPr>
              <w:t> </w:t>
            </w:r>
            <w:r w:rsidRPr="002A0B6A">
              <w:rPr>
                <w:rFonts w:eastAsia="Calibri" w:cs="Calibri"/>
                <w:szCs w:val="24"/>
              </w:rPr>
              <w:t>2024</w:t>
            </w:r>
            <w:r w:rsidR="00380009" w:rsidRPr="002A0B6A">
              <w:rPr>
                <w:rFonts w:eastAsia="Calibri" w:cs="Calibri"/>
                <w:szCs w:val="24"/>
              </w:rPr>
              <w:noBreakHyphen/>
            </w:r>
            <w:r w:rsidRPr="002A0B6A">
              <w:rPr>
                <w:rFonts w:eastAsia="Calibri" w:cs="Calibri"/>
                <w:szCs w:val="24"/>
              </w:rPr>
              <w:t>2027</w:t>
            </w:r>
            <w:r w:rsidR="00380009" w:rsidRPr="002A0B6A">
              <w:rPr>
                <w:rFonts w:eastAsia="Calibri" w:cs="Calibri"/>
                <w:szCs w:val="24"/>
              </w:rPr>
              <w:t xml:space="preserve"> </w:t>
            </w:r>
            <w:r w:rsidR="00917A15" w:rsidRPr="002A0B6A">
              <w:rPr>
                <w:rFonts w:eastAsia="Calibri" w:cs="Calibri"/>
                <w:szCs w:val="24"/>
              </w:rPr>
              <w:t>sont</w:t>
            </w:r>
            <w:r w:rsidR="00380009" w:rsidRPr="002A0B6A">
              <w:rPr>
                <w:rFonts w:eastAsia="Calibri" w:cs="Calibri"/>
                <w:szCs w:val="24"/>
              </w:rPr>
              <w:t xml:space="preserve"> </w:t>
            </w:r>
            <w:r w:rsidR="00917A15" w:rsidRPr="002A0B6A">
              <w:rPr>
                <w:rFonts w:eastAsia="Calibri" w:cs="Calibri"/>
                <w:szCs w:val="24"/>
              </w:rPr>
              <w:t>incluses</w:t>
            </w:r>
            <w:r w:rsidR="00380009" w:rsidRPr="002A0B6A">
              <w:rPr>
                <w:rFonts w:eastAsia="Calibri" w:cs="Calibri"/>
                <w:szCs w:val="24"/>
              </w:rPr>
              <w:t xml:space="preserve"> </w:t>
            </w:r>
            <w:r w:rsidR="00917A15" w:rsidRPr="002A0B6A">
              <w:rPr>
                <w:rFonts w:eastAsia="Calibri" w:cs="Calibri"/>
                <w:szCs w:val="24"/>
              </w:rPr>
              <w:t>dans les</w:t>
            </w:r>
            <w:r w:rsidRPr="002A0B6A">
              <w:rPr>
                <w:rFonts w:eastAsia="Calibri" w:cs="Calibri"/>
                <w:szCs w:val="24"/>
              </w:rPr>
              <w:t xml:space="preserve"> activités demandées, mais non budgétées (UMAC)</w:t>
            </w:r>
            <w:r w:rsidR="00F75746" w:rsidRPr="002A0B6A">
              <w:rPr>
                <w:rFonts w:eastAsia="Calibri" w:cs="Calibri"/>
                <w:szCs w:val="24"/>
              </w:rPr>
              <w:t>,</w:t>
            </w:r>
            <w:r w:rsidRPr="002A0B6A">
              <w:rPr>
                <w:rFonts w:eastAsia="Calibri" w:cs="Calibri"/>
                <w:szCs w:val="24"/>
              </w:rPr>
              <w:t xml:space="preserve"> </w:t>
            </w:r>
            <w:r w:rsidR="00F75746" w:rsidRPr="002A0B6A">
              <w:rPr>
                <w:rFonts w:eastAsia="Calibri" w:cs="Calibri"/>
                <w:szCs w:val="24"/>
              </w:rPr>
              <w:t>présentées</w:t>
            </w:r>
            <w:r w:rsidRPr="002A0B6A">
              <w:rPr>
                <w:rFonts w:eastAsia="Calibri" w:cs="Calibri"/>
                <w:szCs w:val="24"/>
              </w:rPr>
              <w:t xml:space="preserve"> dans le projet de</w:t>
            </w:r>
            <w:r w:rsidR="002A0B6A">
              <w:rPr>
                <w:rFonts w:eastAsia="Calibri" w:cs="Calibri"/>
                <w:szCs w:val="24"/>
              </w:rPr>
              <w:t xml:space="preserve"> Plan financier pour la période </w:t>
            </w:r>
            <w:r w:rsidRPr="002A0B6A">
              <w:rPr>
                <w:rFonts w:eastAsia="Calibri" w:cs="Calibri"/>
                <w:szCs w:val="24"/>
              </w:rPr>
              <w:t>2024-2027.</w:t>
            </w:r>
          </w:p>
          <w:p w14:paraId="2E5E0A17" w14:textId="77777777" w:rsidR="0009607E" w:rsidRPr="007632EF" w:rsidRDefault="008C37D5" w:rsidP="00380009">
            <w:pPr>
              <w:pStyle w:val="Headingb"/>
              <w:snapToGrid w:val="0"/>
              <w:spacing w:before="120" w:after="120"/>
              <w:rPr>
                <w:rFonts w:asciiTheme="minorHAnsi" w:hAnsiTheme="minorHAnsi"/>
                <w:szCs w:val="24"/>
              </w:rPr>
            </w:pPr>
            <w:proofErr w:type="gramStart"/>
            <w:r w:rsidRPr="007632EF">
              <w:rPr>
                <w:rFonts w:asciiTheme="minorHAnsi" w:hAnsiTheme="minorHAnsi"/>
                <w:szCs w:val="24"/>
              </w:rPr>
              <w:t>Suite à</w:t>
            </w:r>
            <w:proofErr w:type="gramEnd"/>
            <w:r w:rsidRPr="007632EF">
              <w:rPr>
                <w:rFonts w:asciiTheme="minorHAnsi" w:hAnsiTheme="minorHAnsi"/>
                <w:szCs w:val="24"/>
              </w:rPr>
              <w:t xml:space="preserve"> donner</w:t>
            </w:r>
          </w:p>
          <w:p w14:paraId="68B5F097" w14:textId="7CB355B0" w:rsidR="0009607E" w:rsidRPr="007632EF" w:rsidRDefault="001B77A4" w:rsidP="00380009">
            <w:pPr>
              <w:rPr>
                <w:szCs w:val="24"/>
              </w:rPr>
            </w:pPr>
            <w:r w:rsidRPr="007632EF">
              <w:rPr>
                <w:szCs w:val="24"/>
              </w:rPr>
              <w:t xml:space="preserve">La Conférence de plénipotentiaires est invitée </w:t>
            </w:r>
            <w:r w:rsidRPr="007632EF">
              <w:rPr>
                <w:b/>
                <w:szCs w:val="24"/>
              </w:rPr>
              <w:t>à prendre note</w:t>
            </w:r>
            <w:r w:rsidRPr="007632EF">
              <w:rPr>
                <w:szCs w:val="24"/>
              </w:rPr>
              <w:t xml:space="preserve"> du présent rapport.</w:t>
            </w:r>
          </w:p>
          <w:p w14:paraId="26DBC1B3" w14:textId="77777777" w:rsidR="0009607E" w:rsidRPr="007632EF" w:rsidRDefault="008C37D5" w:rsidP="00380009">
            <w:pPr>
              <w:jc w:val="center"/>
              <w:rPr>
                <w:caps/>
                <w:szCs w:val="24"/>
              </w:rPr>
            </w:pPr>
            <w:r w:rsidRPr="007632EF">
              <w:rPr>
                <w:szCs w:val="24"/>
              </w:rPr>
              <w:t>____________</w:t>
            </w:r>
          </w:p>
          <w:p w14:paraId="57A2B8A2" w14:textId="77777777" w:rsidR="0009607E" w:rsidRPr="007632EF" w:rsidRDefault="008C37D5" w:rsidP="00380009">
            <w:pPr>
              <w:pStyle w:val="Headingb"/>
              <w:keepNext w:val="0"/>
              <w:keepLines w:val="0"/>
              <w:spacing w:before="120" w:after="120"/>
              <w:rPr>
                <w:szCs w:val="24"/>
              </w:rPr>
            </w:pPr>
            <w:r w:rsidRPr="007632EF">
              <w:rPr>
                <w:szCs w:val="24"/>
              </w:rPr>
              <w:t>Références</w:t>
            </w:r>
          </w:p>
          <w:p w14:paraId="1891F911" w14:textId="59B2E788" w:rsidR="0009607E" w:rsidRPr="007632EF" w:rsidRDefault="004829FA" w:rsidP="00380009">
            <w:pPr>
              <w:spacing w:before="0"/>
              <w:rPr>
                <w:i/>
                <w:iCs/>
                <w:szCs w:val="24"/>
              </w:rPr>
            </w:pPr>
            <w:hyperlink r:id="rId9" w:tgtFrame="_blank" w:history="1">
              <w:r w:rsidR="00380009" w:rsidRPr="007632EF">
                <w:rPr>
                  <w:rFonts w:cs="Calibri"/>
                  <w:i/>
                  <w:iCs/>
                  <w:color w:val="0000FF"/>
                  <w:szCs w:val="24"/>
                  <w:u w:val="single"/>
                  <w:shd w:val="clear" w:color="auto" w:fill="FFFFFF"/>
                </w:rPr>
                <w:t>Décision 5 (Rév. Dubaï, 2018)</w:t>
              </w:r>
            </w:hyperlink>
            <w:r w:rsidR="00380009" w:rsidRPr="007632EF">
              <w:rPr>
                <w:i/>
                <w:iCs/>
                <w:color w:val="000000"/>
                <w:szCs w:val="24"/>
                <w:shd w:val="clear" w:color="auto" w:fill="FFFFFF"/>
              </w:rPr>
              <w:t xml:space="preserve"> et </w:t>
            </w:r>
            <w:hyperlink r:id="rId10" w:tgtFrame="_blank" w:history="1">
              <w:r w:rsidR="00215B65" w:rsidRPr="007632EF">
                <w:rPr>
                  <w:rFonts w:cs="Calibri"/>
                  <w:i/>
                  <w:iCs/>
                  <w:color w:val="0000FF"/>
                  <w:szCs w:val="24"/>
                  <w:u w:val="single"/>
                  <w:shd w:val="clear" w:color="auto" w:fill="FFFFFF"/>
                </w:rPr>
                <w:t>Résolution 167 (Rév. Dubaï, 2018)</w:t>
              </w:r>
            </w:hyperlink>
            <w:r w:rsidR="00F560CE" w:rsidRPr="007632EF">
              <w:rPr>
                <w:rFonts w:cs="Calibri"/>
                <w:i/>
                <w:iCs/>
                <w:color w:val="000000"/>
                <w:szCs w:val="24"/>
                <w:shd w:val="clear" w:color="auto" w:fill="FFFFFF"/>
              </w:rPr>
              <w:t xml:space="preserve"> de la PP-</w:t>
            </w:r>
            <w:proofErr w:type="gramStart"/>
            <w:r w:rsidR="00F560CE" w:rsidRPr="007632EF">
              <w:rPr>
                <w:rFonts w:cs="Calibri"/>
                <w:i/>
                <w:iCs/>
                <w:color w:val="000000"/>
                <w:szCs w:val="24"/>
                <w:shd w:val="clear" w:color="auto" w:fill="FFFFFF"/>
              </w:rPr>
              <w:t>18</w:t>
            </w:r>
            <w:r w:rsidR="00215B65" w:rsidRPr="007632EF">
              <w:rPr>
                <w:rFonts w:cs="Calibri"/>
                <w:i/>
                <w:iCs/>
                <w:color w:val="000000"/>
                <w:szCs w:val="24"/>
                <w:shd w:val="clear" w:color="auto" w:fill="FFFFFF"/>
              </w:rPr>
              <w:t>;</w:t>
            </w:r>
            <w:proofErr w:type="gramEnd"/>
          </w:p>
          <w:p w14:paraId="330CCF54" w14:textId="7853B9B3" w:rsidR="0009607E" w:rsidRPr="007632EF" w:rsidRDefault="008C37D5" w:rsidP="00380009">
            <w:pPr>
              <w:spacing w:before="0"/>
              <w:rPr>
                <w:rFonts w:cs="Calibri"/>
                <w:i/>
                <w:color w:val="000000"/>
                <w:szCs w:val="24"/>
                <w:shd w:val="clear" w:color="auto" w:fill="FFFFFF"/>
              </w:rPr>
            </w:pPr>
            <w:r w:rsidRPr="007632EF">
              <w:rPr>
                <w:rFonts w:cs="Calibri"/>
                <w:i/>
                <w:iCs/>
                <w:color w:val="000000"/>
                <w:szCs w:val="24"/>
                <w:shd w:val="clear" w:color="auto" w:fill="FFFFFF"/>
              </w:rPr>
              <w:t xml:space="preserve">Documents </w:t>
            </w:r>
            <w:hyperlink r:id="rId11" w:tgtFrame="_blank" w:history="1">
              <w:r w:rsidRPr="007632EF">
                <w:rPr>
                  <w:rFonts w:cs="Calibri"/>
                  <w:i/>
                  <w:iCs/>
                  <w:color w:val="0000FF"/>
                  <w:szCs w:val="24"/>
                  <w:u w:val="single"/>
                  <w:shd w:val="clear" w:color="auto" w:fill="FFFFFF"/>
                </w:rPr>
                <w:t>C22/65</w:t>
              </w:r>
            </w:hyperlink>
            <w:r w:rsidRPr="007632EF">
              <w:rPr>
                <w:rFonts w:cs="Calibri"/>
                <w:i/>
                <w:iCs/>
                <w:color w:val="000000"/>
                <w:szCs w:val="24"/>
                <w:shd w:val="clear" w:color="auto" w:fill="FFFFFF"/>
              </w:rPr>
              <w:t xml:space="preserve">; </w:t>
            </w:r>
            <w:hyperlink r:id="rId12" w:history="1">
              <w:r w:rsidRPr="007632EF">
                <w:rPr>
                  <w:i/>
                  <w:iCs/>
                  <w:color w:val="0000FF"/>
                  <w:szCs w:val="24"/>
                  <w:u w:val="single"/>
                  <w:shd w:val="clear" w:color="auto" w:fill="FFFFFF"/>
                </w:rPr>
                <w:t>C22/69</w:t>
              </w:r>
            </w:hyperlink>
            <w:r w:rsidR="00F75746" w:rsidRPr="007632EF">
              <w:rPr>
                <w:i/>
                <w:iCs/>
                <w:color w:val="000000"/>
                <w:szCs w:val="24"/>
                <w:shd w:val="clear" w:color="auto" w:fill="FFFFFF"/>
              </w:rPr>
              <w:t xml:space="preserve"> et</w:t>
            </w:r>
            <w:r w:rsidRPr="007632EF">
              <w:rPr>
                <w:i/>
                <w:iCs/>
                <w:color w:val="000000"/>
                <w:szCs w:val="24"/>
                <w:shd w:val="clear" w:color="auto" w:fill="FFFFFF"/>
              </w:rPr>
              <w:t xml:space="preserve"> </w:t>
            </w:r>
            <w:hyperlink r:id="rId13" w:history="1">
              <w:r w:rsidRPr="007632EF">
                <w:rPr>
                  <w:i/>
                  <w:iCs/>
                  <w:color w:val="0000FF"/>
                  <w:szCs w:val="24"/>
                  <w:u w:val="single"/>
                  <w:shd w:val="clear" w:color="auto" w:fill="FFFFFF"/>
                </w:rPr>
                <w:t>C22/73</w:t>
              </w:r>
            </w:hyperlink>
            <w:r w:rsidR="00F75746" w:rsidRPr="007632EF">
              <w:rPr>
                <w:i/>
                <w:iCs/>
                <w:color w:val="000000"/>
                <w:szCs w:val="24"/>
                <w:shd w:val="clear" w:color="auto" w:fill="FFFFFF"/>
              </w:rPr>
              <w:t xml:space="preserve"> du </w:t>
            </w:r>
            <w:proofErr w:type="gramStart"/>
            <w:r w:rsidR="00F75746" w:rsidRPr="007632EF">
              <w:rPr>
                <w:i/>
                <w:iCs/>
                <w:color w:val="000000"/>
                <w:szCs w:val="24"/>
                <w:shd w:val="clear" w:color="auto" w:fill="FFFFFF"/>
              </w:rPr>
              <w:t>Conseil;</w:t>
            </w:r>
            <w:proofErr w:type="gramEnd"/>
            <w:r w:rsidR="00F75746" w:rsidRPr="007632EF">
              <w:rPr>
                <w:i/>
                <w:iCs/>
                <w:color w:val="000000"/>
                <w:szCs w:val="24"/>
                <w:shd w:val="clear" w:color="auto" w:fill="FFFFFF"/>
              </w:rPr>
              <w:t xml:space="preserve"> Document</w:t>
            </w:r>
            <w:r w:rsidRPr="007632EF">
              <w:rPr>
                <w:i/>
                <w:iCs/>
                <w:color w:val="000000"/>
                <w:szCs w:val="24"/>
                <w:shd w:val="clear" w:color="auto" w:fill="FFFFFF"/>
              </w:rPr>
              <w:t xml:space="preserve"> </w:t>
            </w:r>
            <w:hyperlink r:id="rId14" w:tgtFrame="_blank" w:history="1">
              <w:r w:rsidRPr="007632EF">
                <w:rPr>
                  <w:rFonts w:cs="Calibri"/>
                  <w:i/>
                  <w:iCs/>
                  <w:color w:val="0000FF"/>
                  <w:szCs w:val="24"/>
                  <w:u w:val="single"/>
                  <w:shd w:val="clear" w:color="auto" w:fill="FFFFFF"/>
                </w:rPr>
                <w:t>CWG-FHR-15/19</w:t>
              </w:r>
            </w:hyperlink>
            <w:r w:rsidRPr="007632EF">
              <w:rPr>
                <w:rFonts w:cs="Calibri"/>
                <w:i/>
                <w:iCs/>
                <w:color w:val="000000"/>
                <w:szCs w:val="24"/>
                <w:shd w:val="clear" w:color="auto" w:fill="FFFFFF"/>
              </w:rPr>
              <w:t>;</w:t>
            </w:r>
          </w:p>
          <w:p w14:paraId="31B1F012" w14:textId="54856DED" w:rsidR="00380009" w:rsidRPr="007632EF" w:rsidRDefault="004829FA" w:rsidP="00380009">
            <w:pPr>
              <w:spacing w:before="0"/>
              <w:rPr>
                <w:i/>
                <w:color w:val="0000FF"/>
                <w:sz w:val="22"/>
                <w:szCs w:val="22"/>
                <w:u w:val="single"/>
              </w:rPr>
            </w:pPr>
            <w:hyperlink r:id="rId15" w:history="1">
              <w:r w:rsidR="00215B65" w:rsidRPr="007632EF">
                <w:rPr>
                  <w:i/>
                  <w:color w:val="0000FF"/>
                  <w:szCs w:val="24"/>
                  <w:u w:val="single"/>
                </w:rPr>
                <w:t>Résolution 32 (Rév. Hammamet, 2016)</w:t>
              </w:r>
            </w:hyperlink>
            <w:r w:rsidR="00F560CE" w:rsidRPr="007632EF">
              <w:rPr>
                <w:rFonts w:cs="Calibri"/>
                <w:i/>
                <w:iCs/>
                <w:color w:val="000000"/>
                <w:szCs w:val="24"/>
                <w:shd w:val="clear" w:color="auto" w:fill="FFFFFF"/>
              </w:rPr>
              <w:t xml:space="preserve"> de l</w:t>
            </w:r>
            <w:r w:rsidR="00380009" w:rsidRPr="007632EF">
              <w:rPr>
                <w:rFonts w:cs="Calibri"/>
                <w:i/>
                <w:iCs/>
                <w:color w:val="000000"/>
                <w:szCs w:val="24"/>
                <w:shd w:val="clear" w:color="auto" w:fill="FFFFFF"/>
              </w:rPr>
              <w:t>'</w:t>
            </w:r>
            <w:r w:rsidR="00F560CE" w:rsidRPr="007632EF">
              <w:rPr>
                <w:rFonts w:cs="Calibri"/>
                <w:i/>
                <w:iCs/>
                <w:color w:val="000000"/>
                <w:szCs w:val="24"/>
                <w:shd w:val="clear" w:color="auto" w:fill="FFFFFF"/>
              </w:rPr>
              <w:t>AMNT</w:t>
            </w:r>
            <w:r w:rsidR="008C37D5" w:rsidRPr="007632EF">
              <w:rPr>
                <w:rFonts w:cs="Calibri"/>
                <w:i/>
                <w:iCs/>
                <w:color w:val="000000"/>
                <w:szCs w:val="24"/>
                <w:shd w:val="clear" w:color="auto" w:fill="FFFFFF"/>
              </w:rPr>
              <w:t>,</w:t>
            </w:r>
            <w:r w:rsidR="00F75746" w:rsidRPr="007632EF">
              <w:rPr>
                <w:i/>
                <w:color w:val="000000" w:themeColor="text1"/>
                <w:szCs w:val="24"/>
              </w:rPr>
              <w:t xml:space="preserve"> Documents</w:t>
            </w:r>
            <w:r w:rsidR="008C37D5" w:rsidRPr="007632EF">
              <w:rPr>
                <w:i/>
                <w:szCs w:val="24"/>
              </w:rPr>
              <w:t xml:space="preserve"> </w:t>
            </w:r>
            <w:hyperlink r:id="rId16" w:history="1">
              <w:r w:rsidR="008C37D5" w:rsidRPr="007632EF">
                <w:rPr>
                  <w:i/>
                  <w:color w:val="0000FF"/>
                  <w:szCs w:val="24"/>
                  <w:u w:val="single"/>
                </w:rPr>
                <w:t>TSAG-TD1191</w:t>
              </w:r>
            </w:hyperlink>
            <w:r w:rsidR="00F75746" w:rsidRPr="007632EF">
              <w:rPr>
                <w:i/>
                <w:color w:val="000000" w:themeColor="text1"/>
                <w:szCs w:val="24"/>
              </w:rPr>
              <w:t xml:space="preserve"> et</w:t>
            </w:r>
            <w:r w:rsidR="002A0B6A">
              <w:rPr>
                <w:i/>
                <w:color w:val="000000" w:themeColor="text1"/>
                <w:szCs w:val="24"/>
              </w:rPr>
              <w:t> </w:t>
            </w:r>
            <w:hyperlink r:id="rId17" w:history="1">
              <w:r w:rsidR="008C37D5" w:rsidRPr="007632EF">
                <w:rPr>
                  <w:i/>
                  <w:color w:val="0000FF"/>
                  <w:szCs w:val="24"/>
                  <w:u w:val="single"/>
                </w:rPr>
                <w:t>TSAG</w:t>
              </w:r>
              <w:r w:rsidR="00215B65" w:rsidRPr="007632EF">
                <w:rPr>
                  <w:i/>
                  <w:color w:val="0000FF"/>
                  <w:szCs w:val="24"/>
                  <w:u w:val="single"/>
                </w:rPr>
                <w:noBreakHyphen/>
              </w:r>
              <w:r w:rsidR="008C37D5" w:rsidRPr="007632EF">
                <w:rPr>
                  <w:i/>
                  <w:color w:val="0000FF"/>
                  <w:szCs w:val="24"/>
                  <w:u w:val="single"/>
                </w:rPr>
                <w:t>TD1253</w:t>
              </w:r>
            </w:hyperlink>
            <w:r w:rsidR="00F75746" w:rsidRPr="007632EF">
              <w:rPr>
                <w:i/>
                <w:color w:val="000000" w:themeColor="text1"/>
                <w:szCs w:val="24"/>
              </w:rPr>
              <w:t xml:space="preserve"> du GCNT; </w:t>
            </w:r>
            <w:hyperlink r:id="rId18" w:history="1">
              <w:r w:rsidR="00215B65" w:rsidRPr="007632EF">
                <w:rPr>
                  <w:rStyle w:val="Hyperlink"/>
                  <w:i/>
                  <w:szCs w:val="24"/>
                </w:rPr>
                <w:t>Résolutions 1 et 5 (Rév. Kigali, 2022)</w:t>
              </w:r>
            </w:hyperlink>
            <w:r w:rsidR="00215B65" w:rsidRPr="007632EF">
              <w:rPr>
                <w:iCs/>
                <w:color w:val="000000"/>
                <w:szCs w:val="24"/>
                <w:shd w:val="clear" w:color="auto" w:fill="FFFFFF"/>
              </w:rPr>
              <w:t xml:space="preserve"> </w:t>
            </w:r>
            <w:r w:rsidR="00F560CE" w:rsidRPr="007632EF">
              <w:rPr>
                <w:i/>
                <w:iCs/>
                <w:color w:val="000000"/>
                <w:szCs w:val="24"/>
                <w:shd w:val="clear" w:color="auto" w:fill="FFFFFF"/>
              </w:rPr>
              <w:t>de la CMDT</w:t>
            </w:r>
          </w:p>
        </w:tc>
      </w:tr>
    </w:tbl>
    <w:p w14:paraId="5380E24D" w14:textId="43396A8C" w:rsidR="0009607E" w:rsidRPr="007632EF" w:rsidRDefault="006575B7" w:rsidP="00215B65">
      <w:pPr>
        <w:spacing w:before="240"/>
      </w:pPr>
      <w:r w:rsidRPr="007632EF">
        <w:t xml:space="preserve">Le présent document </w:t>
      </w:r>
      <w:proofErr w:type="gramStart"/>
      <w:r w:rsidRPr="007632EF">
        <w:t>donne</w:t>
      </w:r>
      <w:proofErr w:type="gramEnd"/>
      <w:r w:rsidRPr="007632EF">
        <w:t xml:space="preserve"> des informations sur les activités qui ont été mises en œuvre conformément à la Résolution 167 (Rév.</w:t>
      </w:r>
      <w:r w:rsidR="008C37D5" w:rsidRPr="007632EF">
        <w:t> </w:t>
      </w:r>
      <w:r w:rsidR="00953059" w:rsidRPr="007632EF">
        <w:t>Dubaï, 2018) de la Conférence de plénipotentiaires au cours de la période 2018-2022.</w:t>
      </w:r>
    </w:p>
    <w:p w14:paraId="1276938B" w14:textId="77777777" w:rsidR="0009607E" w:rsidRPr="007632EF" w:rsidRDefault="008C37D5" w:rsidP="00380009">
      <w:pPr>
        <w:pStyle w:val="Heading1"/>
        <w:rPr>
          <w:rFonts w:eastAsiaTheme="minorEastAsia"/>
          <w:lang w:eastAsia="zh-CN"/>
        </w:rPr>
      </w:pPr>
      <w:r w:rsidRPr="007632EF">
        <w:rPr>
          <w:rFonts w:eastAsiaTheme="minorEastAsia"/>
          <w:lang w:eastAsia="zh-CN"/>
        </w:rPr>
        <w:lastRenderedPageBreak/>
        <w:t>1</w:t>
      </w:r>
      <w:r w:rsidRPr="007632EF">
        <w:rPr>
          <w:rFonts w:eastAsiaTheme="minorEastAsia"/>
          <w:lang w:eastAsia="zh-CN"/>
        </w:rPr>
        <w:tab/>
        <w:t>Introduction</w:t>
      </w:r>
    </w:p>
    <w:p w14:paraId="6A0700BA" w14:textId="3BFDF00C" w:rsidR="0009607E" w:rsidRPr="007632EF" w:rsidRDefault="00F75746" w:rsidP="00380009">
      <w:r w:rsidRPr="007632EF">
        <w:t>À l</w:t>
      </w:r>
      <w:r w:rsidR="00380009" w:rsidRPr="007632EF">
        <w:t>'</w:t>
      </w:r>
      <w:r w:rsidRPr="007632EF">
        <w:t>heure actuelle</w:t>
      </w:r>
      <w:r w:rsidR="003A2A4C" w:rsidRPr="007632EF">
        <w:t xml:space="preserve">, la </w:t>
      </w:r>
      <w:r w:rsidR="00917A15" w:rsidRPr="007632EF">
        <w:t>plupart</w:t>
      </w:r>
      <w:r w:rsidR="003A2A4C" w:rsidRPr="007632EF">
        <w:t xml:space="preserve"> des manifestations de l</w:t>
      </w:r>
      <w:r w:rsidR="00380009" w:rsidRPr="007632EF">
        <w:t>'</w:t>
      </w:r>
      <w:r w:rsidR="003A2A4C" w:rsidRPr="007632EF">
        <w:t>UIT comportent des séances relevant de l</w:t>
      </w:r>
      <w:r w:rsidR="00380009" w:rsidRPr="007632EF">
        <w:t>'</w:t>
      </w:r>
      <w:r w:rsidR="003A2A4C" w:rsidRPr="007632EF">
        <w:t xml:space="preserve">une des trois catégories </w:t>
      </w:r>
      <w:proofErr w:type="gramStart"/>
      <w:r w:rsidR="003A2A4C" w:rsidRPr="007632EF">
        <w:t>suivantes:</w:t>
      </w:r>
      <w:proofErr w:type="gramEnd"/>
    </w:p>
    <w:p w14:paraId="29B3D97B" w14:textId="5120D244" w:rsidR="0009607E" w:rsidRPr="007632EF" w:rsidRDefault="008C37D5" w:rsidP="00380009">
      <w:pPr>
        <w:pStyle w:val="enumlev1"/>
        <w:rPr>
          <w:rFonts w:eastAsiaTheme="minorEastAsia"/>
          <w:lang w:eastAsia="zh-CN"/>
        </w:rPr>
      </w:pPr>
      <w:r w:rsidRPr="007632EF">
        <w:rPr>
          <w:rFonts w:eastAsiaTheme="minorEastAsia"/>
          <w:bCs/>
          <w:lang w:eastAsia="zh-CN"/>
        </w:rPr>
        <w:t>1)</w:t>
      </w:r>
      <w:r w:rsidRPr="007632EF">
        <w:rPr>
          <w:rFonts w:eastAsiaTheme="minorEastAsia"/>
          <w:b/>
          <w:bCs/>
          <w:lang w:eastAsia="zh-CN"/>
        </w:rPr>
        <w:tab/>
      </w:r>
      <w:r w:rsidR="00087721" w:rsidRPr="007632EF">
        <w:rPr>
          <w:rFonts w:eastAsiaTheme="minorEastAsia"/>
          <w:b/>
          <w:bCs/>
          <w:lang w:eastAsia="zh-CN"/>
        </w:rPr>
        <w:t xml:space="preserve">Réunion </w:t>
      </w:r>
      <w:r w:rsidR="00A52901" w:rsidRPr="007632EF">
        <w:rPr>
          <w:rFonts w:eastAsiaTheme="minorEastAsia"/>
          <w:b/>
          <w:bCs/>
          <w:lang w:eastAsia="zh-CN"/>
        </w:rPr>
        <w:t>en présentiel</w:t>
      </w:r>
      <w:r w:rsidR="00087721" w:rsidRPr="007632EF">
        <w:rPr>
          <w:rFonts w:eastAsiaTheme="minorEastAsia"/>
          <w:bCs/>
          <w:lang w:eastAsia="zh-CN"/>
        </w:rPr>
        <w:t xml:space="preserve"> </w:t>
      </w:r>
      <w:r w:rsidR="00380009" w:rsidRPr="007632EF">
        <w:rPr>
          <w:rFonts w:eastAsiaTheme="minorEastAsia"/>
          <w:bCs/>
          <w:lang w:eastAsia="zh-CN"/>
        </w:rPr>
        <w:t>–</w:t>
      </w:r>
      <w:r w:rsidR="00087721" w:rsidRPr="007632EF">
        <w:rPr>
          <w:rFonts w:eastAsiaTheme="minorEastAsia"/>
          <w:bCs/>
          <w:lang w:eastAsia="zh-CN"/>
        </w:rPr>
        <w:t xml:space="preserve"> </w:t>
      </w:r>
      <w:r w:rsidR="002A0B6A">
        <w:rPr>
          <w:rFonts w:eastAsiaTheme="minorEastAsia"/>
          <w:bCs/>
          <w:lang w:eastAsia="zh-CN"/>
        </w:rPr>
        <w:t>T</w:t>
      </w:r>
      <w:r w:rsidR="00087721" w:rsidRPr="007632EF">
        <w:rPr>
          <w:rFonts w:eastAsiaTheme="minorEastAsia"/>
          <w:bCs/>
          <w:lang w:eastAsia="zh-CN"/>
        </w:rPr>
        <w:t>ous les participants sont présents physiquement dans la salle de réunion.</w:t>
      </w:r>
    </w:p>
    <w:p w14:paraId="73AB0B76" w14:textId="288A2B78" w:rsidR="0009607E" w:rsidRPr="007632EF" w:rsidRDefault="008C37D5" w:rsidP="00380009">
      <w:pPr>
        <w:pStyle w:val="enumlev1"/>
        <w:rPr>
          <w:rFonts w:eastAsiaTheme="minorEastAsia"/>
          <w:lang w:eastAsia="zh-CN"/>
        </w:rPr>
      </w:pPr>
      <w:r w:rsidRPr="007632EF">
        <w:rPr>
          <w:rFonts w:eastAsiaTheme="minorEastAsia"/>
          <w:lang w:eastAsia="zh-CN"/>
        </w:rPr>
        <w:t>2)</w:t>
      </w:r>
      <w:r w:rsidRPr="007632EF">
        <w:rPr>
          <w:rFonts w:eastAsiaTheme="minorEastAsia"/>
          <w:b/>
          <w:lang w:eastAsia="zh-CN"/>
        </w:rPr>
        <w:tab/>
      </w:r>
      <w:r w:rsidR="001D24FE" w:rsidRPr="007632EF">
        <w:rPr>
          <w:rFonts w:eastAsiaTheme="minorEastAsia"/>
          <w:b/>
          <w:lang w:eastAsia="zh-CN"/>
        </w:rPr>
        <w:t>Réunion entièrement virtuelle</w:t>
      </w:r>
      <w:r w:rsidR="001D24FE" w:rsidRPr="007632EF">
        <w:rPr>
          <w:rFonts w:eastAsiaTheme="minorEastAsia"/>
          <w:lang w:eastAsia="zh-CN"/>
        </w:rPr>
        <w:t xml:space="preserve"> </w:t>
      </w:r>
      <w:r w:rsidR="00380009" w:rsidRPr="007632EF">
        <w:rPr>
          <w:rFonts w:eastAsiaTheme="minorEastAsia"/>
          <w:lang w:eastAsia="zh-CN"/>
        </w:rPr>
        <w:t xml:space="preserve">– </w:t>
      </w:r>
      <w:r w:rsidR="002A0B6A">
        <w:rPr>
          <w:rFonts w:eastAsiaTheme="minorEastAsia"/>
          <w:lang w:eastAsia="zh-CN"/>
        </w:rPr>
        <w:t>T</w:t>
      </w:r>
      <w:r w:rsidR="001D24FE" w:rsidRPr="007632EF">
        <w:rPr>
          <w:rFonts w:eastAsiaTheme="minorEastAsia"/>
          <w:lang w:eastAsia="zh-CN"/>
        </w:rPr>
        <w:t>ous les participants assistent à la réunion à distance depuis leurs emplacements respectifs, au moyen d</w:t>
      </w:r>
      <w:r w:rsidR="00380009" w:rsidRPr="007632EF">
        <w:rPr>
          <w:rFonts w:eastAsiaTheme="minorEastAsia"/>
          <w:lang w:eastAsia="zh-CN"/>
        </w:rPr>
        <w:t>'</w:t>
      </w:r>
      <w:r w:rsidR="001D24FE" w:rsidRPr="007632EF">
        <w:rPr>
          <w:rFonts w:eastAsiaTheme="minorEastAsia"/>
          <w:lang w:eastAsia="zh-CN"/>
        </w:rPr>
        <w:t>une plate-forme de conférence</w:t>
      </w:r>
      <w:r w:rsidR="00F75746" w:rsidRPr="007632EF">
        <w:rPr>
          <w:rFonts w:eastAsiaTheme="minorEastAsia"/>
          <w:lang w:eastAsia="zh-CN"/>
        </w:rPr>
        <w:t xml:space="preserve"> sur le web</w:t>
      </w:r>
      <w:r w:rsidR="001D24FE" w:rsidRPr="007632EF">
        <w:rPr>
          <w:rFonts w:eastAsiaTheme="minorEastAsia"/>
          <w:lang w:eastAsia="zh-CN"/>
        </w:rPr>
        <w:t>.</w:t>
      </w:r>
    </w:p>
    <w:p w14:paraId="03E3AE86" w14:textId="245D7200" w:rsidR="0009607E" w:rsidRPr="007632EF" w:rsidRDefault="008C37D5" w:rsidP="00380009">
      <w:pPr>
        <w:pStyle w:val="enumlev1"/>
        <w:rPr>
          <w:rFonts w:eastAsiaTheme="minorEastAsia"/>
          <w:lang w:eastAsia="zh-CN"/>
        </w:rPr>
      </w:pPr>
      <w:r w:rsidRPr="007632EF">
        <w:rPr>
          <w:rFonts w:eastAsiaTheme="minorEastAsia"/>
          <w:lang w:eastAsia="zh-CN"/>
        </w:rPr>
        <w:t>3)</w:t>
      </w:r>
      <w:r w:rsidRPr="007632EF">
        <w:rPr>
          <w:rFonts w:eastAsiaTheme="minorEastAsia"/>
          <w:b/>
          <w:lang w:eastAsia="zh-CN"/>
        </w:rPr>
        <w:tab/>
      </w:r>
      <w:r w:rsidR="00206AD0" w:rsidRPr="007632EF">
        <w:rPr>
          <w:rFonts w:eastAsiaTheme="minorEastAsia"/>
          <w:b/>
          <w:lang w:eastAsia="zh-CN"/>
        </w:rPr>
        <w:t xml:space="preserve">Réunion </w:t>
      </w:r>
      <w:r w:rsidR="00A52901" w:rsidRPr="007632EF">
        <w:rPr>
          <w:rFonts w:eastAsiaTheme="minorEastAsia"/>
          <w:b/>
          <w:lang w:eastAsia="zh-CN"/>
        </w:rPr>
        <w:t>en présentiel</w:t>
      </w:r>
      <w:r w:rsidR="00206AD0" w:rsidRPr="007632EF">
        <w:rPr>
          <w:rFonts w:eastAsiaTheme="minorEastAsia"/>
          <w:b/>
          <w:lang w:eastAsia="zh-CN"/>
        </w:rPr>
        <w:t xml:space="preserve"> avec</w:t>
      </w:r>
      <w:r w:rsidR="00380009" w:rsidRPr="007632EF">
        <w:rPr>
          <w:rFonts w:eastAsiaTheme="minorEastAsia"/>
          <w:b/>
          <w:lang w:eastAsia="zh-CN"/>
        </w:rPr>
        <w:t xml:space="preserve"> </w:t>
      </w:r>
      <w:r w:rsidR="00206AD0" w:rsidRPr="007632EF">
        <w:rPr>
          <w:rFonts w:eastAsiaTheme="minorEastAsia"/>
          <w:b/>
          <w:lang w:eastAsia="zh-CN"/>
        </w:rPr>
        <w:t>participation à distance (intervention)</w:t>
      </w:r>
      <w:r w:rsidR="00206AD0" w:rsidRPr="007632EF">
        <w:rPr>
          <w:rFonts w:eastAsiaTheme="minorEastAsia"/>
          <w:lang w:eastAsia="zh-CN"/>
        </w:rPr>
        <w:t xml:space="preserve"> </w:t>
      </w:r>
      <w:r w:rsidR="00380009" w:rsidRPr="007632EF">
        <w:rPr>
          <w:rFonts w:eastAsiaTheme="minorEastAsia"/>
          <w:lang w:eastAsia="zh-CN"/>
        </w:rPr>
        <w:t>–</w:t>
      </w:r>
      <w:r w:rsidR="00206AD0" w:rsidRPr="007632EF">
        <w:rPr>
          <w:rFonts w:eastAsiaTheme="minorEastAsia"/>
          <w:lang w:eastAsia="zh-CN"/>
        </w:rPr>
        <w:t xml:space="preserve"> </w:t>
      </w:r>
      <w:r w:rsidR="002A0B6A">
        <w:rPr>
          <w:rFonts w:eastAsiaTheme="minorEastAsia"/>
          <w:lang w:eastAsia="zh-CN"/>
        </w:rPr>
        <w:t>L</w:t>
      </w:r>
      <w:r w:rsidR="00206AD0" w:rsidRPr="007632EF">
        <w:rPr>
          <w:rFonts w:eastAsiaTheme="minorEastAsia"/>
          <w:lang w:eastAsia="zh-CN"/>
        </w:rPr>
        <w:t xml:space="preserve">a salle de réunion physique est </w:t>
      </w:r>
      <w:r w:rsidR="00F33064" w:rsidRPr="007632EF">
        <w:rPr>
          <w:rFonts w:eastAsiaTheme="minorEastAsia"/>
          <w:lang w:eastAsia="zh-CN"/>
        </w:rPr>
        <w:t>connectée</w:t>
      </w:r>
      <w:r w:rsidR="00206AD0" w:rsidRPr="007632EF">
        <w:rPr>
          <w:rFonts w:eastAsiaTheme="minorEastAsia"/>
          <w:lang w:eastAsia="zh-CN"/>
        </w:rPr>
        <w:t xml:space="preserve"> à une plate-forme de conférence sur le web.</w:t>
      </w:r>
      <w:r w:rsidRPr="007632EF">
        <w:rPr>
          <w:rFonts w:eastAsiaTheme="minorEastAsia"/>
          <w:lang w:eastAsia="zh-CN"/>
        </w:rPr>
        <w:t xml:space="preserve"> </w:t>
      </w:r>
      <w:r w:rsidR="00A26D79" w:rsidRPr="007632EF">
        <w:rPr>
          <w:rFonts w:eastAsiaTheme="minorEastAsia"/>
          <w:lang w:eastAsia="zh-CN"/>
        </w:rPr>
        <w:t>Les participants peuvent être présents sur place, dans la salle de réunion, ou assister à la séance à distance au moyen d</w:t>
      </w:r>
      <w:r w:rsidR="00380009" w:rsidRPr="007632EF">
        <w:rPr>
          <w:rFonts w:eastAsiaTheme="minorEastAsia"/>
          <w:lang w:eastAsia="zh-CN"/>
        </w:rPr>
        <w:t>'</w:t>
      </w:r>
      <w:r w:rsidR="00A26D79" w:rsidRPr="007632EF">
        <w:rPr>
          <w:rFonts w:eastAsiaTheme="minorEastAsia"/>
          <w:lang w:eastAsia="zh-CN"/>
        </w:rPr>
        <w:t>une plate-forme de conférence sur le web.</w:t>
      </w:r>
    </w:p>
    <w:p w14:paraId="50AAF982" w14:textId="39D8F758" w:rsidR="00B36182" w:rsidRPr="007632EF" w:rsidRDefault="0065592A" w:rsidP="00380009">
      <w:pPr>
        <w:rPr>
          <w:rFonts w:eastAsiaTheme="minorEastAsia"/>
          <w:b/>
          <w:bCs/>
          <w:lang w:eastAsia="zh-CN"/>
        </w:rPr>
      </w:pPr>
      <w:r w:rsidRPr="007632EF">
        <w:t>Le présent rapport rend compte des mesures</w:t>
      </w:r>
      <w:r w:rsidR="00380009" w:rsidRPr="007632EF">
        <w:t xml:space="preserve"> </w:t>
      </w:r>
      <w:r w:rsidRPr="007632EF">
        <w:t>prise</w:t>
      </w:r>
      <w:r w:rsidR="00541C53" w:rsidRPr="007632EF">
        <w:t>s</w:t>
      </w:r>
      <w:r w:rsidRPr="007632EF">
        <w:t xml:space="preserve"> par l</w:t>
      </w:r>
      <w:r w:rsidR="00380009" w:rsidRPr="007632EF">
        <w:t>'</w:t>
      </w:r>
      <w:r w:rsidRPr="007632EF">
        <w:t>UIT concernant les méthodes de travail électroniques décrites dans l</w:t>
      </w:r>
      <w:r w:rsidR="00380009" w:rsidRPr="007632EF">
        <w:t>'</w:t>
      </w:r>
      <w:r w:rsidRPr="007632EF">
        <w:t xml:space="preserve">Annexe 1 de la Résolution 167, </w:t>
      </w:r>
      <w:r w:rsidR="00541C53" w:rsidRPr="007632EF">
        <w:t xml:space="preserve">qui visent </w:t>
      </w:r>
      <w:r w:rsidRPr="007632EF">
        <w:t>à tenir compte des incidences juridiques, techniques et financières, ainsi que des conséquences sur le plan de la sécurité</w:t>
      </w:r>
      <w:r w:rsidR="00F75746" w:rsidRPr="007632EF">
        <w:t>,</w:t>
      </w:r>
      <w:r w:rsidRPr="007632EF">
        <w:t xml:space="preserve"> d</w:t>
      </w:r>
      <w:r w:rsidR="00380009" w:rsidRPr="007632EF">
        <w:t>'</w:t>
      </w:r>
      <w:r w:rsidRPr="007632EF">
        <w:t>une augmentation des capacités de l</w:t>
      </w:r>
      <w:r w:rsidR="00380009" w:rsidRPr="007632EF">
        <w:t>'</w:t>
      </w:r>
      <w:r w:rsidRPr="007632EF">
        <w:t>UIT concernant les méthodes de travail électroniques, et des difficultés rencontrées par l</w:t>
      </w:r>
      <w:r w:rsidR="00380009" w:rsidRPr="007632EF">
        <w:t>'</w:t>
      </w:r>
      <w:r w:rsidRPr="007632EF">
        <w:t xml:space="preserve">Union dans le cadre de la mise en </w:t>
      </w:r>
      <w:r w:rsidR="00F33064" w:rsidRPr="007632EF">
        <w:t>œuvre</w:t>
      </w:r>
      <w:r w:rsidRPr="007632EF">
        <w:t xml:space="preserve"> de ces mesures.</w:t>
      </w:r>
    </w:p>
    <w:p w14:paraId="4A32DE39" w14:textId="79AF5886" w:rsidR="0009607E" w:rsidRPr="007632EF" w:rsidRDefault="008C37D5" w:rsidP="00380009">
      <w:pPr>
        <w:pStyle w:val="Heading1"/>
        <w:rPr>
          <w:rFonts w:eastAsiaTheme="minorEastAsia"/>
          <w:lang w:eastAsia="zh-CN"/>
        </w:rPr>
      </w:pPr>
      <w:r w:rsidRPr="007632EF">
        <w:rPr>
          <w:rFonts w:eastAsiaTheme="minorEastAsia"/>
          <w:lang w:eastAsia="zh-CN"/>
        </w:rPr>
        <w:t>2</w:t>
      </w:r>
      <w:r w:rsidRPr="007632EF">
        <w:rPr>
          <w:rFonts w:eastAsiaTheme="minorEastAsia"/>
          <w:lang w:eastAsia="zh-CN"/>
        </w:rPr>
        <w:tab/>
      </w:r>
      <w:r w:rsidR="001C3339" w:rsidRPr="007632EF">
        <w:rPr>
          <w:rFonts w:eastAsiaTheme="minorEastAsia"/>
          <w:lang w:eastAsia="zh-CN"/>
        </w:rPr>
        <w:t>Préparation des réunions</w:t>
      </w:r>
    </w:p>
    <w:p w14:paraId="1C83FD10" w14:textId="2F57EF6B" w:rsidR="0009607E" w:rsidRPr="007632EF" w:rsidRDefault="008C37D5" w:rsidP="00380009">
      <w:pPr>
        <w:pStyle w:val="Heading2"/>
        <w:rPr>
          <w:rFonts w:eastAsiaTheme="minorEastAsia"/>
          <w:b w:val="0"/>
          <w:i/>
          <w:lang w:eastAsia="zh-CN"/>
        </w:rPr>
      </w:pPr>
      <w:r w:rsidRPr="007632EF">
        <w:rPr>
          <w:rFonts w:eastAsiaTheme="minorEastAsia"/>
          <w:b w:val="0"/>
          <w:i/>
          <w:lang w:eastAsia="zh-CN"/>
        </w:rPr>
        <w:t>2.1</w:t>
      </w:r>
      <w:r w:rsidRPr="007632EF">
        <w:rPr>
          <w:rFonts w:eastAsiaTheme="minorEastAsia"/>
          <w:b w:val="0"/>
          <w:i/>
          <w:lang w:eastAsia="zh-CN"/>
        </w:rPr>
        <w:tab/>
      </w:r>
      <w:r w:rsidR="00496857" w:rsidRPr="007632EF">
        <w:rPr>
          <w:rFonts w:eastAsiaTheme="minorEastAsia"/>
          <w:b w:val="0"/>
          <w:i/>
          <w:lang w:eastAsia="zh-CN"/>
        </w:rPr>
        <w:t>Facteurs devant être pris en considération pour définir si une manifestation/réunion devrait être organisée en présentiel, de façon entièrement virtuelle ou en présentiel avec</w:t>
      </w:r>
      <w:r w:rsidR="00380009" w:rsidRPr="007632EF">
        <w:rPr>
          <w:rFonts w:eastAsiaTheme="minorEastAsia"/>
          <w:b w:val="0"/>
          <w:i/>
          <w:lang w:eastAsia="zh-CN"/>
        </w:rPr>
        <w:t xml:space="preserve"> </w:t>
      </w:r>
      <w:r w:rsidR="00496857" w:rsidRPr="007632EF">
        <w:rPr>
          <w:rFonts w:eastAsiaTheme="minorEastAsia"/>
          <w:b w:val="0"/>
          <w:i/>
          <w:lang w:eastAsia="zh-CN"/>
        </w:rPr>
        <w:t>participation à distance</w:t>
      </w:r>
    </w:p>
    <w:p w14:paraId="0E9005D0" w14:textId="70382DD9" w:rsidR="0009607E" w:rsidRPr="007632EF" w:rsidRDefault="00C015DB" w:rsidP="00380009">
      <w:r w:rsidRPr="007632EF">
        <w:t xml:space="preserve">Les nombreux facteurs qui doivent être pris en </w:t>
      </w:r>
      <w:r w:rsidR="00A52901" w:rsidRPr="007632EF">
        <w:t>considération</w:t>
      </w:r>
      <w:r w:rsidRPr="007632EF">
        <w:t xml:space="preserve"> pour le choix du type de réunion sont notamment:</w:t>
      </w:r>
      <w:r w:rsidR="008C37D5" w:rsidRPr="007632EF">
        <w:t xml:space="preserve"> </w:t>
      </w:r>
      <w:r w:rsidR="003C0D5B" w:rsidRPr="007632EF">
        <w:t>l</w:t>
      </w:r>
      <w:r w:rsidR="00380009" w:rsidRPr="007632EF">
        <w:t>'</w:t>
      </w:r>
      <w:r w:rsidR="003C0D5B" w:rsidRPr="007632EF">
        <w:t>objectif, les participants</w:t>
      </w:r>
      <w:r w:rsidR="00A52901" w:rsidRPr="007632EF">
        <w:t xml:space="preserve"> susceptibles d</w:t>
      </w:r>
      <w:r w:rsidR="00380009" w:rsidRPr="007632EF">
        <w:t>'</w:t>
      </w:r>
      <w:r w:rsidR="00A52901" w:rsidRPr="007632EF">
        <w:t>assister à la réunion</w:t>
      </w:r>
      <w:r w:rsidR="003C0D5B" w:rsidRPr="007632EF">
        <w:t>, la</w:t>
      </w:r>
      <w:r w:rsidR="00380009" w:rsidRPr="007632EF">
        <w:t xml:space="preserve"> </w:t>
      </w:r>
      <w:r w:rsidR="00C3416E" w:rsidRPr="007632EF">
        <w:t xml:space="preserve">proportion </w:t>
      </w:r>
      <w:r w:rsidR="003C0D5B" w:rsidRPr="007632EF">
        <w:t>de participants qui seront présents physiquement, la nature de la réunion (</w:t>
      </w:r>
      <w:r w:rsidR="00C3416E" w:rsidRPr="007632EF">
        <w:t>décisionnelle</w:t>
      </w:r>
      <w:r w:rsidR="00380009" w:rsidRPr="007632EF">
        <w:t xml:space="preserve"> </w:t>
      </w:r>
      <w:r w:rsidR="003C0D5B" w:rsidRPr="007632EF">
        <w:t>ou non</w:t>
      </w:r>
      <w:r w:rsidR="00C3416E" w:rsidRPr="007632EF">
        <w:t xml:space="preserve"> décisionnelle</w:t>
      </w:r>
      <w:r w:rsidR="003C0D5B" w:rsidRPr="007632EF">
        <w:t xml:space="preserve">), </w:t>
      </w:r>
      <w:r w:rsidR="00A52901" w:rsidRPr="007632EF">
        <w:t>la possibilité de tenir un vote</w:t>
      </w:r>
      <w:r w:rsidR="003C0D5B" w:rsidRPr="007632EF">
        <w:t xml:space="preserve">, </w:t>
      </w:r>
      <w:r w:rsidR="00A52901" w:rsidRPr="007632EF">
        <w:t xml:space="preserve">les </w:t>
      </w:r>
      <w:r w:rsidR="003C0D5B" w:rsidRPr="007632EF">
        <w:t xml:space="preserve">conditions sanitaires et </w:t>
      </w:r>
      <w:r w:rsidR="00A52901" w:rsidRPr="007632EF">
        <w:t xml:space="preserve">les </w:t>
      </w:r>
      <w:r w:rsidR="003C0D5B" w:rsidRPr="007632EF">
        <w:t>restrictions en matière de voyages liées au COVID-19 au</w:t>
      </w:r>
      <w:r w:rsidR="00C3416E" w:rsidRPr="007632EF">
        <w:t>x</w:t>
      </w:r>
      <w:r w:rsidR="003C0D5B" w:rsidRPr="007632EF">
        <w:t xml:space="preserve"> niveau</w:t>
      </w:r>
      <w:r w:rsidR="00C3416E" w:rsidRPr="007632EF">
        <w:t>x</w:t>
      </w:r>
      <w:r w:rsidR="003C0D5B" w:rsidRPr="007632EF">
        <w:t xml:space="preserve"> mondial et local, </w:t>
      </w:r>
      <w:r w:rsidR="00C3416E" w:rsidRPr="007632EF">
        <w:t>le type</w:t>
      </w:r>
      <w:r w:rsidR="00380009" w:rsidRPr="007632EF">
        <w:t xml:space="preserve"> </w:t>
      </w:r>
      <w:r w:rsidR="003C0D5B" w:rsidRPr="007632EF">
        <w:t>de</w:t>
      </w:r>
      <w:r w:rsidR="00380009" w:rsidRPr="007632EF">
        <w:t xml:space="preserve"> </w:t>
      </w:r>
      <w:r w:rsidR="003C0D5B" w:rsidRPr="007632EF">
        <w:t>manifestation (réunion d</w:t>
      </w:r>
      <w:r w:rsidR="00380009" w:rsidRPr="007632EF">
        <w:t>'</w:t>
      </w:r>
      <w:r w:rsidR="003C0D5B" w:rsidRPr="007632EF">
        <w:t>une commission d</w:t>
      </w:r>
      <w:r w:rsidR="00380009" w:rsidRPr="007632EF">
        <w:t>'</w:t>
      </w:r>
      <w:r w:rsidR="003C0D5B" w:rsidRPr="007632EF">
        <w:t xml:space="preserve">études, </w:t>
      </w:r>
      <w:r w:rsidR="00C3416E" w:rsidRPr="007632EF">
        <w:t>réunion-débat</w:t>
      </w:r>
      <w:r w:rsidR="003C0D5B" w:rsidRPr="007632EF">
        <w:t xml:space="preserve">, atelier, </w:t>
      </w:r>
      <w:r w:rsidR="00F33064" w:rsidRPr="007632EF">
        <w:t>etc.</w:t>
      </w:r>
      <w:r w:rsidR="003C0D5B" w:rsidRPr="007632EF">
        <w:t xml:space="preserve">), </w:t>
      </w:r>
      <w:r w:rsidR="00A52901" w:rsidRPr="007632EF">
        <w:t xml:space="preserve">la </w:t>
      </w:r>
      <w:r w:rsidR="003C0D5B" w:rsidRPr="007632EF">
        <w:t>durée de la manifestation (les</w:t>
      </w:r>
      <w:r w:rsidR="00215B65" w:rsidRPr="007632EF">
        <w:t> </w:t>
      </w:r>
      <w:r w:rsidR="003C0D5B" w:rsidRPr="007632EF">
        <w:t xml:space="preserve">participants </w:t>
      </w:r>
      <w:r w:rsidR="00E25E18" w:rsidRPr="007632EF">
        <w:t>ne</w:t>
      </w:r>
      <w:r w:rsidR="00380009" w:rsidRPr="007632EF">
        <w:t xml:space="preserve"> </w:t>
      </w:r>
      <w:r w:rsidR="003C0D5B" w:rsidRPr="007632EF">
        <w:t>se déplacer</w:t>
      </w:r>
      <w:r w:rsidR="00E25E18" w:rsidRPr="007632EF">
        <w:t>ont sans doute pas</w:t>
      </w:r>
      <w:r w:rsidR="003C0D5B" w:rsidRPr="007632EF">
        <w:t xml:space="preserve"> pour assister à une séance d</w:t>
      </w:r>
      <w:r w:rsidR="00380009" w:rsidRPr="007632EF">
        <w:t>'</w:t>
      </w:r>
      <w:r w:rsidR="00A52901" w:rsidRPr="007632EF">
        <w:t>une durée d</w:t>
      </w:r>
      <w:r w:rsidR="003C0D5B" w:rsidRPr="007632EF">
        <w:t>e deux</w:t>
      </w:r>
      <w:r w:rsidR="00215B65" w:rsidRPr="007632EF">
        <w:t> </w:t>
      </w:r>
      <w:r w:rsidR="003C0D5B" w:rsidRPr="007632EF">
        <w:t xml:space="preserve">heures), </w:t>
      </w:r>
      <w:r w:rsidR="00A52901" w:rsidRPr="007632EF">
        <w:t xml:space="preserve">la </w:t>
      </w:r>
      <w:r w:rsidR="003C0D5B" w:rsidRPr="007632EF">
        <w:t>portée mondiale</w:t>
      </w:r>
      <w:r w:rsidR="00A52901" w:rsidRPr="007632EF">
        <w:t xml:space="preserve"> ou </w:t>
      </w:r>
      <w:r w:rsidR="003C0D5B" w:rsidRPr="007632EF">
        <w:t xml:space="preserve">régionale </w:t>
      </w:r>
      <w:r w:rsidR="00A52901" w:rsidRPr="007632EF">
        <w:t xml:space="preserve">de la réunion </w:t>
      </w:r>
      <w:r w:rsidR="003C0D5B" w:rsidRPr="007632EF">
        <w:t xml:space="preserve">(les distances sont plus courtes au niveau régional), </w:t>
      </w:r>
      <w:r w:rsidR="00A52901" w:rsidRPr="007632EF">
        <w:t xml:space="preserve">les </w:t>
      </w:r>
      <w:r w:rsidR="003C0D5B" w:rsidRPr="007632EF">
        <w:t>besoins en matière d</w:t>
      </w:r>
      <w:r w:rsidR="00380009" w:rsidRPr="007632EF">
        <w:t>'</w:t>
      </w:r>
      <w:r w:rsidR="003C0D5B" w:rsidRPr="007632EF">
        <w:t>interprétation,</w:t>
      </w:r>
      <w:r w:rsidR="00A52901" w:rsidRPr="007632EF">
        <w:t xml:space="preserve"> la</w:t>
      </w:r>
      <w:r w:rsidR="003C0D5B" w:rsidRPr="007632EF">
        <w:t xml:space="preserve"> disponibilité d</w:t>
      </w:r>
      <w:r w:rsidR="00380009" w:rsidRPr="007632EF">
        <w:t>'</w:t>
      </w:r>
      <w:r w:rsidR="003C0D5B" w:rsidRPr="007632EF">
        <w:t>une ou de plusieurs salles de réunion adaptées,</w:t>
      </w:r>
      <w:r w:rsidR="00A52901" w:rsidRPr="007632EF">
        <w:t xml:space="preserve"> le</w:t>
      </w:r>
      <w:r w:rsidR="003C0D5B" w:rsidRPr="007632EF">
        <w:t xml:space="preserve"> contexte (par exemple</w:t>
      </w:r>
      <w:r w:rsidR="00A52901" w:rsidRPr="007632EF">
        <w:t>,</w:t>
      </w:r>
      <w:r w:rsidR="003C0D5B" w:rsidRPr="007632EF">
        <w:t xml:space="preserve"> dernière réunion avant une </w:t>
      </w:r>
      <w:r w:rsidR="00E25E18" w:rsidRPr="007632EF">
        <w:t xml:space="preserve">grande </w:t>
      </w:r>
      <w:r w:rsidR="003C0D5B" w:rsidRPr="007632EF">
        <w:t>conférence),</w:t>
      </w:r>
      <w:r w:rsidR="00A52901" w:rsidRPr="007632EF">
        <w:t xml:space="preserve"> l</w:t>
      </w:r>
      <w:r w:rsidR="00380009" w:rsidRPr="007632EF">
        <w:t>'</w:t>
      </w:r>
      <w:r w:rsidR="003C0D5B" w:rsidRPr="007632EF">
        <w:t>inclusion et</w:t>
      </w:r>
      <w:r w:rsidR="00A52901" w:rsidRPr="007632EF">
        <w:t xml:space="preserve"> les</w:t>
      </w:r>
      <w:r w:rsidR="003C0D5B" w:rsidRPr="007632EF">
        <w:t xml:space="preserve"> considérations environnementales</w:t>
      </w:r>
      <w:r w:rsidR="00A52901" w:rsidRPr="007632EF">
        <w:t xml:space="preserve"> (c</w:t>
      </w:r>
      <w:r w:rsidR="00E13B21" w:rsidRPr="007632EF">
        <w:t>ette liste n</w:t>
      </w:r>
      <w:r w:rsidR="00380009" w:rsidRPr="007632EF">
        <w:t>'</w:t>
      </w:r>
      <w:r w:rsidR="00E13B21" w:rsidRPr="007632EF">
        <w:t>est pas exhaustive</w:t>
      </w:r>
      <w:r w:rsidR="00A52901" w:rsidRPr="007632EF">
        <w:t>).</w:t>
      </w:r>
    </w:p>
    <w:p w14:paraId="463BBC7A" w14:textId="7E5CA31A" w:rsidR="0009607E" w:rsidRPr="007632EF" w:rsidRDefault="008C37D5" w:rsidP="00380009">
      <w:pPr>
        <w:pStyle w:val="Heading2"/>
        <w:rPr>
          <w:rFonts w:eastAsiaTheme="minorEastAsia"/>
          <w:b w:val="0"/>
          <w:i/>
          <w:lang w:eastAsia="zh-CN"/>
        </w:rPr>
      </w:pPr>
      <w:r w:rsidRPr="007632EF">
        <w:rPr>
          <w:rFonts w:eastAsiaTheme="minorEastAsia"/>
          <w:b w:val="0"/>
          <w:i/>
          <w:lang w:eastAsia="zh-CN"/>
        </w:rPr>
        <w:t>2.2</w:t>
      </w:r>
      <w:r w:rsidRPr="007632EF">
        <w:rPr>
          <w:rFonts w:eastAsiaTheme="minorEastAsia"/>
          <w:b w:val="0"/>
          <w:i/>
          <w:lang w:eastAsia="zh-CN"/>
        </w:rPr>
        <w:tab/>
      </w:r>
      <w:r w:rsidR="00272F0B" w:rsidRPr="007632EF">
        <w:rPr>
          <w:rFonts w:eastAsiaTheme="minorEastAsia"/>
          <w:b w:val="0"/>
          <w:i/>
          <w:lang w:eastAsia="zh-CN"/>
        </w:rPr>
        <w:t>Processus d</w:t>
      </w:r>
      <w:r w:rsidR="00380009" w:rsidRPr="007632EF">
        <w:rPr>
          <w:rFonts w:eastAsiaTheme="minorEastAsia"/>
          <w:b w:val="0"/>
          <w:i/>
          <w:lang w:eastAsia="zh-CN"/>
        </w:rPr>
        <w:t>'</w:t>
      </w:r>
      <w:r w:rsidR="00272F0B" w:rsidRPr="007632EF">
        <w:rPr>
          <w:rFonts w:eastAsiaTheme="minorEastAsia"/>
          <w:b w:val="0"/>
          <w:i/>
          <w:lang w:eastAsia="zh-CN"/>
        </w:rPr>
        <w:t>inscription, authentification des participant</w:t>
      </w:r>
      <w:r w:rsidR="00A52901" w:rsidRPr="007632EF">
        <w:rPr>
          <w:rFonts w:eastAsiaTheme="minorEastAsia"/>
          <w:b w:val="0"/>
          <w:i/>
          <w:lang w:eastAsia="zh-CN"/>
        </w:rPr>
        <w:t>s</w:t>
      </w:r>
      <w:r w:rsidR="00272F0B" w:rsidRPr="007632EF">
        <w:rPr>
          <w:rFonts w:eastAsiaTheme="minorEastAsia"/>
          <w:b w:val="0"/>
          <w:i/>
          <w:lang w:eastAsia="zh-CN"/>
        </w:rPr>
        <w:t xml:space="preserve">, suivi de la participation et </w:t>
      </w:r>
      <w:r w:rsidR="000E2973" w:rsidRPr="007632EF">
        <w:rPr>
          <w:rFonts w:eastAsiaTheme="minorEastAsia"/>
          <w:b w:val="0"/>
          <w:i/>
          <w:lang w:eastAsia="zh-CN"/>
        </w:rPr>
        <w:t>diffusion d</w:t>
      </w:r>
      <w:r w:rsidR="00380009" w:rsidRPr="007632EF">
        <w:rPr>
          <w:rFonts w:eastAsiaTheme="minorEastAsia"/>
          <w:b w:val="0"/>
          <w:i/>
          <w:lang w:eastAsia="zh-CN"/>
        </w:rPr>
        <w:t>'</w:t>
      </w:r>
      <w:r w:rsidR="000E2973" w:rsidRPr="007632EF">
        <w:rPr>
          <w:rFonts w:eastAsiaTheme="minorEastAsia"/>
          <w:b w:val="0"/>
          <w:i/>
          <w:lang w:eastAsia="zh-CN"/>
        </w:rPr>
        <w:t xml:space="preserve">informations </w:t>
      </w:r>
      <w:r w:rsidR="00A52901" w:rsidRPr="007632EF">
        <w:rPr>
          <w:rFonts w:eastAsiaTheme="minorEastAsia"/>
          <w:b w:val="0"/>
          <w:i/>
          <w:lang w:eastAsia="zh-CN"/>
        </w:rPr>
        <w:t>sur la participation</w:t>
      </w:r>
    </w:p>
    <w:p w14:paraId="7CBA6BD5" w14:textId="564CEAF1" w:rsidR="0009607E" w:rsidRPr="007632EF" w:rsidRDefault="00A36504" w:rsidP="00380009">
      <w:r w:rsidRPr="007632EF">
        <w:t>L</w:t>
      </w:r>
      <w:r w:rsidR="00380009" w:rsidRPr="007632EF">
        <w:t>'</w:t>
      </w:r>
      <w:r w:rsidRPr="007632EF">
        <w:t>inscription aux manifestations statutaires de l</w:t>
      </w:r>
      <w:r w:rsidR="00380009" w:rsidRPr="007632EF">
        <w:t>'</w:t>
      </w:r>
      <w:r w:rsidRPr="007632EF">
        <w:t xml:space="preserve">UIT </w:t>
      </w:r>
      <w:r w:rsidR="00667AD2" w:rsidRPr="007632EF">
        <w:t>réservées</w:t>
      </w:r>
      <w:r w:rsidR="00380009" w:rsidRPr="007632EF">
        <w:t xml:space="preserve"> </w:t>
      </w:r>
      <w:r w:rsidRPr="007632EF">
        <w:t>aux membres et aux autres manifestations nécessitant l</w:t>
      </w:r>
      <w:r w:rsidR="00380009" w:rsidRPr="007632EF">
        <w:t>'</w:t>
      </w:r>
      <w:r w:rsidRPr="007632EF">
        <w:t>approbation d</w:t>
      </w:r>
      <w:r w:rsidR="00380009" w:rsidRPr="007632EF">
        <w:t>'</w:t>
      </w:r>
      <w:r w:rsidRPr="007632EF">
        <w:t>un coordonnateur continue de s</w:t>
      </w:r>
      <w:r w:rsidR="00380009" w:rsidRPr="007632EF">
        <w:t>'</w:t>
      </w:r>
      <w:r w:rsidRPr="007632EF">
        <w:t>effectuer au moyen de la plate-forme de l</w:t>
      </w:r>
      <w:r w:rsidR="00380009" w:rsidRPr="007632EF">
        <w:t>'</w:t>
      </w:r>
      <w:r w:rsidRPr="007632EF">
        <w:t>UIT pour l</w:t>
      </w:r>
      <w:r w:rsidR="00380009" w:rsidRPr="007632EF">
        <w:t>'</w:t>
      </w:r>
      <w:r w:rsidRPr="007632EF">
        <w:t>inscription aux manifestations.</w:t>
      </w:r>
      <w:r w:rsidR="008C37D5" w:rsidRPr="007632EF">
        <w:t xml:space="preserve"> </w:t>
      </w:r>
      <w:r w:rsidR="00E32CD2" w:rsidRPr="007632EF">
        <w:rPr>
          <w:szCs w:val="24"/>
        </w:rPr>
        <w:t>Les formulaires d</w:t>
      </w:r>
      <w:r w:rsidR="00380009" w:rsidRPr="007632EF">
        <w:rPr>
          <w:szCs w:val="24"/>
        </w:rPr>
        <w:t>'</w:t>
      </w:r>
      <w:r w:rsidR="00E32CD2" w:rsidRPr="007632EF">
        <w:rPr>
          <w:szCs w:val="24"/>
        </w:rPr>
        <w:t>inscription en ligne permettent aux participants d</w:t>
      </w:r>
      <w:r w:rsidR="00380009" w:rsidRPr="007632EF">
        <w:rPr>
          <w:szCs w:val="24"/>
        </w:rPr>
        <w:t>'</w:t>
      </w:r>
      <w:r w:rsidR="00E32CD2" w:rsidRPr="007632EF">
        <w:rPr>
          <w:szCs w:val="24"/>
        </w:rPr>
        <w:t>indiquer s</w:t>
      </w:r>
      <w:r w:rsidR="00380009" w:rsidRPr="007632EF">
        <w:rPr>
          <w:szCs w:val="24"/>
        </w:rPr>
        <w:t>'</w:t>
      </w:r>
      <w:r w:rsidR="00E32CD2" w:rsidRPr="007632EF">
        <w:rPr>
          <w:szCs w:val="24"/>
        </w:rPr>
        <w:t>ils souhaitent participer à distance à la réunion.</w:t>
      </w:r>
    </w:p>
    <w:p w14:paraId="16C7D094" w14:textId="3FC32EDE" w:rsidR="0009607E" w:rsidRPr="007632EF" w:rsidRDefault="00D00F70" w:rsidP="002E1715">
      <w:pPr>
        <w:keepLines/>
      </w:pPr>
      <w:r w:rsidRPr="007632EF">
        <w:lastRenderedPageBreak/>
        <w:t>Afin de faire en sorte que seuls les participants inscrits puissent accéder aux séances de la manifestation virtuelle pour lesquelles une authentification est nécessaire (par exemple de la part du coordonnateur), l</w:t>
      </w:r>
      <w:r w:rsidR="00380009" w:rsidRPr="007632EF">
        <w:t>'</w:t>
      </w:r>
      <w:r w:rsidRPr="007632EF">
        <w:t xml:space="preserve">UIT a mis au point un </w:t>
      </w:r>
      <w:hyperlink r:id="rId19" w:history="1">
        <w:r w:rsidR="001C594B" w:rsidRPr="007632EF">
          <w:rPr>
            <w:color w:val="0000FF"/>
            <w:u w:val="single"/>
          </w:rPr>
          <w:t>Portail des manifestations virtuelles à accès restreint</w:t>
        </w:r>
      </w:hyperlink>
      <w:r w:rsidRPr="007632EF">
        <w:t>, sur lequel seuls les participants inscrits peuvent accéder aux salles de réunion virtuelles.</w:t>
      </w:r>
      <w:r w:rsidR="008C37D5" w:rsidRPr="007632EF">
        <w:t xml:space="preserve"> </w:t>
      </w:r>
      <w:r w:rsidR="00514CAD" w:rsidRPr="007632EF">
        <w:t>Une fois qu</w:t>
      </w:r>
      <w:r w:rsidR="00380009" w:rsidRPr="007632EF">
        <w:t>'</w:t>
      </w:r>
      <w:r w:rsidR="00514CAD" w:rsidRPr="007632EF">
        <w:t>ils ont accédé à la salle de réunion virtuelle (Zoom), les participants sont identifiés en fonction de l</w:t>
      </w:r>
      <w:r w:rsidR="00380009" w:rsidRPr="007632EF">
        <w:t>'</w:t>
      </w:r>
      <w:r w:rsidR="00514CAD" w:rsidRPr="007632EF">
        <w:t>entité qu</w:t>
      </w:r>
      <w:r w:rsidR="00380009" w:rsidRPr="007632EF">
        <w:t>'</w:t>
      </w:r>
      <w:r w:rsidR="00514CAD" w:rsidRPr="007632EF">
        <w:t>ils représentent (délégation), conformément aux informations saisies sur la plate</w:t>
      </w:r>
      <w:r w:rsidR="002E1715" w:rsidRPr="007632EF">
        <w:noBreakHyphen/>
      </w:r>
      <w:r w:rsidR="00514CAD" w:rsidRPr="007632EF">
        <w:t>forme d</w:t>
      </w:r>
      <w:r w:rsidR="00380009" w:rsidRPr="007632EF">
        <w:t>'</w:t>
      </w:r>
      <w:r w:rsidR="00514CAD" w:rsidRPr="007632EF">
        <w:t>inscription.</w:t>
      </w:r>
    </w:p>
    <w:p w14:paraId="0A997D88" w14:textId="50F8DA08" w:rsidR="0009607E" w:rsidRPr="007632EF" w:rsidRDefault="004E7CFF" w:rsidP="00380009">
      <w:r w:rsidRPr="007632EF">
        <w:t>S</w:t>
      </w:r>
      <w:r w:rsidR="00380009" w:rsidRPr="007632EF">
        <w:t>'</w:t>
      </w:r>
      <w:r w:rsidRPr="007632EF">
        <w:t>agissant d</w:t>
      </w:r>
      <w:r w:rsidR="00535407" w:rsidRPr="007632EF">
        <w:t>es manifestations entièrement virtuelles ouvertes au public (ateliers, webinaires, etc.) pour lesquelles l</w:t>
      </w:r>
      <w:r w:rsidR="00380009" w:rsidRPr="007632EF">
        <w:t>'</w:t>
      </w:r>
      <w:r w:rsidR="00535407" w:rsidRPr="007632EF">
        <w:t>approbation d</w:t>
      </w:r>
      <w:r w:rsidR="00380009" w:rsidRPr="007632EF">
        <w:t>'</w:t>
      </w:r>
      <w:r w:rsidR="00535407" w:rsidRPr="007632EF">
        <w:t>un coordonnateur n</w:t>
      </w:r>
      <w:r w:rsidR="00380009" w:rsidRPr="007632EF">
        <w:t>'</w:t>
      </w:r>
      <w:r w:rsidR="00535407" w:rsidRPr="007632EF">
        <w:t>est pas nécessaire, l</w:t>
      </w:r>
      <w:r w:rsidR="00380009" w:rsidRPr="007632EF">
        <w:t>'</w:t>
      </w:r>
      <w:r w:rsidR="00535407" w:rsidRPr="007632EF">
        <w:t>UIT a mis au point un processus d</w:t>
      </w:r>
      <w:r w:rsidR="00380009" w:rsidRPr="007632EF">
        <w:t>'</w:t>
      </w:r>
      <w:r w:rsidR="00535407" w:rsidRPr="007632EF">
        <w:t xml:space="preserve">inscription simplifié visant à donner aux participants inscrits </w:t>
      </w:r>
      <w:r w:rsidR="00D83EF2" w:rsidRPr="007632EF">
        <w:t>des instructions par courrier électronique sur</w:t>
      </w:r>
      <w:r w:rsidR="00535407" w:rsidRPr="007632EF">
        <w:t xml:space="preserve"> la connexion </w:t>
      </w:r>
      <w:r w:rsidR="00D83EF2" w:rsidRPr="007632EF">
        <w:t>pour</w:t>
      </w:r>
      <w:r w:rsidR="00380009" w:rsidRPr="007632EF">
        <w:t xml:space="preserve"> </w:t>
      </w:r>
      <w:r w:rsidR="00535407" w:rsidRPr="007632EF">
        <w:t>la participation à distance.</w:t>
      </w:r>
      <w:r w:rsidR="008C37D5" w:rsidRPr="007632EF">
        <w:t xml:space="preserve"> </w:t>
      </w:r>
      <w:r w:rsidR="00CE2FD4" w:rsidRPr="007632EF">
        <w:t>Un compte utilisateur</w:t>
      </w:r>
      <w:r w:rsidR="00D83EF2" w:rsidRPr="007632EF">
        <w:t xml:space="preserve"> de l</w:t>
      </w:r>
      <w:r w:rsidR="00380009" w:rsidRPr="007632EF">
        <w:t>'</w:t>
      </w:r>
      <w:r w:rsidR="00CE2FD4" w:rsidRPr="007632EF">
        <w:t>UIT n</w:t>
      </w:r>
      <w:r w:rsidR="00380009" w:rsidRPr="007632EF">
        <w:t>'</w:t>
      </w:r>
      <w:r w:rsidR="00CE2FD4" w:rsidRPr="007632EF">
        <w:t>est pas nécessaire pour s</w:t>
      </w:r>
      <w:r w:rsidR="00380009" w:rsidRPr="007632EF">
        <w:t>'</w:t>
      </w:r>
      <w:r w:rsidR="00CE2FD4" w:rsidRPr="007632EF">
        <w:t>inscrire et participer à ces</w:t>
      </w:r>
      <w:r w:rsidR="00D83EF2" w:rsidRPr="007632EF">
        <w:t xml:space="preserve"> manifestations</w:t>
      </w:r>
      <w:r w:rsidR="00CE2FD4" w:rsidRPr="007632EF">
        <w:t>.</w:t>
      </w:r>
      <w:r w:rsidR="008C37D5" w:rsidRPr="007632EF">
        <w:t xml:space="preserve"> </w:t>
      </w:r>
      <w:r w:rsidR="00B6652E" w:rsidRPr="007632EF">
        <w:t>Des rapports et des statistiques adaptés sur la participation ont aussi été élaborés.</w:t>
      </w:r>
    </w:p>
    <w:p w14:paraId="3D7193FC" w14:textId="50C8B4C3" w:rsidR="0009607E" w:rsidRPr="007632EF" w:rsidRDefault="00BE005E" w:rsidP="00380009">
      <w:pPr>
        <w:rPr>
          <w:rFonts w:eastAsia="Calibri" w:cs="Calibri"/>
        </w:rPr>
      </w:pPr>
      <w:r w:rsidRPr="007632EF">
        <w:rPr>
          <w:rFonts w:eastAsia="Calibri" w:cs="Calibri"/>
        </w:rPr>
        <w:t>Les informations concernant la participation sont mises à jour sur la plate-forme d</w:t>
      </w:r>
      <w:r w:rsidR="00380009" w:rsidRPr="007632EF">
        <w:rPr>
          <w:rFonts w:eastAsia="Calibri" w:cs="Calibri"/>
        </w:rPr>
        <w:t>'</w:t>
      </w:r>
      <w:r w:rsidRPr="007632EF">
        <w:rPr>
          <w:rFonts w:eastAsia="Calibri" w:cs="Calibri"/>
        </w:rPr>
        <w:t>inscription aux manifestations, afin d</w:t>
      </w:r>
      <w:r w:rsidR="00380009" w:rsidRPr="007632EF">
        <w:rPr>
          <w:rFonts w:eastAsia="Calibri" w:cs="Calibri"/>
        </w:rPr>
        <w:t>'</w:t>
      </w:r>
      <w:r w:rsidRPr="007632EF">
        <w:rPr>
          <w:rFonts w:eastAsia="Calibri" w:cs="Calibri"/>
        </w:rPr>
        <w:t xml:space="preserve">indiquer le mode de participation de chaque </w:t>
      </w:r>
      <w:proofErr w:type="gramStart"/>
      <w:r w:rsidRPr="007632EF">
        <w:rPr>
          <w:rFonts w:eastAsia="Calibri" w:cs="Calibri"/>
        </w:rPr>
        <w:t>participant:</w:t>
      </w:r>
      <w:proofErr w:type="gramEnd"/>
      <w:r w:rsidR="008C37D5" w:rsidRPr="007632EF">
        <w:rPr>
          <w:rFonts w:eastAsia="Calibri" w:cs="Calibri"/>
        </w:rPr>
        <w:t xml:space="preserve"> </w:t>
      </w:r>
      <w:r w:rsidR="002E7DA9" w:rsidRPr="007632EF">
        <w:rPr>
          <w:rFonts w:eastAsia="Calibri" w:cs="Calibri"/>
        </w:rPr>
        <w:t>en présentiel, à distance (en se connectant via la plate-forme de participation à distance) ou les deux.</w:t>
      </w:r>
      <w:r w:rsidR="008C37D5" w:rsidRPr="007632EF">
        <w:rPr>
          <w:rFonts w:eastAsia="Calibri" w:cs="Calibri"/>
        </w:rPr>
        <w:t xml:space="preserve"> </w:t>
      </w:r>
      <w:r w:rsidR="00395F54" w:rsidRPr="007632EF">
        <w:rPr>
          <w:rFonts w:eastAsia="Calibri" w:cs="Calibri"/>
        </w:rPr>
        <w:t xml:space="preserve">Le système </w:t>
      </w:r>
      <w:r w:rsidR="00320C03" w:rsidRPr="007632EF">
        <w:rPr>
          <w:rFonts w:eastAsia="Calibri" w:cs="Calibri"/>
        </w:rPr>
        <w:t>de diffusion d</w:t>
      </w:r>
      <w:r w:rsidR="00380009" w:rsidRPr="007632EF">
        <w:rPr>
          <w:rFonts w:eastAsia="Calibri" w:cs="Calibri"/>
        </w:rPr>
        <w:t>'</w:t>
      </w:r>
      <w:r w:rsidR="00320C03" w:rsidRPr="007632EF">
        <w:rPr>
          <w:rFonts w:eastAsia="Calibri" w:cs="Calibri"/>
        </w:rPr>
        <w:t>informations</w:t>
      </w:r>
      <w:r w:rsidR="00320C03" w:rsidRPr="007632EF" w:rsidDel="00320C03">
        <w:rPr>
          <w:rFonts w:eastAsia="Calibri" w:cs="Calibri"/>
        </w:rPr>
        <w:t xml:space="preserve"> </w:t>
      </w:r>
      <w:r w:rsidR="00395F54" w:rsidRPr="007632EF">
        <w:rPr>
          <w:rFonts w:eastAsia="Calibri" w:cs="Calibri"/>
        </w:rPr>
        <w:t xml:space="preserve">sur la participation a été mis à jour pour </w:t>
      </w:r>
      <w:r w:rsidR="000E2973" w:rsidRPr="007632EF">
        <w:rPr>
          <w:rFonts w:eastAsia="Calibri" w:cs="Calibri"/>
        </w:rPr>
        <w:t xml:space="preserve">rendre </w:t>
      </w:r>
      <w:r w:rsidR="00395F54" w:rsidRPr="007632EF">
        <w:rPr>
          <w:rFonts w:eastAsia="Calibri" w:cs="Calibri"/>
        </w:rPr>
        <w:t>compte des différents modes de participation.</w:t>
      </w:r>
    </w:p>
    <w:p w14:paraId="4947129F" w14:textId="4E8C70F4" w:rsidR="0009607E" w:rsidRPr="007632EF" w:rsidRDefault="00807A60" w:rsidP="00380009">
      <w:r w:rsidRPr="007632EF">
        <w:t>Avec</w:t>
      </w:r>
      <w:r w:rsidR="008101DA" w:rsidRPr="007632EF">
        <w:t xml:space="preserve"> la mise en </w:t>
      </w:r>
      <w:r w:rsidR="002E1715" w:rsidRPr="007632EF">
        <w:t>œuvre</w:t>
      </w:r>
      <w:r w:rsidR="008101DA" w:rsidRPr="007632EF" w:rsidDel="008101DA">
        <w:t xml:space="preserve"> </w:t>
      </w:r>
      <w:r w:rsidRPr="007632EF">
        <w:t>de la participation à distance, on constate de plus grandes disparités entre la participation annoncée et la participation réelle aux manifestations, qu</w:t>
      </w:r>
      <w:r w:rsidR="00380009" w:rsidRPr="007632EF">
        <w:t>'</w:t>
      </w:r>
      <w:r w:rsidRPr="007632EF">
        <w:t>elles soient physiques ou virtuelles.</w:t>
      </w:r>
      <w:r w:rsidR="008C37D5" w:rsidRPr="007632EF">
        <w:t xml:space="preserve"> </w:t>
      </w:r>
      <w:r w:rsidR="00AD67B1" w:rsidRPr="007632EF">
        <w:t>Des efforts supplémentaires doivent être déployés pour mieux cerner les intentions des participants en ce qui concerne le</w:t>
      </w:r>
      <w:r w:rsidR="001C594B" w:rsidRPr="007632EF">
        <w:t>ur</w:t>
      </w:r>
      <w:r w:rsidR="00AD67B1" w:rsidRPr="007632EF">
        <w:t xml:space="preserve"> mode de participation (en présentiel ou virtuel).</w:t>
      </w:r>
    </w:p>
    <w:p w14:paraId="46A24311" w14:textId="2202909A" w:rsidR="0009607E" w:rsidRPr="007632EF" w:rsidRDefault="00E9786E" w:rsidP="00380009">
      <w:pPr>
        <w:rPr>
          <w:rFonts w:eastAsia="Calibri"/>
        </w:rPr>
      </w:pPr>
      <w:r w:rsidRPr="007632EF">
        <w:rPr>
          <w:rFonts w:eastAsia="Calibri"/>
        </w:rPr>
        <w:t>Quelle que soit la plate-forme utilisée, les efforts visant à uniformiser les champs de données et la collecte des données facilitent l</w:t>
      </w:r>
      <w:r w:rsidR="00380009" w:rsidRPr="007632EF">
        <w:rPr>
          <w:rFonts w:eastAsia="Calibri"/>
        </w:rPr>
        <w:t>'</w:t>
      </w:r>
      <w:r w:rsidRPr="007632EF">
        <w:rPr>
          <w:rFonts w:eastAsia="Calibri"/>
        </w:rPr>
        <w:t>analyse de la participation aux réunions de l</w:t>
      </w:r>
      <w:r w:rsidR="00380009" w:rsidRPr="007632EF">
        <w:rPr>
          <w:rFonts w:eastAsia="Calibri"/>
        </w:rPr>
        <w:t>'</w:t>
      </w:r>
      <w:r w:rsidRPr="007632EF">
        <w:rPr>
          <w:rFonts w:eastAsia="Calibri"/>
        </w:rPr>
        <w:t>UIT.</w:t>
      </w:r>
    </w:p>
    <w:p w14:paraId="59F3ACD4" w14:textId="3030EF1B" w:rsidR="0009607E" w:rsidRPr="007632EF" w:rsidRDefault="008C37D5" w:rsidP="00380009">
      <w:pPr>
        <w:pStyle w:val="Heading2"/>
        <w:rPr>
          <w:rFonts w:eastAsiaTheme="minorEastAsia"/>
          <w:b w:val="0"/>
          <w:i/>
          <w:lang w:eastAsia="zh-CN"/>
        </w:rPr>
      </w:pPr>
      <w:r w:rsidRPr="007632EF">
        <w:rPr>
          <w:rFonts w:eastAsiaTheme="minorEastAsia"/>
          <w:b w:val="0"/>
          <w:i/>
          <w:lang w:eastAsia="zh-CN"/>
        </w:rPr>
        <w:t>2.3</w:t>
      </w:r>
      <w:r w:rsidRPr="007632EF">
        <w:rPr>
          <w:rFonts w:eastAsiaTheme="minorEastAsia"/>
          <w:b w:val="0"/>
          <w:i/>
          <w:lang w:eastAsia="zh-CN"/>
        </w:rPr>
        <w:tab/>
      </w:r>
      <w:r w:rsidR="0007706C" w:rsidRPr="007632EF">
        <w:rPr>
          <w:rFonts w:eastAsiaTheme="minorEastAsia"/>
          <w:b w:val="0"/>
          <w:i/>
          <w:lang w:eastAsia="zh-CN"/>
        </w:rPr>
        <w:t xml:space="preserve">Où les délégués peuvent-ils obtenir des </w:t>
      </w:r>
      <w:r w:rsidR="00F33064" w:rsidRPr="007632EF">
        <w:rPr>
          <w:rFonts w:eastAsiaTheme="minorEastAsia"/>
          <w:b w:val="0"/>
          <w:i/>
          <w:lang w:eastAsia="zh-CN"/>
        </w:rPr>
        <w:t>informations</w:t>
      </w:r>
      <w:r w:rsidR="0007706C" w:rsidRPr="007632EF">
        <w:rPr>
          <w:rFonts w:eastAsiaTheme="minorEastAsia"/>
          <w:b w:val="0"/>
          <w:i/>
          <w:lang w:eastAsia="zh-CN"/>
        </w:rPr>
        <w:t xml:space="preserve"> sur la manifestation ou</w:t>
      </w:r>
      <w:r w:rsidR="00380009" w:rsidRPr="007632EF">
        <w:rPr>
          <w:rFonts w:eastAsiaTheme="minorEastAsia"/>
          <w:b w:val="0"/>
          <w:i/>
          <w:lang w:eastAsia="zh-CN"/>
        </w:rPr>
        <w:t xml:space="preserve"> </w:t>
      </w:r>
      <w:r w:rsidR="0007706C" w:rsidRPr="007632EF">
        <w:rPr>
          <w:rFonts w:eastAsiaTheme="minorEastAsia"/>
          <w:b w:val="0"/>
          <w:i/>
          <w:lang w:eastAsia="zh-CN"/>
        </w:rPr>
        <w:t xml:space="preserve">les </w:t>
      </w:r>
      <w:proofErr w:type="gramStart"/>
      <w:r w:rsidR="0007706C" w:rsidRPr="007632EF">
        <w:rPr>
          <w:rFonts w:eastAsiaTheme="minorEastAsia"/>
          <w:b w:val="0"/>
          <w:i/>
          <w:lang w:eastAsia="zh-CN"/>
        </w:rPr>
        <w:t>séances?</w:t>
      </w:r>
      <w:proofErr w:type="gramEnd"/>
    </w:p>
    <w:p w14:paraId="743A300E" w14:textId="3C135A3F" w:rsidR="0009607E" w:rsidRPr="002A0B6A" w:rsidRDefault="008C37D5" w:rsidP="00380009">
      <w:pPr>
        <w:pStyle w:val="enumlev1"/>
        <w:rPr>
          <w:rFonts w:eastAsiaTheme="minorEastAsia"/>
          <w:szCs w:val="24"/>
          <w:lang w:eastAsia="zh-CN"/>
        </w:rPr>
      </w:pPr>
      <w:r w:rsidRPr="002A0B6A">
        <w:rPr>
          <w:szCs w:val="24"/>
        </w:rPr>
        <w:t>•</w:t>
      </w:r>
      <w:r w:rsidRPr="002A0B6A">
        <w:rPr>
          <w:szCs w:val="24"/>
        </w:rPr>
        <w:tab/>
      </w:r>
      <w:hyperlink r:id="rId20" w:history="1">
        <w:r w:rsidR="00EA62FF" w:rsidRPr="002A0B6A">
          <w:rPr>
            <w:rFonts w:eastAsiaTheme="minorEastAsia"/>
            <w:color w:val="0000FF"/>
            <w:szCs w:val="24"/>
            <w:u w:val="single"/>
            <w:lang w:eastAsia="zh-CN"/>
          </w:rPr>
          <w:t>Calendrier des manifestations</w:t>
        </w:r>
      </w:hyperlink>
    </w:p>
    <w:p w14:paraId="775290A1" w14:textId="240BA46F" w:rsidR="0009607E" w:rsidRPr="002A0B6A" w:rsidRDefault="008C37D5" w:rsidP="00380009">
      <w:pPr>
        <w:pStyle w:val="enumlev1"/>
        <w:rPr>
          <w:rFonts w:eastAsiaTheme="minorEastAsia"/>
          <w:szCs w:val="24"/>
          <w:lang w:eastAsia="zh-CN"/>
        </w:rPr>
      </w:pPr>
      <w:r w:rsidRPr="002A0B6A">
        <w:rPr>
          <w:szCs w:val="24"/>
        </w:rPr>
        <w:t>•</w:t>
      </w:r>
      <w:r w:rsidRPr="002A0B6A">
        <w:rPr>
          <w:szCs w:val="24"/>
        </w:rPr>
        <w:tab/>
      </w:r>
      <w:hyperlink r:id="rId21" w:history="1">
        <w:r w:rsidR="00B13D9C" w:rsidRPr="002A0B6A">
          <w:rPr>
            <w:rFonts w:eastAsiaTheme="minorEastAsia"/>
            <w:color w:val="0000FF"/>
            <w:szCs w:val="24"/>
            <w:u w:val="single"/>
            <w:lang w:eastAsia="zh-CN"/>
          </w:rPr>
          <w:t>Page consacrée aux manifestations virtuelles à accès restreint</w:t>
        </w:r>
      </w:hyperlink>
    </w:p>
    <w:p w14:paraId="358360F5" w14:textId="184FF44C" w:rsidR="0009607E" w:rsidRPr="002A0B6A" w:rsidRDefault="008C37D5" w:rsidP="00380009">
      <w:pPr>
        <w:pStyle w:val="enumlev1"/>
        <w:rPr>
          <w:rFonts w:eastAsiaTheme="minorEastAsia"/>
          <w:szCs w:val="24"/>
          <w:lang w:eastAsia="zh-CN"/>
        </w:rPr>
      </w:pPr>
      <w:r w:rsidRPr="002A0B6A">
        <w:rPr>
          <w:szCs w:val="24"/>
        </w:rPr>
        <w:t>•</w:t>
      </w:r>
      <w:r w:rsidRPr="002A0B6A">
        <w:rPr>
          <w:szCs w:val="24"/>
        </w:rPr>
        <w:tab/>
      </w:r>
      <w:hyperlink r:id="rId22" w:history="1">
        <w:r w:rsidR="002853EA" w:rsidRPr="002A0B6A">
          <w:rPr>
            <w:rFonts w:eastAsiaTheme="minorEastAsia"/>
            <w:color w:val="0000FF"/>
            <w:szCs w:val="24"/>
            <w:u w:val="single"/>
            <w:lang w:eastAsia="zh-CN"/>
          </w:rPr>
          <w:t>Page consacrée aux manifestations virtuelles publiques</w:t>
        </w:r>
      </w:hyperlink>
    </w:p>
    <w:p w14:paraId="0C2B6336" w14:textId="7CD615E8" w:rsidR="0009607E" w:rsidRPr="002A0B6A" w:rsidRDefault="008C37D5" w:rsidP="00380009">
      <w:pPr>
        <w:pStyle w:val="enumlev1"/>
        <w:rPr>
          <w:rFonts w:asciiTheme="minorHAnsi" w:eastAsiaTheme="minorEastAsia" w:hAnsiTheme="minorHAnsi" w:cstheme="minorBidi"/>
          <w:szCs w:val="24"/>
          <w:lang w:eastAsia="zh-CN"/>
        </w:rPr>
      </w:pPr>
      <w:r w:rsidRPr="002A0B6A">
        <w:rPr>
          <w:rFonts w:eastAsia="SimSun"/>
          <w:szCs w:val="24"/>
        </w:rPr>
        <w:t>•</w:t>
      </w:r>
      <w:r w:rsidRPr="002A0B6A">
        <w:rPr>
          <w:rFonts w:eastAsia="SimSun"/>
          <w:szCs w:val="24"/>
        </w:rPr>
        <w:tab/>
      </w:r>
      <w:hyperlink r:id="rId23" w:anchor="/Home" w:history="1">
        <w:r w:rsidR="00B27A88" w:rsidRPr="002A0B6A">
          <w:rPr>
            <w:rFonts w:eastAsiaTheme="minorEastAsia"/>
            <w:color w:val="0000FF"/>
            <w:szCs w:val="24"/>
            <w:u w:val="single"/>
            <w:lang w:eastAsia="zh-CN"/>
          </w:rPr>
          <w:t>MyWorkspace</w:t>
        </w:r>
      </w:hyperlink>
      <w:r w:rsidR="00B27A88" w:rsidRPr="002A0B6A">
        <w:rPr>
          <w:rFonts w:eastAsiaTheme="minorEastAsia"/>
          <w:szCs w:val="24"/>
          <w:lang w:eastAsia="zh-CN"/>
        </w:rPr>
        <w:t xml:space="preserve"> (</w:t>
      </w:r>
      <w:hyperlink r:id="rId24" w:anchor="/Calendar" w:history="1">
        <w:r w:rsidR="00B27A88" w:rsidRPr="002A0B6A">
          <w:rPr>
            <w:rFonts w:asciiTheme="minorHAnsi" w:eastAsiaTheme="minorEastAsia" w:hAnsiTheme="minorHAnsi" w:cstheme="minorBidi"/>
            <w:color w:val="0000FF"/>
            <w:szCs w:val="24"/>
            <w:u w:val="single"/>
            <w:lang w:eastAsia="zh-CN"/>
          </w:rPr>
          <w:t>Calendrier</w:t>
        </w:r>
      </w:hyperlink>
      <w:r w:rsidR="00B27A88" w:rsidRPr="002A0B6A">
        <w:rPr>
          <w:rFonts w:asciiTheme="minorHAnsi" w:eastAsiaTheme="minorEastAsia" w:hAnsiTheme="minorHAnsi" w:cstheme="minorBidi"/>
          <w:szCs w:val="24"/>
          <w:lang w:eastAsia="zh-CN"/>
        </w:rPr>
        <w:t xml:space="preserve"> et </w:t>
      </w:r>
      <w:hyperlink r:id="rId25" w:anchor="/E-meetings" w:history="1">
        <w:r w:rsidR="00B27A88" w:rsidRPr="002A0B6A">
          <w:rPr>
            <w:rFonts w:asciiTheme="minorHAnsi" w:eastAsiaTheme="minorEastAsia" w:hAnsiTheme="minorHAnsi" w:cstheme="minorBidi"/>
            <w:color w:val="0000FF"/>
            <w:szCs w:val="24"/>
            <w:u w:val="single"/>
            <w:lang w:eastAsia="zh-CN"/>
          </w:rPr>
          <w:t>Séances</w:t>
        </w:r>
      </w:hyperlink>
      <w:r w:rsidR="00B27A88" w:rsidRPr="002A0B6A">
        <w:rPr>
          <w:rFonts w:asciiTheme="minorHAnsi" w:eastAsiaTheme="minorEastAsia" w:hAnsiTheme="minorHAnsi" w:cstheme="minorBidi"/>
          <w:szCs w:val="24"/>
          <w:lang w:eastAsia="zh-CN"/>
        </w:rPr>
        <w:t>)</w:t>
      </w:r>
    </w:p>
    <w:p w14:paraId="7789B7AD" w14:textId="20BBDAF4" w:rsidR="0009607E" w:rsidRPr="002A0B6A" w:rsidRDefault="008C37D5" w:rsidP="00380009">
      <w:pPr>
        <w:pStyle w:val="enumlev1"/>
        <w:rPr>
          <w:rFonts w:eastAsiaTheme="minorEastAsia"/>
          <w:szCs w:val="24"/>
          <w:lang w:eastAsia="zh-CN"/>
        </w:rPr>
      </w:pPr>
      <w:r w:rsidRPr="002A0B6A">
        <w:rPr>
          <w:rFonts w:eastAsiaTheme="minorEastAsia"/>
          <w:szCs w:val="24"/>
          <w:lang w:eastAsia="zh-CN"/>
        </w:rPr>
        <w:t>•</w:t>
      </w:r>
      <w:r w:rsidRPr="002A0B6A">
        <w:rPr>
          <w:rFonts w:eastAsiaTheme="minorEastAsia"/>
          <w:szCs w:val="24"/>
          <w:lang w:eastAsia="zh-CN"/>
        </w:rPr>
        <w:tab/>
      </w:r>
      <w:r w:rsidR="00B432A6" w:rsidRPr="002A0B6A">
        <w:rPr>
          <w:rFonts w:eastAsiaTheme="minorEastAsia"/>
          <w:szCs w:val="24"/>
          <w:lang w:eastAsia="zh-CN"/>
        </w:rPr>
        <w:t>S</w:t>
      </w:r>
      <w:r w:rsidR="001E1484" w:rsidRPr="002A0B6A">
        <w:rPr>
          <w:rFonts w:eastAsiaTheme="minorEastAsia"/>
          <w:szCs w:val="24"/>
          <w:lang w:eastAsia="zh-CN"/>
        </w:rPr>
        <w:t>ite web de chaque manifestation</w:t>
      </w:r>
    </w:p>
    <w:p w14:paraId="7958565D" w14:textId="4F3E58CD" w:rsidR="0009607E" w:rsidRPr="002A0B6A" w:rsidRDefault="008C37D5" w:rsidP="00380009">
      <w:pPr>
        <w:pStyle w:val="enumlev1"/>
        <w:rPr>
          <w:rFonts w:eastAsiaTheme="minorEastAsia"/>
          <w:szCs w:val="24"/>
          <w:lang w:eastAsia="zh-CN"/>
        </w:rPr>
      </w:pPr>
      <w:r w:rsidRPr="002A0B6A">
        <w:rPr>
          <w:rFonts w:eastAsiaTheme="minorEastAsia"/>
          <w:szCs w:val="24"/>
          <w:lang w:eastAsia="zh-CN"/>
        </w:rPr>
        <w:t>•</w:t>
      </w:r>
      <w:r w:rsidRPr="002A0B6A">
        <w:rPr>
          <w:rFonts w:eastAsiaTheme="minorEastAsia"/>
          <w:szCs w:val="24"/>
          <w:lang w:eastAsia="zh-CN"/>
        </w:rPr>
        <w:tab/>
      </w:r>
      <w:r w:rsidR="00B96A5A" w:rsidRPr="002A0B6A">
        <w:rPr>
          <w:rFonts w:eastAsiaTheme="minorEastAsia"/>
          <w:szCs w:val="24"/>
          <w:lang w:eastAsia="zh-CN"/>
        </w:rPr>
        <w:t>Courrie</w:t>
      </w:r>
      <w:r w:rsidR="00B432A6" w:rsidRPr="002A0B6A">
        <w:rPr>
          <w:rFonts w:eastAsiaTheme="minorEastAsia"/>
          <w:szCs w:val="24"/>
          <w:lang w:eastAsia="zh-CN"/>
        </w:rPr>
        <w:t>r électronique</w:t>
      </w:r>
      <w:r w:rsidR="00B96A5A" w:rsidRPr="002A0B6A">
        <w:rPr>
          <w:rFonts w:eastAsiaTheme="minorEastAsia"/>
          <w:szCs w:val="24"/>
          <w:lang w:eastAsia="zh-CN"/>
        </w:rPr>
        <w:t xml:space="preserve"> de confirmation de l</w:t>
      </w:r>
      <w:r w:rsidR="00380009" w:rsidRPr="002A0B6A">
        <w:rPr>
          <w:rFonts w:eastAsiaTheme="minorEastAsia"/>
          <w:szCs w:val="24"/>
          <w:lang w:eastAsia="zh-CN"/>
        </w:rPr>
        <w:t>'</w:t>
      </w:r>
      <w:r w:rsidR="00B96A5A" w:rsidRPr="002A0B6A">
        <w:rPr>
          <w:rFonts w:eastAsiaTheme="minorEastAsia"/>
          <w:szCs w:val="24"/>
          <w:lang w:eastAsia="zh-CN"/>
        </w:rPr>
        <w:t>inscription</w:t>
      </w:r>
    </w:p>
    <w:p w14:paraId="4CF62AFD" w14:textId="6D154D07" w:rsidR="0009607E" w:rsidRPr="007632EF" w:rsidRDefault="008C37D5" w:rsidP="00380009">
      <w:pPr>
        <w:pStyle w:val="Heading2"/>
        <w:rPr>
          <w:rFonts w:eastAsiaTheme="minorEastAsia"/>
          <w:b w:val="0"/>
          <w:i/>
          <w:lang w:eastAsia="zh-CN"/>
        </w:rPr>
      </w:pPr>
      <w:r w:rsidRPr="007632EF">
        <w:rPr>
          <w:rFonts w:eastAsiaTheme="minorEastAsia"/>
          <w:b w:val="0"/>
          <w:i/>
          <w:lang w:eastAsia="zh-CN"/>
        </w:rPr>
        <w:t>2.4</w:t>
      </w:r>
      <w:r w:rsidRPr="007632EF">
        <w:rPr>
          <w:rFonts w:eastAsiaTheme="minorEastAsia"/>
          <w:b w:val="0"/>
          <w:i/>
          <w:lang w:eastAsia="zh-CN"/>
        </w:rPr>
        <w:tab/>
      </w:r>
      <w:r w:rsidR="00F60833" w:rsidRPr="007632EF">
        <w:rPr>
          <w:rFonts w:eastAsiaTheme="minorEastAsia"/>
          <w:b w:val="0"/>
          <w:i/>
          <w:lang w:eastAsia="zh-CN"/>
        </w:rPr>
        <w:t>Considérations liées aux fuseaux horaires</w:t>
      </w:r>
    </w:p>
    <w:p w14:paraId="1ADC19D5" w14:textId="5ADF9593" w:rsidR="0009607E" w:rsidRPr="007632EF" w:rsidRDefault="00D931AB" w:rsidP="00380009">
      <w:r w:rsidRPr="007632EF">
        <w:t>Pour les réunions physiques auxquelles il est possible de participer à distance, la pratique courant</w:t>
      </w:r>
      <w:r w:rsidR="00B432A6" w:rsidRPr="007632EF">
        <w:t>e</w:t>
      </w:r>
      <w:r w:rsidRPr="007632EF">
        <w:t xml:space="preserve"> </w:t>
      </w:r>
      <w:r w:rsidR="001C594B" w:rsidRPr="007632EF">
        <w:t>veut que</w:t>
      </w:r>
      <w:r w:rsidRPr="007632EF">
        <w:t xml:space="preserve"> la séance </w:t>
      </w:r>
      <w:r w:rsidR="001C594B" w:rsidRPr="007632EF">
        <w:t xml:space="preserve">se tienne </w:t>
      </w:r>
      <w:r w:rsidRPr="007632EF">
        <w:t xml:space="preserve">durant les </w:t>
      </w:r>
      <w:r w:rsidR="001C594B" w:rsidRPr="007632EF">
        <w:t>plages horaires</w:t>
      </w:r>
      <w:r w:rsidR="00EB3863" w:rsidRPr="007632EF">
        <w:t xml:space="preserve"> normales</w:t>
      </w:r>
      <w:r w:rsidR="001C594B" w:rsidRPr="007632EF">
        <w:t xml:space="preserve"> </w:t>
      </w:r>
      <w:r w:rsidRPr="007632EF">
        <w:t xml:space="preserve">du lieu où se tient la réunion physique, les participants à distance devant se rendre disponibles pour assister aux </w:t>
      </w:r>
      <w:r w:rsidR="001C594B" w:rsidRPr="007632EF">
        <w:t xml:space="preserve">séances </w:t>
      </w:r>
      <w:r w:rsidRPr="007632EF">
        <w:t>qu</w:t>
      </w:r>
      <w:r w:rsidR="00380009" w:rsidRPr="007632EF">
        <w:t>'</w:t>
      </w:r>
      <w:r w:rsidRPr="007632EF">
        <w:t>ils souhaitent suivre.</w:t>
      </w:r>
    </w:p>
    <w:p w14:paraId="08D7C5C4" w14:textId="4D79EB31" w:rsidR="0009607E" w:rsidRPr="007632EF" w:rsidRDefault="00AF453D" w:rsidP="00380009">
      <w:r w:rsidRPr="007632EF">
        <w:t>Pour les réunions entièrement virtuelles, bien que la plupart d</w:t>
      </w:r>
      <w:r w:rsidR="00380009" w:rsidRPr="007632EF">
        <w:t>'</w:t>
      </w:r>
      <w:r w:rsidRPr="007632EF">
        <w:t>entre elles soient organisées en milieu de journée à Genève, il est possible</w:t>
      </w:r>
      <w:r w:rsidR="00380009" w:rsidRPr="007632EF">
        <w:t xml:space="preserve"> </w:t>
      </w:r>
      <w:r w:rsidR="00EB3863" w:rsidRPr="007632EF">
        <w:t xml:space="preserve">de tenir </w:t>
      </w:r>
      <w:r w:rsidRPr="007632EF">
        <w:t>ces réunions durant les</w:t>
      </w:r>
      <w:r w:rsidR="00EB3863" w:rsidRPr="007632EF">
        <w:t xml:space="preserve"> plages</w:t>
      </w:r>
      <w:r w:rsidRPr="007632EF">
        <w:t xml:space="preserve"> horaires</w:t>
      </w:r>
      <w:r w:rsidR="00380009" w:rsidRPr="007632EF">
        <w:t xml:space="preserve"> </w:t>
      </w:r>
      <w:r w:rsidRPr="007632EF">
        <w:t>d</w:t>
      </w:r>
      <w:r w:rsidR="00380009" w:rsidRPr="007632EF">
        <w:t>'</w:t>
      </w:r>
      <w:r w:rsidRPr="007632EF">
        <w:t xml:space="preserve">autres fuseaux horaires, </w:t>
      </w:r>
      <w:r w:rsidR="00EB3863" w:rsidRPr="007632EF">
        <w:t>sachant</w:t>
      </w:r>
      <w:r w:rsidRPr="007632EF">
        <w:t xml:space="preserve"> que cette solution a des incidences financières liées </w:t>
      </w:r>
      <w:r w:rsidR="00B432A6" w:rsidRPr="007632EF">
        <w:t>aux heures supplémentaires d</w:t>
      </w:r>
      <w:r w:rsidRPr="007632EF">
        <w:t>u personnel d</w:t>
      </w:r>
      <w:r w:rsidR="00380009" w:rsidRPr="007632EF">
        <w:t>'</w:t>
      </w:r>
      <w:r w:rsidRPr="007632EF">
        <w:t>appui basé au siège de l</w:t>
      </w:r>
      <w:r w:rsidR="00380009" w:rsidRPr="007632EF">
        <w:t>'</w:t>
      </w:r>
      <w:r w:rsidRPr="007632EF">
        <w:t>UIT</w:t>
      </w:r>
      <w:r w:rsidR="00380009" w:rsidRPr="007632EF">
        <w:t xml:space="preserve"> </w:t>
      </w:r>
      <w:r w:rsidRPr="007632EF">
        <w:t>à Genève.</w:t>
      </w:r>
      <w:r w:rsidR="008C37D5" w:rsidRPr="007632EF">
        <w:t xml:space="preserve"> </w:t>
      </w:r>
      <w:r w:rsidR="00463C0B" w:rsidRPr="007632EF">
        <w:t>En outre, les séances d</w:t>
      </w:r>
      <w:r w:rsidR="00380009" w:rsidRPr="007632EF">
        <w:t>'</w:t>
      </w:r>
      <w:r w:rsidR="00B432A6" w:rsidRPr="007632EF">
        <w:t>une durée d</w:t>
      </w:r>
      <w:r w:rsidR="00463C0B" w:rsidRPr="007632EF">
        <w:t>e plus de trois heures supposent des coûts supplémentaires liés à l</w:t>
      </w:r>
      <w:r w:rsidR="00380009" w:rsidRPr="007632EF">
        <w:t>'</w:t>
      </w:r>
      <w:r w:rsidR="00463C0B" w:rsidRPr="007632EF">
        <w:t>interprétation.</w:t>
      </w:r>
    </w:p>
    <w:p w14:paraId="58CAAB52" w14:textId="0185B735" w:rsidR="0009607E" w:rsidRPr="007632EF" w:rsidRDefault="008C37D5" w:rsidP="00380009">
      <w:pPr>
        <w:pStyle w:val="Heading2"/>
        <w:rPr>
          <w:rFonts w:eastAsiaTheme="minorEastAsia"/>
          <w:b w:val="0"/>
          <w:i/>
          <w:lang w:eastAsia="zh-CN"/>
        </w:rPr>
      </w:pPr>
      <w:r w:rsidRPr="007632EF">
        <w:rPr>
          <w:rFonts w:eastAsiaTheme="minorEastAsia"/>
          <w:b w:val="0"/>
          <w:i/>
          <w:lang w:eastAsia="zh-CN"/>
        </w:rPr>
        <w:lastRenderedPageBreak/>
        <w:t>2.5</w:t>
      </w:r>
      <w:r w:rsidRPr="007632EF">
        <w:rPr>
          <w:rFonts w:eastAsiaTheme="minorEastAsia"/>
          <w:b w:val="0"/>
          <w:i/>
          <w:lang w:eastAsia="zh-CN"/>
        </w:rPr>
        <w:tab/>
      </w:r>
      <w:r w:rsidR="0050367A" w:rsidRPr="007632EF">
        <w:rPr>
          <w:rFonts w:eastAsiaTheme="minorEastAsia"/>
          <w:b w:val="0"/>
          <w:i/>
          <w:lang w:eastAsia="zh-CN"/>
        </w:rPr>
        <w:t>Plate-forme de conférence sur le web pour les réunions entièrement virtuelles ou les réunions physiques avec</w:t>
      </w:r>
      <w:r w:rsidR="00380009" w:rsidRPr="007632EF">
        <w:rPr>
          <w:rFonts w:eastAsiaTheme="minorEastAsia"/>
          <w:b w:val="0"/>
          <w:i/>
          <w:lang w:eastAsia="zh-CN"/>
        </w:rPr>
        <w:t xml:space="preserve"> </w:t>
      </w:r>
      <w:r w:rsidR="0050367A" w:rsidRPr="007632EF">
        <w:rPr>
          <w:rFonts w:eastAsiaTheme="minorEastAsia"/>
          <w:b w:val="0"/>
          <w:i/>
          <w:lang w:eastAsia="zh-CN"/>
        </w:rPr>
        <w:t>participation à distance.</w:t>
      </w:r>
    </w:p>
    <w:p w14:paraId="721B4EB0" w14:textId="59409B81" w:rsidR="0009607E" w:rsidRPr="007632EF" w:rsidRDefault="004A78AF" w:rsidP="00380009">
      <w:r w:rsidRPr="002A0B6A">
        <w:t>La plate-forme Zoom est devenue la norme</w:t>
      </w:r>
      <w:r w:rsidR="00B432A6" w:rsidRPr="002A0B6A">
        <w:t xml:space="preserve"> </w:t>
      </w:r>
      <w:bookmarkStart w:id="7" w:name="_Hlk111539991"/>
      <w:r w:rsidR="00B432A6" w:rsidRPr="00D76194">
        <w:rPr>
          <w:i/>
        </w:rPr>
        <w:t>de facto</w:t>
      </w:r>
      <w:r w:rsidRPr="002A0B6A">
        <w:t xml:space="preserve"> </w:t>
      </w:r>
      <w:bookmarkEnd w:id="7"/>
      <w:r w:rsidRPr="002A0B6A">
        <w:t>pour la</w:t>
      </w:r>
      <w:r w:rsidR="00380009" w:rsidRPr="002A0B6A">
        <w:t xml:space="preserve"> </w:t>
      </w:r>
      <w:r w:rsidR="00EB3863" w:rsidRPr="002A0B6A">
        <w:t>plupart</w:t>
      </w:r>
      <w:r w:rsidRPr="002A0B6A">
        <w:t xml:space="preserve"> des réunions de l</w:t>
      </w:r>
      <w:r w:rsidR="00380009" w:rsidRPr="002A0B6A">
        <w:t>'</w:t>
      </w:r>
      <w:r w:rsidRPr="002A0B6A">
        <w:t>UIT.</w:t>
      </w:r>
      <w:r w:rsidR="008C37D5" w:rsidRPr="002A0B6A">
        <w:t xml:space="preserve"> </w:t>
      </w:r>
      <w:r w:rsidR="00E66ED8" w:rsidRPr="002A0B6A">
        <w:t>L</w:t>
      </w:r>
      <w:r w:rsidR="00380009" w:rsidRPr="002A0B6A">
        <w:t>'</w:t>
      </w:r>
      <w:r w:rsidR="00E66ED8" w:rsidRPr="002A0B6A">
        <w:t>UIT</w:t>
      </w:r>
      <w:r w:rsidR="00E66ED8" w:rsidRPr="007632EF">
        <w:t xml:space="preserve"> n</w:t>
      </w:r>
      <w:r w:rsidR="00380009" w:rsidRPr="007632EF">
        <w:t>'</w:t>
      </w:r>
      <w:r w:rsidR="00E66ED8" w:rsidRPr="007632EF">
        <w:t>utilise plus les plates-formes Adobe Connect ou Interprefy, les États Membres ayant demandé à l</w:t>
      </w:r>
      <w:r w:rsidR="00380009" w:rsidRPr="007632EF">
        <w:t>'</w:t>
      </w:r>
      <w:r w:rsidR="00E66ED8" w:rsidRPr="007632EF">
        <w:t xml:space="preserve">Union de rationaliser </w:t>
      </w:r>
      <w:r w:rsidR="0025653E" w:rsidRPr="007632EF">
        <w:t xml:space="preserve">le nombre de </w:t>
      </w:r>
      <w:r w:rsidR="00E66ED8" w:rsidRPr="007632EF">
        <w:t>plates-formes.</w:t>
      </w:r>
    </w:p>
    <w:p w14:paraId="1CA6B757" w14:textId="681EFD3D" w:rsidR="0009607E" w:rsidRPr="007632EF" w:rsidRDefault="0025653E" w:rsidP="00380009">
      <w:r w:rsidRPr="007632EF">
        <w:t>Pour les réunions de</w:t>
      </w:r>
      <w:r w:rsidR="002736A6" w:rsidRPr="007632EF">
        <w:t xml:space="preserve"> </w:t>
      </w:r>
      <w:r w:rsidRPr="007632EF">
        <w:t>certains gr</w:t>
      </w:r>
      <w:r w:rsidR="002736A6" w:rsidRPr="007632EF">
        <w:t>oupes</w:t>
      </w:r>
      <w:r w:rsidRPr="007632EF">
        <w:t xml:space="preserve"> de travail</w:t>
      </w:r>
      <w:r w:rsidR="002736A6" w:rsidRPr="007632EF">
        <w:t xml:space="preserve"> par correspondance durant lesquelles les participants ne sont pas en mesure de se connecter </w:t>
      </w:r>
      <w:r w:rsidRPr="007632EF">
        <w:t>à la plate-forme</w:t>
      </w:r>
      <w:r w:rsidR="002736A6" w:rsidRPr="007632EF">
        <w:t xml:space="preserve"> Zoom, la solution de remplacement de l</w:t>
      </w:r>
      <w:r w:rsidR="00380009" w:rsidRPr="007632EF">
        <w:t>'</w:t>
      </w:r>
      <w:r w:rsidR="002736A6" w:rsidRPr="007632EF">
        <w:t>UIT-R consiste à utiliser GoToMeeting/GoToWebinar ou Teams.</w:t>
      </w:r>
      <w:r w:rsidR="008C37D5" w:rsidRPr="007632EF">
        <w:t xml:space="preserve"> </w:t>
      </w:r>
      <w:r w:rsidR="0036462B" w:rsidRPr="007632EF">
        <w:rPr>
          <w:rFonts w:eastAsia="Calibri" w:cs="Calibri"/>
          <w:color w:val="242424"/>
        </w:rPr>
        <w:t xml:space="preserve">Ces situations sont de moins en moins fréquentes, </w:t>
      </w:r>
      <w:r w:rsidR="00511330" w:rsidRPr="007632EF">
        <w:rPr>
          <w:rFonts w:eastAsia="Calibri" w:cs="Calibri"/>
          <w:color w:val="242424"/>
        </w:rPr>
        <w:t>de sorte que</w:t>
      </w:r>
      <w:r w:rsidR="0036462B" w:rsidRPr="007632EF">
        <w:rPr>
          <w:rFonts w:eastAsia="Calibri" w:cs="Calibri"/>
          <w:color w:val="242424"/>
        </w:rPr>
        <w:t xml:space="preserve"> seules deux licences GtM/GtW sont conservées jusqu</w:t>
      </w:r>
      <w:r w:rsidR="00380009" w:rsidRPr="007632EF">
        <w:rPr>
          <w:rFonts w:eastAsia="Calibri" w:cs="Calibri"/>
          <w:color w:val="242424"/>
        </w:rPr>
        <w:t>'</w:t>
      </w:r>
      <w:r w:rsidR="0036462B" w:rsidRPr="007632EF">
        <w:rPr>
          <w:rFonts w:eastAsia="Calibri" w:cs="Calibri"/>
          <w:color w:val="242424"/>
        </w:rPr>
        <w:t>à l</w:t>
      </w:r>
      <w:r w:rsidR="00380009" w:rsidRPr="007632EF">
        <w:rPr>
          <w:rFonts w:eastAsia="Calibri" w:cs="Calibri"/>
          <w:color w:val="242424"/>
        </w:rPr>
        <w:t>'</w:t>
      </w:r>
      <w:r w:rsidR="0036462B" w:rsidRPr="007632EF">
        <w:rPr>
          <w:rFonts w:eastAsia="Calibri" w:cs="Calibri"/>
          <w:color w:val="242424"/>
        </w:rPr>
        <w:t>année prochaine pour faire face à ces cas de figure.</w:t>
      </w:r>
    </w:p>
    <w:p w14:paraId="42D452C1" w14:textId="07E5E9A0" w:rsidR="0009607E" w:rsidRPr="007632EF" w:rsidRDefault="00057417" w:rsidP="00380009">
      <w:r w:rsidRPr="007632EF">
        <w:t>L</w:t>
      </w:r>
      <w:r w:rsidR="00380009" w:rsidRPr="007632EF">
        <w:t>'</w:t>
      </w:r>
      <w:r w:rsidRPr="007632EF">
        <w:t>UIT-T utilise la plate-forme MyMeetings comme solution par défaut pour les réunions sans interprétation et Zoom pour les réunions avec interprétation.</w:t>
      </w:r>
    </w:p>
    <w:p w14:paraId="6677A142" w14:textId="73971646" w:rsidR="0009607E" w:rsidRPr="007632EF" w:rsidRDefault="00B5715A" w:rsidP="00380009">
      <w:r w:rsidRPr="00D76194">
        <w:t xml:space="preserve">Bien que la plate-forme Zoom soit devenue la norme </w:t>
      </w:r>
      <w:r w:rsidRPr="00D76194">
        <w:rPr>
          <w:i/>
        </w:rPr>
        <w:t>de facto</w:t>
      </w:r>
      <w:r w:rsidRPr="00D76194">
        <w:t xml:space="preserve"> à l</w:t>
      </w:r>
      <w:r w:rsidR="00380009" w:rsidRPr="00D76194">
        <w:t>'</w:t>
      </w:r>
      <w:r w:rsidRPr="00D76194">
        <w:t>heure actuelle, le marché des</w:t>
      </w:r>
      <w:r w:rsidRPr="007632EF">
        <w:t xml:space="preserve"> plates-formes de conférence sur le web évolue.</w:t>
      </w:r>
      <w:r w:rsidR="008C37D5" w:rsidRPr="007632EF">
        <w:t xml:space="preserve"> </w:t>
      </w:r>
      <w:r w:rsidR="005B20F6" w:rsidRPr="007632EF">
        <w:t>Dans le futur, d</w:t>
      </w:r>
      <w:r w:rsidR="00380009" w:rsidRPr="007632EF">
        <w:t>'</w:t>
      </w:r>
      <w:r w:rsidR="005B20F6" w:rsidRPr="007632EF">
        <w:t>autres produits seront peut-être</w:t>
      </w:r>
      <w:r w:rsidR="00380009" w:rsidRPr="007632EF">
        <w:t xml:space="preserve"> </w:t>
      </w:r>
      <w:r w:rsidR="00A1141A" w:rsidRPr="007632EF">
        <w:t xml:space="preserve">mieux </w:t>
      </w:r>
      <w:r w:rsidR="005B20F6" w:rsidRPr="007632EF">
        <w:t>adaptés aux besoins de l</w:t>
      </w:r>
      <w:r w:rsidR="00380009" w:rsidRPr="007632EF">
        <w:t>'</w:t>
      </w:r>
      <w:r w:rsidR="005B20F6" w:rsidRPr="007632EF">
        <w:t>UIT.</w:t>
      </w:r>
      <w:r w:rsidR="008C37D5" w:rsidRPr="007632EF">
        <w:t xml:space="preserve"> </w:t>
      </w:r>
      <w:r w:rsidR="003B475B" w:rsidRPr="007632EF">
        <w:t xml:space="preserve">Le Secrétariat général suit de près </w:t>
      </w:r>
      <w:r w:rsidR="00A1141A" w:rsidRPr="007632EF">
        <w:t>l</w:t>
      </w:r>
      <w:r w:rsidR="00380009" w:rsidRPr="007632EF">
        <w:t>'</w:t>
      </w:r>
      <w:r w:rsidR="00A1141A" w:rsidRPr="007632EF">
        <w:t xml:space="preserve">évolution de </w:t>
      </w:r>
      <w:r w:rsidR="003B475B" w:rsidRPr="007632EF">
        <w:t>la situation, et des plates-formes seront adoptées ou adaptées en fonction de l</w:t>
      </w:r>
      <w:r w:rsidR="00380009" w:rsidRPr="007632EF">
        <w:t>'</w:t>
      </w:r>
      <w:r w:rsidR="003B475B" w:rsidRPr="007632EF">
        <w:t>évolution du marché et des préférence</w:t>
      </w:r>
      <w:r w:rsidR="00113E7E" w:rsidRPr="007632EF">
        <w:t>s</w:t>
      </w:r>
      <w:r w:rsidR="003B475B" w:rsidRPr="007632EF">
        <w:t xml:space="preserve"> des utilisateurs finals.</w:t>
      </w:r>
    </w:p>
    <w:p w14:paraId="16725771" w14:textId="4451A3BD" w:rsidR="0009607E" w:rsidRPr="007632EF" w:rsidRDefault="008C37D5" w:rsidP="00380009">
      <w:pPr>
        <w:pStyle w:val="Heading2"/>
        <w:rPr>
          <w:rFonts w:eastAsiaTheme="minorEastAsia"/>
          <w:b w:val="0"/>
          <w:i/>
          <w:szCs w:val="24"/>
          <w:lang w:eastAsia="zh-CN"/>
        </w:rPr>
      </w:pPr>
      <w:r w:rsidRPr="007632EF">
        <w:rPr>
          <w:rFonts w:eastAsiaTheme="minorEastAsia"/>
          <w:b w:val="0"/>
          <w:i/>
          <w:szCs w:val="24"/>
          <w:lang w:eastAsia="zh-CN"/>
        </w:rPr>
        <w:t>2.6</w:t>
      </w:r>
      <w:r w:rsidRPr="007632EF">
        <w:rPr>
          <w:rFonts w:eastAsiaTheme="minorEastAsia"/>
          <w:b w:val="0"/>
          <w:i/>
          <w:szCs w:val="24"/>
          <w:lang w:eastAsia="zh-CN"/>
        </w:rPr>
        <w:tab/>
      </w:r>
      <w:r w:rsidR="003166EB" w:rsidRPr="007632EF">
        <w:rPr>
          <w:rFonts w:eastAsiaTheme="minorEastAsia"/>
          <w:b w:val="0"/>
          <w:i/>
          <w:szCs w:val="24"/>
          <w:lang w:eastAsia="zh-CN"/>
        </w:rPr>
        <w:t xml:space="preserve">Incidences sur la planification des </w:t>
      </w:r>
      <w:r w:rsidR="00A1141A" w:rsidRPr="007632EF">
        <w:rPr>
          <w:rFonts w:eastAsiaTheme="minorEastAsia"/>
          <w:b w:val="0"/>
          <w:i/>
          <w:szCs w:val="24"/>
          <w:lang w:eastAsia="zh-CN"/>
        </w:rPr>
        <w:t xml:space="preserve">séances des </w:t>
      </w:r>
      <w:r w:rsidR="003166EB" w:rsidRPr="007632EF">
        <w:rPr>
          <w:rFonts w:eastAsiaTheme="minorEastAsia"/>
          <w:b w:val="0"/>
          <w:i/>
          <w:szCs w:val="24"/>
          <w:lang w:eastAsia="zh-CN"/>
        </w:rPr>
        <w:t>réunions</w:t>
      </w:r>
    </w:p>
    <w:p w14:paraId="3B914432" w14:textId="72772411" w:rsidR="0009607E" w:rsidRPr="007632EF" w:rsidRDefault="00F01F2C" w:rsidP="00380009">
      <w:r w:rsidRPr="007632EF">
        <w:t>Les salles de réunion doivent être reconfigurées et testées afin de permettre la participation à distance.</w:t>
      </w:r>
      <w:r w:rsidR="008C37D5" w:rsidRPr="007632EF">
        <w:t xml:space="preserve"> </w:t>
      </w:r>
      <w:r w:rsidR="00DE4BF6" w:rsidRPr="007632EF">
        <w:t>Très souvent, il n</w:t>
      </w:r>
      <w:r w:rsidR="00380009" w:rsidRPr="007632EF">
        <w:t>'</w:t>
      </w:r>
      <w:r w:rsidR="00DE4BF6" w:rsidRPr="007632EF">
        <w:t xml:space="preserve">est pas possible de tenir </w:t>
      </w:r>
      <w:r w:rsidR="00BD3D6A" w:rsidRPr="007632EF">
        <w:t xml:space="preserve">les unes </w:t>
      </w:r>
      <w:r w:rsidR="00DE4BF6" w:rsidRPr="007632EF">
        <w:t xml:space="preserve">à la suite des </w:t>
      </w:r>
      <w:r w:rsidR="00BD3D6A" w:rsidRPr="007632EF">
        <w:t xml:space="preserve">autres des </w:t>
      </w:r>
      <w:r w:rsidR="00A1141A" w:rsidRPr="007632EF">
        <w:t>séances en présentiel</w:t>
      </w:r>
      <w:r w:rsidR="00380009" w:rsidRPr="007632EF">
        <w:t xml:space="preserve"> </w:t>
      </w:r>
      <w:r w:rsidR="00DE4BF6" w:rsidRPr="007632EF">
        <w:t>avec</w:t>
      </w:r>
      <w:r w:rsidR="00380009" w:rsidRPr="007632EF">
        <w:t xml:space="preserve"> </w:t>
      </w:r>
      <w:r w:rsidR="00DE4BF6" w:rsidRPr="007632EF">
        <w:t>participation à distance dans la même salle</w:t>
      </w:r>
      <w:r w:rsidR="00BD3D6A" w:rsidRPr="007632EF">
        <w:t>,</w:t>
      </w:r>
      <w:r w:rsidR="00DE4BF6" w:rsidRPr="007632EF">
        <w:t xml:space="preserve"> si la configuration de la</w:t>
      </w:r>
      <w:r w:rsidR="00380009" w:rsidRPr="007632EF">
        <w:t xml:space="preserve"> </w:t>
      </w:r>
      <w:r w:rsidR="00DE4BF6" w:rsidRPr="007632EF">
        <w:t xml:space="preserve">séance virtuelle </w:t>
      </w:r>
      <w:r w:rsidR="00BD3D6A" w:rsidRPr="007632EF">
        <w:t xml:space="preserve">suivante </w:t>
      </w:r>
      <w:r w:rsidR="00DE4BF6" w:rsidRPr="007632EF">
        <w:t>doit être différente de celle qui l</w:t>
      </w:r>
      <w:r w:rsidR="00380009" w:rsidRPr="007632EF">
        <w:t>'</w:t>
      </w:r>
      <w:r w:rsidR="00DE4BF6" w:rsidRPr="007632EF">
        <w:t>a précédée.</w:t>
      </w:r>
      <w:r w:rsidR="008C37D5" w:rsidRPr="007632EF">
        <w:t xml:space="preserve"> </w:t>
      </w:r>
      <w:r w:rsidR="00CB044D" w:rsidRPr="007632EF">
        <w:t>En règle générale, il faut au</w:t>
      </w:r>
      <w:r w:rsidR="002E1715" w:rsidRPr="007632EF">
        <w:t> </w:t>
      </w:r>
      <w:r w:rsidR="00CB044D" w:rsidRPr="007632EF">
        <w:t>moins</w:t>
      </w:r>
      <w:r w:rsidR="002E1715" w:rsidRPr="007632EF">
        <w:t> </w:t>
      </w:r>
      <w:r w:rsidR="00CB044D" w:rsidRPr="007632EF">
        <w:t>30 minutes entre deux séances pour</w:t>
      </w:r>
      <w:r w:rsidR="00380009" w:rsidRPr="007632EF">
        <w:t xml:space="preserve"> </w:t>
      </w:r>
      <w:r w:rsidR="00CB044D" w:rsidRPr="007632EF">
        <w:t xml:space="preserve">la </w:t>
      </w:r>
      <w:r w:rsidR="00BD3D6A" w:rsidRPr="007632EF">
        <w:t>re</w:t>
      </w:r>
      <w:r w:rsidR="00CB044D" w:rsidRPr="007632EF">
        <w:t xml:space="preserve">configuration </w:t>
      </w:r>
      <w:r w:rsidR="006A5384" w:rsidRPr="007632EF">
        <w:t>de la</w:t>
      </w:r>
      <w:r w:rsidR="00380009" w:rsidRPr="007632EF">
        <w:t xml:space="preserve"> </w:t>
      </w:r>
      <w:r w:rsidR="006A5384" w:rsidRPr="007632EF">
        <w:t>séance</w:t>
      </w:r>
      <w:r w:rsidR="00380009" w:rsidRPr="007632EF">
        <w:t xml:space="preserve"> </w:t>
      </w:r>
      <w:r w:rsidR="006A5384" w:rsidRPr="007632EF">
        <w:t>avec participation à distance</w:t>
      </w:r>
      <w:r w:rsidR="00D76194">
        <w:t>.</w:t>
      </w:r>
      <w:r w:rsidR="006A5384" w:rsidRPr="007632EF" w:rsidDel="006A5384">
        <w:t xml:space="preserve"> </w:t>
      </w:r>
      <w:r w:rsidR="00E6499C" w:rsidRPr="007632EF">
        <w:t>Toutefois, lorsqu</w:t>
      </w:r>
      <w:r w:rsidR="00380009" w:rsidRPr="007632EF">
        <w:t>'</w:t>
      </w:r>
      <w:r w:rsidR="00E6499C" w:rsidRPr="007632EF">
        <w:t>il est nécessaire de scinder ou de fusionner une salle physique (par</w:t>
      </w:r>
      <w:r w:rsidR="002E1715" w:rsidRPr="007632EF">
        <w:t> </w:t>
      </w:r>
      <w:r w:rsidR="00E6499C" w:rsidRPr="007632EF">
        <w:t xml:space="preserve">exemple pour que la salle Popov soit scindée en deux, </w:t>
      </w:r>
      <w:r w:rsidR="00113E7E" w:rsidRPr="007632EF">
        <w:t xml:space="preserve">à savoir </w:t>
      </w:r>
      <w:r w:rsidR="00E6499C" w:rsidRPr="007632EF">
        <w:t>Popov1 et Popov2, ou pour fusionner ces deux salles) tout en continuant d</w:t>
      </w:r>
      <w:r w:rsidR="00380009" w:rsidRPr="007632EF">
        <w:t>'</w:t>
      </w:r>
      <w:r w:rsidR="00E6499C" w:rsidRPr="007632EF">
        <w:t xml:space="preserve">assurer la participation à distance, la </w:t>
      </w:r>
      <w:r w:rsidR="006A5384" w:rsidRPr="007632EF">
        <w:t>re</w:t>
      </w:r>
      <w:r w:rsidR="00E6499C" w:rsidRPr="007632EF">
        <w:t xml:space="preserve">configuration nécessite </w:t>
      </w:r>
      <w:r w:rsidR="006A5384" w:rsidRPr="007632EF">
        <w:t xml:space="preserve">au moins </w:t>
      </w:r>
      <w:r w:rsidR="00E6499C" w:rsidRPr="007632EF">
        <w:t xml:space="preserve">deux heures, voire une demi-journée </w:t>
      </w:r>
      <w:r w:rsidR="006A5384" w:rsidRPr="007632EF">
        <w:t xml:space="preserve">en cas de </w:t>
      </w:r>
      <w:r w:rsidR="00E6499C" w:rsidRPr="007632EF">
        <w:t>problèmes</w:t>
      </w:r>
      <w:r w:rsidR="002E1715" w:rsidRPr="007632EF">
        <w:t>.</w:t>
      </w:r>
    </w:p>
    <w:p w14:paraId="4EF20A34" w14:textId="4A48B095" w:rsidR="0009607E" w:rsidRPr="007632EF" w:rsidRDefault="008C37D5" w:rsidP="00380009">
      <w:pPr>
        <w:pStyle w:val="Heading1"/>
        <w:rPr>
          <w:rFonts w:eastAsiaTheme="minorEastAsia"/>
          <w:lang w:eastAsia="zh-CN"/>
        </w:rPr>
      </w:pPr>
      <w:r w:rsidRPr="007632EF">
        <w:rPr>
          <w:rFonts w:eastAsiaTheme="minorEastAsia"/>
          <w:lang w:eastAsia="zh-CN"/>
        </w:rPr>
        <w:t>3</w:t>
      </w:r>
      <w:r w:rsidRPr="007632EF">
        <w:rPr>
          <w:rFonts w:eastAsiaTheme="minorEastAsia"/>
          <w:lang w:eastAsia="zh-CN"/>
        </w:rPr>
        <w:tab/>
      </w:r>
      <w:r w:rsidR="00015FDA" w:rsidRPr="007632EF">
        <w:rPr>
          <w:rFonts w:eastAsiaTheme="minorEastAsia"/>
          <w:lang w:eastAsia="zh-CN"/>
        </w:rPr>
        <w:t>Dispositions préalables aux réunions</w:t>
      </w:r>
    </w:p>
    <w:p w14:paraId="367E5724" w14:textId="0E469A64" w:rsidR="0009607E" w:rsidRPr="007632EF" w:rsidRDefault="001E3EC0" w:rsidP="00380009">
      <w:r w:rsidRPr="007632EF">
        <w:rPr>
          <w:rFonts w:eastAsia="Calibri"/>
        </w:rPr>
        <w:t>L</w:t>
      </w:r>
      <w:r w:rsidR="00380009" w:rsidRPr="007632EF">
        <w:rPr>
          <w:rFonts w:eastAsia="Calibri"/>
        </w:rPr>
        <w:t>'</w:t>
      </w:r>
      <w:r w:rsidRPr="007632EF">
        <w:rPr>
          <w:rFonts w:eastAsia="Calibri"/>
        </w:rPr>
        <w:t>organisation et la préparation en vue d</w:t>
      </w:r>
      <w:r w:rsidR="00380009" w:rsidRPr="007632EF">
        <w:rPr>
          <w:rFonts w:eastAsia="Calibri"/>
        </w:rPr>
        <w:t>'</w:t>
      </w:r>
      <w:r w:rsidRPr="007632EF">
        <w:rPr>
          <w:rFonts w:eastAsia="Calibri"/>
        </w:rPr>
        <w:t xml:space="preserve">une réunion </w:t>
      </w:r>
      <w:r w:rsidR="006A5384" w:rsidRPr="007632EF">
        <w:rPr>
          <w:rFonts w:eastAsia="Calibri"/>
        </w:rPr>
        <w:t>en présentiel</w:t>
      </w:r>
      <w:r w:rsidR="00380009" w:rsidRPr="007632EF">
        <w:rPr>
          <w:rFonts w:eastAsia="Calibri"/>
        </w:rPr>
        <w:t xml:space="preserve"> </w:t>
      </w:r>
      <w:r w:rsidRPr="007632EF">
        <w:rPr>
          <w:rFonts w:eastAsia="Calibri"/>
        </w:rPr>
        <w:t>avec</w:t>
      </w:r>
      <w:r w:rsidR="00380009" w:rsidRPr="007632EF">
        <w:rPr>
          <w:rFonts w:eastAsia="Calibri"/>
        </w:rPr>
        <w:t xml:space="preserve"> </w:t>
      </w:r>
      <w:r w:rsidRPr="007632EF">
        <w:rPr>
          <w:rFonts w:eastAsia="Calibri"/>
        </w:rPr>
        <w:t>participation à distance sont</w:t>
      </w:r>
      <w:r w:rsidR="00380009" w:rsidRPr="007632EF">
        <w:rPr>
          <w:rFonts w:eastAsia="Calibri"/>
        </w:rPr>
        <w:t xml:space="preserve"> </w:t>
      </w:r>
      <w:r w:rsidR="006A5384" w:rsidRPr="007632EF">
        <w:rPr>
          <w:rFonts w:eastAsia="Calibri"/>
        </w:rPr>
        <w:t xml:space="preserve">beaucoup </w:t>
      </w:r>
      <w:r w:rsidRPr="007632EF">
        <w:rPr>
          <w:rFonts w:eastAsia="Calibri"/>
        </w:rPr>
        <w:t>plus complexes que pour une réunion entièrement physique ou entièrement virtuelle.</w:t>
      </w:r>
      <w:r w:rsidR="008C37D5" w:rsidRPr="007632EF">
        <w:rPr>
          <w:rFonts w:eastAsia="Calibri"/>
        </w:rPr>
        <w:t xml:space="preserve"> </w:t>
      </w:r>
      <w:r w:rsidR="00854885" w:rsidRPr="007632EF">
        <w:rPr>
          <w:rFonts w:eastAsia="Calibri"/>
        </w:rPr>
        <w:t xml:space="preserve">Les tâches supplémentaires consistent </w:t>
      </w:r>
      <w:proofErr w:type="gramStart"/>
      <w:r w:rsidR="00854885" w:rsidRPr="007632EF">
        <w:rPr>
          <w:rFonts w:eastAsia="Calibri"/>
        </w:rPr>
        <w:t>notamment:</w:t>
      </w:r>
      <w:proofErr w:type="gramEnd"/>
    </w:p>
    <w:p w14:paraId="27E1C949" w14:textId="29204381" w:rsidR="0009607E" w:rsidRPr="007632EF" w:rsidRDefault="008C37D5" w:rsidP="00380009">
      <w:pPr>
        <w:pStyle w:val="enumlev1"/>
        <w:rPr>
          <w:rFonts w:eastAsia="Calibri"/>
          <w:lang w:eastAsia="zh-CN"/>
        </w:rPr>
      </w:pPr>
      <w:r w:rsidRPr="007632EF">
        <w:rPr>
          <w:rFonts w:eastAsia="Calibri"/>
          <w:lang w:eastAsia="zh-CN"/>
        </w:rPr>
        <w:t>1)</w:t>
      </w:r>
      <w:r w:rsidRPr="007632EF">
        <w:rPr>
          <w:rFonts w:eastAsia="Calibri"/>
          <w:lang w:eastAsia="zh-CN"/>
        </w:rPr>
        <w:tab/>
      </w:r>
      <w:r w:rsidR="00D417D8" w:rsidRPr="007632EF">
        <w:rPr>
          <w:rFonts w:eastAsia="Calibri"/>
          <w:lang w:eastAsia="zh-CN"/>
        </w:rPr>
        <w:t xml:space="preserve">à adapter les formulaires/le processus </w:t>
      </w:r>
      <w:proofErr w:type="gramStart"/>
      <w:r w:rsidR="00D417D8" w:rsidRPr="007632EF">
        <w:rPr>
          <w:rFonts w:eastAsia="Calibri"/>
          <w:lang w:eastAsia="zh-CN"/>
        </w:rPr>
        <w:t>d</w:t>
      </w:r>
      <w:r w:rsidR="00380009" w:rsidRPr="007632EF">
        <w:rPr>
          <w:rFonts w:eastAsia="Calibri"/>
          <w:lang w:eastAsia="zh-CN"/>
        </w:rPr>
        <w:t>'</w:t>
      </w:r>
      <w:r w:rsidR="00D417D8" w:rsidRPr="007632EF">
        <w:rPr>
          <w:rFonts w:eastAsia="Calibri"/>
          <w:lang w:eastAsia="zh-CN"/>
        </w:rPr>
        <w:t>inscription;</w:t>
      </w:r>
      <w:proofErr w:type="gramEnd"/>
    </w:p>
    <w:p w14:paraId="1BF3BAC1" w14:textId="55CA72D2" w:rsidR="0009607E" w:rsidRPr="007632EF" w:rsidRDefault="008C37D5" w:rsidP="00380009">
      <w:pPr>
        <w:pStyle w:val="enumlev1"/>
        <w:rPr>
          <w:rFonts w:eastAsia="Calibri"/>
          <w:lang w:eastAsia="zh-CN"/>
        </w:rPr>
      </w:pPr>
      <w:r w:rsidRPr="007632EF">
        <w:rPr>
          <w:rFonts w:eastAsia="Calibri"/>
          <w:lang w:eastAsia="zh-CN"/>
        </w:rPr>
        <w:t>2)</w:t>
      </w:r>
      <w:r w:rsidRPr="007632EF">
        <w:rPr>
          <w:rFonts w:eastAsia="Calibri"/>
          <w:lang w:eastAsia="zh-CN"/>
        </w:rPr>
        <w:tab/>
      </w:r>
      <w:r w:rsidR="00284DFA" w:rsidRPr="007632EF">
        <w:rPr>
          <w:rFonts w:eastAsia="Calibri"/>
          <w:lang w:eastAsia="zh-CN"/>
        </w:rPr>
        <w:t>à</w:t>
      </w:r>
      <w:r w:rsidR="00FE3E6F" w:rsidRPr="007632EF">
        <w:rPr>
          <w:rFonts w:eastAsia="Calibri"/>
          <w:lang w:eastAsia="zh-CN"/>
        </w:rPr>
        <w:t xml:space="preserve"> établir des listes séparées des</w:t>
      </w:r>
      <w:r w:rsidR="00380009" w:rsidRPr="007632EF">
        <w:rPr>
          <w:rFonts w:eastAsia="Calibri"/>
          <w:lang w:eastAsia="zh-CN"/>
        </w:rPr>
        <w:t xml:space="preserve"> </w:t>
      </w:r>
      <w:r w:rsidR="00284DFA" w:rsidRPr="007632EF">
        <w:rPr>
          <w:rFonts w:eastAsia="Calibri"/>
          <w:lang w:eastAsia="zh-CN"/>
        </w:rPr>
        <w:t xml:space="preserve">participants en présentiel </w:t>
      </w:r>
      <w:r w:rsidR="00FE3E6F" w:rsidRPr="007632EF">
        <w:rPr>
          <w:rFonts w:eastAsia="Calibri"/>
          <w:lang w:eastAsia="zh-CN"/>
        </w:rPr>
        <w:t xml:space="preserve">et </w:t>
      </w:r>
      <w:r w:rsidR="00284DFA" w:rsidRPr="007632EF">
        <w:rPr>
          <w:rFonts w:eastAsia="Calibri"/>
          <w:lang w:eastAsia="zh-CN"/>
        </w:rPr>
        <w:t xml:space="preserve">des participants à distance, puis à trouver ou à configurer une salle de réunion </w:t>
      </w:r>
      <w:proofErr w:type="gramStart"/>
      <w:r w:rsidR="00284DFA" w:rsidRPr="007632EF">
        <w:rPr>
          <w:rFonts w:eastAsia="Calibri"/>
          <w:lang w:eastAsia="zh-CN"/>
        </w:rPr>
        <w:t>adaptée;</w:t>
      </w:r>
      <w:proofErr w:type="gramEnd"/>
    </w:p>
    <w:p w14:paraId="705051A8" w14:textId="733FADB6" w:rsidR="0009607E" w:rsidRPr="007632EF" w:rsidRDefault="008C37D5" w:rsidP="00380009">
      <w:pPr>
        <w:pStyle w:val="enumlev1"/>
        <w:rPr>
          <w:rFonts w:eastAsia="Calibri"/>
          <w:lang w:eastAsia="zh-CN"/>
        </w:rPr>
      </w:pPr>
      <w:r w:rsidRPr="007632EF">
        <w:rPr>
          <w:rFonts w:eastAsia="Calibri"/>
          <w:lang w:eastAsia="zh-CN"/>
        </w:rPr>
        <w:t>3)</w:t>
      </w:r>
      <w:r w:rsidRPr="007632EF">
        <w:rPr>
          <w:rFonts w:eastAsia="Calibri"/>
          <w:lang w:eastAsia="zh-CN"/>
        </w:rPr>
        <w:tab/>
      </w:r>
      <w:r w:rsidR="00236D69" w:rsidRPr="007632EF">
        <w:rPr>
          <w:rFonts w:eastAsia="Calibri"/>
          <w:lang w:eastAsia="zh-CN"/>
        </w:rPr>
        <w:t xml:space="preserve">à fournir aux participants le lien pour accéder à la séance virtuelle, ainsi que le lieu où se déroulera la réunion en </w:t>
      </w:r>
      <w:proofErr w:type="gramStart"/>
      <w:r w:rsidR="00236D69" w:rsidRPr="007632EF">
        <w:rPr>
          <w:rFonts w:eastAsia="Calibri"/>
          <w:lang w:eastAsia="zh-CN"/>
        </w:rPr>
        <w:t>présentiel;</w:t>
      </w:r>
      <w:proofErr w:type="gramEnd"/>
    </w:p>
    <w:p w14:paraId="5459882D" w14:textId="52A3BCA7" w:rsidR="0009607E" w:rsidRPr="007632EF" w:rsidRDefault="008C37D5" w:rsidP="00380009">
      <w:pPr>
        <w:pStyle w:val="enumlev1"/>
        <w:rPr>
          <w:rFonts w:eastAsia="Calibri"/>
          <w:lang w:eastAsia="zh-CN"/>
        </w:rPr>
      </w:pPr>
      <w:r w:rsidRPr="007632EF">
        <w:rPr>
          <w:rFonts w:eastAsia="Calibri"/>
          <w:lang w:eastAsia="zh-CN"/>
        </w:rPr>
        <w:t>4)</w:t>
      </w:r>
      <w:r w:rsidRPr="007632EF">
        <w:rPr>
          <w:rFonts w:eastAsia="Calibri"/>
          <w:lang w:eastAsia="zh-CN"/>
        </w:rPr>
        <w:tab/>
      </w:r>
      <w:r w:rsidR="00177E42" w:rsidRPr="007632EF">
        <w:rPr>
          <w:rFonts w:eastAsia="Calibri"/>
          <w:lang w:eastAsia="zh-CN"/>
        </w:rPr>
        <w:t>à réaliser l</w:t>
      </w:r>
      <w:r w:rsidR="00380009" w:rsidRPr="007632EF">
        <w:rPr>
          <w:rFonts w:eastAsia="Calibri"/>
          <w:lang w:eastAsia="zh-CN"/>
        </w:rPr>
        <w:t>'</w:t>
      </w:r>
      <w:r w:rsidR="00177E42" w:rsidRPr="007632EF">
        <w:rPr>
          <w:rFonts w:eastAsia="Calibri"/>
          <w:lang w:eastAsia="zh-CN"/>
        </w:rPr>
        <w:t xml:space="preserve">intégration audio et à fournir un appui technique aux participants à </w:t>
      </w:r>
      <w:proofErr w:type="gramStart"/>
      <w:r w:rsidR="00177E42" w:rsidRPr="007632EF">
        <w:rPr>
          <w:rFonts w:eastAsia="Calibri"/>
          <w:lang w:eastAsia="zh-CN"/>
        </w:rPr>
        <w:t>distance;</w:t>
      </w:r>
      <w:proofErr w:type="gramEnd"/>
    </w:p>
    <w:p w14:paraId="09CA00CA" w14:textId="315B8285" w:rsidR="0009607E" w:rsidRPr="007632EF" w:rsidRDefault="008C37D5" w:rsidP="002E1715">
      <w:pPr>
        <w:pStyle w:val="enumlev1"/>
        <w:keepLines/>
        <w:rPr>
          <w:rFonts w:eastAsia="Calibri"/>
          <w:lang w:eastAsia="zh-CN"/>
        </w:rPr>
      </w:pPr>
      <w:r w:rsidRPr="007632EF">
        <w:rPr>
          <w:rFonts w:eastAsia="Calibri"/>
          <w:lang w:eastAsia="zh-CN"/>
        </w:rPr>
        <w:lastRenderedPageBreak/>
        <w:t>5)</w:t>
      </w:r>
      <w:r w:rsidRPr="007632EF">
        <w:rPr>
          <w:rFonts w:eastAsia="Calibri"/>
          <w:lang w:eastAsia="zh-CN"/>
        </w:rPr>
        <w:tab/>
      </w:r>
      <w:r w:rsidR="003538CB" w:rsidRPr="007632EF">
        <w:rPr>
          <w:rFonts w:eastAsia="Calibri"/>
          <w:lang w:eastAsia="zh-CN"/>
        </w:rPr>
        <w:t xml:space="preserve">à fournir </w:t>
      </w:r>
      <w:r w:rsidR="00F12A2F" w:rsidRPr="007632EF">
        <w:rPr>
          <w:rFonts w:eastAsia="Calibri"/>
          <w:lang w:eastAsia="zh-CN"/>
        </w:rPr>
        <w:t xml:space="preserve">aux participants </w:t>
      </w:r>
      <w:r w:rsidR="003538CB" w:rsidRPr="007632EF">
        <w:rPr>
          <w:rFonts w:eastAsia="Calibri"/>
          <w:lang w:eastAsia="zh-CN"/>
        </w:rPr>
        <w:t xml:space="preserve">des </w:t>
      </w:r>
      <w:r w:rsidR="00F12A2F" w:rsidRPr="007632EF">
        <w:rPr>
          <w:rFonts w:eastAsia="Calibri"/>
          <w:lang w:eastAsia="zh-CN"/>
        </w:rPr>
        <w:t>indications</w:t>
      </w:r>
      <w:r w:rsidR="003538CB" w:rsidRPr="007632EF">
        <w:rPr>
          <w:rFonts w:eastAsia="Calibri"/>
          <w:lang w:eastAsia="zh-CN"/>
        </w:rPr>
        <w:t xml:space="preserve"> et des mises à jour concernant l</w:t>
      </w:r>
      <w:r w:rsidR="00380009" w:rsidRPr="007632EF">
        <w:rPr>
          <w:rFonts w:eastAsia="Calibri"/>
          <w:lang w:eastAsia="zh-CN"/>
        </w:rPr>
        <w:t>'</w:t>
      </w:r>
      <w:r w:rsidR="003538CB" w:rsidRPr="007632EF">
        <w:rPr>
          <w:rFonts w:eastAsia="Calibri"/>
          <w:lang w:eastAsia="zh-CN"/>
        </w:rPr>
        <w:t>organisation de la participation à distance et les droits connexes (par exemple dans un document de réunion/d</w:t>
      </w:r>
      <w:r w:rsidR="00380009" w:rsidRPr="007632EF">
        <w:rPr>
          <w:rFonts w:eastAsia="Calibri"/>
          <w:lang w:eastAsia="zh-CN"/>
        </w:rPr>
        <w:t>'</w:t>
      </w:r>
      <w:r w:rsidR="003538CB" w:rsidRPr="007632EF">
        <w:rPr>
          <w:rFonts w:eastAsia="Calibri"/>
          <w:lang w:eastAsia="zh-CN"/>
        </w:rPr>
        <w:t>orientation, dans une annonce faite par le président ou la présidente en début de séance, sur un site web ou dans une liste de diffusion</w:t>
      </w:r>
      <w:proofErr w:type="gramStart"/>
      <w:r w:rsidR="003538CB" w:rsidRPr="007632EF">
        <w:rPr>
          <w:rFonts w:eastAsia="Calibri"/>
          <w:lang w:eastAsia="zh-CN"/>
        </w:rPr>
        <w:t>);</w:t>
      </w:r>
      <w:proofErr w:type="gramEnd"/>
    </w:p>
    <w:p w14:paraId="258D0214" w14:textId="3518B615" w:rsidR="0009607E" w:rsidRPr="007632EF" w:rsidRDefault="008C37D5" w:rsidP="00380009">
      <w:pPr>
        <w:pStyle w:val="enumlev1"/>
        <w:rPr>
          <w:rFonts w:eastAsia="Calibri"/>
          <w:lang w:eastAsia="zh-CN"/>
        </w:rPr>
      </w:pPr>
      <w:r w:rsidRPr="007632EF">
        <w:rPr>
          <w:rFonts w:eastAsia="Calibri"/>
          <w:lang w:eastAsia="zh-CN"/>
        </w:rPr>
        <w:t>6)</w:t>
      </w:r>
      <w:r w:rsidRPr="007632EF">
        <w:rPr>
          <w:rFonts w:eastAsia="Calibri"/>
          <w:lang w:eastAsia="zh-CN"/>
        </w:rPr>
        <w:tab/>
      </w:r>
      <w:r w:rsidR="002F5D1C" w:rsidRPr="007632EF">
        <w:rPr>
          <w:rFonts w:eastAsia="Calibri"/>
          <w:lang w:eastAsia="zh-CN"/>
        </w:rPr>
        <w:t>à adapter les méthodes de travail pour assurer un partage d</w:t>
      </w:r>
      <w:r w:rsidR="00380009" w:rsidRPr="007632EF">
        <w:rPr>
          <w:rFonts w:eastAsia="Calibri"/>
          <w:lang w:eastAsia="zh-CN"/>
        </w:rPr>
        <w:t>'</w:t>
      </w:r>
      <w:r w:rsidR="002F5D1C" w:rsidRPr="007632EF">
        <w:rPr>
          <w:rFonts w:eastAsia="Calibri"/>
          <w:lang w:eastAsia="zh-CN"/>
        </w:rPr>
        <w:t xml:space="preserve">écran efficace, gérer les demandes de prise de parole, </w:t>
      </w:r>
      <w:proofErr w:type="gramStart"/>
      <w:r w:rsidR="002F5D1C" w:rsidRPr="007632EF">
        <w:rPr>
          <w:rFonts w:eastAsia="Calibri"/>
          <w:lang w:eastAsia="zh-CN"/>
        </w:rPr>
        <w:t>etc.;</w:t>
      </w:r>
      <w:proofErr w:type="gramEnd"/>
    </w:p>
    <w:p w14:paraId="2D9571B0" w14:textId="07BB7FB6" w:rsidR="0009607E" w:rsidRPr="007632EF" w:rsidRDefault="008C37D5" w:rsidP="00380009">
      <w:pPr>
        <w:pStyle w:val="enumlev1"/>
        <w:rPr>
          <w:rFonts w:eastAsia="Calibri"/>
          <w:lang w:eastAsia="zh-CN"/>
        </w:rPr>
      </w:pPr>
      <w:r w:rsidRPr="007632EF">
        <w:rPr>
          <w:rFonts w:eastAsia="Calibri"/>
          <w:lang w:eastAsia="zh-CN"/>
        </w:rPr>
        <w:t>7)</w:t>
      </w:r>
      <w:r w:rsidRPr="007632EF">
        <w:rPr>
          <w:rFonts w:eastAsia="Calibri"/>
          <w:lang w:eastAsia="zh-CN"/>
        </w:rPr>
        <w:tab/>
      </w:r>
      <w:r w:rsidR="00022E2F" w:rsidRPr="007632EF">
        <w:rPr>
          <w:rFonts w:eastAsia="Calibri"/>
          <w:lang w:eastAsia="zh-CN"/>
        </w:rPr>
        <w:t>à répondre au grand nombre de demandes d</w:t>
      </w:r>
      <w:r w:rsidR="00380009" w:rsidRPr="007632EF">
        <w:rPr>
          <w:rFonts w:eastAsia="Calibri"/>
          <w:lang w:eastAsia="zh-CN"/>
        </w:rPr>
        <w:t>'</w:t>
      </w:r>
      <w:r w:rsidR="00022E2F" w:rsidRPr="007632EF">
        <w:rPr>
          <w:rFonts w:eastAsia="Calibri"/>
          <w:lang w:eastAsia="zh-CN"/>
        </w:rPr>
        <w:t xml:space="preserve">appui technique </w:t>
      </w:r>
      <w:r w:rsidR="00F12A2F" w:rsidRPr="007632EF">
        <w:rPr>
          <w:rFonts w:eastAsia="Calibri"/>
          <w:lang w:eastAsia="zh-CN"/>
        </w:rPr>
        <w:t>émanant des</w:t>
      </w:r>
      <w:r w:rsidR="00022E2F" w:rsidRPr="007632EF">
        <w:rPr>
          <w:rFonts w:eastAsia="Calibri"/>
          <w:lang w:eastAsia="zh-CN"/>
        </w:rPr>
        <w:t xml:space="preserve"> participants qui assistent à la réunion en présentiel ou à </w:t>
      </w:r>
      <w:proofErr w:type="gramStart"/>
      <w:r w:rsidR="00022E2F" w:rsidRPr="007632EF">
        <w:rPr>
          <w:rFonts w:eastAsia="Calibri"/>
          <w:lang w:eastAsia="zh-CN"/>
        </w:rPr>
        <w:t>distance;</w:t>
      </w:r>
      <w:proofErr w:type="gramEnd"/>
    </w:p>
    <w:p w14:paraId="59373E29" w14:textId="689013E5" w:rsidR="0009607E" w:rsidRPr="007632EF" w:rsidRDefault="008C37D5" w:rsidP="00380009">
      <w:pPr>
        <w:pStyle w:val="enumlev1"/>
        <w:rPr>
          <w:rFonts w:eastAsia="Calibri"/>
          <w:lang w:eastAsia="zh-CN"/>
        </w:rPr>
      </w:pPr>
      <w:r w:rsidRPr="007632EF">
        <w:rPr>
          <w:rFonts w:eastAsia="Calibri"/>
          <w:lang w:eastAsia="zh-CN"/>
        </w:rPr>
        <w:t>8)</w:t>
      </w:r>
      <w:r w:rsidRPr="007632EF">
        <w:rPr>
          <w:rFonts w:eastAsia="Calibri"/>
          <w:lang w:eastAsia="zh-CN"/>
        </w:rPr>
        <w:tab/>
        <w:t xml:space="preserve">à prévoir le flux de la séance virtuelle et la production de tous </w:t>
      </w:r>
      <w:proofErr w:type="gramStart"/>
      <w:r w:rsidRPr="007632EF">
        <w:rPr>
          <w:rFonts w:eastAsia="Calibri"/>
          <w:lang w:eastAsia="zh-CN"/>
        </w:rPr>
        <w:t>les contenus audio</w:t>
      </w:r>
      <w:proofErr w:type="gramEnd"/>
      <w:r w:rsidRPr="007632EF">
        <w:rPr>
          <w:rFonts w:eastAsia="Calibri"/>
          <w:lang w:eastAsia="zh-CN"/>
        </w:rPr>
        <w:t xml:space="preserve"> et vidéo associés.</w:t>
      </w:r>
    </w:p>
    <w:p w14:paraId="375880D7" w14:textId="34FD7FFB" w:rsidR="0009607E" w:rsidRPr="007632EF" w:rsidRDefault="00EE62DC" w:rsidP="00380009">
      <w:pPr>
        <w:rPr>
          <w:rFonts w:eastAsia="Calibri"/>
        </w:rPr>
      </w:pPr>
      <w:r w:rsidRPr="007632EF">
        <w:rPr>
          <w:rFonts w:eastAsia="Calibri"/>
        </w:rPr>
        <w:t>Les travaux supplémentaires qui sont nécessaires pour les réunions physiques avec</w:t>
      </w:r>
      <w:r w:rsidR="00380009" w:rsidRPr="007632EF">
        <w:rPr>
          <w:rFonts w:eastAsia="Calibri"/>
        </w:rPr>
        <w:t xml:space="preserve"> </w:t>
      </w:r>
      <w:r w:rsidRPr="007632EF">
        <w:rPr>
          <w:rFonts w:eastAsia="Calibri"/>
        </w:rPr>
        <w:t>participation à distance peuvent entraîner une charge de travail accrue et des heures supplémentaires pour les techniciens et le personnel du secrétariat.</w:t>
      </w:r>
    </w:p>
    <w:p w14:paraId="595378B1" w14:textId="1D7C5860" w:rsidR="0009607E" w:rsidRPr="007632EF" w:rsidRDefault="006021AF" w:rsidP="00380009">
      <w:pPr>
        <w:rPr>
          <w:rFonts w:eastAsia="Calibri"/>
        </w:rPr>
      </w:pPr>
      <w:r w:rsidRPr="007632EF">
        <w:rPr>
          <w:rFonts w:eastAsia="Calibri"/>
        </w:rPr>
        <w:t>Initialement, des séances d</w:t>
      </w:r>
      <w:r w:rsidR="00380009" w:rsidRPr="007632EF">
        <w:rPr>
          <w:rFonts w:eastAsia="Calibri"/>
        </w:rPr>
        <w:t>'</w:t>
      </w:r>
      <w:r w:rsidRPr="007632EF">
        <w:rPr>
          <w:rFonts w:eastAsia="Calibri"/>
        </w:rPr>
        <w:t>essai à l</w:t>
      </w:r>
      <w:r w:rsidR="00380009" w:rsidRPr="007632EF">
        <w:rPr>
          <w:rFonts w:eastAsia="Calibri"/>
        </w:rPr>
        <w:t>'</w:t>
      </w:r>
      <w:r w:rsidRPr="007632EF">
        <w:rPr>
          <w:rFonts w:eastAsia="Calibri"/>
        </w:rPr>
        <w:t>intention des participant</w:t>
      </w:r>
      <w:r w:rsidR="00897230" w:rsidRPr="007632EF">
        <w:rPr>
          <w:rFonts w:eastAsia="Calibri"/>
        </w:rPr>
        <w:t>s</w:t>
      </w:r>
      <w:r w:rsidRPr="007632EF">
        <w:rPr>
          <w:rFonts w:eastAsia="Calibri"/>
        </w:rPr>
        <w:t xml:space="preserve"> à distance étaient fréquemment </w:t>
      </w:r>
      <w:proofErr w:type="gramStart"/>
      <w:r w:rsidR="00F12A2F" w:rsidRPr="007632EF">
        <w:rPr>
          <w:rFonts w:eastAsia="Calibri"/>
        </w:rPr>
        <w:t>organisées</w:t>
      </w:r>
      <w:r w:rsidRPr="007632EF">
        <w:rPr>
          <w:rFonts w:eastAsia="Calibri"/>
        </w:rPr>
        <w:t>;</w:t>
      </w:r>
      <w:proofErr w:type="gramEnd"/>
      <w:r w:rsidRPr="007632EF">
        <w:rPr>
          <w:rFonts w:eastAsia="Calibri"/>
        </w:rPr>
        <w:t xml:space="preserve"> toutefois, dans la mesure où les délégués et les fonctionnaires se sont habitués à l</w:t>
      </w:r>
      <w:r w:rsidR="00380009" w:rsidRPr="007632EF">
        <w:rPr>
          <w:rFonts w:eastAsia="Calibri"/>
        </w:rPr>
        <w:t>'</w:t>
      </w:r>
      <w:r w:rsidRPr="007632EF">
        <w:rPr>
          <w:rFonts w:eastAsia="Calibri"/>
        </w:rPr>
        <w:t>environnement de travail virtuel, les séances d</w:t>
      </w:r>
      <w:r w:rsidR="00380009" w:rsidRPr="007632EF">
        <w:rPr>
          <w:rFonts w:eastAsia="Calibri"/>
        </w:rPr>
        <w:t>'</w:t>
      </w:r>
      <w:r w:rsidRPr="007632EF">
        <w:rPr>
          <w:rFonts w:eastAsia="Calibri"/>
        </w:rPr>
        <w:t xml:space="preserve">essai ne sont désormais </w:t>
      </w:r>
      <w:r w:rsidR="00F51B8E" w:rsidRPr="007632EF">
        <w:rPr>
          <w:rFonts w:eastAsia="Calibri"/>
        </w:rPr>
        <w:t>organisées</w:t>
      </w:r>
      <w:r w:rsidRPr="007632EF">
        <w:rPr>
          <w:rFonts w:eastAsia="Calibri"/>
        </w:rPr>
        <w:t xml:space="preserve"> que lorsqu</w:t>
      </w:r>
      <w:r w:rsidR="00380009" w:rsidRPr="007632EF">
        <w:rPr>
          <w:rFonts w:eastAsia="Calibri"/>
        </w:rPr>
        <w:t>'</w:t>
      </w:r>
      <w:r w:rsidRPr="007632EF">
        <w:rPr>
          <w:rFonts w:eastAsia="Calibri"/>
        </w:rPr>
        <w:t>elles sont nécessaires.</w:t>
      </w:r>
      <w:r w:rsidR="008C37D5" w:rsidRPr="007632EF">
        <w:rPr>
          <w:rFonts w:eastAsia="Calibri"/>
        </w:rPr>
        <w:t xml:space="preserve"> </w:t>
      </w:r>
      <w:r w:rsidR="005742AE" w:rsidRPr="007632EF">
        <w:rPr>
          <w:rFonts w:eastAsia="Calibri"/>
        </w:rPr>
        <w:t>Les salles virtuelles ouvrent généralement 30 à 60 minutes avant le début de la séance, de façon que les délégués, les interprètes et les personnes chargées du sous</w:t>
      </w:r>
      <w:r w:rsidR="002E1715" w:rsidRPr="007632EF">
        <w:rPr>
          <w:rFonts w:eastAsia="Calibri"/>
        </w:rPr>
        <w:noBreakHyphen/>
      </w:r>
      <w:r w:rsidR="005742AE" w:rsidRPr="007632EF">
        <w:rPr>
          <w:rFonts w:eastAsia="Calibri"/>
        </w:rPr>
        <w:t xml:space="preserve">titrage puissent tester ou configurer </w:t>
      </w:r>
      <w:proofErr w:type="gramStart"/>
      <w:r w:rsidR="005742AE" w:rsidRPr="007632EF">
        <w:rPr>
          <w:rFonts w:eastAsia="Calibri"/>
        </w:rPr>
        <w:t>leurs équipements audio</w:t>
      </w:r>
      <w:proofErr w:type="gramEnd"/>
      <w:r w:rsidR="005742AE" w:rsidRPr="007632EF">
        <w:rPr>
          <w:rFonts w:eastAsia="Calibri"/>
        </w:rPr>
        <w:t>.</w:t>
      </w:r>
    </w:p>
    <w:p w14:paraId="724A0E2A" w14:textId="2B6926B5" w:rsidR="0009607E" w:rsidRPr="007632EF" w:rsidRDefault="008C37D5" w:rsidP="00380009">
      <w:pPr>
        <w:pStyle w:val="Heading1"/>
        <w:rPr>
          <w:rFonts w:eastAsiaTheme="minorEastAsia"/>
          <w:lang w:eastAsia="zh-CN"/>
        </w:rPr>
      </w:pPr>
      <w:r w:rsidRPr="007632EF">
        <w:rPr>
          <w:rFonts w:eastAsiaTheme="minorEastAsia"/>
          <w:lang w:eastAsia="zh-CN"/>
        </w:rPr>
        <w:t>4</w:t>
      </w:r>
      <w:r w:rsidRPr="007632EF">
        <w:rPr>
          <w:rFonts w:eastAsiaTheme="minorEastAsia"/>
          <w:lang w:eastAsia="zh-CN"/>
        </w:rPr>
        <w:tab/>
      </w:r>
      <w:r w:rsidR="004A0FAF" w:rsidRPr="007632EF">
        <w:rPr>
          <w:rFonts w:eastAsiaTheme="minorEastAsia"/>
          <w:lang w:eastAsia="zh-CN"/>
        </w:rPr>
        <w:t>Pendant la réunion</w:t>
      </w:r>
    </w:p>
    <w:p w14:paraId="1E0E68BB" w14:textId="5C2A8AAD" w:rsidR="0009607E" w:rsidRPr="007632EF" w:rsidRDefault="00F67099" w:rsidP="00380009">
      <w:pPr>
        <w:rPr>
          <w:lang w:eastAsia="en-GB"/>
        </w:rPr>
      </w:pPr>
      <w:r w:rsidRPr="007632EF">
        <w:t>Durant une réunion physique avec</w:t>
      </w:r>
      <w:r w:rsidR="00380009" w:rsidRPr="007632EF">
        <w:t xml:space="preserve"> </w:t>
      </w:r>
      <w:r w:rsidRPr="007632EF">
        <w:t>participation à distance, l</w:t>
      </w:r>
      <w:r w:rsidR="00380009" w:rsidRPr="007632EF">
        <w:t>'</w:t>
      </w:r>
      <w:r w:rsidRPr="007632EF">
        <w:t xml:space="preserve">une des principales difficultés tient à la façon dont le président gère les demandes de prise de parole dans la salle physique (les délégués présents </w:t>
      </w:r>
      <w:r w:rsidR="00474363" w:rsidRPr="007632EF">
        <w:t xml:space="preserve">sur place </w:t>
      </w:r>
      <w:r w:rsidRPr="007632EF">
        <w:t xml:space="preserve">lèvent la main ou leur pancarte ou appuient sur le bouton permettant de demander à prendre la parole) et </w:t>
      </w:r>
      <w:r w:rsidR="00474363" w:rsidRPr="007632EF">
        <w:t xml:space="preserve">la fonction </w:t>
      </w:r>
      <w:r w:rsidR="001D72C4" w:rsidRPr="007632EF">
        <w:t>"</w:t>
      </w:r>
      <w:r w:rsidR="00474363" w:rsidRPr="007632EF">
        <w:t>lever la main</w:t>
      </w:r>
      <w:r w:rsidR="001D72C4" w:rsidRPr="007632EF">
        <w:t>"</w:t>
      </w:r>
      <w:r w:rsidR="00474363" w:rsidRPr="007632EF" w:rsidDel="00474363">
        <w:t xml:space="preserve"> </w:t>
      </w:r>
      <w:r w:rsidRPr="007632EF">
        <w:t>sur la plate-forme de conférence sur le web.</w:t>
      </w:r>
      <w:r w:rsidR="00380009" w:rsidRPr="007632EF">
        <w:t xml:space="preserve"> </w:t>
      </w:r>
      <w:r w:rsidR="00A95472" w:rsidRPr="007632EF">
        <w:rPr>
          <w:lang w:eastAsia="en-GB"/>
        </w:rPr>
        <w:t>À l</w:t>
      </w:r>
      <w:r w:rsidR="00380009" w:rsidRPr="007632EF">
        <w:rPr>
          <w:lang w:eastAsia="en-GB"/>
        </w:rPr>
        <w:t>'</w:t>
      </w:r>
      <w:r w:rsidR="00A95472" w:rsidRPr="007632EF">
        <w:rPr>
          <w:lang w:eastAsia="en-GB"/>
        </w:rPr>
        <w:t>heure actuelle, il n</w:t>
      </w:r>
      <w:r w:rsidR="00380009" w:rsidRPr="007632EF">
        <w:rPr>
          <w:lang w:eastAsia="en-GB"/>
        </w:rPr>
        <w:t>'</w:t>
      </w:r>
      <w:r w:rsidR="00A95472" w:rsidRPr="007632EF">
        <w:rPr>
          <w:lang w:eastAsia="en-GB"/>
        </w:rPr>
        <w:t>existe aucune solution technologique permettant d</w:t>
      </w:r>
      <w:r w:rsidR="00380009" w:rsidRPr="007632EF">
        <w:rPr>
          <w:lang w:eastAsia="en-GB"/>
        </w:rPr>
        <w:t>'</w:t>
      </w:r>
      <w:r w:rsidR="00A95472" w:rsidRPr="007632EF">
        <w:rPr>
          <w:lang w:eastAsia="en-GB"/>
        </w:rPr>
        <w:t xml:space="preserve">associer les demandes de prise de parole émanant de la salle physique (consistant à appuyer sur un bouton) et les demandes soumises via la fonction </w:t>
      </w:r>
      <w:r w:rsidR="001D72C4" w:rsidRPr="007632EF">
        <w:rPr>
          <w:lang w:eastAsia="en-GB"/>
        </w:rPr>
        <w:t>"</w:t>
      </w:r>
      <w:r w:rsidR="00F51B8E" w:rsidRPr="007632EF">
        <w:rPr>
          <w:lang w:eastAsia="en-GB"/>
        </w:rPr>
        <w:t>lever la main</w:t>
      </w:r>
      <w:r w:rsidR="001D72C4" w:rsidRPr="007632EF">
        <w:rPr>
          <w:lang w:eastAsia="en-GB"/>
        </w:rPr>
        <w:t>"</w:t>
      </w:r>
      <w:r w:rsidR="00A95472" w:rsidRPr="007632EF">
        <w:rPr>
          <w:lang w:eastAsia="en-GB"/>
        </w:rPr>
        <w:t xml:space="preserve"> de Zoom et d</w:t>
      </w:r>
      <w:r w:rsidR="00380009" w:rsidRPr="007632EF">
        <w:rPr>
          <w:lang w:eastAsia="en-GB"/>
        </w:rPr>
        <w:t>'</w:t>
      </w:r>
      <w:r w:rsidR="00A95472" w:rsidRPr="007632EF">
        <w:rPr>
          <w:lang w:eastAsia="en-GB"/>
        </w:rPr>
        <w:t>afficher la liste de ces demandes par ordre chronologique.</w:t>
      </w:r>
      <w:r w:rsidR="008C37D5" w:rsidRPr="007632EF">
        <w:rPr>
          <w:lang w:eastAsia="en-GB"/>
        </w:rPr>
        <w:t xml:space="preserve"> </w:t>
      </w:r>
      <w:r w:rsidR="00CC5212" w:rsidRPr="007632EF">
        <w:rPr>
          <w:lang w:eastAsia="en-GB"/>
        </w:rPr>
        <w:t>En outre, compte tenu des contraintes budgétaires, toutes les réunions n</w:t>
      </w:r>
      <w:r w:rsidR="00380009" w:rsidRPr="007632EF">
        <w:rPr>
          <w:lang w:eastAsia="en-GB"/>
        </w:rPr>
        <w:t>'</w:t>
      </w:r>
      <w:r w:rsidR="00CC5212" w:rsidRPr="007632EF">
        <w:rPr>
          <w:lang w:eastAsia="en-GB"/>
        </w:rPr>
        <w:t xml:space="preserve">utilisent pas le </w:t>
      </w:r>
      <w:r w:rsidR="00CC5212" w:rsidRPr="007632EF">
        <w:rPr>
          <w:i/>
          <w:iCs/>
          <w:lang w:eastAsia="en-GB"/>
        </w:rPr>
        <w:t>système de demande de prise de parole</w:t>
      </w:r>
      <w:r w:rsidR="00CC5212" w:rsidRPr="007632EF">
        <w:rPr>
          <w:lang w:eastAsia="en-GB"/>
        </w:rPr>
        <w:t xml:space="preserve"> pour identifier les micros dans la salle physique.</w:t>
      </w:r>
      <w:r w:rsidR="008C37D5" w:rsidRPr="007632EF">
        <w:rPr>
          <w:lang w:eastAsia="en-GB"/>
        </w:rPr>
        <w:t xml:space="preserve"> </w:t>
      </w:r>
      <w:r w:rsidR="008731CB" w:rsidRPr="007632EF">
        <w:rPr>
          <w:lang w:eastAsia="en-GB"/>
        </w:rPr>
        <w:t>Lorsque ce système est utilisé, le mieux qui puisse être fait à l</w:t>
      </w:r>
      <w:r w:rsidR="00380009" w:rsidRPr="007632EF">
        <w:rPr>
          <w:lang w:eastAsia="en-GB"/>
        </w:rPr>
        <w:t>'</w:t>
      </w:r>
      <w:r w:rsidR="008731CB" w:rsidRPr="007632EF">
        <w:rPr>
          <w:lang w:eastAsia="en-GB"/>
        </w:rPr>
        <w:t>heure actuelle consiste à afficher les deux listes côte à côte sur le même écran, afin de permettre au président de choisir à qui donner la parole.</w:t>
      </w:r>
      <w:r w:rsidR="008C37D5" w:rsidRPr="007632EF">
        <w:rPr>
          <w:lang w:eastAsia="en-GB"/>
        </w:rPr>
        <w:t xml:space="preserve"> </w:t>
      </w:r>
      <w:r w:rsidR="0066257A" w:rsidRPr="007632EF">
        <w:rPr>
          <w:lang w:eastAsia="en-GB"/>
        </w:rPr>
        <w:t>Le secrétaire et le modérateur technique aident également le président</w:t>
      </w:r>
      <w:r w:rsidR="00380009" w:rsidRPr="007632EF">
        <w:rPr>
          <w:lang w:eastAsia="en-GB"/>
        </w:rPr>
        <w:t xml:space="preserve"> </w:t>
      </w:r>
      <w:r w:rsidR="00474363" w:rsidRPr="007632EF">
        <w:rPr>
          <w:lang w:eastAsia="en-GB"/>
        </w:rPr>
        <w:t xml:space="preserve">à </w:t>
      </w:r>
      <w:r w:rsidR="0066257A" w:rsidRPr="007632EF">
        <w:rPr>
          <w:lang w:eastAsia="en-GB"/>
        </w:rPr>
        <w:t>gér</w:t>
      </w:r>
      <w:r w:rsidR="00474363" w:rsidRPr="007632EF">
        <w:rPr>
          <w:lang w:eastAsia="en-GB"/>
        </w:rPr>
        <w:t>er</w:t>
      </w:r>
      <w:r w:rsidR="00380009" w:rsidRPr="007632EF">
        <w:rPr>
          <w:lang w:eastAsia="en-GB"/>
        </w:rPr>
        <w:t xml:space="preserve"> </w:t>
      </w:r>
      <w:r w:rsidR="0066257A" w:rsidRPr="007632EF">
        <w:rPr>
          <w:lang w:eastAsia="en-GB"/>
        </w:rPr>
        <w:t>les deux listes de demande de prise de parole.</w:t>
      </w:r>
    </w:p>
    <w:p w14:paraId="29D490FF" w14:textId="079231E1" w:rsidR="0009607E" w:rsidRPr="007632EF" w:rsidRDefault="00613707" w:rsidP="00380009">
      <w:pPr>
        <w:pStyle w:val="Headingi"/>
      </w:pPr>
      <w:r w:rsidRPr="007632EF">
        <w:t>Secrétariat général, Département SPM</w:t>
      </w:r>
    </w:p>
    <w:p w14:paraId="5ACB4FEA" w14:textId="6716E324" w:rsidR="0009607E" w:rsidRPr="007632EF" w:rsidRDefault="003466EB" w:rsidP="00380009">
      <w:pPr>
        <w:rPr>
          <w:lang w:eastAsia="en-GB"/>
        </w:rPr>
      </w:pPr>
      <w:r w:rsidRPr="007632EF">
        <w:t xml:space="preserve">En fonction du type de réunion (par exemple pour la session de 2022 du Conseil), </w:t>
      </w:r>
      <w:r w:rsidR="00474363" w:rsidRPr="007632EF">
        <w:t xml:space="preserve">la </w:t>
      </w:r>
      <w:r w:rsidRPr="007632EF">
        <w:t>priorité était donnée aux participants présents physiquement</w:t>
      </w:r>
      <w:r w:rsidR="00F51B8E" w:rsidRPr="007632EF">
        <w:t xml:space="preserve"> dans la salle</w:t>
      </w:r>
      <w:r w:rsidRPr="007632EF">
        <w:t>, puis aux participants à distance.</w:t>
      </w:r>
      <w:r w:rsidR="008C37D5" w:rsidRPr="007632EF">
        <w:t xml:space="preserve"> </w:t>
      </w:r>
      <w:r w:rsidR="00FF68B3" w:rsidRPr="007632EF">
        <w:t xml:space="preserve">Pour les autres réunions, le président </w:t>
      </w:r>
      <w:r w:rsidR="00474363" w:rsidRPr="007632EF">
        <w:t>s</w:t>
      </w:r>
      <w:r w:rsidR="00380009" w:rsidRPr="007632EF">
        <w:t>'</w:t>
      </w:r>
      <w:r w:rsidR="00474363" w:rsidRPr="007632EF">
        <w:t xml:space="preserve">efforce </w:t>
      </w:r>
      <w:r w:rsidR="00FF68B3" w:rsidRPr="007632EF">
        <w:t>de noter qui a soumis une demande en premier et donne la parole dans l</w:t>
      </w:r>
      <w:r w:rsidR="00380009" w:rsidRPr="007632EF">
        <w:t>'</w:t>
      </w:r>
      <w:r w:rsidR="00FF68B3" w:rsidRPr="007632EF">
        <w:t>ordre chronologique</w:t>
      </w:r>
      <w:r w:rsidR="00F51B8E" w:rsidRPr="007632EF">
        <w:t xml:space="preserve"> des demandes</w:t>
      </w:r>
      <w:r w:rsidR="00FF68B3" w:rsidRPr="007632EF">
        <w:t>, tout en respectant le statut de la délégation.</w:t>
      </w:r>
      <w:r w:rsidR="008C37D5" w:rsidRPr="007632EF">
        <w:t xml:space="preserve"> </w:t>
      </w:r>
      <w:r w:rsidR="00232B18" w:rsidRPr="007632EF">
        <w:rPr>
          <w:lang w:eastAsia="en-GB"/>
        </w:rPr>
        <w:t>Pour certaines réunions en présentiel avec</w:t>
      </w:r>
      <w:r w:rsidR="00380009" w:rsidRPr="007632EF">
        <w:rPr>
          <w:lang w:eastAsia="en-GB"/>
        </w:rPr>
        <w:t xml:space="preserve"> </w:t>
      </w:r>
      <w:r w:rsidR="00232B18" w:rsidRPr="007632EF">
        <w:rPr>
          <w:lang w:eastAsia="en-GB"/>
        </w:rPr>
        <w:t>participation à distance, le président demande aux participants à distance d</w:t>
      </w:r>
      <w:r w:rsidR="00380009" w:rsidRPr="007632EF">
        <w:rPr>
          <w:lang w:eastAsia="en-GB"/>
        </w:rPr>
        <w:t>'</w:t>
      </w:r>
      <w:r w:rsidR="00232B18" w:rsidRPr="007632EF">
        <w:rPr>
          <w:lang w:eastAsia="en-GB"/>
        </w:rPr>
        <w:t>activer leur micro et d</w:t>
      </w:r>
      <w:r w:rsidR="00380009" w:rsidRPr="007632EF">
        <w:rPr>
          <w:lang w:eastAsia="en-GB"/>
        </w:rPr>
        <w:t>'</w:t>
      </w:r>
      <w:r w:rsidR="00232B18" w:rsidRPr="007632EF">
        <w:rPr>
          <w:lang w:eastAsia="en-GB"/>
        </w:rPr>
        <w:t>exprimer leur souhait de prendre la parole.</w:t>
      </w:r>
    </w:p>
    <w:p w14:paraId="44C5B693" w14:textId="77777777" w:rsidR="0009607E" w:rsidRPr="007632EF" w:rsidRDefault="008C37D5" w:rsidP="00380009">
      <w:pPr>
        <w:pStyle w:val="Headingi"/>
      </w:pPr>
      <w:r w:rsidRPr="007632EF">
        <w:lastRenderedPageBreak/>
        <w:t>UIT-R</w:t>
      </w:r>
    </w:p>
    <w:p w14:paraId="6FF9F4D3" w14:textId="3CB86EE7" w:rsidR="0009607E" w:rsidRPr="007632EF" w:rsidRDefault="00F83F8C" w:rsidP="00380009">
      <w:r w:rsidRPr="007632EF">
        <w:rPr>
          <w:lang w:eastAsia="en-GB"/>
        </w:rPr>
        <w:t>L</w:t>
      </w:r>
      <w:r w:rsidR="00380009" w:rsidRPr="007632EF">
        <w:rPr>
          <w:lang w:eastAsia="en-GB"/>
        </w:rPr>
        <w:t>'</w:t>
      </w:r>
      <w:r w:rsidRPr="007632EF">
        <w:rPr>
          <w:lang w:eastAsia="en-GB"/>
        </w:rPr>
        <w:t xml:space="preserve">UIT-R a contourné la nécessité de gérer deux listes de demandes de prise de parole </w:t>
      </w:r>
      <w:r w:rsidR="00314940" w:rsidRPr="007632EF">
        <w:rPr>
          <w:lang w:eastAsia="en-GB"/>
        </w:rPr>
        <w:t>durant</w:t>
      </w:r>
      <w:r w:rsidRPr="007632EF">
        <w:rPr>
          <w:lang w:eastAsia="en-GB"/>
        </w:rPr>
        <w:t xml:space="preserve"> </w:t>
      </w:r>
      <w:r w:rsidR="00314940" w:rsidRPr="007632EF">
        <w:rPr>
          <w:lang w:eastAsia="en-GB"/>
        </w:rPr>
        <w:t>s</w:t>
      </w:r>
      <w:r w:rsidRPr="007632EF">
        <w:rPr>
          <w:lang w:eastAsia="en-GB"/>
        </w:rPr>
        <w:t>es réunions en demandant à tous les délégués de se connecter à la plate-forme Zoom et d</w:t>
      </w:r>
      <w:r w:rsidR="00380009" w:rsidRPr="007632EF">
        <w:rPr>
          <w:lang w:eastAsia="en-GB"/>
        </w:rPr>
        <w:t>'</w:t>
      </w:r>
      <w:r w:rsidRPr="007632EF">
        <w:rPr>
          <w:lang w:eastAsia="en-GB"/>
        </w:rPr>
        <w:t xml:space="preserve">utiliser la </w:t>
      </w:r>
      <w:r w:rsidR="00314940" w:rsidRPr="007632EF">
        <w:rPr>
          <w:lang w:eastAsia="en-GB"/>
        </w:rPr>
        <w:t xml:space="preserve">fonction </w:t>
      </w:r>
      <w:r w:rsidR="001D72C4" w:rsidRPr="007632EF">
        <w:rPr>
          <w:lang w:eastAsia="en-GB"/>
        </w:rPr>
        <w:t>"</w:t>
      </w:r>
      <w:r w:rsidR="00314940" w:rsidRPr="007632EF">
        <w:rPr>
          <w:lang w:eastAsia="en-GB"/>
        </w:rPr>
        <w:t>lever la main</w:t>
      </w:r>
      <w:r w:rsidR="001D72C4" w:rsidRPr="007632EF">
        <w:rPr>
          <w:lang w:eastAsia="en-GB"/>
        </w:rPr>
        <w:t>"</w:t>
      </w:r>
      <w:r w:rsidRPr="007632EF">
        <w:rPr>
          <w:lang w:eastAsia="en-GB"/>
        </w:rPr>
        <w:t>, qu</w:t>
      </w:r>
      <w:r w:rsidR="00380009" w:rsidRPr="007632EF">
        <w:rPr>
          <w:lang w:eastAsia="en-GB"/>
        </w:rPr>
        <w:t>'</w:t>
      </w:r>
      <w:r w:rsidRPr="007632EF">
        <w:rPr>
          <w:lang w:eastAsia="en-GB"/>
        </w:rPr>
        <w:t>ils participent en présentiel ou à distance.</w:t>
      </w:r>
      <w:r w:rsidR="008C37D5" w:rsidRPr="007632EF">
        <w:rPr>
          <w:lang w:eastAsia="en-GB"/>
        </w:rPr>
        <w:t xml:space="preserve"> </w:t>
      </w:r>
      <w:r w:rsidR="00815045" w:rsidRPr="007632EF">
        <w:rPr>
          <w:lang w:eastAsia="en-GB"/>
        </w:rPr>
        <w:t>Les délégués présents physiquement peuvent toujours intervenir en utilisant les micros de la salle, dans la mesure où la plate-forme Zoom est intégrée au système audio de la salle de réunion.</w:t>
      </w:r>
      <w:r w:rsidR="008C37D5" w:rsidRPr="007632EF">
        <w:rPr>
          <w:lang w:eastAsia="en-GB"/>
        </w:rPr>
        <w:t xml:space="preserve"> </w:t>
      </w:r>
      <w:r w:rsidR="005D32D7" w:rsidRPr="007632EF">
        <w:rPr>
          <w:lang w:eastAsia="en-GB"/>
        </w:rPr>
        <w:t>Dans l</w:t>
      </w:r>
      <w:r w:rsidR="00380009" w:rsidRPr="007632EF">
        <w:rPr>
          <w:lang w:eastAsia="en-GB"/>
        </w:rPr>
        <w:t>'</w:t>
      </w:r>
      <w:r w:rsidR="005D32D7" w:rsidRPr="007632EF">
        <w:rPr>
          <w:lang w:eastAsia="en-GB"/>
        </w:rPr>
        <w:t>ensemble, les délégués de l</w:t>
      </w:r>
      <w:r w:rsidR="00380009" w:rsidRPr="007632EF">
        <w:rPr>
          <w:lang w:eastAsia="en-GB"/>
        </w:rPr>
        <w:t>'</w:t>
      </w:r>
      <w:r w:rsidR="005D32D7" w:rsidRPr="007632EF">
        <w:rPr>
          <w:lang w:eastAsia="en-GB"/>
        </w:rPr>
        <w:t>UIT-R ont salué cette approche, qui permet à chacun de voir sa place dans la file d</w:t>
      </w:r>
      <w:r w:rsidR="00380009" w:rsidRPr="007632EF">
        <w:rPr>
          <w:lang w:eastAsia="en-GB"/>
        </w:rPr>
        <w:t>'</w:t>
      </w:r>
      <w:r w:rsidR="005D32D7" w:rsidRPr="007632EF">
        <w:rPr>
          <w:lang w:eastAsia="en-GB"/>
        </w:rPr>
        <w:t>attente.</w:t>
      </w:r>
      <w:r w:rsidR="008C37D5" w:rsidRPr="007632EF">
        <w:rPr>
          <w:lang w:eastAsia="en-GB"/>
        </w:rPr>
        <w:t xml:space="preserve"> </w:t>
      </w:r>
      <w:r w:rsidR="007E5080" w:rsidRPr="007632EF">
        <w:rPr>
          <w:lang w:eastAsia="en-GB"/>
        </w:rPr>
        <w:t>La fonction de discussion instantanée de la plate-forme Zoom est utilisée pour partager des éléments de texte et envoyer des messages privés.</w:t>
      </w:r>
    </w:p>
    <w:p w14:paraId="6332312B" w14:textId="6F94F775" w:rsidR="0009607E" w:rsidRPr="007632EF" w:rsidRDefault="00BD3762" w:rsidP="00380009">
      <w:r w:rsidRPr="007632EF">
        <w:rPr>
          <w:rFonts w:eastAsia="Calibri" w:cs="Calibri"/>
        </w:rPr>
        <w:t>Le fait que tous les délégués soient connectés sur la plate-forme Zoom permet aux présidents de gérer les demandes de prise de parole</w:t>
      </w:r>
      <w:r w:rsidR="00314940" w:rsidRPr="007632EF">
        <w:t xml:space="preserve"> </w:t>
      </w:r>
      <w:r w:rsidR="00314940" w:rsidRPr="007632EF">
        <w:rPr>
          <w:rFonts w:eastAsia="Calibri" w:cs="Calibri"/>
        </w:rPr>
        <w:t>à distance</w:t>
      </w:r>
      <w:r w:rsidRPr="007632EF">
        <w:rPr>
          <w:rFonts w:eastAsia="Calibri" w:cs="Calibri"/>
        </w:rPr>
        <w:t>.</w:t>
      </w:r>
      <w:r w:rsidR="008C37D5" w:rsidRPr="007632EF">
        <w:rPr>
          <w:rFonts w:eastAsia="Calibri" w:cs="Calibri"/>
        </w:rPr>
        <w:t xml:space="preserve"> </w:t>
      </w:r>
      <w:r w:rsidR="00A12E41" w:rsidRPr="007632EF">
        <w:rPr>
          <w:rFonts w:eastAsia="Calibri" w:cs="Calibri"/>
        </w:rPr>
        <w:t>Dans ces cas de figure, toutefois, il existe un risque que le président ait une connexion Internet de mauvaise qualité ou perde la connexion.</w:t>
      </w:r>
      <w:r w:rsidR="008C37D5" w:rsidRPr="007632EF">
        <w:rPr>
          <w:rFonts w:eastAsia="Calibri" w:cs="Calibri"/>
        </w:rPr>
        <w:t xml:space="preserve"> </w:t>
      </w:r>
      <w:r w:rsidR="00E869C5" w:rsidRPr="007632EF">
        <w:rPr>
          <w:rFonts w:eastAsia="Calibri" w:cs="Calibri"/>
        </w:rPr>
        <w:t>En</w:t>
      </w:r>
      <w:r w:rsidR="001D72C4" w:rsidRPr="007632EF">
        <w:rPr>
          <w:rFonts w:eastAsia="Calibri" w:cs="Calibri"/>
        </w:rPr>
        <w:t> </w:t>
      </w:r>
      <w:r w:rsidR="00E869C5" w:rsidRPr="007632EF">
        <w:rPr>
          <w:rFonts w:eastAsia="Calibri" w:cs="Calibri"/>
        </w:rPr>
        <w:t>pareils</w:t>
      </w:r>
      <w:r w:rsidR="00F25CE7" w:rsidRPr="007632EF">
        <w:rPr>
          <w:rFonts w:eastAsia="Calibri" w:cs="Calibri"/>
        </w:rPr>
        <w:t xml:space="preserve"> cas, un suppléant présent dans la salle de réunion est identifié afin de remplacer le président si sa connexion est perdue.</w:t>
      </w:r>
    </w:p>
    <w:p w14:paraId="17953BD4" w14:textId="40E62762" w:rsidR="0009607E" w:rsidRPr="007632EF" w:rsidRDefault="007A5A5F" w:rsidP="00380009">
      <w:r w:rsidRPr="007632EF">
        <w:t xml:space="preserve">En règle générale, la fonction de discussion instantanée de la plate-forme de conférence sur le web est utilisée pour </w:t>
      </w:r>
      <w:r w:rsidR="00E869C5" w:rsidRPr="007632EF">
        <w:t>signaler</w:t>
      </w:r>
      <w:r w:rsidRPr="007632EF">
        <w:t xml:space="preserve"> des problèmes techniques ou obtenir l</w:t>
      </w:r>
      <w:r w:rsidR="00380009" w:rsidRPr="007632EF">
        <w:t>'</w:t>
      </w:r>
      <w:r w:rsidRPr="007632EF">
        <w:t>assistance du modérateur.</w:t>
      </w:r>
      <w:r w:rsidR="008C37D5" w:rsidRPr="007632EF">
        <w:t xml:space="preserve"> </w:t>
      </w:r>
      <w:r w:rsidR="00366A3C" w:rsidRPr="007632EF">
        <w:t>Elle n</w:t>
      </w:r>
      <w:r w:rsidR="00380009" w:rsidRPr="007632EF">
        <w:t>'</w:t>
      </w:r>
      <w:r w:rsidR="00366A3C" w:rsidRPr="007632EF">
        <w:t>est pas utilisée pour demander la parole ou comme un support de communication officiel.</w:t>
      </w:r>
    </w:p>
    <w:p w14:paraId="5324FB7F" w14:textId="77777777" w:rsidR="0009607E" w:rsidRPr="007632EF" w:rsidRDefault="008C37D5" w:rsidP="00380009">
      <w:pPr>
        <w:pStyle w:val="Headingi"/>
        <w:rPr>
          <w:rFonts w:asciiTheme="minorHAnsi" w:hAnsiTheme="minorHAnsi" w:cstheme="minorBidi"/>
          <w:i w:val="0"/>
          <w:iCs/>
          <w:szCs w:val="24"/>
        </w:rPr>
      </w:pPr>
      <w:r w:rsidRPr="007632EF">
        <w:rPr>
          <w:rFonts w:asciiTheme="minorHAnsi" w:hAnsiTheme="minorHAnsi" w:cstheme="minorBidi"/>
          <w:iCs/>
          <w:szCs w:val="24"/>
        </w:rPr>
        <w:t>UIT-T</w:t>
      </w:r>
    </w:p>
    <w:p w14:paraId="4CD11BEA" w14:textId="78008A8D" w:rsidR="0009607E" w:rsidRPr="007632EF" w:rsidRDefault="007B14BE" w:rsidP="00380009">
      <w:r w:rsidRPr="007632EF">
        <w:t>L</w:t>
      </w:r>
      <w:r w:rsidR="00380009" w:rsidRPr="007632EF">
        <w:t>'</w:t>
      </w:r>
      <w:r w:rsidRPr="007632EF">
        <w:t xml:space="preserve">UIT-T </w:t>
      </w:r>
      <w:r w:rsidR="00314940" w:rsidRPr="007632EF">
        <w:t>exige</w:t>
      </w:r>
      <w:r w:rsidRPr="007632EF">
        <w:t xml:space="preserve"> qu</w:t>
      </w:r>
      <w:r w:rsidR="00380009" w:rsidRPr="007632EF">
        <w:t>'</w:t>
      </w:r>
      <w:r w:rsidRPr="007632EF">
        <w:t>un responsable (président) soit présent dans la salle pour les réunions physiques avec</w:t>
      </w:r>
      <w:r w:rsidR="00380009" w:rsidRPr="007632EF">
        <w:t xml:space="preserve"> </w:t>
      </w:r>
      <w:r w:rsidRPr="007632EF">
        <w:t>participation à distance et annonce que les meilleurs efforts ont été consentis pour prendre en charge la participation à distance (par exemple, durant la dernière AMNT, il a été clairement indiqué que les décisions seraient prises par les participants présents physiquement</w:t>
      </w:r>
      <w:r w:rsidR="001E2A48" w:rsidRPr="007632EF">
        <w:t>)</w:t>
      </w:r>
      <w:r w:rsidRPr="007632EF">
        <w:t>.</w:t>
      </w:r>
      <w:r w:rsidR="008C37D5" w:rsidRPr="007632EF">
        <w:t xml:space="preserve"> </w:t>
      </w:r>
      <w:r w:rsidR="0089159B" w:rsidRPr="007632EF">
        <w:t>Les demandes de prise de parole des participants présents dans la salle ou à distance sont traitées sur un pied d</w:t>
      </w:r>
      <w:r w:rsidR="00380009" w:rsidRPr="007632EF">
        <w:t>'</w:t>
      </w:r>
      <w:r w:rsidR="0089159B" w:rsidRPr="007632EF">
        <w:t>égalité.</w:t>
      </w:r>
    </w:p>
    <w:p w14:paraId="0D28C59D" w14:textId="42627963" w:rsidR="0009607E" w:rsidRPr="007632EF" w:rsidRDefault="00F0274C" w:rsidP="00380009">
      <w:r w:rsidRPr="007632EF">
        <w:t>Dans les cas où le président participe à distance, l</w:t>
      </w:r>
      <w:r w:rsidR="00380009" w:rsidRPr="007632EF">
        <w:t>'</w:t>
      </w:r>
      <w:r w:rsidRPr="007632EF">
        <w:t>UIT-T a demandé qu</w:t>
      </w:r>
      <w:r w:rsidR="00380009" w:rsidRPr="007632EF">
        <w:t>'</w:t>
      </w:r>
      <w:r w:rsidRPr="007632EF">
        <w:t>un suppléant soit présent dans la salle, afin de pouvoir remplacer immédiatement le président si sa connexion est perdue.</w:t>
      </w:r>
      <w:r w:rsidR="008C37D5" w:rsidRPr="007632EF">
        <w:t xml:space="preserve"> </w:t>
      </w:r>
      <w:r w:rsidR="00436903" w:rsidRPr="007632EF">
        <w:t>Les président</w:t>
      </w:r>
      <w:r w:rsidR="00314940" w:rsidRPr="007632EF">
        <w:t>s</w:t>
      </w:r>
      <w:r w:rsidR="00436903" w:rsidRPr="007632EF">
        <w:t xml:space="preserve"> doivent également tenir compte des problèmes de connexion </w:t>
      </w:r>
      <w:r w:rsidR="00504EE2" w:rsidRPr="007632EF">
        <w:t>que peuvent rencontrer les</w:t>
      </w:r>
      <w:r w:rsidR="00436903" w:rsidRPr="007632EF">
        <w:t xml:space="preserve"> </w:t>
      </w:r>
      <w:r w:rsidR="00F33064" w:rsidRPr="007632EF">
        <w:t>participants</w:t>
      </w:r>
      <w:r w:rsidR="00436903" w:rsidRPr="007632EF">
        <w:t xml:space="preserve"> à distance et permettre aux participants qui ont été déconnectés de revenir sur les points sur lesquels ils souhaitent intervenir.</w:t>
      </w:r>
    </w:p>
    <w:p w14:paraId="7031D732" w14:textId="77777777" w:rsidR="0009607E" w:rsidRPr="007632EF" w:rsidRDefault="008C37D5" w:rsidP="00380009">
      <w:pPr>
        <w:pStyle w:val="Headingi"/>
        <w:rPr>
          <w:rFonts w:asciiTheme="minorHAnsi" w:hAnsiTheme="minorHAnsi" w:cstheme="minorBidi"/>
          <w:i w:val="0"/>
          <w:iCs/>
          <w:szCs w:val="24"/>
        </w:rPr>
      </w:pPr>
      <w:r w:rsidRPr="007632EF">
        <w:rPr>
          <w:rFonts w:asciiTheme="minorHAnsi" w:hAnsiTheme="minorHAnsi" w:cstheme="minorBidi"/>
          <w:iCs/>
          <w:szCs w:val="24"/>
        </w:rPr>
        <w:t>UIT-D</w:t>
      </w:r>
    </w:p>
    <w:p w14:paraId="43199E16" w14:textId="22FB05BD" w:rsidR="0009607E" w:rsidRPr="007632EF" w:rsidRDefault="00BC62C2" w:rsidP="00380009">
      <w:r w:rsidRPr="007632EF">
        <w:t>L</w:t>
      </w:r>
      <w:r w:rsidR="00380009" w:rsidRPr="007632EF">
        <w:t>'</w:t>
      </w:r>
      <w:r w:rsidRPr="007632EF">
        <w:t>UIT-D s</w:t>
      </w:r>
      <w:r w:rsidR="00380009" w:rsidRPr="007632EF">
        <w:t>'</w:t>
      </w:r>
      <w:r w:rsidRPr="007632EF">
        <w:t xml:space="preserve">efforce, dans toute la mesure possible, de traiter </w:t>
      </w:r>
      <w:r w:rsidR="00E869C5" w:rsidRPr="007632EF">
        <w:t xml:space="preserve">tous </w:t>
      </w:r>
      <w:r w:rsidRPr="007632EF">
        <w:t>les participants sur un pied d</w:t>
      </w:r>
      <w:r w:rsidR="00380009" w:rsidRPr="007632EF">
        <w:t>'</w:t>
      </w:r>
      <w:r w:rsidRPr="007632EF">
        <w:t>égalité, en donnant la parole aux participants dans l</w:t>
      </w:r>
      <w:r w:rsidR="00380009" w:rsidRPr="007632EF">
        <w:t>'</w:t>
      </w:r>
      <w:r w:rsidRPr="007632EF">
        <w:t>ordre chronologique des demandes, qu</w:t>
      </w:r>
      <w:r w:rsidR="00380009" w:rsidRPr="007632EF">
        <w:t>'</w:t>
      </w:r>
      <w:r w:rsidRPr="007632EF">
        <w:t>ils soient présents physiquement ou participent à distance.</w:t>
      </w:r>
    </w:p>
    <w:p w14:paraId="41E36223" w14:textId="77777777" w:rsidR="003A4558" w:rsidRDefault="003A4558" w:rsidP="003A4558">
      <w:pPr>
        <w:pStyle w:val="Heading1"/>
        <w:keepNext w:val="0"/>
        <w:keepLines w:val="0"/>
        <w:rPr>
          <w:rFonts w:eastAsiaTheme="minorEastAsia"/>
          <w:lang w:eastAsia="zh-CN"/>
        </w:rPr>
      </w:pPr>
      <w:r>
        <w:rPr>
          <w:rFonts w:eastAsiaTheme="minorEastAsia"/>
          <w:lang w:eastAsia="zh-CN"/>
        </w:rPr>
        <w:br w:type="page"/>
      </w:r>
    </w:p>
    <w:p w14:paraId="48D294D3" w14:textId="0093D1C7" w:rsidR="0009607E" w:rsidRPr="007632EF" w:rsidRDefault="008C37D5" w:rsidP="003A4558">
      <w:pPr>
        <w:pStyle w:val="Heading1"/>
        <w:keepNext w:val="0"/>
        <w:keepLines w:val="0"/>
        <w:rPr>
          <w:rFonts w:eastAsiaTheme="minorEastAsia" w:cstheme="minorHAnsi"/>
          <w:bCs/>
          <w:lang w:eastAsia="zh-CN"/>
        </w:rPr>
      </w:pPr>
      <w:r w:rsidRPr="007632EF">
        <w:rPr>
          <w:rFonts w:eastAsiaTheme="minorEastAsia"/>
          <w:lang w:eastAsia="zh-CN"/>
        </w:rPr>
        <w:lastRenderedPageBreak/>
        <w:t>5</w:t>
      </w:r>
      <w:r w:rsidRPr="007632EF">
        <w:rPr>
          <w:rFonts w:eastAsiaTheme="minorEastAsia"/>
          <w:lang w:eastAsia="zh-CN"/>
        </w:rPr>
        <w:tab/>
      </w:r>
      <w:r w:rsidR="00DE1CE4" w:rsidRPr="007632EF">
        <w:rPr>
          <w:rFonts w:eastAsiaTheme="minorEastAsia"/>
          <w:lang w:eastAsia="zh-CN"/>
        </w:rPr>
        <w:t xml:space="preserve">Incidences des réunions </w:t>
      </w:r>
      <w:r w:rsidR="00F33064" w:rsidRPr="007632EF">
        <w:rPr>
          <w:rFonts w:eastAsiaTheme="minorEastAsia"/>
          <w:lang w:eastAsia="zh-CN"/>
        </w:rPr>
        <w:t>virtuelles</w:t>
      </w:r>
      <w:r w:rsidR="00DE1CE4" w:rsidRPr="007632EF">
        <w:rPr>
          <w:rFonts w:eastAsiaTheme="minorEastAsia"/>
          <w:lang w:eastAsia="zh-CN"/>
        </w:rPr>
        <w:t xml:space="preserve"> et de la participation à distance</w:t>
      </w:r>
    </w:p>
    <w:p w14:paraId="51A42C88" w14:textId="5FAE4F3F" w:rsidR="0009607E" w:rsidRPr="007632EF" w:rsidRDefault="008C37D5" w:rsidP="003A4558">
      <w:pPr>
        <w:pStyle w:val="Heading2"/>
        <w:keepNext w:val="0"/>
        <w:keepLines w:val="0"/>
        <w:rPr>
          <w:b w:val="0"/>
          <w:i/>
        </w:rPr>
      </w:pPr>
      <w:r w:rsidRPr="007632EF">
        <w:rPr>
          <w:b w:val="0"/>
          <w:i/>
        </w:rPr>
        <w:t>5.1</w:t>
      </w:r>
      <w:r w:rsidRPr="007632EF">
        <w:rPr>
          <w:b w:val="0"/>
          <w:i/>
        </w:rPr>
        <w:tab/>
      </w:r>
      <w:r w:rsidR="00F37779" w:rsidRPr="007632EF">
        <w:rPr>
          <w:b w:val="0"/>
          <w:i/>
        </w:rPr>
        <w:t>Incidences sur la participation aux réunions</w:t>
      </w:r>
    </w:p>
    <w:p w14:paraId="224D3AFE" w14:textId="07931BA0" w:rsidR="0009607E" w:rsidRPr="007632EF" w:rsidRDefault="00FE0880" w:rsidP="003A4558">
      <w:r w:rsidRPr="007632EF">
        <w:t>Dans la mesure où les participants peuvent se connecter à distance et participer aux réunions en présentiel, l</w:t>
      </w:r>
      <w:r w:rsidR="00380009" w:rsidRPr="007632EF">
        <w:t>'</w:t>
      </w:r>
      <w:r w:rsidRPr="007632EF">
        <w:t xml:space="preserve">UIT a constaté une </w:t>
      </w:r>
      <w:r w:rsidR="00E869C5" w:rsidRPr="007632EF">
        <w:t xml:space="preserve">nette </w:t>
      </w:r>
      <w:r w:rsidRPr="007632EF">
        <w:t>augmentation</w:t>
      </w:r>
      <w:r w:rsidR="00380009" w:rsidRPr="007632EF">
        <w:t xml:space="preserve"> </w:t>
      </w:r>
      <w:r w:rsidRPr="007632EF">
        <w:t xml:space="preserve">du taux de participation, par exemple lors des grandes manifestations organisées en </w:t>
      </w:r>
      <w:proofErr w:type="gramStart"/>
      <w:r w:rsidRPr="007632EF">
        <w:t>2022:</w:t>
      </w:r>
      <w:proofErr w:type="gramEnd"/>
      <w:r w:rsidR="008C37D5" w:rsidRPr="007632EF">
        <w:t xml:space="preserve"> </w:t>
      </w:r>
      <w:r w:rsidR="006965C2" w:rsidRPr="007632EF">
        <w:t xml:space="preserve">AMNT </w:t>
      </w:r>
      <w:r w:rsidR="00380009" w:rsidRPr="007632EF">
        <w:t>–</w:t>
      </w:r>
      <w:r w:rsidR="006965C2" w:rsidRPr="007632EF">
        <w:t xml:space="preserve"> 1</w:t>
      </w:r>
      <w:r w:rsidR="003A4558">
        <w:t> </w:t>
      </w:r>
      <w:r w:rsidR="006965C2" w:rsidRPr="007632EF">
        <w:t xml:space="preserve">569 participants au total, dont 877 sur place et 692 à distance; </w:t>
      </w:r>
      <w:r w:rsidR="00504EE2" w:rsidRPr="007632EF">
        <w:t>CMDT</w:t>
      </w:r>
      <w:r w:rsidR="006965C2" w:rsidRPr="007632EF">
        <w:t xml:space="preserve"> </w:t>
      </w:r>
      <w:r w:rsidR="00380009" w:rsidRPr="007632EF">
        <w:t>–</w:t>
      </w:r>
      <w:r w:rsidR="006965C2" w:rsidRPr="007632EF">
        <w:t xml:space="preserve"> 1</w:t>
      </w:r>
      <w:r w:rsidR="003A4558">
        <w:t> </w:t>
      </w:r>
      <w:r w:rsidR="006965C2" w:rsidRPr="007632EF">
        <w:t>762 participants au total, dont 1</w:t>
      </w:r>
      <w:r w:rsidR="003A4558">
        <w:t> </w:t>
      </w:r>
      <w:r w:rsidR="006965C2" w:rsidRPr="007632EF">
        <w:t>307 sur place et 455 à distance, Forum</w:t>
      </w:r>
      <w:r w:rsidR="001D72C4" w:rsidRPr="007632EF">
        <w:t> </w:t>
      </w:r>
      <w:r w:rsidR="006965C2" w:rsidRPr="007632EF">
        <w:t>du SMSI</w:t>
      </w:r>
      <w:r w:rsidR="00D606F3">
        <w:rPr>
          <w:rStyle w:val="FootnoteReference"/>
        </w:rPr>
        <w:footnoteReference w:id="1"/>
      </w:r>
      <w:r w:rsidR="006965C2" w:rsidRPr="007632EF">
        <w:t xml:space="preserve"> </w:t>
      </w:r>
      <w:r w:rsidR="00380009" w:rsidRPr="007632EF">
        <w:t>–</w:t>
      </w:r>
      <w:r w:rsidR="006965C2" w:rsidRPr="007632EF">
        <w:t xml:space="preserve"> 2</w:t>
      </w:r>
      <w:r w:rsidR="003A4558">
        <w:t> </w:t>
      </w:r>
      <w:r w:rsidR="006965C2" w:rsidRPr="007632EF">
        <w:t>090 participants au total, dont 780 sur place et 1</w:t>
      </w:r>
      <w:r w:rsidR="003A4558">
        <w:t> </w:t>
      </w:r>
      <w:r w:rsidR="006965C2" w:rsidRPr="007632EF">
        <w:t>310 à distance.</w:t>
      </w:r>
    </w:p>
    <w:p w14:paraId="07DCF719" w14:textId="04CC30C7" w:rsidR="0009607E" w:rsidRPr="007632EF" w:rsidRDefault="001803B1" w:rsidP="00380009">
      <w:r w:rsidRPr="007632EF">
        <w:t>Depuis l</w:t>
      </w:r>
      <w:r w:rsidR="00380009" w:rsidRPr="007632EF">
        <w:t>'</w:t>
      </w:r>
      <w:r w:rsidRPr="007632EF">
        <w:t>adoption des réunions virtuelles</w:t>
      </w:r>
      <w:r w:rsidR="00504EE2" w:rsidRPr="007632EF">
        <w:t>,</w:t>
      </w:r>
      <w:r w:rsidRPr="007632EF">
        <w:t xml:space="preserve"> et compte tenu de la large adhésion qu</w:t>
      </w:r>
      <w:r w:rsidR="00380009" w:rsidRPr="007632EF">
        <w:t>'</w:t>
      </w:r>
      <w:r w:rsidRPr="007632EF">
        <w:t>a recueilli la participation à distance, le nombre de participants a été multiplié par deux</w:t>
      </w:r>
      <w:r w:rsidR="00504EE2" w:rsidRPr="007632EF">
        <w:t>, voire</w:t>
      </w:r>
      <w:r w:rsidRPr="007632EF">
        <w:t xml:space="preserve"> trois, en fonction de la manifestation.</w:t>
      </w:r>
      <w:r w:rsidR="008C37D5" w:rsidRPr="007632EF">
        <w:t xml:space="preserve"> </w:t>
      </w:r>
      <w:r w:rsidR="0026754B" w:rsidRPr="007632EF">
        <w:t>Les coûts</w:t>
      </w:r>
      <w:r w:rsidR="00380009" w:rsidRPr="007632EF">
        <w:t xml:space="preserve"> </w:t>
      </w:r>
      <w:r w:rsidR="0026754B" w:rsidRPr="007632EF">
        <w:t>(voyage, indemnité journalière) associés à la participation virtuelle à une réunion étant proche</w:t>
      </w:r>
      <w:r w:rsidR="002138EF" w:rsidRPr="007632EF">
        <w:t>s</w:t>
      </w:r>
      <w:r w:rsidR="0026754B" w:rsidRPr="007632EF">
        <w:t xml:space="preserve"> de zéro, les participants sont en mesure de participer à un plus grand nombre de réunions que par le passé.</w:t>
      </w:r>
      <w:r w:rsidR="008C37D5" w:rsidRPr="007632EF">
        <w:t xml:space="preserve"> </w:t>
      </w:r>
      <w:r w:rsidR="00BB02F8" w:rsidRPr="007632EF">
        <w:t xml:space="preserve">Les manifestations virtuelles et la participation à distance aux manifestations physiques ont toutefois un </w:t>
      </w:r>
      <w:proofErr w:type="gramStart"/>
      <w:r w:rsidR="00BB02F8" w:rsidRPr="007632EF">
        <w:t>inconvénient:</w:t>
      </w:r>
      <w:proofErr w:type="gramEnd"/>
      <w:r w:rsidR="008C37D5" w:rsidRPr="007632EF">
        <w:t xml:space="preserve"> </w:t>
      </w:r>
      <w:r w:rsidR="00675987" w:rsidRPr="007632EF">
        <w:t xml:space="preserve">certains participants issus de pays en développement </w:t>
      </w:r>
      <w:r w:rsidR="00F33064" w:rsidRPr="007632EF">
        <w:t>rencontrent</w:t>
      </w:r>
      <w:r w:rsidR="00675987" w:rsidRPr="007632EF">
        <w:t xml:space="preserve"> des difficultés à se connecter et à contribuer efficacement aux manifestations.</w:t>
      </w:r>
      <w:r w:rsidR="008C37D5" w:rsidRPr="007632EF">
        <w:t xml:space="preserve"> </w:t>
      </w:r>
      <w:r w:rsidR="004138F7" w:rsidRPr="007632EF">
        <w:t xml:space="preserve">Des bourses pour la participation à une réunion électronique ont été proposées, afin de permettre aux participants </w:t>
      </w:r>
      <w:r w:rsidR="002138EF" w:rsidRPr="007632EF">
        <w:t>de bénéficier d</w:t>
      </w:r>
      <w:r w:rsidR="00380009" w:rsidRPr="007632EF">
        <w:t>'</w:t>
      </w:r>
      <w:r w:rsidR="004138F7" w:rsidRPr="007632EF">
        <w:t>une meilleure connectivité, dans la mesure du possible.</w:t>
      </w:r>
      <w:r w:rsidR="008C37D5" w:rsidRPr="007632EF">
        <w:t xml:space="preserve"> </w:t>
      </w:r>
      <w:r w:rsidR="00B978B5" w:rsidRPr="007632EF">
        <w:t>Il existe également des inconvénients liés aux fuseaux horaires</w:t>
      </w:r>
      <w:r w:rsidR="002138EF" w:rsidRPr="007632EF">
        <w:t xml:space="preserve"> dans lesquels</w:t>
      </w:r>
      <w:r w:rsidR="00B978B5" w:rsidRPr="007632EF">
        <w:t xml:space="preserve"> </w:t>
      </w:r>
      <w:r w:rsidR="002138EF" w:rsidRPr="007632EF">
        <w:t>se trouvent</w:t>
      </w:r>
      <w:r w:rsidR="00380009" w:rsidRPr="007632EF">
        <w:t xml:space="preserve"> </w:t>
      </w:r>
      <w:r w:rsidR="00B978B5" w:rsidRPr="007632EF">
        <w:t>les participants à distance</w:t>
      </w:r>
      <w:r w:rsidR="002138EF" w:rsidRPr="007632EF">
        <w:t xml:space="preserve"> </w:t>
      </w:r>
      <w:r w:rsidR="00B978B5" w:rsidRPr="007632EF">
        <w:t>(par exemple pour ceux situés dans le Pacifique</w:t>
      </w:r>
      <w:r w:rsidR="001E2A48" w:rsidRPr="007632EF">
        <w:t>,</w:t>
      </w:r>
      <w:r w:rsidR="00B978B5" w:rsidRPr="007632EF">
        <w:t xml:space="preserve"> lorsque les réunions ont lieu sur le fuseau horaire de Genève).</w:t>
      </w:r>
      <w:r w:rsidR="008C37D5" w:rsidRPr="007632EF">
        <w:t xml:space="preserve"> </w:t>
      </w:r>
      <w:r w:rsidR="00F97403" w:rsidRPr="007632EF">
        <w:t xml:space="preserve">Des enquêtes </w:t>
      </w:r>
      <w:r w:rsidR="002138EF" w:rsidRPr="007632EF">
        <w:t xml:space="preserve">périodiques </w:t>
      </w:r>
      <w:r w:rsidR="00F97403" w:rsidRPr="007632EF">
        <w:t xml:space="preserve">et uniformisées menées </w:t>
      </w:r>
      <w:bookmarkStart w:id="8" w:name="_Hlk111541219"/>
      <w:r w:rsidR="00F97403" w:rsidRPr="003A4558">
        <w:rPr>
          <w:i/>
        </w:rPr>
        <w:t>a posteriori</w:t>
      </w:r>
      <w:bookmarkEnd w:id="8"/>
      <w:r w:rsidR="00F97403" w:rsidRPr="007632EF">
        <w:t xml:space="preserve"> peuvent permettre de recueillir des informations sur les autres incidences et contribuer à améliorer le déroulement des manifestations.</w:t>
      </w:r>
    </w:p>
    <w:p w14:paraId="43001EDF" w14:textId="470C4B23" w:rsidR="0009607E" w:rsidRPr="007632EF" w:rsidRDefault="008C37D5" w:rsidP="00380009">
      <w:pPr>
        <w:pStyle w:val="Heading2"/>
        <w:rPr>
          <w:b w:val="0"/>
          <w:i/>
        </w:rPr>
      </w:pPr>
      <w:r w:rsidRPr="007632EF">
        <w:rPr>
          <w:b w:val="0"/>
          <w:i/>
        </w:rPr>
        <w:t>5.2</w:t>
      </w:r>
      <w:r w:rsidRPr="007632EF">
        <w:rPr>
          <w:b w:val="0"/>
          <w:i/>
        </w:rPr>
        <w:tab/>
      </w:r>
      <w:r w:rsidR="00BE2B4A" w:rsidRPr="007632EF">
        <w:rPr>
          <w:b w:val="0"/>
          <w:i/>
        </w:rPr>
        <w:t>Incidences sur l</w:t>
      </w:r>
      <w:r w:rsidR="00380009" w:rsidRPr="007632EF">
        <w:rPr>
          <w:b w:val="0"/>
          <w:i/>
        </w:rPr>
        <w:t>'</w:t>
      </w:r>
      <w:r w:rsidR="00BE2B4A" w:rsidRPr="007632EF">
        <w:rPr>
          <w:b w:val="0"/>
          <w:i/>
        </w:rPr>
        <w:t>efficacité et la productivité des réunions et mesures supplémentaires pour améliorer l</w:t>
      </w:r>
      <w:r w:rsidR="00380009" w:rsidRPr="007632EF">
        <w:rPr>
          <w:b w:val="0"/>
          <w:i/>
        </w:rPr>
        <w:t>'</w:t>
      </w:r>
      <w:r w:rsidR="00BE2B4A" w:rsidRPr="007632EF">
        <w:rPr>
          <w:b w:val="0"/>
          <w:i/>
        </w:rPr>
        <w:t>efficacité et la productivité</w:t>
      </w:r>
    </w:p>
    <w:p w14:paraId="76AD31F7" w14:textId="1163316E" w:rsidR="0009607E" w:rsidRPr="007632EF" w:rsidRDefault="00FA2B57" w:rsidP="00380009">
      <w:pPr>
        <w:rPr>
          <w:rFonts w:eastAsia="Calibri"/>
        </w:rPr>
      </w:pPr>
      <w:r w:rsidRPr="007632EF">
        <w:rPr>
          <w:rFonts w:eastAsia="Calibri"/>
        </w:rPr>
        <w:t>Lorsque l</w:t>
      </w:r>
      <w:r w:rsidR="00380009" w:rsidRPr="007632EF">
        <w:rPr>
          <w:rFonts w:eastAsia="Calibri"/>
        </w:rPr>
        <w:t>'</w:t>
      </w:r>
      <w:r w:rsidRPr="007632EF">
        <w:rPr>
          <w:rFonts w:eastAsia="Calibri"/>
        </w:rPr>
        <w:t>UIT a renoué avec les réunions physiques, certains groupes ont constaté une amélioration de leur productivité, de la qualité des discussions entre les délégués, de leur capacité de parvenir à des décisions par consensus et de la progression des travaux techniques.</w:t>
      </w:r>
      <w:r w:rsidR="008C37D5" w:rsidRPr="007632EF">
        <w:rPr>
          <w:rFonts w:eastAsia="Calibri"/>
        </w:rPr>
        <w:t xml:space="preserve"> </w:t>
      </w:r>
      <w:r w:rsidR="00233F84" w:rsidRPr="007632EF">
        <w:rPr>
          <w:rFonts w:eastAsia="Calibri"/>
        </w:rPr>
        <w:t>Des participants en présentiel aux réunions ont rapporté à l</w:t>
      </w:r>
      <w:r w:rsidR="00380009" w:rsidRPr="007632EF">
        <w:rPr>
          <w:rFonts w:eastAsia="Calibri"/>
        </w:rPr>
        <w:t>'</w:t>
      </w:r>
      <w:r w:rsidR="00233F84" w:rsidRPr="007632EF">
        <w:rPr>
          <w:rFonts w:eastAsia="Calibri"/>
        </w:rPr>
        <w:t>UIT que le fait de se connecter à la plate</w:t>
      </w:r>
      <w:r w:rsidR="001D72C4" w:rsidRPr="007632EF">
        <w:rPr>
          <w:rFonts w:eastAsia="Calibri"/>
        </w:rPr>
        <w:noBreakHyphen/>
      </w:r>
      <w:r w:rsidR="00233F84" w:rsidRPr="007632EF">
        <w:rPr>
          <w:rFonts w:eastAsia="Calibri"/>
        </w:rPr>
        <w:t xml:space="preserve">forme de participation à distance </w:t>
      </w:r>
      <w:r w:rsidR="001E2A48" w:rsidRPr="007632EF">
        <w:rPr>
          <w:rFonts w:eastAsia="Calibri"/>
        </w:rPr>
        <w:t xml:space="preserve">tout en étant </w:t>
      </w:r>
      <w:r w:rsidR="00233F84" w:rsidRPr="007632EF">
        <w:rPr>
          <w:rFonts w:eastAsia="Calibri"/>
        </w:rPr>
        <w:t>sur place leur avait offert des avantages inattendus, par exemple en leur permettant de partager du texte dans la fenêtre de discussion instantanée.</w:t>
      </w:r>
      <w:r w:rsidR="008C37D5" w:rsidRPr="007632EF">
        <w:rPr>
          <w:rFonts w:eastAsia="Calibri"/>
        </w:rPr>
        <w:t xml:space="preserve"> </w:t>
      </w:r>
      <w:r w:rsidR="00FA471D" w:rsidRPr="007632EF">
        <w:rPr>
          <w:rFonts w:eastAsia="Calibri"/>
        </w:rPr>
        <w:t>Il a également été démontré que les réunions physiques, avec ou sans participation à distance, peuvent être considérablement plus efficaces pour faire progresser les travaux techniques que les réunions entièrement virtuelles.</w:t>
      </w:r>
      <w:r w:rsidR="008C37D5" w:rsidRPr="007632EF">
        <w:rPr>
          <w:rFonts w:eastAsia="Calibri"/>
        </w:rPr>
        <w:t xml:space="preserve"> </w:t>
      </w:r>
      <w:r w:rsidR="009249C9" w:rsidRPr="007632EF">
        <w:rPr>
          <w:rFonts w:eastAsia="Calibri"/>
        </w:rPr>
        <w:t>L</w:t>
      </w:r>
      <w:r w:rsidR="00380009" w:rsidRPr="007632EF">
        <w:rPr>
          <w:rFonts w:eastAsia="Calibri"/>
        </w:rPr>
        <w:t>'</w:t>
      </w:r>
      <w:r w:rsidR="009249C9" w:rsidRPr="007632EF">
        <w:rPr>
          <w:rFonts w:eastAsia="Calibri"/>
        </w:rPr>
        <w:t>ampleur de l</w:t>
      </w:r>
      <w:r w:rsidR="00380009" w:rsidRPr="007632EF">
        <w:rPr>
          <w:rFonts w:eastAsia="Calibri"/>
        </w:rPr>
        <w:t>'</w:t>
      </w:r>
      <w:r w:rsidR="009249C9" w:rsidRPr="007632EF">
        <w:rPr>
          <w:rFonts w:eastAsia="Calibri"/>
        </w:rPr>
        <w:t>amélioration de l</w:t>
      </w:r>
      <w:r w:rsidR="00380009" w:rsidRPr="007632EF">
        <w:rPr>
          <w:rFonts w:eastAsia="Calibri"/>
        </w:rPr>
        <w:t>'</w:t>
      </w:r>
      <w:r w:rsidR="009249C9" w:rsidRPr="007632EF">
        <w:rPr>
          <w:rFonts w:eastAsia="Calibri"/>
        </w:rPr>
        <w:t>efficacité et de la productivité des réunions de l</w:t>
      </w:r>
      <w:r w:rsidR="00380009" w:rsidRPr="007632EF">
        <w:rPr>
          <w:rFonts w:eastAsia="Calibri"/>
        </w:rPr>
        <w:t>'</w:t>
      </w:r>
      <w:r w:rsidR="009249C9" w:rsidRPr="007632EF">
        <w:rPr>
          <w:rFonts w:eastAsia="Calibri"/>
        </w:rPr>
        <w:t>UIT-R a été considérable</w:t>
      </w:r>
      <w:r w:rsidR="00DF4FFE" w:rsidRPr="007632EF">
        <w:rPr>
          <w:rFonts w:eastAsia="Calibri"/>
        </w:rPr>
        <w:t xml:space="preserve"> et salutaire</w:t>
      </w:r>
      <w:r w:rsidR="009249C9" w:rsidRPr="007632EF">
        <w:rPr>
          <w:rFonts w:eastAsia="Calibri"/>
        </w:rPr>
        <w:t>.</w:t>
      </w:r>
    </w:p>
    <w:p w14:paraId="6D62D294" w14:textId="16C1E772" w:rsidR="0009607E" w:rsidRPr="007632EF" w:rsidRDefault="002C637D" w:rsidP="00380009">
      <w:pPr>
        <w:rPr>
          <w:rFonts w:eastAsia="Calibri" w:cs="Calibri"/>
        </w:rPr>
      </w:pPr>
      <w:r w:rsidRPr="007632EF">
        <w:t xml:space="preserve">En règle générale, seuls les participants en présentiel peuvent assister aux </w:t>
      </w:r>
      <w:r w:rsidR="00F33064" w:rsidRPr="007632EF">
        <w:t>discussions</w:t>
      </w:r>
      <w:r w:rsidRPr="007632EF">
        <w:t xml:space="preserve"> informelles, par exemple durant les pauses café.</w:t>
      </w:r>
      <w:r w:rsidR="008C37D5" w:rsidRPr="007632EF">
        <w:t xml:space="preserve"> </w:t>
      </w:r>
      <w:r w:rsidR="00E91AAC" w:rsidRPr="007632EF">
        <w:t>Les participants à distance n</w:t>
      </w:r>
      <w:r w:rsidR="00380009" w:rsidRPr="007632EF">
        <w:t>'</w:t>
      </w:r>
      <w:r w:rsidR="00E91AAC" w:rsidRPr="007632EF">
        <w:t xml:space="preserve">ont pas la possibilité de mettre en place leurs propres </w:t>
      </w:r>
      <w:r w:rsidR="00B17548" w:rsidRPr="007632EF">
        <w:t xml:space="preserve">forums </w:t>
      </w:r>
      <w:r w:rsidR="00E91AAC" w:rsidRPr="007632EF">
        <w:t>de discussion rapidement ou de manière informelle pour examiner certaines questions particulières au sein d</w:t>
      </w:r>
      <w:r w:rsidR="00380009" w:rsidRPr="007632EF">
        <w:t>'</w:t>
      </w:r>
      <w:r w:rsidR="00E91AAC" w:rsidRPr="007632EF">
        <w:t>un groupe de participants restreint.</w:t>
      </w:r>
      <w:r w:rsidR="008C37D5" w:rsidRPr="007632EF">
        <w:t xml:space="preserve"> </w:t>
      </w:r>
      <w:r w:rsidR="007C25D2" w:rsidRPr="007632EF">
        <w:rPr>
          <w:rFonts w:eastAsia="Calibri" w:cs="Calibri"/>
        </w:rPr>
        <w:t xml:space="preserve">Le Groupe de travail </w:t>
      </w:r>
      <w:r w:rsidR="007C25D2" w:rsidRPr="007632EF">
        <w:rPr>
          <w:rFonts w:eastAsia="Calibri" w:cs="Calibri"/>
        </w:rPr>
        <w:lastRenderedPageBreak/>
        <w:t>pour la participation à distance (RPTD)</w:t>
      </w:r>
      <w:r w:rsidR="00D606F3">
        <w:rPr>
          <w:rStyle w:val="FootnoteReference"/>
          <w:rFonts w:eastAsia="Calibri" w:cs="Calibri"/>
        </w:rPr>
        <w:footnoteReference w:id="2"/>
      </w:r>
      <w:r w:rsidR="007C25D2" w:rsidRPr="007632EF">
        <w:rPr>
          <w:position w:val="6"/>
          <w:sz w:val="16"/>
        </w:rPr>
        <w:t xml:space="preserve"> </w:t>
      </w:r>
      <w:r w:rsidR="00F33064" w:rsidRPr="007632EF">
        <w:rPr>
          <w:rFonts w:eastAsia="Calibri" w:cs="Calibri"/>
        </w:rPr>
        <w:t>œuvre</w:t>
      </w:r>
      <w:r w:rsidR="007C25D2" w:rsidRPr="007632EF">
        <w:rPr>
          <w:rFonts w:eastAsia="Calibri" w:cs="Calibri"/>
        </w:rPr>
        <w:t xml:space="preserve"> à l</w:t>
      </w:r>
      <w:r w:rsidR="00380009" w:rsidRPr="007632EF">
        <w:rPr>
          <w:rFonts w:eastAsia="Calibri" w:cs="Calibri"/>
        </w:rPr>
        <w:t>'</w:t>
      </w:r>
      <w:r w:rsidR="007C25D2" w:rsidRPr="007632EF">
        <w:rPr>
          <w:rFonts w:eastAsia="Calibri" w:cs="Calibri"/>
        </w:rPr>
        <w:t>élaboration d</w:t>
      </w:r>
      <w:r w:rsidR="00380009" w:rsidRPr="007632EF">
        <w:rPr>
          <w:rFonts w:eastAsia="Calibri" w:cs="Calibri"/>
        </w:rPr>
        <w:t>'</w:t>
      </w:r>
      <w:r w:rsidR="007C25D2" w:rsidRPr="007632EF">
        <w:rPr>
          <w:rFonts w:eastAsia="Calibri" w:cs="Calibri"/>
        </w:rPr>
        <w:t xml:space="preserve">une </w:t>
      </w:r>
      <w:r w:rsidR="00380009" w:rsidRPr="007632EF">
        <w:rPr>
          <w:rFonts w:eastAsia="Calibri" w:cs="Calibri"/>
        </w:rPr>
        <w:t>"</w:t>
      </w:r>
      <w:r w:rsidR="007C25D2" w:rsidRPr="007632EF">
        <w:rPr>
          <w:rFonts w:eastAsia="Calibri" w:cs="Calibri"/>
          <w:i/>
          <w:iCs/>
        </w:rPr>
        <w:t>plate-forme simulant le lieu des manifestations virtuelles</w:t>
      </w:r>
      <w:r w:rsidR="00380009" w:rsidRPr="007632EF">
        <w:rPr>
          <w:rFonts w:eastAsia="Calibri" w:cs="Calibri"/>
        </w:rPr>
        <w:t>"</w:t>
      </w:r>
      <w:r w:rsidR="00481044" w:rsidRPr="007632EF">
        <w:rPr>
          <w:rFonts w:eastAsia="Calibri" w:cs="Calibri"/>
        </w:rPr>
        <w:t>,</w:t>
      </w:r>
      <w:r w:rsidR="007C25D2" w:rsidRPr="007632EF">
        <w:rPr>
          <w:rFonts w:eastAsia="Calibri" w:cs="Calibri"/>
        </w:rPr>
        <w:t xml:space="preserve"> afin de permettre aux participants en présentiel d</w:t>
      </w:r>
      <w:r w:rsidR="00380009" w:rsidRPr="007632EF">
        <w:rPr>
          <w:rFonts w:eastAsia="Calibri" w:cs="Calibri"/>
        </w:rPr>
        <w:t>'</w:t>
      </w:r>
      <w:r w:rsidR="007C25D2" w:rsidRPr="007632EF">
        <w:rPr>
          <w:rFonts w:eastAsia="Calibri" w:cs="Calibri"/>
        </w:rPr>
        <w:t>interagir avec les participants à distance et de faciliter les communications même après la fin d</w:t>
      </w:r>
      <w:r w:rsidR="00380009" w:rsidRPr="007632EF">
        <w:rPr>
          <w:rFonts w:eastAsia="Calibri" w:cs="Calibri"/>
        </w:rPr>
        <w:t>'</w:t>
      </w:r>
      <w:r w:rsidR="007C25D2" w:rsidRPr="007632EF">
        <w:rPr>
          <w:rFonts w:eastAsia="Calibri" w:cs="Calibri"/>
        </w:rPr>
        <w:t>une manifestation.</w:t>
      </w:r>
    </w:p>
    <w:p w14:paraId="03356FBB" w14:textId="1E4187D2" w:rsidR="0009607E" w:rsidRPr="007632EF" w:rsidRDefault="0038614E" w:rsidP="00380009">
      <w:pPr>
        <w:rPr>
          <w:rFonts w:eastAsia="Calibri"/>
        </w:rPr>
      </w:pPr>
      <w:r w:rsidRPr="007632EF">
        <w:rPr>
          <w:rFonts w:eastAsia="Calibri"/>
        </w:rPr>
        <w:t>De plus, certaines réunions de l</w:t>
      </w:r>
      <w:r w:rsidR="00380009" w:rsidRPr="007632EF">
        <w:rPr>
          <w:rFonts w:eastAsia="Calibri"/>
        </w:rPr>
        <w:t>'</w:t>
      </w:r>
      <w:r w:rsidRPr="007632EF">
        <w:rPr>
          <w:rFonts w:eastAsia="Calibri"/>
        </w:rPr>
        <w:t xml:space="preserve">UIT-R offrent désormais la possibilité aux délégués de faire progresser les travaux sur certains sujets </w:t>
      </w:r>
      <w:r w:rsidR="00DF4FFE" w:rsidRPr="007632EF">
        <w:rPr>
          <w:rFonts w:eastAsia="Calibri"/>
        </w:rPr>
        <w:t>au moyen de</w:t>
      </w:r>
      <w:r w:rsidRPr="007632EF">
        <w:rPr>
          <w:rFonts w:eastAsia="Calibri"/>
        </w:rPr>
        <w:t xml:space="preserve"> discussions par courrier électronique pendant des réunions.</w:t>
      </w:r>
      <w:r w:rsidR="008C37D5" w:rsidRPr="007632EF">
        <w:rPr>
          <w:rFonts w:eastAsia="Calibri"/>
        </w:rPr>
        <w:t xml:space="preserve"> </w:t>
      </w:r>
      <w:r w:rsidR="00C96B5F" w:rsidRPr="007632EF">
        <w:rPr>
          <w:rFonts w:eastAsia="Calibri"/>
        </w:rPr>
        <w:t xml:space="preserve">Des méthodes de travail ont été mises en place pour ces discussions par courrier électronique, comprenant les éléments </w:t>
      </w:r>
      <w:proofErr w:type="gramStart"/>
      <w:r w:rsidR="00C96B5F" w:rsidRPr="007632EF">
        <w:rPr>
          <w:rFonts w:eastAsia="Calibri"/>
        </w:rPr>
        <w:t>suivants:</w:t>
      </w:r>
      <w:proofErr w:type="gramEnd"/>
    </w:p>
    <w:p w14:paraId="340C0511" w14:textId="418E1454" w:rsidR="0009607E" w:rsidRPr="007632EF" w:rsidRDefault="008C37D5" w:rsidP="00380009">
      <w:pPr>
        <w:pStyle w:val="enumlev1"/>
        <w:rPr>
          <w:rFonts w:eastAsia="Calibri"/>
        </w:rPr>
      </w:pPr>
      <w:r w:rsidRPr="007632EF">
        <w:rPr>
          <w:rFonts w:eastAsia="Calibri"/>
        </w:rPr>
        <w:t>•</w:t>
      </w:r>
      <w:r w:rsidRPr="007632EF">
        <w:rPr>
          <w:rFonts w:eastAsia="Calibri"/>
        </w:rPr>
        <w:tab/>
      </w:r>
      <w:r w:rsidR="00DF4FFE" w:rsidRPr="007632EF">
        <w:rPr>
          <w:rFonts w:eastAsia="Calibri"/>
        </w:rPr>
        <w:t>La</w:t>
      </w:r>
      <w:r w:rsidR="00B56870" w:rsidRPr="007632EF">
        <w:rPr>
          <w:rFonts w:eastAsia="Calibri"/>
        </w:rPr>
        <w:t xml:space="preserve"> portée des travaux</w:t>
      </w:r>
      <w:r w:rsidR="00DF4FFE" w:rsidRPr="007632EF">
        <w:rPr>
          <w:rFonts w:eastAsia="Calibri"/>
        </w:rPr>
        <w:t xml:space="preserve"> est</w:t>
      </w:r>
      <w:r w:rsidR="00B56870" w:rsidRPr="007632EF">
        <w:rPr>
          <w:rFonts w:eastAsia="Calibri"/>
        </w:rPr>
        <w:t xml:space="preserve"> définie</w:t>
      </w:r>
      <w:r w:rsidR="00DF4FFE" w:rsidRPr="007632EF">
        <w:rPr>
          <w:rFonts w:eastAsia="Calibri"/>
        </w:rPr>
        <w:t xml:space="preserve"> avec précision</w:t>
      </w:r>
      <w:r w:rsidR="00B56870" w:rsidRPr="007632EF">
        <w:rPr>
          <w:rFonts w:eastAsia="Calibri"/>
        </w:rPr>
        <w:t>,</w:t>
      </w:r>
      <w:r w:rsidR="00380009" w:rsidRPr="007632EF">
        <w:rPr>
          <w:rFonts w:eastAsia="Calibri"/>
        </w:rPr>
        <w:t xml:space="preserve"> </w:t>
      </w:r>
      <w:r w:rsidR="00481044" w:rsidRPr="007632EF">
        <w:rPr>
          <w:rFonts w:eastAsia="Calibri"/>
        </w:rPr>
        <w:t>et</w:t>
      </w:r>
      <w:r w:rsidR="00380009" w:rsidRPr="007632EF">
        <w:rPr>
          <w:rFonts w:eastAsia="Calibri"/>
        </w:rPr>
        <w:t xml:space="preserve"> </w:t>
      </w:r>
      <w:r w:rsidR="00B56870" w:rsidRPr="007632EF">
        <w:rPr>
          <w:rFonts w:eastAsia="Calibri"/>
        </w:rPr>
        <w:t>un coordonnateur pour la discussion</w:t>
      </w:r>
      <w:r w:rsidR="00481044" w:rsidRPr="007632EF">
        <w:rPr>
          <w:rFonts w:eastAsia="Calibri"/>
        </w:rPr>
        <w:t xml:space="preserve"> par courrier électronique</w:t>
      </w:r>
      <w:r w:rsidR="00B56870" w:rsidRPr="007632EF">
        <w:rPr>
          <w:rFonts w:eastAsia="Calibri"/>
        </w:rPr>
        <w:t>, ainsi qu</w:t>
      </w:r>
      <w:r w:rsidR="00380009" w:rsidRPr="007632EF">
        <w:rPr>
          <w:rFonts w:eastAsia="Calibri"/>
        </w:rPr>
        <w:t>'</w:t>
      </w:r>
      <w:r w:rsidR="00B56870" w:rsidRPr="007632EF">
        <w:rPr>
          <w:rFonts w:eastAsia="Calibri"/>
        </w:rPr>
        <w:t>une date de début et de fin précise pour la discussion</w:t>
      </w:r>
      <w:r w:rsidR="00481044" w:rsidRPr="007632EF">
        <w:rPr>
          <w:rFonts w:eastAsia="Calibri"/>
        </w:rPr>
        <w:t>, sont identifiés</w:t>
      </w:r>
      <w:r w:rsidR="0023145D" w:rsidRPr="007632EF">
        <w:rPr>
          <w:rFonts w:eastAsia="Calibri"/>
        </w:rPr>
        <w:t>.</w:t>
      </w:r>
    </w:p>
    <w:p w14:paraId="4C2B367E" w14:textId="036C572F" w:rsidR="0009607E" w:rsidRPr="007632EF" w:rsidRDefault="008C37D5" w:rsidP="00380009">
      <w:pPr>
        <w:pStyle w:val="enumlev1"/>
        <w:rPr>
          <w:rFonts w:eastAsia="Calibri"/>
        </w:rPr>
      </w:pPr>
      <w:r w:rsidRPr="007632EF">
        <w:rPr>
          <w:rFonts w:eastAsia="Calibri"/>
        </w:rPr>
        <w:t>•</w:t>
      </w:r>
      <w:r w:rsidRPr="007632EF">
        <w:rPr>
          <w:rFonts w:eastAsia="Calibri"/>
        </w:rPr>
        <w:tab/>
      </w:r>
      <w:r w:rsidR="00E45453" w:rsidRPr="007632EF">
        <w:rPr>
          <w:rFonts w:eastAsia="Calibri"/>
        </w:rPr>
        <w:t>Une liste actualisée comprenant tous les sujets actuels faisant l</w:t>
      </w:r>
      <w:r w:rsidR="00380009" w:rsidRPr="007632EF">
        <w:rPr>
          <w:rFonts w:eastAsia="Calibri"/>
        </w:rPr>
        <w:t>'</w:t>
      </w:r>
      <w:r w:rsidR="00E45453" w:rsidRPr="007632EF">
        <w:rPr>
          <w:rFonts w:eastAsia="Calibri"/>
        </w:rPr>
        <w:t>obje</w:t>
      </w:r>
      <w:r w:rsidR="00F33064" w:rsidRPr="007632EF">
        <w:rPr>
          <w:rFonts w:eastAsia="Calibri"/>
        </w:rPr>
        <w:t>t</w:t>
      </w:r>
      <w:r w:rsidR="00E45453" w:rsidRPr="007632EF">
        <w:rPr>
          <w:rFonts w:eastAsia="Calibri"/>
        </w:rPr>
        <w:t xml:space="preserve"> d</w:t>
      </w:r>
      <w:r w:rsidR="00380009" w:rsidRPr="007632EF">
        <w:rPr>
          <w:rFonts w:eastAsia="Calibri"/>
        </w:rPr>
        <w:t>'</w:t>
      </w:r>
      <w:r w:rsidR="00E45453" w:rsidRPr="007632EF">
        <w:rPr>
          <w:rFonts w:eastAsia="Calibri"/>
        </w:rPr>
        <w:t xml:space="preserve">une discussion par courrier électronique est mise à </w:t>
      </w:r>
      <w:r w:rsidR="00DF4FFE" w:rsidRPr="007632EF">
        <w:rPr>
          <w:rFonts w:eastAsia="Calibri"/>
        </w:rPr>
        <w:t xml:space="preserve">la </w:t>
      </w:r>
      <w:r w:rsidR="00E45453" w:rsidRPr="007632EF">
        <w:rPr>
          <w:rFonts w:eastAsia="Calibri"/>
        </w:rPr>
        <w:t>disposition des délégués pour information</w:t>
      </w:r>
      <w:r w:rsidR="0023145D" w:rsidRPr="007632EF">
        <w:rPr>
          <w:rFonts w:eastAsia="Calibri"/>
        </w:rPr>
        <w:t>.</w:t>
      </w:r>
    </w:p>
    <w:p w14:paraId="30D65E09" w14:textId="6BDADF51" w:rsidR="0009607E" w:rsidRPr="007632EF" w:rsidRDefault="008C37D5" w:rsidP="00380009">
      <w:pPr>
        <w:pStyle w:val="enumlev1"/>
        <w:rPr>
          <w:rFonts w:eastAsia="Calibri"/>
        </w:rPr>
      </w:pPr>
      <w:r w:rsidRPr="007632EF">
        <w:rPr>
          <w:rFonts w:eastAsia="Calibri"/>
        </w:rPr>
        <w:t>•</w:t>
      </w:r>
      <w:r w:rsidRPr="007632EF">
        <w:rPr>
          <w:rFonts w:eastAsia="Calibri"/>
        </w:rPr>
        <w:tab/>
      </w:r>
      <w:r w:rsidR="008045A1" w:rsidRPr="007632EF">
        <w:rPr>
          <w:rFonts w:eastAsia="Calibri"/>
        </w:rPr>
        <w:t>Chaque cycle de discussion par courrier électronique devrait avoir une durée minimale de</w:t>
      </w:r>
      <w:r w:rsidR="0023145D" w:rsidRPr="007632EF">
        <w:rPr>
          <w:rFonts w:eastAsia="Calibri"/>
        </w:rPr>
        <w:t> </w:t>
      </w:r>
      <w:r w:rsidR="008045A1" w:rsidRPr="007632EF">
        <w:rPr>
          <w:rFonts w:eastAsia="Calibri"/>
        </w:rPr>
        <w:t>36</w:t>
      </w:r>
      <w:r w:rsidR="0023145D" w:rsidRPr="007632EF">
        <w:rPr>
          <w:rFonts w:eastAsia="Calibri"/>
        </w:rPr>
        <w:t> </w:t>
      </w:r>
      <w:r w:rsidR="008045A1" w:rsidRPr="007632EF">
        <w:rPr>
          <w:rFonts w:eastAsia="Calibri"/>
        </w:rPr>
        <w:t>heures, afin de permettre à tous les membres inscrits d</w:t>
      </w:r>
      <w:r w:rsidR="00380009" w:rsidRPr="007632EF">
        <w:rPr>
          <w:rFonts w:eastAsia="Calibri"/>
        </w:rPr>
        <w:t>'</w:t>
      </w:r>
      <w:r w:rsidR="008045A1" w:rsidRPr="007632EF">
        <w:rPr>
          <w:rFonts w:eastAsia="Calibri"/>
        </w:rPr>
        <w:t>en prendre connaissance et d</w:t>
      </w:r>
      <w:r w:rsidR="00380009" w:rsidRPr="007632EF">
        <w:rPr>
          <w:rFonts w:eastAsia="Calibri"/>
        </w:rPr>
        <w:t>'</w:t>
      </w:r>
      <w:r w:rsidR="008045A1" w:rsidRPr="007632EF">
        <w:rPr>
          <w:rFonts w:eastAsia="Calibri"/>
        </w:rPr>
        <w:t>intervenir.</w:t>
      </w:r>
    </w:p>
    <w:p w14:paraId="2AE24614" w14:textId="7D6406E0" w:rsidR="0009607E" w:rsidRPr="007632EF" w:rsidRDefault="008C37D5" w:rsidP="00380009">
      <w:pPr>
        <w:pStyle w:val="enumlev1"/>
        <w:rPr>
          <w:rFonts w:eastAsia="Calibri"/>
        </w:rPr>
      </w:pPr>
      <w:r w:rsidRPr="007632EF">
        <w:rPr>
          <w:rFonts w:eastAsia="Calibri"/>
        </w:rPr>
        <w:t>•</w:t>
      </w:r>
      <w:r w:rsidRPr="007632EF">
        <w:rPr>
          <w:rFonts w:eastAsia="Calibri"/>
        </w:rPr>
        <w:tab/>
      </w:r>
      <w:r w:rsidR="00633865" w:rsidRPr="007632EF">
        <w:rPr>
          <w:rFonts w:eastAsia="Calibri"/>
        </w:rPr>
        <w:t>Les documents faisant l</w:t>
      </w:r>
      <w:r w:rsidR="00380009" w:rsidRPr="007632EF">
        <w:rPr>
          <w:rFonts w:eastAsia="Calibri"/>
        </w:rPr>
        <w:t>'</w:t>
      </w:r>
      <w:r w:rsidR="00633865" w:rsidRPr="007632EF">
        <w:rPr>
          <w:rFonts w:eastAsia="Calibri"/>
        </w:rPr>
        <w:t>objet d</w:t>
      </w:r>
      <w:r w:rsidR="00380009" w:rsidRPr="007632EF">
        <w:rPr>
          <w:rFonts w:eastAsia="Calibri"/>
        </w:rPr>
        <w:t>'</w:t>
      </w:r>
      <w:r w:rsidR="00633865" w:rsidRPr="007632EF">
        <w:rPr>
          <w:rFonts w:eastAsia="Calibri"/>
        </w:rPr>
        <w:t>une discussion sont partagés au moyen d</w:t>
      </w:r>
      <w:r w:rsidR="00380009" w:rsidRPr="007632EF">
        <w:rPr>
          <w:rFonts w:eastAsia="Calibri"/>
        </w:rPr>
        <w:t>'</w:t>
      </w:r>
      <w:r w:rsidR="00633865" w:rsidRPr="007632EF">
        <w:rPr>
          <w:rFonts w:eastAsia="Calibri"/>
        </w:rPr>
        <w:t>un dossier SharePoint spécial.</w:t>
      </w:r>
    </w:p>
    <w:p w14:paraId="45A739B1" w14:textId="2AC10022" w:rsidR="0009607E" w:rsidRPr="007632EF" w:rsidRDefault="008C37D5" w:rsidP="00380009">
      <w:pPr>
        <w:pStyle w:val="enumlev1"/>
        <w:rPr>
          <w:rFonts w:eastAsia="Calibri"/>
        </w:rPr>
      </w:pPr>
      <w:r w:rsidRPr="007632EF">
        <w:rPr>
          <w:rFonts w:eastAsia="Calibri"/>
        </w:rPr>
        <w:t>•</w:t>
      </w:r>
      <w:r w:rsidRPr="007632EF">
        <w:rPr>
          <w:rFonts w:eastAsia="Calibri"/>
        </w:rPr>
        <w:tab/>
      </w:r>
      <w:r w:rsidR="00396FA8" w:rsidRPr="007632EF">
        <w:rPr>
          <w:rFonts w:eastAsia="Calibri"/>
        </w:rPr>
        <w:t xml:space="preserve">Lorsque la discussion est close, les résultats sont présentés à la prochaine </w:t>
      </w:r>
      <w:r w:rsidR="00A42AF3" w:rsidRPr="007632EF">
        <w:rPr>
          <w:rFonts w:eastAsia="Calibri"/>
        </w:rPr>
        <w:t xml:space="preserve">séance </w:t>
      </w:r>
      <w:r w:rsidR="00396FA8" w:rsidRPr="007632EF">
        <w:rPr>
          <w:rFonts w:eastAsia="Calibri"/>
        </w:rPr>
        <w:t>du groupe ayant créé l</w:t>
      </w:r>
      <w:r w:rsidR="00380009" w:rsidRPr="007632EF">
        <w:rPr>
          <w:rFonts w:eastAsia="Calibri"/>
        </w:rPr>
        <w:t>'</w:t>
      </w:r>
      <w:r w:rsidR="00396FA8" w:rsidRPr="007632EF">
        <w:rPr>
          <w:rFonts w:eastAsia="Calibri"/>
        </w:rPr>
        <w:t>activité.</w:t>
      </w:r>
    </w:p>
    <w:p w14:paraId="3B5D1FA1" w14:textId="6EB09521" w:rsidR="0009607E" w:rsidRPr="007632EF" w:rsidRDefault="003906E0" w:rsidP="00380009">
      <w:pPr>
        <w:rPr>
          <w:rFonts w:eastAsia="Calibri"/>
        </w:rPr>
      </w:pPr>
      <w:r w:rsidRPr="007632EF">
        <w:rPr>
          <w:rFonts w:eastAsia="Calibri"/>
        </w:rPr>
        <w:t>M</w:t>
      </w:r>
      <w:r w:rsidR="007736D4" w:rsidRPr="007632EF">
        <w:rPr>
          <w:rFonts w:eastAsia="Calibri"/>
        </w:rPr>
        <w:t>ême si les délégués ne sont pas toujours en mesure de suivre une discussion par courrier électronique, ils ont la possibilité d</w:t>
      </w:r>
      <w:r w:rsidR="00380009" w:rsidRPr="007632EF">
        <w:rPr>
          <w:rFonts w:eastAsia="Calibri"/>
        </w:rPr>
        <w:t>'</w:t>
      </w:r>
      <w:r w:rsidR="007736D4" w:rsidRPr="007632EF">
        <w:rPr>
          <w:rFonts w:eastAsia="Calibri"/>
        </w:rPr>
        <w:t xml:space="preserve">examiner les résultats et de </w:t>
      </w:r>
      <w:r w:rsidR="00A42AF3" w:rsidRPr="007632EF">
        <w:rPr>
          <w:rFonts w:eastAsia="Calibri"/>
        </w:rPr>
        <w:t xml:space="preserve">présenter </w:t>
      </w:r>
      <w:r w:rsidR="007736D4" w:rsidRPr="007632EF">
        <w:rPr>
          <w:rFonts w:eastAsia="Calibri"/>
        </w:rPr>
        <w:t>des observations</w:t>
      </w:r>
      <w:r w:rsidR="00A42AF3" w:rsidRPr="007632EF">
        <w:rPr>
          <w:rFonts w:eastAsia="Calibri"/>
        </w:rPr>
        <w:t>,</w:t>
      </w:r>
      <w:r w:rsidR="007736D4" w:rsidRPr="007632EF">
        <w:rPr>
          <w:rFonts w:eastAsia="Calibri"/>
        </w:rPr>
        <w:t xml:space="preserve"> </w:t>
      </w:r>
      <w:r w:rsidRPr="007632EF">
        <w:rPr>
          <w:rFonts w:eastAsia="Calibri"/>
        </w:rPr>
        <w:t>selon qu</w:t>
      </w:r>
      <w:r w:rsidR="00380009" w:rsidRPr="007632EF">
        <w:rPr>
          <w:rFonts w:eastAsia="Calibri"/>
        </w:rPr>
        <w:t>'</w:t>
      </w:r>
      <w:r w:rsidRPr="007632EF">
        <w:rPr>
          <w:rFonts w:eastAsia="Calibri"/>
        </w:rPr>
        <w:t>il convient</w:t>
      </w:r>
      <w:r w:rsidR="00A42AF3" w:rsidRPr="007632EF">
        <w:rPr>
          <w:rFonts w:eastAsia="Calibri"/>
        </w:rPr>
        <w:t>,</w:t>
      </w:r>
      <w:r w:rsidRPr="007632EF">
        <w:rPr>
          <w:rFonts w:eastAsia="Calibri"/>
        </w:rPr>
        <w:t xml:space="preserve"> </w:t>
      </w:r>
      <w:r w:rsidR="007736D4" w:rsidRPr="007632EF">
        <w:rPr>
          <w:rFonts w:eastAsia="Calibri"/>
        </w:rPr>
        <w:t>durant les séances informelles du groupe.</w:t>
      </w:r>
    </w:p>
    <w:p w14:paraId="7E9345A4" w14:textId="0C1131CA" w:rsidR="0009607E" w:rsidRPr="007632EF" w:rsidRDefault="008C37D5" w:rsidP="00380009">
      <w:pPr>
        <w:pStyle w:val="Heading1"/>
        <w:rPr>
          <w:rFonts w:eastAsiaTheme="minorEastAsia"/>
          <w:lang w:eastAsia="zh-CN"/>
        </w:rPr>
      </w:pPr>
      <w:r w:rsidRPr="007632EF">
        <w:rPr>
          <w:rFonts w:eastAsiaTheme="minorEastAsia"/>
          <w:lang w:eastAsia="zh-CN"/>
        </w:rPr>
        <w:t>6</w:t>
      </w:r>
      <w:r w:rsidRPr="007632EF">
        <w:rPr>
          <w:rFonts w:eastAsiaTheme="minorEastAsia"/>
          <w:lang w:eastAsia="zh-CN"/>
        </w:rPr>
        <w:tab/>
      </w:r>
      <w:r w:rsidR="0062432D" w:rsidRPr="007632EF">
        <w:rPr>
          <w:rFonts w:eastAsiaTheme="minorEastAsia"/>
          <w:lang w:eastAsia="zh-CN"/>
        </w:rPr>
        <w:t>Incidences sur le plan de l</w:t>
      </w:r>
      <w:r w:rsidR="00380009" w:rsidRPr="007632EF">
        <w:rPr>
          <w:rFonts w:eastAsiaTheme="minorEastAsia"/>
          <w:lang w:eastAsia="zh-CN"/>
        </w:rPr>
        <w:t>'</w:t>
      </w:r>
      <w:r w:rsidR="0062432D" w:rsidRPr="007632EF">
        <w:rPr>
          <w:rFonts w:eastAsiaTheme="minorEastAsia"/>
          <w:lang w:eastAsia="zh-CN"/>
        </w:rPr>
        <w:t>égalité hommes-femmes</w:t>
      </w:r>
    </w:p>
    <w:p w14:paraId="72E3A2D4" w14:textId="08ACE3A3" w:rsidR="0009607E" w:rsidRPr="007632EF" w:rsidRDefault="00274088" w:rsidP="00380009">
      <w:r w:rsidRPr="007632EF">
        <w:t xml:space="preserve">Les manifestations virtuelles et la participation à distance peuvent offrir la souplesse nécessaire </w:t>
      </w:r>
      <w:r w:rsidR="003906E0" w:rsidRPr="007632EF">
        <w:t>au renforcement de la</w:t>
      </w:r>
      <w:r w:rsidRPr="007632EF">
        <w:t xml:space="preserve"> participation des femmes aux manifestations de l</w:t>
      </w:r>
      <w:r w:rsidR="00380009" w:rsidRPr="007632EF">
        <w:t>'</w:t>
      </w:r>
      <w:r w:rsidRPr="007632EF">
        <w:t>UIT.</w:t>
      </w:r>
      <w:r w:rsidR="008C37D5" w:rsidRPr="007632EF">
        <w:t xml:space="preserve"> </w:t>
      </w:r>
      <w:r w:rsidR="00016540" w:rsidRPr="007632EF">
        <w:t xml:space="preserve">Les rôles </w:t>
      </w:r>
      <w:r w:rsidR="00A42AF3" w:rsidRPr="007632EF">
        <w:t>d</w:t>
      </w:r>
      <w:r w:rsidR="00380009" w:rsidRPr="007632EF">
        <w:t>'</w:t>
      </w:r>
      <w:r w:rsidR="00A42AF3" w:rsidRPr="007632EF">
        <w:t>aidants</w:t>
      </w:r>
      <w:r w:rsidR="00A42AF3" w:rsidRPr="007632EF" w:rsidDel="00A42AF3">
        <w:t xml:space="preserve"> </w:t>
      </w:r>
      <w:r w:rsidR="00016540" w:rsidRPr="007632EF">
        <w:t>et d</w:t>
      </w:r>
      <w:r w:rsidR="00380009" w:rsidRPr="007632EF">
        <w:t>'</w:t>
      </w:r>
      <w:r w:rsidR="00016540" w:rsidRPr="007632EF">
        <w:t>autres contraintes personnelles liées aux voyages à l</w:t>
      </w:r>
      <w:r w:rsidR="00380009" w:rsidRPr="007632EF">
        <w:t>'</w:t>
      </w:r>
      <w:r w:rsidR="00016540" w:rsidRPr="007632EF">
        <w:t>étranger peuvent limiter la capacité d</w:t>
      </w:r>
      <w:r w:rsidR="00380009" w:rsidRPr="007632EF">
        <w:t>'</w:t>
      </w:r>
      <w:r w:rsidR="00016540" w:rsidRPr="007632EF">
        <w:t>une personne de participer en présentiel aux réunions, en particulier durant les manifestations de longue durée.</w:t>
      </w:r>
      <w:r w:rsidR="008C37D5" w:rsidRPr="007632EF">
        <w:t xml:space="preserve"> </w:t>
      </w:r>
      <w:r w:rsidR="005C151E" w:rsidRPr="007632EF">
        <w:t>Les incidences peuvent être plus importantes sur les femmes que sur les hommes, en particulier dans certaines cultures.</w:t>
      </w:r>
      <w:r w:rsidR="008C37D5" w:rsidRPr="007632EF">
        <w:t xml:space="preserve"> </w:t>
      </w:r>
      <w:r w:rsidR="007C131B" w:rsidRPr="007632EF">
        <w:t xml:space="preserve">Malgré tous les efforts mis en </w:t>
      </w:r>
      <w:r w:rsidR="00F33064" w:rsidRPr="007632EF">
        <w:t>œuvre</w:t>
      </w:r>
      <w:r w:rsidR="007C131B" w:rsidRPr="007632EF">
        <w:t>, les participants à distance sont désavantagés</w:t>
      </w:r>
      <w:r w:rsidR="003906E0" w:rsidRPr="007632EF">
        <w:t xml:space="preserve"> par rapport aux participants en présentiel</w:t>
      </w:r>
      <w:r w:rsidR="007C131B" w:rsidRPr="007632EF">
        <w:t xml:space="preserve"> pour ce qui est d</w:t>
      </w:r>
      <w:r w:rsidR="00380009" w:rsidRPr="007632EF">
        <w:t>'</w:t>
      </w:r>
      <w:r w:rsidR="007C131B" w:rsidRPr="007632EF">
        <w:t>influer sur les résultats de la réunion.</w:t>
      </w:r>
      <w:r w:rsidR="008C37D5" w:rsidRPr="007632EF">
        <w:t xml:space="preserve"> </w:t>
      </w:r>
      <w:r w:rsidR="00033185" w:rsidRPr="007632EF">
        <w:t>Par conséquent, dans le cadre de la reprise des réunions physiques, il sera important que les progrès accomplis par les femmes en vue d</w:t>
      </w:r>
      <w:r w:rsidR="00380009" w:rsidRPr="007632EF">
        <w:t>'</w:t>
      </w:r>
      <w:r w:rsidR="00033185" w:rsidRPr="007632EF">
        <w:t>influer sur les résultats des réunions de l</w:t>
      </w:r>
      <w:r w:rsidR="00380009" w:rsidRPr="007632EF">
        <w:t>'</w:t>
      </w:r>
      <w:r w:rsidR="00033185" w:rsidRPr="007632EF">
        <w:t xml:space="preserve">UIT ne soient pas entravés par </w:t>
      </w:r>
      <w:r w:rsidR="003906E0" w:rsidRPr="007632EF">
        <w:t xml:space="preserve">leur </w:t>
      </w:r>
      <w:r w:rsidR="00033185" w:rsidRPr="007632EF">
        <w:t xml:space="preserve">participation </w:t>
      </w:r>
      <w:r w:rsidR="003906E0" w:rsidRPr="007632EF">
        <w:t>moins fréquente</w:t>
      </w:r>
      <w:r w:rsidR="00033185" w:rsidRPr="007632EF">
        <w:t xml:space="preserve"> aux réunions physiques </w:t>
      </w:r>
      <w:r w:rsidR="00D81840" w:rsidRPr="007632EF">
        <w:t>que</w:t>
      </w:r>
      <w:r w:rsidR="00033185" w:rsidRPr="007632EF">
        <w:t xml:space="preserve"> leurs homologues masculins ou par le fait que les participants à distance </w:t>
      </w:r>
      <w:r w:rsidR="00F33064" w:rsidRPr="007632EF">
        <w:t>exercent</w:t>
      </w:r>
      <w:r w:rsidR="00033185" w:rsidRPr="007632EF">
        <w:t xml:space="preserve"> une influence moindre sur les résultats des réunions physiques avec</w:t>
      </w:r>
      <w:r w:rsidR="00380009" w:rsidRPr="007632EF">
        <w:t xml:space="preserve"> </w:t>
      </w:r>
      <w:r w:rsidR="00033185" w:rsidRPr="007632EF">
        <w:t>participation à distance.</w:t>
      </w:r>
      <w:r w:rsidR="008C37D5" w:rsidRPr="007632EF">
        <w:t xml:space="preserve"> </w:t>
      </w:r>
      <w:r w:rsidR="00B91CE4" w:rsidRPr="007632EF">
        <w:t>Une meilleure compréhension de l</w:t>
      </w:r>
      <w:r w:rsidR="00380009" w:rsidRPr="007632EF">
        <w:t>'</w:t>
      </w:r>
      <w:r w:rsidR="00B91CE4" w:rsidRPr="007632EF">
        <w:t>expérience vécue par les femmes peut permettre d</w:t>
      </w:r>
      <w:r w:rsidR="00380009" w:rsidRPr="007632EF">
        <w:t>'</w:t>
      </w:r>
      <w:r w:rsidR="00B91CE4" w:rsidRPr="007632EF">
        <w:t>améliorer la prise en compte du principe de l</w:t>
      </w:r>
      <w:r w:rsidR="00380009" w:rsidRPr="007632EF">
        <w:t>'</w:t>
      </w:r>
      <w:r w:rsidR="00B91CE4" w:rsidRPr="007632EF">
        <w:t>égalité hommes-femmes dans les réunions, les processus et les résultats de l</w:t>
      </w:r>
      <w:r w:rsidR="00380009" w:rsidRPr="007632EF">
        <w:t>'</w:t>
      </w:r>
      <w:r w:rsidR="00B91CE4" w:rsidRPr="007632EF">
        <w:t>UIT.</w:t>
      </w:r>
    </w:p>
    <w:p w14:paraId="21EAA1C5" w14:textId="62A67E31" w:rsidR="0009607E" w:rsidRPr="007632EF" w:rsidRDefault="008C37D5" w:rsidP="00380009">
      <w:pPr>
        <w:pStyle w:val="Heading1"/>
        <w:rPr>
          <w:rFonts w:eastAsiaTheme="minorEastAsia"/>
          <w:lang w:eastAsia="zh-CN"/>
        </w:rPr>
      </w:pPr>
      <w:r w:rsidRPr="007632EF">
        <w:rPr>
          <w:rFonts w:eastAsiaTheme="minorEastAsia"/>
          <w:lang w:eastAsia="zh-CN"/>
        </w:rPr>
        <w:lastRenderedPageBreak/>
        <w:t>7</w:t>
      </w:r>
      <w:r w:rsidRPr="007632EF">
        <w:rPr>
          <w:rFonts w:eastAsiaTheme="minorEastAsia"/>
          <w:lang w:eastAsia="zh-CN"/>
        </w:rPr>
        <w:tab/>
      </w:r>
      <w:r w:rsidR="00564C3F" w:rsidRPr="007632EF">
        <w:rPr>
          <w:rFonts w:eastAsiaTheme="minorEastAsia"/>
          <w:lang w:eastAsia="zh-CN"/>
        </w:rPr>
        <w:t>Incidences environnementales</w:t>
      </w:r>
    </w:p>
    <w:p w14:paraId="414CB4B2" w14:textId="41A37783" w:rsidR="0009607E" w:rsidRPr="007632EF" w:rsidRDefault="002F3471" w:rsidP="00380009">
      <w:pPr>
        <w:rPr>
          <w:rFonts w:eastAsia="Calibri"/>
        </w:rPr>
      </w:pPr>
      <w:r w:rsidRPr="007632EF">
        <w:rPr>
          <w:rFonts w:eastAsia="Calibri"/>
        </w:rPr>
        <w:t>Le fait de permettre la participation inclusive à distance ou d</w:t>
      </w:r>
      <w:r w:rsidR="00380009" w:rsidRPr="007632EF">
        <w:rPr>
          <w:rFonts w:eastAsia="Calibri"/>
        </w:rPr>
        <w:t>'</w:t>
      </w:r>
      <w:r w:rsidRPr="007632EF">
        <w:rPr>
          <w:rFonts w:eastAsia="Calibri"/>
        </w:rPr>
        <w:t>organiser la réunion de manière entièrement virtuelle peut permettre de réduire considérablement l</w:t>
      </w:r>
      <w:r w:rsidR="00380009" w:rsidRPr="007632EF">
        <w:rPr>
          <w:rFonts w:eastAsia="Calibri"/>
        </w:rPr>
        <w:t>'</w:t>
      </w:r>
      <w:r w:rsidRPr="007632EF">
        <w:rPr>
          <w:rFonts w:eastAsia="Calibri"/>
        </w:rPr>
        <w:t>empreinte carbone d</w:t>
      </w:r>
      <w:r w:rsidR="00380009" w:rsidRPr="007632EF">
        <w:rPr>
          <w:rFonts w:eastAsia="Calibri"/>
        </w:rPr>
        <w:t>'</w:t>
      </w:r>
      <w:r w:rsidRPr="007632EF">
        <w:rPr>
          <w:rFonts w:eastAsia="Calibri"/>
        </w:rPr>
        <w:t>une réunion ou manifestation internationale, car le trafic aérien est une source majeure d</w:t>
      </w:r>
      <w:r w:rsidR="00380009" w:rsidRPr="007632EF">
        <w:rPr>
          <w:rFonts w:eastAsia="Calibri"/>
        </w:rPr>
        <w:t>'</w:t>
      </w:r>
      <w:r w:rsidRPr="007632EF">
        <w:rPr>
          <w:rFonts w:eastAsia="Calibri"/>
        </w:rPr>
        <w:t>émissions.</w:t>
      </w:r>
      <w:r w:rsidR="008C37D5" w:rsidRPr="007632EF">
        <w:rPr>
          <w:rFonts w:eastAsia="Calibri"/>
        </w:rPr>
        <w:t xml:space="preserve"> </w:t>
      </w:r>
      <w:r w:rsidR="00DC5D1E" w:rsidRPr="007632EF">
        <w:rPr>
          <w:rFonts w:eastAsia="Calibri"/>
        </w:rPr>
        <w:t>Compte tenu de la nécessité urgente de lutter contre le</w:t>
      </w:r>
      <w:r w:rsidR="00D81840" w:rsidRPr="007632EF">
        <w:rPr>
          <w:rFonts w:eastAsia="Calibri"/>
        </w:rPr>
        <w:t>s</w:t>
      </w:r>
      <w:r w:rsidR="00DC5D1E" w:rsidRPr="007632EF">
        <w:rPr>
          <w:rFonts w:eastAsia="Calibri"/>
        </w:rPr>
        <w:t xml:space="preserve"> changement</w:t>
      </w:r>
      <w:r w:rsidR="00D81840" w:rsidRPr="007632EF">
        <w:rPr>
          <w:rFonts w:eastAsia="Calibri"/>
        </w:rPr>
        <w:t>s</w:t>
      </w:r>
      <w:r w:rsidR="00DC5D1E" w:rsidRPr="007632EF">
        <w:rPr>
          <w:rFonts w:eastAsia="Calibri"/>
        </w:rPr>
        <w:t xml:space="preserve"> climatique</w:t>
      </w:r>
      <w:r w:rsidR="00D81840" w:rsidRPr="007632EF">
        <w:rPr>
          <w:rFonts w:eastAsia="Calibri"/>
        </w:rPr>
        <w:t>s</w:t>
      </w:r>
      <w:r w:rsidR="00DC5D1E" w:rsidRPr="007632EF">
        <w:rPr>
          <w:rFonts w:eastAsia="Calibri"/>
        </w:rPr>
        <w:t>, le fait d</w:t>
      </w:r>
      <w:r w:rsidR="00380009" w:rsidRPr="007632EF">
        <w:rPr>
          <w:rFonts w:eastAsia="Calibri"/>
        </w:rPr>
        <w:t>'</w:t>
      </w:r>
      <w:r w:rsidR="00DC5D1E" w:rsidRPr="007632EF">
        <w:rPr>
          <w:rFonts w:eastAsia="Calibri"/>
        </w:rPr>
        <w:t>exploiter au maximum les TIC pour réduire les émissions de gaz à effet de serre devrait être une considération importante lorsqu</w:t>
      </w:r>
      <w:r w:rsidR="00380009" w:rsidRPr="007632EF">
        <w:rPr>
          <w:rFonts w:eastAsia="Calibri"/>
        </w:rPr>
        <w:t>'</w:t>
      </w:r>
      <w:r w:rsidR="00DC5D1E" w:rsidRPr="007632EF">
        <w:rPr>
          <w:rFonts w:eastAsia="Calibri"/>
        </w:rPr>
        <w:t>il s</w:t>
      </w:r>
      <w:r w:rsidR="00380009" w:rsidRPr="007632EF">
        <w:rPr>
          <w:rFonts w:eastAsia="Calibri"/>
        </w:rPr>
        <w:t>'</w:t>
      </w:r>
      <w:r w:rsidR="00DC5D1E" w:rsidRPr="007632EF">
        <w:rPr>
          <w:rFonts w:eastAsia="Calibri"/>
        </w:rPr>
        <w:t xml:space="preserve">agit </w:t>
      </w:r>
      <w:r w:rsidR="006A131D" w:rsidRPr="007632EF">
        <w:rPr>
          <w:rFonts w:eastAsia="Calibri"/>
        </w:rPr>
        <w:t>d</w:t>
      </w:r>
      <w:r w:rsidR="00380009" w:rsidRPr="007632EF">
        <w:rPr>
          <w:rFonts w:eastAsia="Calibri"/>
        </w:rPr>
        <w:t>'</w:t>
      </w:r>
      <w:r w:rsidR="006A131D" w:rsidRPr="007632EF">
        <w:rPr>
          <w:rFonts w:eastAsia="Calibri"/>
        </w:rPr>
        <w:t xml:space="preserve">arrêter </w:t>
      </w:r>
      <w:r w:rsidR="00D81840" w:rsidRPr="007632EF">
        <w:rPr>
          <w:rFonts w:eastAsia="Calibri"/>
        </w:rPr>
        <w:t xml:space="preserve">la </w:t>
      </w:r>
      <w:r w:rsidR="00DC5D1E" w:rsidRPr="007632EF">
        <w:rPr>
          <w:rFonts w:eastAsia="Calibri"/>
        </w:rPr>
        <w:t>form</w:t>
      </w:r>
      <w:r w:rsidR="00D81840" w:rsidRPr="007632EF">
        <w:rPr>
          <w:rFonts w:eastAsia="Calibri"/>
        </w:rPr>
        <w:t>e</w:t>
      </w:r>
      <w:r w:rsidR="00380009" w:rsidRPr="007632EF">
        <w:rPr>
          <w:rFonts w:eastAsia="Calibri"/>
        </w:rPr>
        <w:t xml:space="preserve"> </w:t>
      </w:r>
      <w:r w:rsidR="00DC5D1E" w:rsidRPr="007632EF">
        <w:rPr>
          <w:rFonts w:eastAsia="Calibri"/>
        </w:rPr>
        <w:t>d</w:t>
      </w:r>
      <w:r w:rsidR="00380009" w:rsidRPr="007632EF">
        <w:rPr>
          <w:rFonts w:eastAsia="Calibri"/>
        </w:rPr>
        <w:t>'</w:t>
      </w:r>
      <w:r w:rsidR="00DC5D1E" w:rsidRPr="007632EF">
        <w:rPr>
          <w:rFonts w:eastAsia="Calibri"/>
        </w:rPr>
        <w:t>une manifestation, en particulier compte tenu du rôle directeur que joue l</w:t>
      </w:r>
      <w:r w:rsidR="00380009" w:rsidRPr="007632EF">
        <w:rPr>
          <w:rFonts w:eastAsia="Calibri"/>
        </w:rPr>
        <w:t>'</w:t>
      </w:r>
      <w:r w:rsidR="00DC5D1E" w:rsidRPr="007632EF">
        <w:rPr>
          <w:rFonts w:eastAsia="Calibri"/>
        </w:rPr>
        <w:t xml:space="preserve">UIT dans la coordination </w:t>
      </w:r>
      <w:r w:rsidR="006A131D" w:rsidRPr="007632EF">
        <w:rPr>
          <w:rFonts w:eastAsia="Calibri"/>
        </w:rPr>
        <w:t>dans le domaine des</w:t>
      </w:r>
      <w:r w:rsidR="00DC5D1E" w:rsidRPr="007632EF">
        <w:rPr>
          <w:rFonts w:eastAsia="Calibri"/>
        </w:rPr>
        <w:t xml:space="preserve"> TIC et </w:t>
      </w:r>
      <w:r w:rsidR="006A131D" w:rsidRPr="007632EF">
        <w:rPr>
          <w:rFonts w:eastAsia="Calibri"/>
        </w:rPr>
        <w:t>d</w:t>
      </w:r>
      <w:r w:rsidR="00DC5D1E" w:rsidRPr="007632EF">
        <w:rPr>
          <w:rFonts w:eastAsia="Calibri"/>
        </w:rPr>
        <w:t>es changements climatiques.</w:t>
      </w:r>
    </w:p>
    <w:p w14:paraId="36BCD7FF" w14:textId="7420C9B1" w:rsidR="0009607E" w:rsidRPr="007632EF" w:rsidRDefault="00E36731" w:rsidP="00380009">
      <w:pPr>
        <w:rPr>
          <w:rFonts w:eastAsia="Calibri"/>
        </w:rPr>
      </w:pPr>
      <w:r w:rsidRPr="007632EF">
        <w:rPr>
          <w:rFonts w:eastAsia="Calibri"/>
        </w:rPr>
        <w:t>La quasi-totalité des voyages officiels ayant été suspendus et les réunions ayant été organisées en ligne, le COVID-19 a entraîné une baisse considérable des émissions de gaz à effet de serre de l</w:t>
      </w:r>
      <w:r w:rsidR="00380009" w:rsidRPr="007632EF">
        <w:rPr>
          <w:rFonts w:eastAsia="Calibri"/>
        </w:rPr>
        <w:t>'</w:t>
      </w:r>
      <w:r w:rsidRPr="007632EF">
        <w:rPr>
          <w:rFonts w:eastAsia="Calibri"/>
        </w:rPr>
        <w:t>UIT (les émissions liées aux vols réservés par la Section des voyages de l</w:t>
      </w:r>
      <w:r w:rsidR="00380009" w:rsidRPr="007632EF">
        <w:rPr>
          <w:rFonts w:eastAsia="Calibri"/>
        </w:rPr>
        <w:t>'</w:t>
      </w:r>
      <w:r w:rsidRPr="007632EF">
        <w:rPr>
          <w:rFonts w:eastAsia="Calibri"/>
        </w:rPr>
        <w:t xml:space="preserve">UIT ont été réduites de plus </w:t>
      </w:r>
      <w:r w:rsidRPr="00D606F3">
        <w:rPr>
          <w:rFonts w:eastAsia="Calibri"/>
        </w:rPr>
        <w:t>de</w:t>
      </w:r>
      <w:r w:rsidR="0023145D" w:rsidRPr="00D606F3">
        <w:rPr>
          <w:rFonts w:eastAsia="Calibri"/>
        </w:rPr>
        <w:t> </w:t>
      </w:r>
      <w:r w:rsidRPr="00D606F3">
        <w:rPr>
          <w:rFonts w:eastAsia="Calibri"/>
        </w:rPr>
        <w:t xml:space="preserve">1 400 tonnes de </w:t>
      </w:r>
      <w:bookmarkStart w:id="9" w:name="_Hlk111541089"/>
      <w:r w:rsidRPr="00D606F3">
        <w:rPr>
          <w:rFonts w:eastAsia="Calibri"/>
        </w:rPr>
        <w:t>CO</w:t>
      </w:r>
      <w:r w:rsidRPr="00D606F3">
        <w:rPr>
          <w:rFonts w:eastAsia="Calibri"/>
          <w:vertAlign w:val="subscript"/>
        </w:rPr>
        <w:t>2</w:t>
      </w:r>
      <w:bookmarkEnd w:id="9"/>
      <w:r w:rsidRPr="00D606F3">
        <w:rPr>
          <w:rFonts w:eastAsia="Calibri"/>
        </w:rPr>
        <w:t xml:space="preserve"> par an en 2020 et 2021 par rapport à 2019) et a permis de tirer des</w:t>
      </w:r>
      <w:r w:rsidRPr="007632EF">
        <w:rPr>
          <w:rFonts w:eastAsia="Calibri"/>
        </w:rPr>
        <w:t xml:space="preserve"> conclusions concernant la possibilité de remplacer certains trajets par des moyens électroniques</w:t>
      </w:r>
      <w:r w:rsidR="00D81840" w:rsidRPr="007632EF">
        <w:rPr>
          <w:rFonts w:eastAsia="Calibri"/>
        </w:rPr>
        <w:t xml:space="preserve"> également</w:t>
      </w:r>
      <w:r w:rsidR="00380009" w:rsidRPr="007632EF">
        <w:rPr>
          <w:rFonts w:eastAsia="Calibri"/>
        </w:rPr>
        <w:t xml:space="preserve"> </w:t>
      </w:r>
      <w:r w:rsidRPr="007632EF">
        <w:rPr>
          <w:rFonts w:eastAsia="Calibri"/>
        </w:rPr>
        <w:t xml:space="preserve">au lendemain </w:t>
      </w:r>
      <w:r w:rsidR="001106E3" w:rsidRPr="007632EF">
        <w:rPr>
          <w:rFonts w:eastAsia="Calibri"/>
        </w:rPr>
        <w:t>du COVID-19</w:t>
      </w:r>
      <w:r w:rsidRPr="007632EF">
        <w:rPr>
          <w:rFonts w:eastAsia="Calibri"/>
        </w:rPr>
        <w:t>, afin d</w:t>
      </w:r>
      <w:r w:rsidR="00380009" w:rsidRPr="007632EF">
        <w:rPr>
          <w:rFonts w:eastAsia="Calibri"/>
        </w:rPr>
        <w:t>'</w:t>
      </w:r>
      <w:r w:rsidRPr="007632EF">
        <w:rPr>
          <w:rFonts w:eastAsia="Calibri"/>
        </w:rPr>
        <w:t>aider l</w:t>
      </w:r>
      <w:r w:rsidR="00380009" w:rsidRPr="007632EF">
        <w:rPr>
          <w:rFonts w:eastAsia="Calibri"/>
        </w:rPr>
        <w:t>'</w:t>
      </w:r>
      <w:r w:rsidRPr="007632EF">
        <w:rPr>
          <w:rFonts w:eastAsia="Calibri"/>
        </w:rPr>
        <w:t xml:space="preserve">UIT à atteindre ses objectifs en matière de réduction des émissions de gaz à effet de serre, conformément aux objectifs </w:t>
      </w:r>
      <w:r w:rsidR="008F7E95" w:rsidRPr="007632EF">
        <w:rPr>
          <w:rFonts w:eastAsia="Calibri"/>
        </w:rPr>
        <w:t>à</w:t>
      </w:r>
      <w:r w:rsidR="0023145D" w:rsidRPr="007632EF">
        <w:rPr>
          <w:rFonts w:eastAsia="Calibri"/>
        </w:rPr>
        <w:t xml:space="preserve"> </w:t>
      </w:r>
      <w:r w:rsidR="008F7E95" w:rsidRPr="007632EF">
        <w:rPr>
          <w:rFonts w:eastAsia="Calibri"/>
        </w:rPr>
        <w:t>l</w:t>
      </w:r>
      <w:r w:rsidR="00380009" w:rsidRPr="007632EF">
        <w:rPr>
          <w:rFonts w:eastAsia="Calibri"/>
        </w:rPr>
        <w:t>'</w:t>
      </w:r>
      <w:r w:rsidR="008F7E95" w:rsidRPr="007632EF">
        <w:rPr>
          <w:rFonts w:eastAsia="Calibri"/>
        </w:rPr>
        <w:t>échelle</w:t>
      </w:r>
      <w:r w:rsidRPr="007632EF">
        <w:rPr>
          <w:rFonts w:eastAsia="Calibri"/>
        </w:rPr>
        <w:t xml:space="preserve"> des Nations Unies définis dans la Stratégie de gestion de la durabilité environnementale dans le système des Nations Unies pour la période 2020-2023.</w:t>
      </w:r>
    </w:p>
    <w:p w14:paraId="05B7287C" w14:textId="642AE1D2" w:rsidR="0009607E" w:rsidRPr="007632EF" w:rsidRDefault="008C37D5" w:rsidP="00380009">
      <w:pPr>
        <w:pStyle w:val="Heading1"/>
        <w:rPr>
          <w:rFonts w:eastAsiaTheme="minorEastAsia"/>
          <w:lang w:eastAsia="zh-CN"/>
        </w:rPr>
      </w:pPr>
      <w:r w:rsidRPr="007632EF">
        <w:rPr>
          <w:rFonts w:eastAsiaTheme="minorEastAsia"/>
          <w:lang w:eastAsia="zh-CN"/>
        </w:rPr>
        <w:t>8</w:t>
      </w:r>
      <w:r w:rsidRPr="007632EF">
        <w:rPr>
          <w:rFonts w:eastAsiaTheme="minorEastAsia"/>
          <w:lang w:eastAsia="zh-CN"/>
        </w:rPr>
        <w:tab/>
      </w:r>
      <w:r w:rsidR="00645575" w:rsidRPr="007632EF">
        <w:rPr>
          <w:rFonts w:eastAsiaTheme="minorEastAsia"/>
          <w:lang w:eastAsia="zh-CN"/>
        </w:rPr>
        <w:t>Incidences sur le plan de la sécurité et de la confidentialité</w:t>
      </w:r>
    </w:p>
    <w:p w14:paraId="5E98BE2A" w14:textId="526AA490" w:rsidR="0009607E" w:rsidRPr="007632EF" w:rsidRDefault="00F95642" w:rsidP="00380009">
      <w:r w:rsidRPr="007632EF">
        <w:t>Outre l</w:t>
      </w:r>
      <w:r w:rsidR="00380009" w:rsidRPr="007632EF">
        <w:t>'</w:t>
      </w:r>
      <w:r w:rsidRPr="007632EF">
        <w:t xml:space="preserve">identification </w:t>
      </w:r>
      <w:r w:rsidR="008F7E95" w:rsidRPr="007632EF">
        <w:t>de</w:t>
      </w:r>
      <w:r w:rsidR="00380009" w:rsidRPr="007632EF">
        <w:t xml:space="preserve"> </w:t>
      </w:r>
      <w:r w:rsidRPr="007632EF">
        <w:t xml:space="preserve">bonnes pratiques, </w:t>
      </w:r>
      <w:r w:rsidR="008F7E95" w:rsidRPr="007632EF">
        <w:t>de</w:t>
      </w:r>
      <w:r w:rsidR="00380009" w:rsidRPr="007632EF">
        <w:t xml:space="preserve"> </w:t>
      </w:r>
      <w:r w:rsidRPr="007632EF">
        <w:t xml:space="preserve">nouveaux processus et </w:t>
      </w:r>
      <w:r w:rsidR="008F7E95" w:rsidRPr="007632EF">
        <w:t>de</w:t>
      </w:r>
      <w:r w:rsidR="00380009" w:rsidRPr="007632EF">
        <w:t xml:space="preserve"> </w:t>
      </w:r>
      <w:r w:rsidRPr="007632EF">
        <w:t xml:space="preserve">nouvelles procédures visant à permettre la participation à distance aux réunions et aux manifestations virtuelles, le Groupe de travail </w:t>
      </w:r>
      <w:r w:rsidR="00645575" w:rsidRPr="007632EF">
        <w:t>pour</w:t>
      </w:r>
      <w:r w:rsidRPr="007632EF">
        <w:t xml:space="preserve"> la participation à distance analyse également les questions de sécurité connexes.</w:t>
      </w:r>
      <w:r w:rsidR="008C37D5" w:rsidRPr="007632EF">
        <w:t xml:space="preserve"> </w:t>
      </w:r>
      <w:r w:rsidR="00C64D11" w:rsidRPr="007632EF">
        <w:t xml:space="preserve">Les exigences concernant le chiffrement de bout en bout, </w:t>
      </w:r>
      <w:r w:rsidR="008F7E95" w:rsidRPr="007632EF">
        <w:t>l</w:t>
      </w:r>
      <w:r w:rsidR="00380009" w:rsidRPr="007632EF">
        <w:t>'</w:t>
      </w:r>
      <w:r w:rsidR="008F7E95" w:rsidRPr="007632EF">
        <w:t>obligation pour les</w:t>
      </w:r>
      <w:r w:rsidR="00380009" w:rsidRPr="007632EF">
        <w:t xml:space="preserve"> </w:t>
      </w:r>
      <w:r w:rsidR="00C64D11" w:rsidRPr="007632EF">
        <w:t xml:space="preserve">fournisseurs de services de conférence sur le web </w:t>
      </w:r>
      <w:r w:rsidR="008F7E95" w:rsidRPr="007632EF">
        <w:t xml:space="preserve">de se conformer </w:t>
      </w:r>
      <w:r w:rsidR="00C64D11" w:rsidRPr="007632EF">
        <w:t>aux normes SOC 2, ISO 27001 et au Règlement général sur la protection des données (RGPD), notamment, sont des éléments essentiels dans le choix des plates-formes de conférence sur le web.</w:t>
      </w:r>
    </w:p>
    <w:p w14:paraId="24C4360A" w14:textId="5009DF18" w:rsidR="0009607E" w:rsidRPr="007632EF" w:rsidRDefault="00976908" w:rsidP="00380009">
      <w:pPr>
        <w:rPr>
          <w:szCs w:val="22"/>
        </w:rPr>
      </w:pPr>
      <w:r w:rsidRPr="007632EF">
        <w:rPr>
          <w:szCs w:val="22"/>
        </w:rPr>
        <w:t>Pour les réunions physiques, l</w:t>
      </w:r>
      <w:r w:rsidR="00380009" w:rsidRPr="007632EF">
        <w:rPr>
          <w:szCs w:val="22"/>
        </w:rPr>
        <w:t>'</w:t>
      </w:r>
      <w:r w:rsidRPr="007632EF">
        <w:rPr>
          <w:szCs w:val="22"/>
        </w:rPr>
        <w:t xml:space="preserve">UIT enregistre uniquement des informations visant à déterminer quelle délégation a assisté à </w:t>
      </w:r>
      <w:r w:rsidR="00540340" w:rsidRPr="007632EF">
        <w:rPr>
          <w:szCs w:val="22"/>
        </w:rPr>
        <w:t xml:space="preserve">telle ou telle </w:t>
      </w:r>
      <w:r w:rsidRPr="007632EF">
        <w:rPr>
          <w:szCs w:val="22"/>
        </w:rPr>
        <w:t>séance, pour les besoins du quorum.</w:t>
      </w:r>
      <w:r w:rsidR="008C37D5" w:rsidRPr="007632EF">
        <w:rPr>
          <w:szCs w:val="22"/>
        </w:rPr>
        <w:t xml:space="preserve"> </w:t>
      </w:r>
      <w:r w:rsidR="00036D73" w:rsidRPr="007632EF">
        <w:rPr>
          <w:szCs w:val="22"/>
        </w:rPr>
        <w:t>Parallèlement, les plates-formes de conférence sur le web consignent la date et l</w:t>
      </w:r>
      <w:r w:rsidR="00380009" w:rsidRPr="007632EF">
        <w:rPr>
          <w:szCs w:val="22"/>
        </w:rPr>
        <w:t>'</w:t>
      </w:r>
      <w:r w:rsidR="00036D73" w:rsidRPr="007632EF">
        <w:rPr>
          <w:szCs w:val="22"/>
        </w:rPr>
        <w:t xml:space="preserve">heure auxquelles les participants se sont connectés à la </w:t>
      </w:r>
      <w:r w:rsidR="00540340" w:rsidRPr="007632EF">
        <w:rPr>
          <w:szCs w:val="22"/>
        </w:rPr>
        <w:t>séance</w:t>
      </w:r>
      <w:r w:rsidR="00036D73" w:rsidRPr="007632EF">
        <w:rPr>
          <w:szCs w:val="22"/>
        </w:rPr>
        <w:t>, qui peut également être enregistrée, de même que les messages de discussion instantanée, les vidéos en gros plan des délégués prenant la parole, etc.</w:t>
      </w:r>
    </w:p>
    <w:p w14:paraId="1659DCE0" w14:textId="664D29EF" w:rsidR="0009607E" w:rsidRPr="007632EF" w:rsidRDefault="008C37D5" w:rsidP="00380009">
      <w:pPr>
        <w:pStyle w:val="Heading1"/>
        <w:rPr>
          <w:rFonts w:eastAsiaTheme="minorEastAsia"/>
          <w:lang w:eastAsia="zh-CN"/>
        </w:rPr>
      </w:pPr>
      <w:r w:rsidRPr="007632EF">
        <w:rPr>
          <w:rFonts w:eastAsiaTheme="minorEastAsia"/>
          <w:lang w:eastAsia="zh-CN"/>
        </w:rPr>
        <w:t>9</w:t>
      </w:r>
      <w:r w:rsidRPr="007632EF">
        <w:rPr>
          <w:rFonts w:eastAsiaTheme="minorEastAsia"/>
          <w:lang w:eastAsia="zh-CN"/>
        </w:rPr>
        <w:tab/>
      </w:r>
      <w:r w:rsidR="00DF6F46" w:rsidRPr="007632EF">
        <w:rPr>
          <w:rFonts w:eastAsiaTheme="minorEastAsia"/>
          <w:lang w:eastAsia="zh-CN"/>
        </w:rPr>
        <w:t>Incidences juridiques</w:t>
      </w:r>
    </w:p>
    <w:p w14:paraId="107B3C8B" w14:textId="302D52F4" w:rsidR="00CC6271" w:rsidRPr="007632EF" w:rsidRDefault="00AE5CF0" w:rsidP="00380009">
      <w:pPr>
        <w:rPr>
          <w:rFonts w:eastAsia="Calibri"/>
        </w:rPr>
      </w:pPr>
      <w:r w:rsidRPr="007632EF">
        <w:rPr>
          <w:rFonts w:eastAsia="Calibri"/>
        </w:rPr>
        <w:t>Le cadre juridique</w:t>
      </w:r>
      <w:r w:rsidR="00540340" w:rsidRPr="007632EF">
        <w:rPr>
          <w:rFonts w:eastAsia="Calibri"/>
        </w:rPr>
        <w:t xml:space="preserve"> régissant</w:t>
      </w:r>
      <w:r w:rsidRPr="007632EF">
        <w:rPr>
          <w:rFonts w:eastAsia="Calibri"/>
        </w:rPr>
        <w:t xml:space="preserve"> la participation à distance aux réunions de l</w:t>
      </w:r>
      <w:r w:rsidR="00380009" w:rsidRPr="007632EF">
        <w:rPr>
          <w:rFonts w:eastAsia="Calibri"/>
        </w:rPr>
        <w:t>'</w:t>
      </w:r>
      <w:r w:rsidRPr="007632EF">
        <w:rPr>
          <w:rFonts w:eastAsia="Calibri"/>
        </w:rPr>
        <w:t xml:space="preserve">UIT est établi dans la Résolution 167 (Rév. Dubaï, 2018) de la PP, intitulée </w:t>
      </w:r>
      <w:r w:rsidR="00380009" w:rsidRPr="007632EF">
        <w:rPr>
          <w:rFonts w:eastAsia="Calibri"/>
        </w:rPr>
        <w:t>"</w:t>
      </w:r>
      <w:r w:rsidRPr="007632EF">
        <w:rPr>
          <w:rFonts w:eastAsia="Calibri"/>
        </w:rPr>
        <w:t>Renforcement et développement des capacités de l</w:t>
      </w:r>
      <w:r w:rsidR="00380009" w:rsidRPr="007632EF">
        <w:rPr>
          <w:rFonts w:eastAsia="Calibri"/>
        </w:rPr>
        <w:t>'</w:t>
      </w:r>
      <w:r w:rsidRPr="007632EF">
        <w:rPr>
          <w:rFonts w:eastAsia="Calibri"/>
        </w:rPr>
        <w:t>UIT pour les réunions électroniques et des moyens permettant de faire avancer les travaux de l</w:t>
      </w:r>
      <w:r w:rsidR="00380009" w:rsidRPr="007632EF">
        <w:rPr>
          <w:rFonts w:eastAsia="Calibri"/>
        </w:rPr>
        <w:t>'</w:t>
      </w:r>
      <w:r w:rsidRPr="007632EF">
        <w:rPr>
          <w:rFonts w:eastAsia="Calibri"/>
        </w:rPr>
        <w:t>Union</w:t>
      </w:r>
      <w:r w:rsidR="00380009" w:rsidRPr="007632EF">
        <w:rPr>
          <w:rFonts w:eastAsia="Calibri"/>
        </w:rPr>
        <w:t>"</w:t>
      </w:r>
      <w:r w:rsidRPr="007632EF">
        <w:rPr>
          <w:rFonts w:eastAsia="Calibri"/>
        </w:rPr>
        <w:t xml:space="preserve"> et dans les Règles générales régissant les conférences, assemblées et réunions de l</w:t>
      </w:r>
      <w:r w:rsidR="00380009" w:rsidRPr="007632EF">
        <w:rPr>
          <w:rFonts w:eastAsia="Calibri"/>
        </w:rPr>
        <w:t>'</w:t>
      </w:r>
      <w:r w:rsidRPr="007632EF">
        <w:rPr>
          <w:rFonts w:eastAsia="Calibri"/>
        </w:rPr>
        <w:t>Union.</w:t>
      </w:r>
    </w:p>
    <w:p w14:paraId="62CE58B1" w14:textId="76B3A214" w:rsidR="0009607E" w:rsidRPr="007632EF" w:rsidRDefault="007B7E91" w:rsidP="00380009">
      <w:pPr>
        <w:rPr>
          <w:rFonts w:eastAsia="Calibri"/>
        </w:rPr>
      </w:pPr>
      <w:r w:rsidRPr="007632EF">
        <w:rPr>
          <w:rFonts w:eastAsia="Calibri"/>
        </w:rPr>
        <w:t>Bien que la Résolution 167 de la PP mette en avant le fait qu</w:t>
      </w:r>
      <w:r w:rsidR="00380009" w:rsidRPr="007632EF">
        <w:rPr>
          <w:rFonts w:eastAsia="Calibri"/>
        </w:rPr>
        <w:t>'</w:t>
      </w:r>
      <w:r w:rsidRPr="007632EF">
        <w:rPr>
          <w:rFonts w:eastAsia="Calibri"/>
        </w:rPr>
        <w:t>il est utile et nécessaire de renforcer les méthodes de travail électronique</w:t>
      </w:r>
      <w:r w:rsidR="00645575" w:rsidRPr="007632EF">
        <w:rPr>
          <w:rFonts w:eastAsia="Calibri"/>
        </w:rPr>
        <w:t>s</w:t>
      </w:r>
      <w:r w:rsidRPr="007632EF">
        <w:rPr>
          <w:rFonts w:eastAsia="Calibri"/>
        </w:rPr>
        <w:t xml:space="preserve"> dans le cadre des travaux de l</w:t>
      </w:r>
      <w:r w:rsidR="00380009" w:rsidRPr="007632EF">
        <w:rPr>
          <w:rFonts w:eastAsia="Calibri"/>
        </w:rPr>
        <w:t>'</w:t>
      </w:r>
      <w:r w:rsidRPr="007632EF">
        <w:rPr>
          <w:rFonts w:eastAsia="Calibri"/>
        </w:rPr>
        <w:t>UIT, il y est également reconnu qu</w:t>
      </w:r>
      <w:r w:rsidR="00380009" w:rsidRPr="007632EF">
        <w:rPr>
          <w:rFonts w:eastAsia="Calibri"/>
        </w:rPr>
        <w:t>'</w:t>
      </w:r>
      <w:r w:rsidRPr="007632EF">
        <w:rPr>
          <w:rFonts w:eastAsia="Calibri"/>
        </w:rPr>
        <w:t>à l</w:t>
      </w:r>
      <w:r w:rsidR="00380009" w:rsidRPr="007632EF">
        <w:rPr>
          <w:rFonts w:eastAsia="Calibri"/>
        </w:rPr>
        <w:t>'</w:t>
      </w:r>
      <w:r w:rsidRPr="007632EF">
        <w:rPr>
          <w:rFonts w:eastAsia="Calibri"/>
        </w:rPr>
        <w:t>heure actuelle, la participation à distance interactive (IRP) prend davantage la forme d</w:t>
      </w:r>
      <w:r w:rsidR="00380009" w:rsidRPr="007632EF">
        <w:rPr>
          <w:rFonts w:eastAsia="Calibri"/>
        </w:rPr>
        <w:t>'</w:t>
      </w:r>
      <w:r w:rsidRPr="007632EF">
        <w:rPr>
          <w:rFonts w:eastAsia="Calibri"/>
        </w:rPr>
        <w:t>une "intervention à distance" que d</w:t>
      </w:r>
      <w:r w:rsidR="00380009" w:rsidRPr="007632EF">
        <w:rPr>
          <w:rFonts w:eastAsia="Calibri"/>
        </w:rPr>
        <w:t>'</w:t>
      </w:r>
      <w:r w:rsidRPr="007632EF">
        <w:rPr>
          <w:rFonts w:eastAsia="Calibri"/>
        </w:rPr>
        <w:t xml:space="preserve">une "participation à distance", dans la mesure où un </w:t>
      </w:r>
      <w:r w:rsidRPr="007632EF">
        <w:rPr>
          <w:rFonts w:eastAsia="Calibri"/>
        </w:rPr>
        <w:lastRenderedPageBreak/>
        <w:t xml:space="preserve">participant à distance ne peut participer à la prise de décisions (voir le point </w:t>
      </w:r>
      <w:r w:rsidRPr="00D606F3">
        <w:rPr>
          <w:rFonts w:eastAsia="Calibri"/>
          <w:i/>
          <w:iCs/>
        </w:rPr>
        <w:t>d)</w:t>
      </w:r>
      <w:r w:rsidRPr="007632EF">
        <w:rPr>
          <w:rFonts w:eastAsia="Calibri"/>
        </w:rPr>
        <w:t xml:space="preserve"> du </w:t>
      </w:r>
      <w:r w:rsidRPr="007632EF">
        <w:rPr>
          <w:rFonts w:eastAsia="Calibri"/>
          <w:i/>
        </w:rPr>
        <w:t>reconnaissant).</w:t>
      </w:r>
      <w:r w:rsidR="002A4698" w:rsidRPr="007632EF">
        <w:rPr>
          <w:rFonts w:eastAsia="Calibri"/>
        </w:rPr>
        <w:t xml:space="preserve"> </w:t>
      </w:r>
      <w:r w:rsidR="00A21C75" w:rsidRPr="007632EF">
        <w:rPr>
          <w:rFonts w:eastAsia="Calibri"/>
        </w:rPr>
        <w:t xml:space="preserve">Par conséquent, les participants à distance et les </w:t>
      </w:r>
      <w:r w:rsidR="00F33064" w:rsidRPr="007632EF">
        <w:rPr>
          <w:rFonts w:eastAsia="Calibri"/>
        </w:rPr>
        <w:t>participants</w:t>
      </w:r>
      <w:r w:rsidR="00A21C75" w:rsidRPr="007632EF">
        <w:rPr>
          <w:rFonts w:eastAsia="Calibri"/>
        </w:rPr>
        <w:t xml:space="preserve"> présents </w:t>
      </w:r>
      <w:r w:rsidR="00F33064" w:rsidRPr="007632EF">
        <w:rPr>
          <w:rFonts w:eastAsia="Calibri"/>
        </w:rPr>
        <w:t>physiquement</w:t>
      </w:r>
      <w:r w:rsidR="00A21C75" w:rsidRPr="007632EF">
        <w:rPr>
          <w:rFonts w:eastAsia="Calibri"/>
        </w:rPr>
        <w:t xml:space="preserve"> ne bénéficient pas des mêmes droits en matière de </w:t>
      </w:r>
      <w:r w:rsidR="00F33064" w:rsidRPr="007632EF">
        <w:rPr>
          <w:rFonts w:eastAsia="Calibri"/>
        </w:rPr>
        <w:t>participation</w:t>
      </w:r>
      <w:r w:rsidR="00A21C75" w:rsidRPr="007632EF">
        <w:rPr>
          <w:rFonts w:eastAsia="Calibri"/>
        </w:rPr>
        <w:t xml:space="preserve"> dans ce contexte.</w:t>
      </w:r>
      <w:r w:rsidR="008C37D5" w:rsidRPr="007632EF">
        <w:rPr>
          <w:rFonts w:eastAsia="Calibri"/>
        </w:rPr>
        <w:t xml:space="preserve"> </w:t>
      </w:r>
      <w:r w:rsidR="006323E4" w:rsidRPr="007632EF">
        <w:rPr>
          <w:rFonts w:eastAsia="Calibri"/>
        </w:rPr>
        <w:t xml:space="preserve">En effet, et bien que les délégués à distance </w:t>
      </w:r>
      <w:r w:rsidR="00645575" w:rsidRPr="007632EF">
        <w:rPr>
          <w:rFonts w:eastAsia="Calibri"/>
        </w:rPr>
        <w:t>contribuent à l</w:t>
      </w:r>
      <w:r w:rsidR="00380009" w:rsidRPr="007632EF">
        <w:rPr>
          <w:rFonts w:eastAsia="Calibri"/>
        </w:rPr>
        <w:t>'</w:t>
      </w:r>
      <w:r w:rsidR="00645575" w:rsidRPr="007632EF">
        <w:rPr>
          <w:rFonts w:eastAsia="Calibri"/>
        </w:rPr>
        <w:t>obtention d</w:t>
      </w:r>
      <w:r w:rsidR="00380009" w:rsidRPr="007632EF">
        <w:rPr>
          <w:rFonts w:eastAsia="Calibri"/>
        </w:rPr>
        <w:t>'</w:t>
      </w:r>
      <w:r w:rsidR="00645575" w:rsidRPr="007632EF">
        <w:rPr>
          <w:rFonts w:eastAsia="Calibri"/>
        </w:rPr>
        <w:t>un</w:t>
      </w:r>
      <w:r w:rsidR="006323E4" w:rsidRPr="007632EF">
        <w:rPr>
          <w:rFonts w:eastAsia="Calibri"/>
        </w:rPr>
        <w:t xml:space="preserve"> consensus, les décisions sont, en définitive, prises par les délégués présents physiquement dans la salle de réunion.</w:t>
      </w:r>
      <w:r w:rsidR="008C37D5" w:rsidRPr="007632EF">
        <w:rPr>
          <w:rFonts w:eastAsia="Calibri"/>
        </w:rPr>
        <w:t xml:space="preserve"> </w:t>
      </w:r>
      <w:r w:rsidR="00B210AA" w:rsidRPr="007632EF">
        <w:rPr>
          <w:rFonts w:eastAsia="Calibri"/>
        </w:rPr>
        <w:t xml:space="preserve">Il convient également de noter que seuls les délégués présents physiquement à une réunion peuvent exercer leur droit de vote (numéro 115 des Règles générales), le quorum étant fondé sur le nombre de délégués présents </w:t>
      </w:r>
      <w:r w:rsidR="00F33064" w:rsidRPr="007632EF">
        <w:rPr>
          <w:rFonts w:eastAsia="Calibri"/>
        </w:rPr>
        <w:t>physiquement</w:t>
      </w:r>
      <w:r w:rsidR="00B210AA" w:rsidRPr="007632EF">
        <w:rPr>
          <w:rFonts w:eastAsia="Calibri"/>
        </w:rPr>
        <w:t xml:space="preserve"> (ou représentés) à une réunion (numéro 93 des Règles générales), et que les participants à distance ne peuvent </w:t>
      </w:r>
      <w:r w:rsidR="00540340" w:rsidRPr="007632EF">
        <w:rPr>
          <w:rFonts w:eastAsia="Calibri"/>
        </w:rPr>
        <w:t xml:space="preserve">soulever </w:t>
      </w:r>
      <w:r w:rsidR="00B210AA" w:rsidRPr="007632EF">
        <w:rPr>
          <w:rFonts w:eastAsia="Calibri"/>
        </w:rPr>
        <w:t>des motions d</w:t>
      </w:r>
      <w:r w:rsidR="00380009" w:rsidRPr="007632EF">
        <w:rPr>
          <w:rFonts w:eastAsia="Calibri"/>
        </w:rPr>
        <w:t>'</w:t>
      </w:r>
      <w:r w:rsidR="00B210AA" w:rsidRPr="007632EF">
        <w:rPr>
          <w:rFonts w:eastAsia="Calibri"/>
        </w:rPr>
        <w:t>ordre (notamment, en particulier, des motions de clôture du débat, numéro 107 des Règles générales), car ces motions sont intrinsèquement liées à l</w:t>
      </w:r>
      <w:r w:rsidR="00380009" w:rsidRPr="007632EF">
        <w:rPr>
          <w:rFonts w:eastAsia="Calibri"/>
        </w:rPr>
        <w:t>'</w:t>
      </w:r>
      <w:r w:rsidR="00B210AA" w:rsidRPr="007632EF">
        <w:rPr>
          <w:rFonts w:eastAsia="Calibri"/>
        </w:rPr>
        <w:t>exercice du droit de vote.</w:t>
      </w:r>
      <w:r w:rsidR="008C37D5" w:rsidRPr="007632EF">
        <w:rPr>
          <w:rFonts w:eastAsia="Calibri"/>
        </w:rPr>
        <w:t xml:space="preserve"> </w:t>
      </w:r>
      <w:r w:rsidR="00856EBF" w:rsidRPr="007632EF">
        <w:rPr>
          <w:rFonts w:eastAsia="Calibri"/>
        </w:rPr>
        <w:t>Enfin, et comme cela a été confirmé par la pratique</w:t>
      </w:r>
      <w:r w:rsidR="00540340" w:rsidRPr="007632EF">
        <w:rPr>
          <w:rFonts w:eastAsia="Calibri"/>
        </w:rPr>
        <w:t xml:space="preserve"> au sein</w:t>
      </w:r>
      <w:r w:rsidR="00380009" w:rsidRPr="007632EF">
        <w:rPr>
          <w:rFonts w:eastAsia="Calibri"/>
        </w:rPr>
        <w:t xml:space="preserve"> </w:t>
      </w:r>
      <w:r w:rsidR="00540340" w:rsidRPr="007632EF">
        <w:rPr>
          <w:rFonts w:eastAsia="Calibri"/>
        </w:rPr>
        <w:t>de l</w:t>
      </w:r>
      <w:r w:rsidR="00380009" w:rsidRPr="007632EF">
        <w:rPr>
          <w:rFonts w:eastAsia="Calibri"/>
        </w:rPr>
        <w:t>'</w:t>
      </w:r>
      <w:r w:rsidR="00540340" w:rsidRPr="007632EF">
        <w:rPr>
          <w:rFonts w:eastAsia="Calibri"/>
        </w:rPr>
        <w:t>Union</w:t>
      </w:r>
      <w:r w:rsidR="00856EBF" w:rsidRPr="007632EF">
        <w:rPr>
          <w:rFonts w:eastAsia="Calibri"/>
        </w:rPr>
        <w:t>, un incident technique qui peut compromettre la connexion d</w:t>
      </w:r>
      <w:r w:rsidR="00380009" w:rsidRPr="007632EF">
        <w:rPr>
          <w:rFonts w:eastAsia="Calibri"/>
        </w:rPr>
        <w:t>'</w:t>
      </w:r>
      <w:r w:rsidR="00856EBF" w:rsidRPr="007632EF">
        <w:rPr>
          <w:rFonts w:eastAsia="Calibri"/>
        </w:rPr>
        <w:t>un participant à distance à une réunion n</w:t>
      </w:r>
      <w:r w:rsidR="00380009" w:rsidRPr="007632EF">
        <w:rPr>
          <w:rFonts w:eastAsia="Calibri"/>
        </w:rPr>
        <w:t>'</w:t>
      </w:r>
      <w:r w:rsidR="00856EBF" w:rsidRPr="007632EF">
        <w:rPr>
          <w:rFonts w:eastAsia="Calibri"/>
        </w:rPr>
        <w:t>interrompt pas la réunion en elle-même.</w:t>
      </w:r>
    </w:p>
    <w:p w14:paraId="212D60FC" w14:textId="5EEEE5F1" w:rsidR="0009607E" w:rsidRPr="007632EF" w:rsidRDefault="001175EA" w:rsidP="00380009">
      <w:pPr>
        <w:rPr>
          <w:rFonts w:eastAsia="Calibri"/>
        </w:rPr>
      </w:pPr>
      <w:r w:rsidRPr="007632EF">
        <w:rPr>
          <w:rFonts w:eastAsia="Calibri"/>
        </w:rPr>
        <w:t>La tenue de réunions entièrement virtuelles n</w:t>
      </w:r>
      <w:r w:rsidR="00380009" w:rsidRPr="007632EF">
        <w:rPr>
          <w:rFonts w:eastAsia="Calibri"/>
        </w:rPr>
        <w:t>'</w:t>
      </w:r>
      <w:r w:rsidRPr="007632EF">
        <w:rPr>
          <w:rFonts w:eastAsia="Calibri"/>
        </w:rPr>
        <w:t>était envisagée ni lors de l</w:t>
      </w:r>
      <w:r w:rsidR="00380009" w:rsidRPr="007632EF">
        <w:rPr>
          <w:rFonts w:eastAsia="Calibri"/>
        </w:rPr>
        <w:t>'</w:t>
      </w:r>
      <w:r w:rsidR="00803532" w:rsidRPr="007632EF">
        <w:rPr>
          <w:rFonts w:eastAsia="Calibri"/>
        </w:rPr>
        <w:t>a</w:t>
      </w:r>
      <w:r w:rsidRPr="007632EF">
        <w:rPr>
          <w:rFonts w:eastAsia="Calibri"/>
        </w:rPr>
        <w:t>doption</w:t>
      </w:r>
      <w:r w:rsidR="00803532" w:rsidRPr="007632EF">
        <w:rPr>
          <w:rFonts w:eastAsia="Calibri"/>
        </w:rPr>
        <w:t xml:space="preserve"> initiale </w:t>
      </w:r>
      <w:r w:rsidRPr="007632EF">
        <w:rPr>
          <w:rFonts w:eastAsia="Calibri"/>
        </w:rPr>
        <w:t>de la Résolution 167 de la PP, ni lorsqu</w:t>
      </w:r>
      <w:r w:rsidR="00540340" w:rsidRPr="007632EF">
        <w:rPr>
          <w:rFonts w:eastAsia="Calibri"/>
        </w:rPr>
        <w:t>e celle-ci</w:t>
      </w:r>
      <w:r w:rsidR="00380009" w:rsidRPr="007632EF">
        <w:rPr>
          <w:rFonts w:eastAsia="Calibri"/>
        </w:rPr>
        <w:t xml:space="preserve"> </w:t>
      </w:r>
      <w:r w:rsidRPr="007632EF">
        <w:rPr>
          <w:rFonts w:eastAsia="Calibri"/>
        </w:rPr>
        <w:t xml:space="preserve">a été modifiée pour la dernière fois, en </w:t>
      </w:r>
      <w:proofErr w:type="gramStart"/>
      <w:r w:rsidRPr="007632EF">
        <w:rPr>
          <w:rFonts w:eastAsia="Calibri"/>
        </w:rPr>
        <w:t>2018;</w:t>
      </w:r>
      <w:proofErr w:type="gramEnd"/>
      <w:r w:rsidRPr="007632EF">
        <w:rPr>
          <w:rFonts w:eastAsia="Calibri"/>
        </w:rPr>
        <w:t xml:space="preserve"> </w:t>
      </w:r>
      <w:r w:rsidR="00540340" w:rsidRPr="007632EF">
        <w:rPr>
          <w:rFonts w:eastAsia="Calibri"/>
        </w:rPr>
        <w:t xml:space="preserve">par </w:t>
      </w:r>
      <w:r w:rsidRPr="007632EF">
        <w:rPr>
          <w:rFonts w:eastAsia="Calibri"/>
        </w:rPr>
        <w:t>conséquent ce texte offre peu d</w:t>
      </w:r>
      <w:r w:rsidR="00380009" w:rsidRPr="007632EF">
        <w:rPr>
          <w:rFonts w:eastAsia="Calibri"/>
        </w:rPr>
        <w:t>'</w:t>
      </w:r>
      <w:r w:rsidRPr="007632EF">
        <w:rPr>
          <w:rFonts w:eastAsia="Calibri"/>
        </w:rPr>
        <w:t>orientations à cet égard, de même que les Règles générales régissant les conférences, assemblées et réunions de l</w:t>
      </w:r>
      <w:r w:rsidR="00380009" w:rsidRPr="007632EF">
        <w:rPr>
          <w:rFonts w:eastAsia="Calibri"/>
        </w:rPr>
        <w:t>'</w:t>
      </w:r>
      <w:r w:rsidRPr="007632EF">
        <w:rPr>
          <w:rFonts w:eastAsia="Calibri"/>
        </w:rPr>
        <w:t>Union.</w:t>
      </w:r>
      <w:r w:rsidR="008C37D5" w:rsidRPr="007632EF">
        <w:rPr>
          <w:rFonts w:eastAsia="Calibri"/>
        </w:rPr>
        <w:t xml:space="preserve"> </w:t>
      </w:r>
      <w:r w:rsidR="00597D8F" w:rsidRPr="007632EF">
        <w:rPr>
          <w:rFonts w:eastAsia="Calibri"/>
        </w:rPr>
        <w:t>Malgré l</w:t>
      </w:r>
      <w:r w:rsidR="00380009" w:rsidRPr="007632EF">
        <w:rPr>
          <w:rFonts w:eastAsia="Calibri"/>
        </w:rPr>
        <w:t>'</w:t>
      </w:r>
      <w:r w:rsidR="00597D8F" w:rsidRPr="007632EF">
        <w:rPr>
          <w:rFonts w:eastAsia="Calibri"/>
        </w:rPr>
        <w:t>absence de cadre juridique clair pour l</w:t>
      </w:r>
      <w:r w:rsidR="00380009" w:rsidRPr="007632EF">
        <w:rPr>
          <w:rFonts w:eastAsia="Calibri"/>
        </w:rPr>
        <w:t>'</w:t>
      </w:r>
      <w:r w:rsidR="00597D8F" w:rsidRPr="007632EF">
        <w:rPr>
          <w:rFonts w:eastAsia="Calibri"/>
        </w:rPr>
        <w:t xml:space="preserve">organisation et la tenue de réunions entièrement </w:t>
      </w:r>
      <w:r w:rsidR="00F33064" w:rsidRPr="007632EF">
        <w:rPr>
          <w:rFonts w:eastAsia="Calibri"/>
        </w:rPr>
        <w:t>virtuelles</w:t>
      </w:r>
      <w:r w:rsidR="00597D8F" w:rsidRPr="007632EF">
        <w:rPr>
          <w:rFonts w:eastAsia="Calibri"/>
        </w:rPr>
        <w:t xml:space="preserve">, les membres ont adopté une approche pragmatique durant la pandémie, en vertu de laquelle toutes les décisions des réunions </w:t>
      </w:r>
      <w:r w:rsidR="00540340" w:rsidRPr="007632EF">
        <w:rPr>
          <w:rFonts w:eastAsia="Calibri"/>
        </w:rPr>
        <w:t xml:space="preserve">des Secteurs </w:t>
      </w:r>
      <w:r w:rsidR="00597D8F" w:rsidRPr="007632EF">
        <w:rPr>
          <w:rFonts w:eastAsia="Calibri"/>
        </w:rPr>
        <w:t>(réunions des commissions d</w:t>
      </w:r>
      <w:r w:rsidR="00380009" w:rsidRPr="007632EF">
        <w:rPr>
          <w:rFonts w:eastAsia="Calibri"/>
        </w:rPr>
        <w:t>'</w:t>
      </w:r>
      <w:r w:rsidR="00597D8F" w:rsidRPr="007632EF">
        <w:rPr>
          <w:rFonts w:eastAsia="Calibri"/>
        </w:rPr>
        <w:t>études, réunions des groupes consultatifs, etc.)</w:t>
      </w:r>
      <w:r w:rsidR="00380009" w:rsidRPr="007632EF">
        <w:rPr>
          <w:rFonts w:eastAsia="Calibri"/>
        </w:rPr>
        <w:t xml:space="preserve"> </w:t>
      </w:r>
      <w:r w:rsidR="007204A4" w:rsidRPr="007632EF">
        <w:rPr>
          <w:rFonts w:eastAsia="Calibri"/>
        </w:rPr>
        <w:t xml:space="preserve">pouvaient </w:t>
      </w:r>
      <w:r w:rsidR="00597D8F" w:rsidRPr="007632EF">
        <w:rPr>
          <w:rFonts w:eastAsia="Calibri"/>
        </w:rPr>
        <w:t>être prises par consensus.</w:t>
      </w:r>
      <w:r w:rsidR="008C37D5" w:rsidRPr="007632EF">
        <w:rPr>
          <w:rFonts w:eastAsia="Calibri"/>
        </w:rPr>
        <w:t xml:space="preserve"> </w:t>
      </w:r>
      <w:r w:rsidR="00D35F40" w:rsidRPr="007632EF">
        <w:rPr>
          <w:rFonts w:eastAsia="Calibri"/>
        </w:rPr>
        <w:t>En l</w:t>
      </w:r>
      <w:r w:rsidR="00380009" w:rsidRPr="007632EF">
        <w:rPr>
          <w:rFonts w:eastAsia="Calibri"/>
        </w:rPr>
        <w:t>'</w:t>
      </w:r>
      <w:r w:rsidR="00D35F40" w:rsidRPr="007632EF">
        <w:rPr>
          <w:rFonts w:eastAsia="Calibri"/>
        </w:rPr>
        <w:t xml:space="preserve">absence de consensus, les décisions ont été reportées à la prochaine </w:t>
      </w:r>
      <w:r w:rsidR="00D606F3">
        <w:rPr>
          <w:rFonts w:eastAsia="Calibri"/>
        </w:rPr>
        <w:t>réunion</w:t>
      </w:r>
      <w:r w:rsidR="00D35F40" w:rsidRPr="007632EF">
        <w:rPr>
          <w:rFonts w:eastAsia="Calibri"/>
        </w:rPr>
        <w:t xml:space="preserve"> physique.</w:t>
      </w:r>
      <w:r w:rsidR="008C37D5" w:rsidRPr="007632EF">
        <w:rPr>
          <w:rFonts w:eastAsia="Calibri"/>
        </w:rPr>
        <w:t xml:space="preserve"> </w:t>
      </w:r>
      <w:r w:rsidR="0053358B" w:rsidRPr="007632EF">
        <w:rPr>
          <w:rFonts w:eastAsia="Calibri"/>
        </w:rPr>
        <w:t xml:space="preserve">Enfin, un cadre </w:t>
      </w:r>
      <w:bookmarkStart w:id="10" w:name="_Hlk111541534"/>
      <w:r w:rsidR="0053358B" w:rsidRPr="00D606F3">
        <w:rPr>
          <w:rFonts w:eastAsia="Calibri"/>
        </w:rPr>
        <w:t>ad hoc</w:t>
      </w:r>
      <w:r w:rsidR="0053358B" w:rsidRPr="007632EF">
        <w:rPr>
          <w:rFonts w:eastAsia="Calibri"/>
        </w:rPr>
        <w:t xml:space="preserve"> </w:t>
      </w:r>
      <w:bookmarkEnd w:id="10"/>
      <w:r w:rsidR="0053358B" w:rsidRPr="007632EF">
        <w:rPr>
          <w:rFonts w:eastAsia="Calibri"/>
        </w:rPr>
        <w:t>spécial a été mis en place pour les sessions du Conseil pour lesquelles des consultations virtuelles des Conseillers</w:t>
      </w:r>
      <w:r w:rsidR="007204A4" w:rsidRPr="007632EF">
        <w:t xml:space="preserve"> </w:t>
      </w:r>
      <w:r w:rsidR="007204A4" w:rsidRPr="007632EF">
        <w:rPr>
          <w:rFonts w:eastAsia="Calibri"/>
        </w:rPr>
        <w:t>(VCC)</w:t>
      </w:r>
      <w:r w:rsidR="0053358B" w:rsidRPr="007632EF">
        <w:rPr>
          <w:rFonts w:eastAsia="Calibri"/>
        </w:rPr>
        <w:t xml:space="preserve"> ont été organisées, les décisions officielles étant prises par correspondance après chaque consultation virtuelle, conformément à l</w:t>
      </w:r>
      <w:r w:rsidR="00380009" w:rsidRPr="007632EF">
        <w:rPr>
          <w:rFonts w:eastAsia="Calibri"/>
        </w:rPr>
        <w:t>'</w:t>
      </w:r>
      <w:r w:rsidR="00D606F3">
        <w:rPr>
          <w:rFonts w:eastAsia="Calibri"/>
        </w:rPr>
        <w:t>A</w:t>
      </w:r>
      <w:r w:rsidR="0053358B" w:rsidRPr="007632EF">
        <w:rPr>
          <w:rFonts w:eastAsia="Calibri"/>
        </w:rPr>
        <w:t>rticle 3 du Règlement intérieur du Conseil.</w:t>
      </w:r>
    </w:p>
    <w:p w14:paraId="64EE5F7D" w14:textId="5DD759C1" w:rsidR="0009607E" w:rsidRPr="007632EF" w:rsidRDefault="008C37D5" w:rsidP="00380009">
      <w:pPr>
        <w:pStyle w:val="Heading1"/>
        <w:rPr>
          <w:rFonts w:eastAsiaTheme="minorEastAsia"/>
          <w:lang w:eastAsia="zh-CN"/>
        </w:rPr>
      </w:pPr>
      <w:r w:rsidRPr="007632EF">
        <w:rPr>
          <w:rFonts w:eastAsiaTheme="minorEastAsia"/>
          <w:lang w:eastAsia="zh-CN"/>
        </w:rPr>
        <w:t>10</w:t>
      </w:r>
      <w:r w:rsidRPr="007632EF">
        <w:rPr>
          <w:rFonts w:eastAsiaTheme="minorEastAsia"/>
          <w:lang w:eastAsia="zh-CN"/>
        </w:rPr>
        <w:tab/>
      </w:r>
      <w:r w:rsidR="00D62411" w:rsidRPr="007632EF">
        <w:rPr>
          <w:rFonts w:eastAsiaTheme="minorEastAsia"/>
          <w:lang w:eastAsia="zh-CN"/>
        </w:rPr>
        <w:t>Incidences financières</w:t>
      </w:r>
    </w:p>
    <w:p w14:paraId="27D2243D" w14:textId="6171CE5D" w:rsidR="0009607E" w:rsidRPr="007632EF" w:rsidRDefault="005718A6" w:rsidP="00380009">
      <w:r w:rsidRPr="007632EF">
        <w:t>Bien qu</w:t>
      </w:r>
      <w:r w:rsidR="00380009" w:rsidRPr="007632EF">
        <w:t>'</w:t>
      </w:r>
      <w:r w:rsidRPr="007632EF">
        <w:t>aucun</w:t>
      </w:r>
      <w:r w:rsidR="007204A4" w:rsidRPr="007632EF">
        <w:t xml:space="preserve"> crédit</w:t>
      </w:r>
      <w:r w:rsidRPr="007632EF">
        <w:t xml:space="preserve"> budgétaire n</w:t>
      </w:r>
      <w:r w:rsidR="00380009" w:rsidRPr="007632EF">
        <w:t>'</w:t>
      </w:r>
      <w:r w:rsidRPr="007632EF">
        <w:t>ait été</w:t>
      </w:r>
      <w:r w:rsidR="007204A4" w:rsidRPr="007632EF">
        <w:t xml:space="preserve"> prévu</w:t>
      </w:r>
      <w:r w:rsidRPr="007632EF">
        <w:t xml:space="preserve"> pour la période financière actuelle (2020-2023) </w:t>
      </w:r>
      <w:r w:rsidR="00803532" w:rsidRPr="007632EF">
        <w:t xml:space="preserve">pour </w:t>
      </w:r>
      <w:r w:rsidRPr="007632EF">
        <w:t xml:space="preserve">appuyer les réunions virtuelles et la </w:t>
      </w:r>
      <w:r w:rsidR="00F33064" w:rsidRPr="007632EF">
        <w:t>participation</w:t>
      </w:r>
      <w:r w:rsidRPr="007632EF">
        <w:t xml:space="preserve"> à distance, le secrétariat a affecté des ressources aux fins de l</w:t>
      </w:r>
      <w:r w:rsidR="00380009" w:rsidRPr="007632EF">
        <w:t>'</w:t>
      </w:r>
      <w:r w:rsidRPr="007632EF">
        <w:t>investissement et des coûts opérationnels, afin d</w:t>
      </w:r>
      <w:r w:rsidR="00380009" w:rsidRPr="007632EF">
        <w:t>'</w:t>
      </w:r>
      <w:r w:rsidRPr="007632EF">
        <w:t>assurer la continuité des activités de l</w:t>
      </w:r>
      <w:r w:rsidR="00380009" w:rsidRPr="007632EF">
        <w:t>'</w:t>
      </w:r>
      <w:r w:rsidRPr="007632EF">
        <w:t>Union.</w:t>
      </w:r>
      <w:r w:rsidR="008C37D5" w:rsidRPr="007632EF">
        <w:t xml:space="preserve"> </w:t>
      </w:r>
      <w:r w:rsidR="00DA526B" w:rsidRPr="007632EF">
        <w:t>Depuis mars 2020 et le début de la pandémie de COVID-19, on a constaté une augmentation considérable des besoins en matière d</w:t>
      </w:r>
      <w:r w:rsidR="00380009" w:rsidRPr="007632EF">
        <w:t>'</w:t>
      </w:r>
      <w:r w:rsidR="00DA526B" w:rsidRPr="007632EF">
        <w:t>appui, en particulier de la part du Département des services informatiques.</w:t>
      </w:r>
    </w:p>
    <w:p w14:paraId="2174F6A6" w14:textId="77777777" w:rsidR="00273BC5" w:rsidRDefault="00D93068" w:rsidP="00D606F3">
      <w:r w:rsidRPr="007632EF">
        <w:t>Le secrétariat a fourni des fonds aux fins des manifestations virtuelles, afin de moderniser certaines salles de réunion au siège de l</w:t>
      </w:r>
      <w:r w:rsidR="00380009" w:rsidRPr="007632EF">
        <w:t>'</w:t>
      </w:r>
      <w:r w:rsidRPr="007632EF">
        <w:t xml:space="preserve">UIT pour pouvoir prendre en charge les réunions virtuelles et la participation à distance multilingues, en permettant aux interprètes de travailler soit sur place, soit à distance, en plus des </w:t>
      </w:r>
      <w:r w:rsidR="00F33064" w:rsidRPr="007632EF">
        <w:t>participants</w:t>
      </w:r>
      <w:r w:rsidRPr="007632EF">
        <w:t>.</w:t>
      </w:r>
      <w:r w:rsidR="008C37D5" w:rsidRPr="007632EF">
        <w:t xml:space="preserve"> </w:t>
      </w:r>
      <w:r w:rsidR="00E54718" w:rsidRPr="007632EF">
        <w:t>D</w:t>
      </w:r>
      <w:r w:rsidR="00380009" w:rsidRPr="007632EF">
        <w:t>'</w:t>
      </w:r>
      <w:r w:rsidR="00E54718" w:rsidRPr="007632EF">
        <w:t xml:space="preserve">autres salles de réunion de plus petite taille ont également été modernisées, afin de </w:t>
      </w:r>
      <w:r w:rsidR="00803532" w:rsidRPr="007632EF">
        <w:t>permettre la tenue de</w:t>
      </w:r>
      <w:r w:rsidR="00E54718" w:rsidRPr="007632EF">
        <w:t xml:space="preserve"> réunions unilingues avec</w:t>
      </w:r>
      <w:r w:rsidR="00380009" w:rsidRPr="007632EF">
        <w:t xml:space="preserve"> </w:t>
      </w:r>
      <w:r w:rsidR="00E54718" w:rsidRPr="007632EF">
        <w:t>participation à distance.</w:t>
      </w:r>
      <w:r w:rsidR="008C37D5" w:rsidRPr="007632EF">
        <w:t xml:space="preserve"> </w:t>
      </w:r>
      <w:r w:rsidR="00DD49B2" w:rsidRPr="007632EF">
        <w:t>Les plates-formes de conférence sur le web ont été intégrées aux processus d</w:t>
      </w:r>
      <w:r w:rsidR="00380009" w:rsidRPr="007632EF">
        <w:t>'</w:t>
      </w:r>
      <w:r w:rsidR="00DD49B2" w:rsidRPr="007632EF">
        <w:t>inscription, d</w:t>
      </w:r>
      <w:r w:rsidR="00380009" w:rsidRPr="007632EF">
        <w:t>'</w:t>
      </w:r>
      <w:r w:rsidR="00DD49B2" w:rsidRPr="007632EF">
        <w:t>accréditation et de contrôle d</w:t>
      </w:r>
      <w:r w:rsidR="00380009" w:rsidRPr="007632EF">
        <w:t>'</w:t>
      </w:r>
      <w:r w:rsidR="00DD49B2" w:rsidRPr="007632EF">
        <w:t>accès de l</w:t>
      </w:r>
      <w:r w:rsidR="00380009" w:rsidRPr="007632EF">
        <w:t>'</w:t>
      </w:r>
      <w:r w:rsidR="00DD49B2" w:rsidRPr="007632EF">
        <w:t>UIT, accessibles sur le site web/portail de l</w:t>
      </w:r>
      <w:r w:rsidR="00380009" w:rsidRPr="007632EF">
        <w:t>'</w:t>
      </w:r>
      <w:r w:rsidR="00DD49B2" w:rsidRPr="007632EF">
        <w:t>UIT.</w:t>
      </w:r>
      <w:r w:rsidR="008C37D5" w:rsidRPr="007632EF">
        <w:t xml:space="preserve"> </w:t>
      </w:r>
      <w:r w:rsidR="00D510C9" w:rsidRPr="007632EF">
        <w:t xml:space="preserve">Des améliorations </w:t>
      </w:r>
      <w:r w:rsidR="007204A4" w:rsidRPr="007632EF">
        <w:t xml:space="preserve">constantes </w:t>
      </w:r>
      <w:r w:rsidR="00D510C9" w:rsidRPr="007632EF">
        <w:t xml:space="preserve">sont </w:t>
      </w:r>
      <w:r w:rsidR="007204A4" w:rsidRPr="007632EF">
        <w:t xml:space="preserve">apportées, </w:t>
      </w:r>
      <w:r w:rsidR="00D510C9" w:rsidRPr="007632EF">
        <w:t>afin d</w:t>
      </w:r>
      <w:r w:rsidR="00380009" w:rsidRPr="007632EF">
        <w:t>'</w:t>
      </w:r>
      <w:r w:rsidR="00D510C9" w:rsidRPr="007632EF">
        <w:t>améliorer l</w:t>
      </w:r>
      <w:r w:rsidR="00380009" w:rsidRPr="007632EF">
        <w:t>'</w:t>
      </w:r>
      <w:r w:rsidR="00D510C9" w:rsidRPr="007632EF">
        <w:t>expérience des participants sur place et en ligne.</w:t>
      </w:r>
      <w:r w:rsidR="008C37D5" w:rsidRPr="007632EF">
        <w:t xml:space="preserve"> </w:t>
      </w:r>
      <w:r w:rsidR="00532BE5" w:rsidRPr="007632EF">
        <w:t xml:space="preserve">Pour les manifestations </w:t>
      </w:r>
      <w:r w:rsidR="00F33064" w:rsidRPr="007632EF">
        <w:t>organisées</w:t>
      </w:r>
      <w:r w:rsidR="00380009" w:rsidRPr="007632EF">
        <w:t xml:space="preserve"> </w:t>
      </w:r>
      <w:r w:rsidR="00532BE5" w:rsidRPr="007632EF">
        <w:t>hors du siège de l</w:t>
      </w:r>
      <w:r w:rsidR="00380009" w:rsidRPr="007632EF">
        <w:t>'</w:t>
      </w:r>
      <w:r w:rsidR="00532BE5" w:rsidRPr="007632EF">
        <w:t>UIT, le Département des services informatiques a assemblé cinq modules d</w:t>
      </w:r>
      <w:r w:rsidR="00380009" w:rsidRPr="007632EF">
        <w:t>'</w:t>
      </w:r>
      <w:r w:rsidR="00532BE5" w:rsidRPr="007632EF">
        <w:t>équipements mobiles pour la participation multilingue à distance</w:t>
      </w:r>
      <w:r w:rsidR="007204A4" w:rsidRPr="007632EF">
        <w:t>,</w:t>
      </w:r>
      <w:r w:rsidR="00532BE5" w:rsidRPr="007632EF">
        <w:t xml:space="preserve"> afin de mettre en place une installation provisoire sur les lieux des manifestations à </w:t>
      </w:r>
      <w:r w:rsidR="00273BC5">
        <w:br w:type="page"/>
      </w:r>
    </w:p>
    <w:p w14:paraId="43C50C3B" w14:textId="6BEDEB9E" w:rsidR="0009607E" w:rsidRPr="007632EF" w:rsidRDefault="00532BE5" w:rsidP="00D606F3">
      <w:proofErr w:type="gramStart"/>
      <w:r w:rsidRPr="007632EF">
        <w:lastRenderedPageBreak/>
        <w:t>distance</w:t>
      </w:r>
      <w:proofErr w:type="gramEnd"/>
      <w:r w:rsidRPr="007632EF">
        <w:t xml:space="preserve">, allégeant ainsi la charge </w:t>
      </w:r>
      <w:r w:rsidR="001A308C" w:rsidRPr="007632EF">
        <w:t>que fait peser, sur</w:t>
      </w:r>
      <w:r w:rsidRPr="007632EF">
        <w:t xml:space="preserve"> le pays hôte</w:t>
      </w:r>
      <w:r w:rsidR="001A308C" w:rsidRPr="007632EF">
        <w:t>, l</w:t>
      </w:r>
      <w:r w:rsidR="00380009" w:rsidRPr="007632EF">
        <w:t>'</w:t>
      </w:r>
      <w:r w:rsidR="001A308C" w:rsidRPr="007632EF">
        <w:t>organisation de</w:t>
      </w:r>
      <w:r w:rsidRPr="007632EF">
        <w:t xml:space="preserve"> réunions physiques avec</w:t>
      </w:r>
      <w:r w:rsidR="00380009" w:rsidRPr="007632EF">
        <w:t xml:space="preserve"> </w:t>
      </w:r>
      <w:r w:rsidRPr="007632EF">
        <w:t>participation à distance, ce qui, dans bien des cas, est coûteux et difficile à mettre en place au niveau local, par exemple pour la CMDT-22 et la PP-22.</w:t>
      </w:r>
    </w:p>
    <w:p w14:paraId="797305A0" w14:textId="4E45AB44" w:rsidR="0009607E" w:rsidRPr="007632EF" w:rsidRDefault="00CB2687" w:rsidP="00380009">
      <w:r w:rsidRPr="007632EF">
        <w:t xml:space="preserve">Pour répondre aux </w:t>
      </w:r>
      <w:r w:rsidR="009356BC" w:rsidRPr="007632EF">
        <w:t>besoins concernant des modérateurs chargés d</w:t>
      </w:r>
      <w:r w:rsidR="00380009" w:rsidRPr="007632EF">
        <w:t>'</w:t>
      </w:r>
      <w:r w:rsidR="009356BC" w:rsidRPr="007632EF">
        <w:t>appuyer les réunions virtuelles ou la participation à distance</w:t>
      </w:r>
      <w:r w:rsidRPr="007632EF">
        <w:t xml:space="preserve">, des crédits spéciaux ont </w:t>
      </w:r>
      <w:r w:rsidR="009356BC" w:rsidRPr="007632EF">
        <w:t xml:space="preserve">également </w:t>
      </w:r>
      <w:r w:rsidRPr="007632EF">
        <w:t>été octroyés</w:t>
      </w:r>
      <w:r w:rsidR="00380009" w:rsidRPr="007632EF">
        <w:t xml:space="preserve"> </w:t>
      </w:r>
      <w:r w:rsidR="009356BC" w:rsidRPr="007632EF">
        <w:t>par le secrétariat de l</w:t>
      </w:r>
      <w:r w:rsidR="00380009" w:rsidRPr="007632EF">
        <w:t>'</w:t>
      </w:r>
      <w:r w:rsidR="009356BC" w:rsidRPr="007632EF">
        <w:t>UIT.</w:t>
      </w:r>
      <w:r w:rsidR="00380009" w:rsidRPr="007632EF">
        <w:t xml:space="preserve"> </w:t>
      </w:r>
      <w:r w:rsidR="004E4123" w:rsidRPr="007632EF">
        <w:t xml:space="preserve">Dans certains cas, des séances de test supplémentaires avec modération </w:t>
      </w:r>
      <w:r w:rsidR="001A308C" w:rsidRPr="007632EF">
        <w:t>s</w:t>
      </w:r>
      <w:r w:rsidR="004E4123" w:rsidRPr="007632EF">
        <w:t>ont organisées, selon les besoins.</w:t>
      </w:r>
      <w:r w:rsidR="008C37D5" w:rsidRPr="007632EF">
        <w:t xml:space="preserve"> </w:t>
      </w:r>
      <w:r w:rsidR="00DB3668" w:rsidRPr="007632EF">
        <w:t>Par ailleurs, il faut également plus de temps au personnel pour organiser des manifestations avec</w:t>
      </w:r>
      <w:r w:rsidR="00380009" w:rsidRPr="007632EF">
        <w:t xml:space="preserve"> </w:t>
      </w:r>
      <w:r w:rsidR="00DB3668" w:rsidRPr="007632EF">
        <w:t>participation à distance.</w:t>
      </w:r>
    </w:p>
    <w:p w14:paraId="4CABD54B" w14:textId="61C8205D" w:rsidR="0009607E" w:rsidRPr="007632EF" w:rsidRDefault="00C800B0" w:rsidP="00380009">
      <w:pPr>
        <w:rPr>
          <w:szCs w:val="22"/>
        </w:rPr>
      </w:pPr>
      <w:r w:rsidRPr="007632EF">
        <w:rPr>
          <w:szCs w:val="22"/>
        </w:rPr>
        <w:t>Pour les réunions physiques avec</w:t>
      </w:r>
      <w:r w:rsidR="00380009" w:rsidRPr="007632EF">
        <w:rPr>
          <w:szCs w:val="22"/>
        </w:rPr>
        <w:t xml:space="preserve"> </w:t>
      </w:r>
      <w:r w:rsidRPr="007632EF">
        <w:rPr>
          <w:szCs w:val="22"/>
        </w:rPr>
        <w:t xml:space="preserve">participation à distance, outre les dispositions préalables à la réunion et la configuration de la salle/des équipements, il est nécessaire de synchroniser les présentations, les demandes de prise de parole, les images des intervenants en présentiel et à distance, </w:t>
      </w:r>
      <w:r w:rsidR="00CB2687" w:rsidRPr="007632EF">
        <w:rPr>
          <w:szCs w:val="22"/>
        </w:rPr>
        <w:t>la transcription des sous-titres</w:t>
      </w:r>
      <w:r w:rsidRPr="007632EF">
        <w:rPr>
          <w:szCs w:val="22"/>
        </w:rPr>
        <w:t>, le décompte du temps de parole et les identificateurs des documents à la fois sur l</w:t>
      </w:r>
      <w:r w:rsidR="00380009" w:rsidRPr="007632EF">
        <w:rPr>
          <w:szCs w:val="22"/>
        </w:rPr>
        <w:t>'</w:t>
      </w:r>
      <w:r w:rsidRPr="007632EF">
        <w:rPr>
          <w:szCs w:val="22"/>
        </w:rPr>
        <w:t>écran de la salle et sur l</w:t>
      </w:r>
      <w:r w:rsidR="00380009" w:rsidRPr="007632EF">
        <w:rPr>
          <w:szCs w:val="22"/>
        </w:rPr>
        <w:t>'</w:t>
      </w:r>
      <w:r w:rsidRPr="007632EF">
        <w:rPr>
          <w:szCs w:val="22"/>
        </w:rPr>
        <w:t>écran virtuel.</w:t>
      </w:r>
      <w:r w:rsidR="008C37D5" w:rsidRPr="007632EF">
        <w:rPr>
          <w:szCs w:val="22"/>
        </w:rPr>
        <w:t xml:space="preserve"> </w:t>
      </w:r>
      <w:r w:rsidR="004A160B" w:rsidRPr="007632EF">
        <w:rPr>
          <w:szCs w:val="22"/>
        </w:rPr>
        <w:t>Cela suppose des équipements supplémentaires, un temps de planification pour le personnel technique et le personnel chargé de l</w:t>
      </w:r>
      <w:r w:rsidR="00380009" w:rsidRPr="007632EF">
        <w:rPr>
          <w:szCs w:val="22"/>
        </w:rPr>
        <w:t>'</w:t>
      </w:r>
      <w:r w:rsidR="004A160B" w:rsidRPr="007632EF">
        <w:rPr>
          <w:szCs w:val="22"/>
        </w:rPr>
        <w:t xml:space="preserve">organisation de la manifestation et du personnel supplémentaire pour les équipements audiovisuels et les équipements de participation à distance (ces tâches sont </w:t>
      </w:r>
      <w:r w:rsidR="00F33064" w:rsidRPr="007632EF">
        <w:rPr>
          <w:szCs w:val="22"/>
        </w:rPr>
        <w:t>essentiellement</w:t>
      </w:r>
      <w:r w:rsidR="004A160B" w:rsidRPr="007632EF">
        <w:rPr>
          <w:szCs w:val="22"/>
        </w:rPr>
        <w:t xml:space="preserve"> effectuées manuellement en attendant leur automatisation).</w:t>
      </w:r>
    </w:p>
    <w:p w14:paraId="772275FC" w14:textId="2B0C261F" w:rsidR="0009607E" w:rsidRPr="007632EF" w:rsidRDefault="00877AB9" w:rsidP="00380009">
      <w:pPr>
        <w:rPr>
          <w:szCs w:val="22"/>
        </w:rPr>
      </w:pPr>
      <w:r w:rsidRPr="007632EF">
        <w:rPr>
          <w:rFonts w:asciiTheme="minorHAnsi" w:hAnsiTheme="minorHAnsi" w:cstheme="minorBidi"/>
          <w:szCs w:val="22"/>
        </w:rPr>
        <w:t>L</w:t>
      </w:r>
      <w:r w:rsidR="00380009" w:rsidRPr="007632EF">
        <w:rPr>
          <w:rFonts w:asciiTheme="minorHAnsi" w:hAnsiTheme="minorHAnsi" w:cstheme="minorBidi"/>
          <w:szCs w:val="22"/>
        </w:rPr>
        <w:t>'</w:t>
      </w:r>
      <w:r w:rsidRPr="007632EF">
        <w:rPr>
          <w:rFonts w:asciiTheme="minorHAnsi" w:hAnsiTheme="minorHAnsi" w:cstheme="minorBidi"/>
          <w:szCs w:val="22"/>
        </w:rPr>
        <w:t>un des inconvénients des manifestations entièrement virtuelles est la nécessité de réduire le nombre d</w:t>
      </w:r>
      <w:r w:rsidR="00380009" w:rsidRPr="007632EF">
        <w:rPr>
          <w:rFonts w:asciiTheme="minorHAnsi" w:hAnsiTheme="minorHAnsi" w:cstheme="minorBidi"/>
          <w:szCs w:val="22"/>
        </w:rPr>
        <w:t>'</w:t>
      </w:r>
      <w:r w:rsidRPr="007632EF">
        <w:rPr>
          <w:rFonts w:asciiTheme="minorHAnsi" w:hAnsiTheme="minorHAnsi" w:cstheme="minorBidi"/>
          <w:szCs w:val="22"/>
        </w:rPr>
        <w:t>heures journali</w:t>
      </w:r>
      <w:r w:rsidR="001A308C" w:rsidRPr="007632EF">
        <w:rPr>
          <w:rFonts w:asciiTheme="minorHAnsi" w:hAnsiTheme="minorHAnsi" w:cstheme="minorBidi"/>
          <w:szCs w:val="22"/>
        </w:rPr>
        <w:t>ère</w:t>
      </w:r>
      <w:r w:rsidRPr="007632EF">
        <w:rPr>
          <w:rFonts w:asciiTheme="minorHAnsi" w:hAnsiTheme="minorHAnsi" w:cstheme="minorBidi"/>
          <w:szCs w:val="22"/>
        </w:rPr>
        <w:t>s, ce qui signifie souvent que la réunion doit se poursuivre sur une plus longue période.</w:t>
      </w:r>
      <w:r w:rsidR="008C37D5" w:rsidRPr="007632EF">
        <w:rPr>
          <w:rFonts w:asciiTheme="minorHAnsi" w:hAnsiTheme="minorHAnsi" w:cstheme="minorBidi"/>
          <w:szCs w:val="22"/>
        </w:rPr>
        <w:t xml:space="preserve"> </w:t>
      </w:r>
      <w:r w:rsidR="0083309D" w:rsidRPr="007632EF">
        <w:rPr>
          <w:rFonts w:asciiTheme="minorHAnsi" w:hAnsiTheme="minorHAnsi" w:cstheme="minorBidi"/>
          <w:szCs w:val="22"/>
        </w:rPr>
        <w:t>En raison de la disponibilité du personnel d</w:t>
      </w:r>
      <w:r w:rsidR="00380009" w:rsidRPr="007632EF">
        <w:rPr>
          <w:rFonts w:asciiTheme="minorHAnsi" w:hAnsiTheme="minorHAnsi" w:cstheme="minorBidi"/>
          <w:szCs w:val="22"/>
        </w:rPr>
        <w:t>'</w:t>
      </w:r>
      <w:r w:rsidR="0083309D" w:rsidRPr="007632EF">
        <w:rPr>
          <w:rFonts w:asciiTheme="minorHAnsi" w:hAnsiTheme="minorHAnsi" w:cstheme="minorBidi"/>
          <w:szCs w:val="22"/>
        </w:rPr>
        <w:t>appui nécessaire, les réunions entièrement virtuelles ont, pour l</w:t>
      </w:r>
      <w:r w:rsidR="00380009" w:rsidRPr="007632EF">
        <w:rPr>
          <w:rFonts w:asciiTheme="minorHAnsi" w:hAnsiTheme="minorHAnsi" w:cstheme="minorBidi"/>
          <w:szCs w:val="22"/>
        </w:rPr>
        <w:t>'</w:t>
      </w:r>
      <w:r w:rsidR="0083309D" w:rsidRPr="007632EF">
        <w:rPr>
          <w:rFonts w:asciiTheme="minorHAnsi" w:hAnsiTheme="minorHAnsi" w:cstheme="minorBidi"/>
          <w:szCs w:val="22"/>
        </w:rPr>
        <w:t>essentiel, été organisées durant les heures de travail de Genève.</w:t>
      </w:r>
      <w:r w:rsidR="008C37D5" w:rsidRPr="007632EF">
        <w:rPr>
          <w:rFonts w:asciiTheme="minorHAnsi" w:hAnsiTheme="minorHAnsi" w:cstheme="minorBidi"/>
          <w:szCs w:val="22"/>
        </w:rPr>
        <w:t xml:space="preserve"> </w:t>
      </w:r>
      <w:r w:rsidR="00412DB8" w:rsidRPr="007632EF">
        <w:rPr>
          <w:rFonts w:asciiTheme="minorHAnsi" w:hAnsiTheme="minorHAnsi" w:cstheme="minorBidi"/>
          <w:szCs w:val="22"/>
        </w:rPr>
        <w:t>Les délégués participant aux réunions de l</w:t>
      </w:r>
      <w:r w:rsidR="00380009" w:rsidRPr="007632EF">
        <w:rPr>
          <w:rFonts w:asciiTheme="minorHAnsi" w:hAnsiTheme="minorHAnsi" w:cstheme="minorBidi"/>
          <w:szCs w:val="22"/>
        </w:rPr>
        <w:t>'</w:t>
      </w:r>
      <w:r w:rsidR="00412DB8" w:rsidRPr="007632EF">
        <w:rPr>
          <w:rFonts w:asciiTheme="minorHAnsi" w:hAnsiTheme="minorHAnsi" w:cstheme="minorBidi"/>
          <w:szCs w:val="22"/>
        </w:rPr>
        <w:t>UIT depuis les fuseaux horaires les plus à l</w:t>
      </w:r>
      <w:r w:rsidR="00380009" w:rsidRPr="007632EF">
        <w:rPr>
          <w:rFonts w:asciiTheme="minorHAnsi" w:hAnsiTheme="minorHAnsi" w:cstheme="minorBidi"/>
          <w:szCs w:val="22"/>
        </w:rPr>
        <w:t>'</w:t>
      </w:r>
      <w:r w:rsidR="00412DB8" w:rsidRPr="007632EF">
        <w:rPr>
          <w:rFonts w:asciiTheme="minorHAnsi" w:hAnsiTheme="minorHAnsi" w:cstheme="minorBidi"/>
          <w:szCs w:val="22"/>
        </w:rPr>
        <w:t>Est ou à l</w:t>
      </w:r>
      <w:r w:rsidR="00380009" w:rsidRPr="007632EF">
        <w:rPr>
          <w:rFonts w:asciiTheme="minorHAnsi" w:hAnsiTheme="minorHAnsi" w:cstheme="minorBidi"/>
          <w:szCs w:val="22"/>
        </w:rPr>
        <w:t>'</w:t>
      </w:r>
      <w:r w:rsidR="00412DB8" w:rsidRPr="007632EF">
        <w:rPr>
          <w:rFonts w:asciiTheme="minorHAnsi" w:hAnsiTheme="minorHAnsi" w:cstheme="minorBidi"/>
          <w:szCs w:val="22"/>
        </w:rPr>
        <w:t>Ouest ont constamment dû se connecter très tard le soir ou très tôt le matin, respectivement, ce qui a été considéré comme un manque d</w:t>
      </w:r>
      <w:r w:rsidR="00380009" w:rsidRPr="007632EF">
        <w:rPr>
          <w:rFonts w:asciiTheme="minorHAnsi" w:hAnsiTheme="minorHAnsi" w:cstheme="minorBidi"/>
          <w:szCs w:val="22"/>
        </w:rPr>
        <w:t>'</w:t>
      </w:r>
      <w:r w:rsidR="00412DB8" w:rsidRPr="007632EF">
        <w:rPr>
          <w:rFonts w:asciiTheme="minorHAnsi" w:hAnsiTheme="minorHAnsi" w:cstheme="minorBidi"/>
          <w:szCs w:val="22"/>
        </w:rPr>
        <w:t>équité et de partage des charges.</w:t>
      </w:r>
      <w:r w:rsidR="008C37D5" w:rsidRPr="007632EF">
        <w:rPr>
          <w:rFonts w:asciiTheme="minorHAnsi" w:hAnsiTheme="minorHAnsi" w:cstheme="minorBidi"/>
          <w:szCs w:val="22"/>
        </w:rPr>
        <w:t xml:space="preserve"> </w:t>
      </w:r>
      <w:r w:rsidR="005F44F2" w:rsidRPr="007632EF">
        <w:rPr>
          <w:rFonts w:asciiTheme="minorHAnsi" w:hAnsiTheme="minorHAnsi" w:cstheme="minorBidi"/>
          <w:szCs w:val="22"/>
        </w:rPr>
        <w:t>Des tentatives ont été faites pour tenir des réunions virtuelles avec interprétation d</w:t>
      </w:r>
      <w:r w:rsidR="00380009" w:rsidRPr="007632EF">
        <w:rPr>
          <w:rFonts w:asciiTheme="minorHAnsi" w:hAnsiTheme="minorHAnsi" w:cstheme="minorBidi"/>
          <w:szCs w:val="22"/>
        </w:rPr>
        <w:t>'</w:t>
      </w:r>
      <w:r w:rsidR="005F44F2" w:rsidRPr="007632EF">
        <w:rPr>
          <w:rFonts w:asciiTheme="minorHAnsi" w:hAnsiTheme="minorHAnsi" w:cstheme="minorBidi"/>
          <w:szCs w:val="22"/>
        </w:rPr>
        <w:t>une durée de 4 heures.</w:t>
      </w:r>
      <w:r w:rsidR="008C37D5" w:rsidRPr="007632EF">
        <w:rPr>
          <w:rFonts w:asciiTheme="minorHAnsi" w:hAnsiTheme="minorHAnsi" w:cstheme="minorBidi"/>
          <w:szCs w:val="22"/>
        </w:rPr>
        <w:t xml:space="preserve"> </w:t>
      </w:r>
      <w:r w:rsidR="00F265A4" w:rsidRPr="007632EF">
        <w:rPr>
          <w:rFonts w:asciiTheme="minorHAnsi" w:hAnsiTheme="minorHAnsi" w:cstheme="minorBidi"/>
          <w:szCs w:val="22"/>
        </w:rPr>
        <w:t>Toutefois, la tenue d</w:t>
      </w:r>
      <w:r w:rsidR="00380009" w:rsidRPr="007632EF">
        <w:rPr>
          <w:rFonts w:asciiTheme="minorHAnsi" w:hAnsiTheme="minorHAnsi" w:cstheme="minorBidi"/>
          <w:szCs w:val="22"/>
        </w:rPr>
        <w:t>'</w:t>
      </w:r>
      <w:r w:rsidR="00F265A4" w:rsidRPr="007632EF">
        <w:rPr>
          <w:rFonts w:asciiTheme="minorHAnsi" w:hAnsiTheme="minorHAnsi" w:cstheme="minorBidi"/>
          <w:szCs w:val="22"/>
        </w:rPr>
        <w:t>une réunion virtuelle d</w:t>
      </w:r>
      <w:r w:rsidR="00380009" w:rsidRPr="007632EF">
        <w:rPr>
          <w:rFonts w:asciiTheme="minorHAnsi" w:hAnsiTheme="minorHAnsi" w:cstheme="minorBidi"/>
          <w:szCs w:val="22"/>
        </w:rPr>
        <w:t>'</w:t>
      </w:r>
      <w:r w:rsidR="00F265A4" w:rsidRPr="007632EF">
        <w:rPr>
          <w:rFonts w:asciiTheme="minorHAnsi" w:hAnsiTheme="minorHAnsi" w:cstheme="minorBidi"/>
          <w:szCs w:val="22"/>
        </w:rPr>
        <w:t>une durée de quatre heures supposait également d</w:t>
      </w:r>
      <w:r w:rsidR="00380009" w:rsidRPr="007632EF">
        <w:rPr>
          <w:rFonts w:asciiTheme="minorHAnsi" w:hAnsiTheme="minorHAnsi" w:cstheme="minorBidi"/>
          <w:szCs w:val="22"/>
        </w:rPr>
        <w:t>'</w:t>
      </w:r>
      <w:r w:rsidR="00F265A4" w:rsidRPr="007632EF">
        <w:rPr>
          <w:rFonts w:asciiTheme="minorHAnsi" w:hAnsiTheme="minorHAnsi" w:cstheme="minorBidi"/>
          <w:szCs w:val="22"/>
        </w:rPr>
        <w:t>avoir recours à deux équipes d</w:t>
      </w:r>
      <w:r w:rsidR="00380009" w:rsidRPr="007632EF">
        <w:rPr>
          <w:rFonts w:asciiTheme="minorHAnsi" w:hAnsiTheme="minorHAnsi" w:cstheme="minorBidi"/>
          <w:szCs w:val="22"/>
        </w:rPr>
        <w:t>'</w:t>
      </w:r>
      <w:r w:rsidR="00F265A4" w:rsidRPr="007632EF">
        <w:rPr>
          <w:rFonts w:asciiTheme="minorHAnsi" w:hAnsiTheme="minorHAnsi" w:cstheme="minorBidi"/>
          <w:szCs w:val="22"/>
        </w:rPr>
        <w:t>interprète</w:t>
      </w:r>
      <w:r w:rsidR="00F31F1C" w:rsidRPr="007632EF">
        <w:rPr>
          <w:rFonts w:asciiTheme="minorHAnsi" w:hAnsiTheme="minorHAnsi" w:cstheme="minorBidi"/>
          <w:szCs w:val="22"/>
        </w:rPr>
        <w:t xml:space="preserve">s, multipliant par deux </w:t>
      </w:r>
      <w:r w:rsidR="00F265A4" w:rsidRPr="007632EF">
        <w:rPr>
          <w:rFonts w:asciiTheme="minorHAnsi" w:hAnsiTheme="minorHAnsi" w:cstheme="minorBidi"/>
          <w:szCs w:val="22"/>
        </w:rPr>
        <w:t>le coût de l</w:t>
      </w:r>
      <w:r w:rsidR="00380009" w:rsidRPr="007632EF">
        <w:rPr>
          <w:rFonts w:asciiTheme="minorHAnsi" w:hAnsiTheme="minorHAnsi" w:cstheme="minorBidi"/>
          <w:szCs w:val="22"/>
        </w:rPr>
        <w:t>'</w:t>
      </w:r>
      <w:r w:rsidR="00F265A4" w:rsidRPr="007632EF">
        <w:rPr>
          <w:rFonts w:asciiTheme="minorHAnsi" w:hAnsiTheme="minorHAnsi" w:cstheme="minorBidi"/>
          <w:szCs w:val="22"/>
        </w:rPr>
        <w:t>interprétation par rapport à une réunion physique d</w:t>
      </w:r>
      <w:r w:rsidR="00380009" w:rsidRPr="007632EF">
        <w:rPr>
          <w:rFonts w:asciiTheme="minorHAnsi" w:hAnsiTheme="minorHAnsi" w:cstheme="minorBidi"/>
          <w:szCs w:val="22"/>
        </w:rPr>
        <w:t>'</w:t>
      </w:r>
      <w:r w:rsidR="00F265A4" w:rsidRPr="007632EF">
        <w:rPr>
          <w:rFonts w:asciiTheme="minorHAnsi" w:hAnsiTheme="minorHAnsi" w:cstheme="minorBidi"/>
          <w:szCs w:val="22"/>
        </w:rPr>
        <w:t>une durée de six heures, avec une pause déjeuner de 90 à 120 minutes.</w:t>
      </w:r>
    </w:p>
    <w:p w14:paraId="0015394A" w14:textId="234BC4C1" w:rsidR="0009607E" w:rsidRPr="007632EF" w:rsidRDefault="00EB6476" w:rsidP="00380009">
      <w:r w:rsidRPr="007632EF">
        <w:t>Enfin, compte tenu de la demande des États Membres concernant l</w:t>
      </w:r>
      <w:r w:rsidR="00380009" w:rsidRPr="007632EF">
        <w:t>'</w:t>
      </w:r>
      <w:r w:rsidRPr="007632EF">
        <w:t xml:space="preserve">organisation de réunions virtuelles en dehors des heures de travail de Genève, les fonctionnaires devront travailler par roulement ou faire des heures supplémentaires, ce qui supposera des coûts </w:t>
      </w:r>
      <w:r w:rsidR="00F31F1C" w:rsidRPr="007632EF">
        <w:t>additionnels</w:t>
      </w:r>
      <w:r w:rsidRPr="007632EF">
        <w:t>.</w:t>
      </w:r>
    </w:p>
    <w:p w14:paraId="49437F5C" w14:textId="76E728A8" w:rsidR="0009607E" w:rsidRPr="007632EF" w:rsidRDefault="00B92A77" w:rsidP="00380009">
      <w:r w:rsidRPr="007632EF">
        <w:t>Bien que la participation à distance aux réunions de l</w:t>
      </w:r>
      <w:r w:rsidR="00380009" w:rsidRPr="007632EF">
        <w:t>'</w:t>
      </w:r>
      <w:r w:rsidRPr="007632EF">
        <w:t>UIT entraîne une baisse des coûts pour les membres de l</w:t>
      </w:r>
      <w:r w:rsidR="00380009" w:rsidRPr="007632EF">
        <w:t>'</w:t>
      </w:r>
      <w:r w:rsidRPr="007632EF">
        <w:t>UIT, l</w:t>
      </w:r>
      <w:r w:rsidR="00380009" w:rsidRPr="007632EF">
        <w:t>'</w:t>
      </w:r>
      <w:r w:rsidRPr="007632EF">
        <w:t xml:space="preserve">UIT </w:t>
      </w:r>
      <w:r w:rsidR="00636CF7" w:rsidRPr="007632EF">
        <w:t>assume</w:t>
      </w:r>
      <w:r w:rsidRPr="007632EF">
        <w:t xml:space="preserve">, </w:t>
      </w:r>
      <w:r w:rsidR="00636CF7" w:rsidRPr="007632EF">
        <w:t>pour sa part</w:t>
      </w:r>
      <w:r w:rsidRPr="007632EF">
        <w:t>, des coûts additionnels liés à l</w:t>
      </w:r>
      <w:r w:rsidR="00380009" w:rsidRPr="007632EF">
        <w:t>'</w:t>
      </w:r>
      <w:r w:rsidRPr="007632EF">
        <w:t>organisation de réunions entièrement virtuelles ou de réunions physiques avec</w:t>
      </w:r>
      <w:r w:rsidR="00380009" w:rsidRPr="007632EF">
        <w:t xml:space="preserve"> </w:t>
      </w:r>
      <w:r w:rsidRPr="007632EF">
        <w:t>participation à distance.</w:t>
      </w:r>
    </w:p>
    <w:p w14:paraId="3D79BE18" w14:textId="7EFBECB7" w:rsidR="0009607E" w:rsidRPr="007632EF" w:rsidRDefault="00A44D7D" w:rsidP="00380009">
      <w:r w:rsidRPr="007632EF">
        <w:t xml:space="preserve">Le </w:t>
      </w:r>
      <w:r w:rsidR="00B96B0C" w:rsidRPr="007632EF">
        <w:t xml:space="preserve">Tableau </w:t>
      </w:r>
      <w:r w:rsidRPr="007632EF">
        <w:t xml:space="preserve">1 présente une estimation des investissements financiers et des </w:t>
      </w:r>
      <w:r w:rsidR="00B96B0C" w:rsidRPr="007632EF">
        <w:t xml:space="preserve">dépenses </w:t>
      </w:r>
      <w:r w:rsidRPr="007632EF">
        <w:t>d</w:t>
      </w:r>
      <w:r w:rsidR="00380009" w:rsidRPr="007632EF">
        <w:t>'</w:t>
      </w:r>
      <w:r w:rsidRPr="007632EF">
        <w:t xml:space="preserve">appui </w:t>
      </w:r>
      <w:r w:rsidR="00B96B0C" w:rsidRPr="007632EF">
        <w:t xml:space="preserve">opérationnel </w:t>
      </w:r>
      <w:r w:rsidRPr="007632EF">
        <w:t>qui devront être inscrit</w:t>
      </w:r>
      <w:r w:rsidR="00B96B0C" w:rsidRPr="007632EF">
        <w:t>e</w:t>
      </w:r>
      <w:r w:rsidRPr="007632EF">
        <w:t>s au budget, afin que le Département des services informatiques puisse fournir ces services de manière continue et régulière.</w:t>
      </w:r>
    </w:p>
    <w:p w14:paraId="1BA92E79" w14:textId="77777777" w:rsidR="00273BC5" w:rsidRDefault="00273BC5" w:rsidP="005D6701">
      <w:pPr>
        <w:pStyle w:val="Tabletitle"/>
        <w:spacing w:before="240"/>
      </w:pPr>
      <w:r>
        <w:br w:type="page"/>
      </w:r>
    </w:p>
    <w:p w14:paraId="4ADDC0DC" w14:textId="123F2633" w:rsidR="0009607E" w:rsidRPr="007632EF" w:rsidRDefault="00F64777" w:rsidP="005D6701">
      <w:pPr>
        <w:pStyle w:val="Tabletitle"/>
        <w:spacing w:before="240"/>
      </w:pPr>
      <w:r w:rsidRPr="007632EF">
        <w:lastRenderedPageBreak/>
        <w:t xml:space="preserve">Tableau 1 </w:t>
      </w:r>
      <w:r w:rsidR="00380009" w:rsidRPr="007632EF">
        <w:t>–</w:t>
      </w:r>
      <w:r w:rsidRPr="007632EF">
        <w:t xml:space="preserve"> Coûts estimés pour la mise en </w:t>
      </w:r>
      <w:r w:rsidR="00F33064" w:rsidRPr="007632EF">
        <w:t>œuvre</w:t>
      </w:r>
      <w:r w:rsidRPr="007632EF">
        <w:t xml:space="preserve"> et l</w:t>
      </w:r>
      <w:r w:rsidR="00380009" w:rsidRPr="007632EF">
        <w:t>'</w:t>
      </w:r>
      <w:r w:rsidRPr="007632EF">
        <w:t>organisation de réunions entièrement virtuelles et de réunions physiques avec</w:t>
      </w:r>
      <w:r w:rsidR="00380009" w:rsidRPr="007632EF">
        <w:t xml:space="preserve"> </w:t>
      </w:r>
      <w:r w:rsidRPr="007632EF">
        <w:t>participation à distance par</w:t>
      </w:r>
      <w:r w:rsidR="005D6701" w:rsidRPr="007632EF">
        <w:br/>
      </w:r>
      <w:r w:rsidRPr="007632EF">
        <w:t>le Département des services informatiques de l</w:t>
      </w:r>
      <w:r w:rsidR="00380009" w:rsidRPr="007632EF">
        <w:t>'</w:t>
      </w:r>
      <w:r w:rsidR="00273BC5">
        <w:t>UIT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1275"/>
        <w:gridCol w:w="3402"/>
      </w:tblGrid>
      <w:tr w:rsidR="002364DF" w:rsidRPr="007632EF" w14:paraId="51EB915C" w14:textId="77777777" w:rsidTr="00273BC5">
        <w:trPr>
          <w:trHeight w:val="315"/>
        </w:trPr>
        <w:tc>
          <w:tcPr>
            <w:tcW w:w="4952" w:type="dxa"/>
            <w:shd w:val="clear" w:color="auto" w:fill="auto"/>
            <w:hideMark/>
          </w:tcPr>
          <w:p w14:paraId="383C94E9" w14:textId="0A4286CE" w:rsidR="0009607E" w:rsidRPr="007632EF" w:rsidRDefault="004D57EB" w:rsidP="005D6701">
            <w:pPr>
              <w:pStyle w:val="Tablehead"/>
              <w:rPr>
                <w:szCs w:val="22"/>
                <w:lang w:eastAsia="en-GB"/>
              </w:rPr>
            </w:pPr>
            <w:r w:rsidRPr="007632EF">
              <w:rPr>
                <w:lang w:eastAsia="en-GB"/>
              </w:rPr>
              <w:t>Poste</w:t>
            </w:r>
          </w:p>
        </w:tc>
        <w:tc>
          <w:tcPr>
            <w:tcW w:w="1275" w:type="dxa"/>
            <w:shd w:val="clear" w:color="auto" w:fill="auto"/>
            <w:hideMark/>
          </w:tcPr>
          <w:p w14:paraId="07298916" w14:textId="77777777" w:rsidR="0009607E" w:rsidRPr="007632EF" w:rsidRDefault="008C37D5" w:rsidP="005D6701">
            <w:pPr>
              <w:pStyle w:val="Tablehead"/>
              <w:rPr>
                <w:szCs w:val="22"/>
                <w:lang w:eastAsia="en-GB"/>
              </w:rPr>
            </w:pPr>
            <w:r w:rsidRPr="007632EF">
              <w:rPr>
                <w:lang w:eastAsia="en-GB"/>
              </w:rPr>
              <w:t>CHF</w:t>
            </w:r>
          </w:p>
        </w:tc>
        <w:tc>
          <w:tcPr>
            <w:tcW w:w="3402" w:type="dxa"/>
            <w:shd w:val="clear" w:color="auto" w:fill="auto"/>
            <w:hideMark/>
          </w:tcPr>
          <w:p w14:paraId="5F7CCDAF" w14:textId="347A88BE" w:rsidR="0009607E" w:rsidRPr="007632EF" w:rsidRDefault="00E153D6" w:rsidP="005D6701">
            <w:pPr>
              <w:pStyle w:val="Tablehead"/>
              <w:rPr>
                <w:szCs w:val="22"/>
                <w:lang w:eastAsia="en-GB"/>
              </w:rPr>
            </w:pPr>
            <w:r w:rsidRPr="007632EF">
              <w:rPr>
                <w:lang w:eastAsia="en-GB"/>
              </w:rPr>
              <w:t>Unité (en CHF)</w:t>
            </w:r>
          </w:p>
        </w:tc>
      </w:tr>
      <w:tr w:rsidR="002364DF" w:rsidRPr="007632EF" w14:paraId="2ED81D98" w14:textId="77777777" w:rsidTr="00BA62C6">
        <w:trPr>
          <w:trHeight w:val="317"/>
        </w:trPr>
        <w:tc>
          <w:tcPr>
            <w:tcW w:w="4952" w:type="dxa"/>
            <w:shd w:val="clear" w:color="auto" w:fill="auto"/>
          </w:tcPr>
          <w:p w14:paraId="553447A5" w14:textId="5D2FD4D6" w:rsidR="0009607E" w:rsidRPr="007632EF" w:rsidRDefault="00A04F0A" w:rsidP="00BA62C6">
            <w:pPr>
              <w:pStyle w:val="Tabletext"/>
              <w:rPr>
                <w:b/>
                <w:lang w:eastAsia="en-GB"/>
              </w:rPr>
            </w:pPr>
            <w:r w:rsidRPr="007632EF">
              <w:rPr>
                <w:b/>
                <w:lang w:eastAsia="en-GB"/>
              </w:rPr>
              <w:t>Coûts d</w:t>
            </w:r>
            <w:r w:rsidR="00380009" w:rsidRPr="007632EF">
              <w:rPr>
                <w:b/>
                <w:lang w:eastAsia="en-GB"/>
              </w:rPr>
              <w:t>'</w:t>
            </w:r>
            <w:r w:rsidRPr="007632EF">
              <w:rPr>
                <w:b/>
                <w:lang w:eastAsia="en-GB"/>
              </w:rPr>
              <w:t>investissement (tous les 5 ans)</w:t>
            </w:r>
          </w:p>
        </w:tc>
        <w:tc>
          <w:tcPr>
            <w:tcW w:w="1275" w:type="dxa"/>
            <w:shd w:val="clear" w:color="auto" w:fill="auto"/>
          </w:tcPr>
          <w:p w14:paraId="51AD5AE2" w14:textId="77777777" w:rsidR="0009607E" w:rsidRPr="00BA62C6" w:rsidRDefault="008C37D5" w:rsidP="00BA62C6">
            <w:pPr>
              <w:pStyle w:val="Tabletext"/>
              <w:jc w:val="right"/>
              <w:rPr>
                <w:b/>
                <w:lang w:eastAsia="en-GB"/>
              </w:rPr>
            </w:pPr>
            <w:r w:rsidRPr="00BA62C6">
              <w:rPr>
                <w:b/>
                <w:lang w:eastAsia="en-GB"/>
              </w:rPr>
              <w:t>1 000 000</w:t>
            </w:r>
          </w:p>
        </w:tc>
        <w:tc>
          <w:tcPr>
            <w:tcW w:w="3402" w:type="dxa"/>
            <w:shd w:val="clear" w:color="auto" w:fill="auto"/>
          </w:tcPr>
          <w:p w14:paraId="0284770F" w14:textId="77777777" w:rsidR="0009607E" w:rsidRPr="007632EF" w:rsidRDefault="0009607E" w:rsidP="00BA62C6">
            <w:pPr>
              <w:pStyle w:val="Tabletext"/>
              <w:rPr>
                <w:lang w:eastAsia="en-GB"/>
              </w:rPr>
            </w:pPr>
          </w:p>
        </w:tc>
      </w:tr>
      <w:tr w:rsidR="002364DF" w:rsidRPr="007632EF" w14:paraId="5EE5BE2D" w14:textId="77777777" w:rsidTr="00273BC5">
        <w:trPr>
          <w:trHeight w:val="615"/>
        </w:trPr>
        <w:tc>
          <w:tcPr>
            <w:tcW w:w="4952" w:type="dxa"/>
            <w:shd w:val="clear" w:color="auto" w:fill="auto"/>
            <w:hideMark/>
          </w:tcPr>
          <w:p w14:paraId="33F40AF7" w14:textId="496AB910" w:rsidR="0009607E" w:rsidRPr="007632EF" w:rsidRDefault="008C37D5" w:rsidP="00BA62C6">
            <w:pPr>
              <w:pStyle w:val="Tabletext"/>
              <w:ind w:left="308" w:hanging="308"/>
              <w:rPr>
                <w:rFonts w:eastAsiaTheme="minorEastAsia"/>
                <w:szCs w:val="22"/>
                <w:lang w:eastAsia="en-GB"/>
              </w:rPr>
            </w:pPr>
            <w:r w:rsidRPr="007632EF">
              <w:rPr>
                <w:rFonts w:eastAsiaTheme="minorEastAsia"/>
                <w:lang w:eastAsia="en-GB"/>
              </w:rPr>
              <w:t>–</w:t>
            </w:r>
            <w:r w:rsidRPr="007632EF">
              <w:rPr>
                <w:rFonts w:eastAsiaTheme="minorEastAsia"/>
                <w:lang w:eastAsia="en-GB"/>
              </w:rPr>
              <w:tab/>
            </w:r>
            <w:r w:rsidR="00F33064" w:rsidRPr="007632EF">
              <w:rPr>
                <w:rFonts w:eastAsiaTheme="minorEastAsia"/>
                <w:lang w:eastAsia="en-GB"/>
              </w:rPr>
              <w:t>Équipements</w:t>
            </w:r>
            <w:r w:rsidR="00380009" w:rsidRPr="007632EF">
              <w:rPr>
                <w:rFonts w:eastAsiaTheme="minorEastAsia"/>
                <w:lang w:eastAsia="en-GB"/>
              </w:rPr>
              <w:t xml:space="preserve"> </w:t>
            </w:r>
            <w:r w:rsidR="00B96B0C" w:rsidRPr="007632EF">
              <w:rPr>
                <w:rFonts w:eastAsiaTheme="minorEastAsia"/>
                <w:lang w:eastAsia="en-GB"/>
              </w:rPr>
              <w:t>pour</w:t>
            </w:r>
            <w:r w:rsidR="007D4F0E" w:rsidRPr="007632EF">
              <w:rPr>
                <w:rFonts w:eastAsiaTheme="minorEastAsia"/>
                <w:lang w:eastAsia="en-GB"/>
              </w:rPr>
              <w:t xml:space="preserve"> la participation à distance multilingue, la diffusion sur le web et le sous</w:t>
            </w:r>
            <w:r w:rsidR="005D6701" w:rsidRPr="007632EF">
              <w:rPr>
                <w:rFonts w:eastAsiaTheme="minorEastAsia"/>
                <w:lang w:eastAsia="en-GB"/>
              </w:rPr>
              <w:noBreakHyphen/>
            </w:r>
            <w:r w:rsidR="007D4F0E" w:rsidRPr="007632EF">
              <w:rPr>
                <w:rFonts w:eastAsiaTheme="minorEastAsia"/>
                <w:lang w:eastAsia="en-GB"/>
              </w:rPr>
              <w:t xml:space="preserve">titrage </w:t>
            </w:r>
            <w:r w:rsidR="00CF4B25" w:rsidRPr="007632EF">
              <w:rPr>
                <w:rFonts w:eastAsiaTheme="minorEastAsia"/>
                <w:lang w:eastAsia="en-GB"/>
              </w:rPr>
              <w:t>du canal</w:t>
            </w:r>
            <w:r w:rsidR="007D4F0E" w:rsidRPr="007632EF">
              <w:rPr>
                <w:rFonts w:eastAsiaTheme="minorEastAsia"/>
                <w:lang w:eastAsia="en-GB"/>
              </w:rPr>
              <w:t xml:space="preserve"> principal uniquement</w:t>
            </w:r>
          </w:p>
        </w:tc>
        <w:tc>
          <w:tcPr>
            <w:tcW w:w="1275" w:type="dxa"/>
            <w:shd w:val="clear" w:color="auto" w:fill="auto"/>
            <w:hideMark/>
          </w:tcPr>
          <w:p w14:paraId="34557FCC" w14:textId="77777777" w:rsidR="0009607E" w:rsidRPr="007632EF" w:rsidRDefault="008C37D5" w:rsidP="00BA62C6">
            <w:pPr>
              <w:pStyle w:val="Tabletext"/>
              <w:jc w:val="right"/>
              <w:rPr>
                <w:szCs w:val="22"/>
                <w:lang w:eastAsia="en-GB"/>
              </w:rPr>
            </w:pPr>
            <w:r w:rsidRPr="007632EF">
              <w:rPr>
                <w:lang w:eastAsia="en-GB"/>
              </w:rPr>
              <w:t>500 000</w:t>
            </w:r>
          </w:p>
        </w:tc>
        <w:tc>
          <w:tcPr>
            <w:tcW w:w="3402" w:type="dxa"/>
            <w:shd w:val="clear" w:color="auto" w:fill="auto"/>
            <w:hideMark/>
          </w:tcPr>
          <w:p w14:paraId="4F147553" w14:textId="08740E54" w:rsidR="0009607E" w:rsidRPr="007632EF" w:rsidRDefault="001051C9" w:rsidP="00BA62C6">
            <w:pPr>
              <w:pStyle w:val="Tabletext"/>
              <w:rPr>
                <w:szCs w:val="22"/>
                <w:lang w:eastAsia="en-GB"/>
              </w:rPr>
            </w:pPr>
            <w:r w:rsidRPr="007632EF">
              <w:rPr>
                <w:color w:val="000000" w:themeColor="text1"/>
                <w:szCs w:val="22"/>
                <w:lang w:eastAsia="en-GB"/>
              </w:rPr>
              <w:t>100 000 par salle de réunion (5</w:t>
            </w:r>
            <w:r w:rsidR="005D6701" w:rsidRPr="007632EF">
              <w:rPr>
                <w:color w:val="000000" w:themeColor="text1"/>
                <w:szCs w:val="22"/>
                <w:lang w:eastAsia="en-GB"/>
              </w:rPr>
              <w:t> </w:t>
            </w:r>
            <w:r w:rsidRPr="007632EF">
              <w:rPr>
                <w:color w:val="000000" w:themeColor="text1"/>
                <w:szCs w:val="22"/>
                <w:lang w:eastAsia="en-GB"/>
              </w:rPr>
              <w:t>salles de réunion)</w:t>
            </w:r>
          </w:p>
        </w:tc>
      </w:tr>
      <w:tr w:rsidR="002364DF" w:rsidRPr="007632EF" w14:paraId="4FEB5DF7" w14:textId="77777777" w:rsidTr="00273BC5">
        <w:trPr>
          <w:trHeight w:val="615"/>
        </w:trPr>
        <w:tc>
          <w:tcPr>
            <w:tcW w:w="4952" w:type="dxa"/>
            <w:shd w:val="clear" w:color="auto" w:fill="auto"/>
            <w:hideMark/>
          </w:tcPr>
          <w:p w14:paraId="2EBDBA10" w14:textId="2D2DB6ED" w:rsidR="0009607E" w:rsidRPr="007632EF" w:rsidRDefault="008C37D5" w:rsidP="00BA62C6">
            <w:pPr>
              <w:pStyle w:val="Tabletext"/>
              <w:ind w:left="308" w:hanging="308"/>
              <w:rPr>
                <w:rFonts w:eastAsiaTheme="minorEastAsia"/>
                <w:szCs w:val="22"/>
                <w:lang w:eastAsia="en-GB"/>
              </w:rPr>
            </w:pPr>
            <w:r w:rsidRPr="007632EF">
              <w:rPr>
                <w:rFonts w:eastAsiaTheme="minorEastAsia"/>
                <w:szCs w:val="22"/>
                <w:lang w:eastAsia="en-GB"/>
              </w:rPr>
              <w:t>–</w:t>
            </w:r>
            <w:r w:rsidRPr="007632EF">
              <w:rPr>
                <w:rFonts w:eastAsiaTheme="minorEastAsia"/>
                <w:szCs w:val="22"/>
                <w:lang w:eastAsia="en-GB"/>
              </w:rPr>
              <w:tab/>
            </w:r>
            <w:r w:rsidR="00F33064" w:rsidRPr="007632EF">
              <w:rPr>
                <w:rFonts w:eastAsiaTheme="minorEastAsia"/>
                <w:szCs w:val="22"/>
                <w:lang w:eastAsia="en-GB"/>
              </w:rPr>
              <w:t>Équipements</w:t>
            </w:r>
            <w:r w:rsidR="005E71ED" w:rsidRPr="007632EF">
              <w:rPr>
                <w:rFonts w:eastAsiaTheme="minorEastAsia"/>
                <w:szCs w:val="22"/>
                <w:lang w:eastAsia="en-GB"/>
              </w:rPr>
              <w:t xml:space="preserve"> </w:t>
            </w:r>
            <w:r w:rsidR="00B96B0C" w:rsidRPr="007632EF">
              <w:rPr>
                <w:rFonts w:eastAsiaTheme="minorEastAsia"/>
                <w:lang w:eastAsia="en-GB"/>
              </w:rPr>
              <w:t>pour</w:t>
            </w:r>
            <w:r w:rsidR="00B96B0C" w:rsidRPr="007632EF" w:rsidDel="00B96B0C">
              <w:rPr>
                <w:rFonts w:eastAsiaTheme="minorEastAsia"/>
                <w:szCs w:val="22"/>
                <w:lang w:eastAsia="en-GB"/>
              </w:rPr>
              <w:t xml:space="preserve"> </w:t>
            </w:r>
            <w:r w:rsidR="005E71ED" w:rsidRPr="007632EF">
              <w:rPr>
                <w:rFonts w:eastAsiaTheme="minorEastAsia"/>
                <w:szCs w:val="22"/>
                <w:lang w:eastAsia="en-GB"/>
              </w:rPr>
              <w:t xml:space="preserve">la participation à distance avec prise de parole </w:t>
            </w:r>
            <w:r w:rsidR="00CF4B25" w:rsidRPr="007632EF">
              <w:rPr>
                <w:rFonts w:eastAsiaTheme="minorEastAsia"/>
                <w:szCs w:val="22"/>
                <w:lang w:eastAsia="en-GB"/>
              </w:rPr>
              <w:t xml:space="preserve">sur le canal principal </w:t>
            </w:r>
            <w:r w:rsidR="005E71ED" w:rsidRPr="007632EF">
              <w:rPr>
                <w:rFonts w:eastAsiaTheme="minorEastAsia"/>
                <w:szCs w:val="22"/>
                <w:lang w:eastAsia="en-GB"/>
              </w:rPr>
              <w:t>uniquement</w:t>
            </w:r>
          </w:p>
        </w:tc>
        <w:tc>
          <w:tcPr>
            <w:tcW w:w="1275" w:type="dxa"/>
            <w:shd w:val="clear" w:color="auto" w:fill="auto"/>
            <w:hideMark/>
          </w:tcPr>
          <w:p w14:paraId="3F97B900" w14:textId="77777777" w:rsidR="0009607E" w:rsidRPr="007632EF" w:rsidRDefault="008C37D5" w:rsidP="00BA62C6">
            <w:pPr>
              <w:pStyle w:val="Tabletext"/>
              <w:jc w:val="right"/>
              <w:rPr>
                <w:szCs w:val="22"/>
                <w:lang w:eastAsia="en-GB"/>
              </w:rPr>
            </w:pPr>
            <w:r w:rsidRPr="007632EF">
              <w:rPr>
                <w:lang w:eastAsia="en-GB"/>
              </w:rPr>
              <w:t>100 000</w:t>
            </w:r>
          </w:p>
        </w:tc>
        <w:tc>
          <w:tcPr>
            <w:tcW w:w="3402" w:type="dxa"/>
            <w:shd w:val="clear" w:color="auto" w:fill="auto"/>
            <w:hideMark/>
          </w:tcPr>
          <w:p w14:paraId="3AA10FE3" w14:textId="77B6048E" w:rsidR="0009607E" w:rsidRPr="007632EF" w:rsidRDefault="002F44EC" w:rsidP="00BA62C6">
            <w:pPr>
              <w:pStyle w:val="Tabletext"/>
              <w:rPr>
                <w:szCs w:val="22"/>
                <w:lang w:eastAsia="en-GB"/>
              </w:rPr>
            </w:pPr>
            <w:r w:rsidRPr="007632EF">
              <w:rPr>
                <w:color w:val="000000" w:themeColor="text1"/>
                <w:szCs w:val="22"/>
                <w:lang w:eastAsia="en-GB"/>
              </w:rPr>
              <w:t>20 000 par salle de réunion (5</w:t>
            </w:r>
            <w:r w:rsidR="005D6701" w:rsidRPr="007632EF">
              <w:rPr>
                <w:color w:val="000000" w:themeColor="text1"/>
                <w:szCs w:val="22"/>
                <w:lang w:eastAsia="en-GB"/>
              </w:rPr>
              <w:t> </w:t>
            </w:r>
            <w:r w:rsidRPr="007632EF">
              <w:rPr>
                <w:color w:val="000000" w:themeColor="text1"/>
                <w:szCs w:val="22"/>
                <w:lang w:eastAsia="en-GB"/>
              </w:rPr>
              <w:t>salles de réunion)</w:t>
            </w:r>
          </w:p>
        </w:tc>
      </w:tr>
      <w:tr w:rsidR="002364DF" w:rsidRPr="007632EF" w14:paraId="0E163EBE" w14:textId="77777777" w:rsidTr="00273BC5">
        <w:trPr>
          <w:trHeight w:val="315"/>
        </w:trPr>
        <w:tc>
          <w:tcPr>
            <w:tcW w:w="4952" w:type="dxa"/>
            <w:shd w:val="clear" w:color="auto" w:fill="auto"/>
          </w:tcPr>
          <w:p w14:paraId="1380B928" w14:textId="036AFAD3" w:rsidR="0009607E" w:rsidRPr="007632EF" w:rsidRDefault="008C37D5" w:rsidP="00BA62C6">
            <w:pPr>
              <w:pStyle w:val="Tabletext"/>
              <w:ind w:left="308" w:hanging="308"/>
              <w:rPr>
                <w:rFonts w:eastAsiaTheme="minorEastAsia"/>
                <w:lang w:eastAsia="en-GB"/>
              </w:rPr>
            </w:pPr>
            <w:r w:rsidRPr="007632EF">
              <w:rPr>
                <w:rFonts w:eastAsiaTheme="minorEastAsia"/>
                <w:lang w:eastAsia="en-GB"/>
              </w:rPr>
              <w:t>–</w:t>
            </w:r>
            <w:r w:rsidRPr="007632EF">
              <w:rPr>
                <w:rFonts w:eastAsiaTheme="minorEastAsia"/>
                <w:lang w:eastAsia="en-GB"/>
              </w:rPr>
              <w:tab/>
            </w:r>
            <w:r w:rsidR="001F073B" w:rsidRPr="007632EF">
              <w:rPr>
                <w:rFonts w:eastAsiaTheme="minorEastAsia"/>
                <w:lang w:eastAsia="en-GB"/>
              </w:rPr>
              <w:t>Ensemble d</w:t>
            </w:r>
            <w:r w:rsidR="00380009" w:rsidRPr="007632EF">
              <w:rPr>
                <w:rFonts w:eastAsiaTheme="minorEastAsia"/>
                <w:lang w:eastAsia="en-GB"/>
              </w:rPr>
              <w:t>'</w:t>
            </w:r>
            <w:r w:rsidR="001F073B" w:rsidRPr="007632EF">
              <w:rPr>
                <w:rFonts w:eastAsiaTheme="minorEastAsia"/>
                <w:lang w:eastAsia="en-GB"/>
              </w:rPr>
              <w:t>équipements mobiles</w:t>
            </w:r>
            <w:r w:rsidR="00B96B0C" w:rsidRPr="007632EF">
              <w:rPr>
                <w:rFonts w:eastAsiaTheme="minorEastAsia"/>
                <w:lang w:eastAsia="en-GB"/>
              </w:rPr>
              <w:t xml:space="preserve"> pour</w:t>
            </w:r>
            <w:r w:rsidR="00B96B0C" w:rsidRPr="007632EF" w:rsidDel="00B96B0C">
              <w:rPr>
                <w:rFonts w:eastAsiaTheme="minorEastAsia"/>
                <w:lang w:eastAsia="en-GB"/>
              </w:rPr>
              <w:t xml:space="preserve"> </w:t>
            </w:r>
            <w:r w:rsidR="001F073B" w:rsidRPr="007632EF">
              <w:rPr>
                <w:rFonts w:eastAsiaTheme="minorEastAsia"/>
                <w:lang w:eastAsia="en-GB"/>
              </w:rPr>
              <w:t>la participation multilingue à distance, la diffusion sur le web et le sous-titrage</w:t>
            </w:r>
            <w:r w:rsidR="00380009" w:rsidRPr="007632EF">
              <w:rPr>
                <w:rFonts w:eastAsiaTheme="minorEastAsia"/>
                <w:lang w:eastAsia="en-GB"/>
              </w:rPr>
              <w:t xml:space="preserve"> </w:t>
            </w:r>
            <w:r w:rsidR="00394A14" w:rsidRPr="007632EF">
              <w:rPr>
                <w:rFonts w:eastAsiaTheme="minorEastAsia"/>
                <w:lang w:eastAsia="en-GB"/>
              </w:rPr>
              <w:t xml:space="preserve">du canal principal uniquement </w:t>
            </w:r>
            <w:r w:rsidR="001F073B" w:rsidRPr="007632EF">
              <w:rPr>
                <w:rFonts w:eastAsiaTheme="minorEastAsia"/>
                <w:lang w:eastAsia="en-GB"/>
              </w:rPr>
              <w:t>pour les réunions tenues</w:t>
            </w:r>
            <w:r w:rsidR="00380009" w:rsidRPr="007632EF">
              <w:rPr>
                <w:rFonts w:eastAsiaTheme="minorEastAsia"/>
                <w:lang w:eastAsia="en-GB"/>
              </w:rPr>
              <w:t xml:space="preserve"> </w:t>
            </w:r>
            <w:r w:rsidR="001F073B" w:rsidRPr="007632EF">
              <w:rPr>
                <w:rFonts w:eastAsiaTheme="minorEastAsia"/>
                <w:lang w:eastAsia="en-GB"/>
              </w:rPr>
              <w:t>hors du siège de l</w:t>
            </w:r>
            <w:r w:rsidR="00380009" w:rsidRPr="007632EF">
              <w:rPr>
                <w:rFonts w:eastAsiaTheme="minorEastAsia"/>
                <w:lang w:eastAsia="en-GB"/>
              </w:rPr>
              <w:t>'</w:t>
            </w:r>
            <w:r w:rsidR="001F073B" w:rsidRPr="007632EF">
              <w:rPr>
                <w:rFonts w:eastAsiaTheme="minorEastAsia"/>
                <w:lang w:eastAsia="en-GB"/>
              </w:rPr>
              <w:t>UIT</w:t>
            </w:r>
          </w:p>
        </w:tc>
        <w:tc>
          <w:tcPr>
            <w:tcW w:w="1275" w:type="dxa"/>
            <w:shd w:val="clear" w:color="auto" w:fill="auto"/>
          </w:tcPr>
          <w:p w14:paraId="4C4BE0A3" w14:textId="77777777" w:rsidR="0009607E" w:rsidRPr="007632EF" w:rsidRDefault="008C37D5" w:rsidP="00BA62C6">
            <w:pPr>
              <w:pStyle w:val="Tabletext"/>
              <w:jc w:val="right"/>
              <w:rPr>
                <w:lang w:eastAsia="en-GB"/>
              </w:rPr>
            </w:pPr>
            <w:r w:rsidRPr="007632EF">
              <w:rPr>
                <w:lang w:eastAsia="en-GB"/>
              </w:rPr>
              <w:t>400 000</w:t>
            </w:r>
          </w:p>
        </w:tc>
        <w:tc>
          <w:tcPr>
            <w:tcW w:w="3402" w:type="dxa"/>
            <w:shd w:val="clear" w:color="auto" w:fill="auto"/>
          </w:tcPr>
          <w:p w14:paraId="15F5B465" w14:textId="63891D06" w:rsidR="0009607E" w:rsidRPr="007632EF" w:rsidRDefault="00B8009A" w:rsidP="00BA62C6">
            <w:pPr>
              <w:pStyle w:val="Tabletext"/>
              <w:rPr>
                <w:szCs w:val="22"/>
                <w:lang w:eastAsia="en-GB"/>
              </w:rPr>
            </w:pPr>
            <w:r w:rsidRPr="007632EF">
              <w:rPr>
                <w:color w:val="000000" w:themeColor="text1"/>
                <w:szCs w:val="22"/>
                <w:lang w:eastAsia="en-GB"/>
              </w:rPr>
              <w:t>80 000 par ensemble (5 ensembles)</w:t>
            </w:r>
          </w:p>
        </w:tc>
      </w:tr>
      <w:tr w:rsidR="002364DF" w:rsidRPr="007632EF" w14:paraId="09146A51" w14:textId="77777777" w:rsidTr="00273BC5">
        <w:trPr>
          <w:trHeight w:val="315"/>
        </w:trPr>
        <w:tc>
          <w:tcPr>
            <w:tcW w:w="4952" w:type="dxa"/>
            <w:shd w:val="clear" w:color="auto" w:fill="auto"/>
          </w:tcPr>
          <w:p w14:paraId="0671AD68" w14:textId="200A6967" w:rsidR="0009607E" w:rsidRPr="007632EF" w:rsidRDefault="00F44D1C" w:rsidP="00BA62C6">
            <w:pPr>
              <w:pStyle w:val="Tabletext"/>
              <w:rPr>
                <w:b/>
                <w:lang w:eastAsia="en-GB"/>
              </w:rPr>
            </w:pPr>
            <w:r w:rsidRPr="007632EF">
              <w:rPr>
                <w:b/>
                <w:lang w:eastAsia="en-GB"/>
              </w:rPr>
              <w:t>Coûts de fonctionnement récurrents (annuels)</w:t>
            </w:r>
          </w:p>
        </w:tc>
        <w:tc>
          <w:tcPr>
            <w:tcW w:w="1275" w:type="dxa"/>
            <w:shd w:val="clear" w:color="auto" w:fill="auto"/>
          </w:tcPr>
          <w:p w14:paraId="521632F7" w14:textId="77777777" w:rsidR="0009607E" w:rsidRPr="007632EF" w:rsidRDefault="008C37D5" w:rsidP="00BA62C6">
            <w:pPr>
              <w:pStyle w:val="Tabletext"/>
              <w:jc w:val="right"/>
              <w:rPr>
                <w:b/>
                <w:bCs/>
                <w:lang w:eastAsia="en-GB"/>
              </w:rPr>
            </w:pPr>
            <w:r w:rsidRPr="007632EF">
              <w:rPr>
                <w:b/>
                <w:bCs/>
                <w:lang w:eastAsia="en-GB"/>
              </w:rPr>
              <w:t>855 000</w:t>
            </w:r>
          </w:p>
        </w:tc>
        <w:tc>
          <w:tcPr>
            <w:tcW w:w="3402" w:type="dxa"/>
            <w:shd w:val="clear" w:color="auto" w:fill="auto"/>
          </w:tcPr>
          <w:p w14:paraId="38AE12CF" w14:textId="77777777" w:rsidR="0009607E" w:rsidRPr="007632EF" w:rsidRDefault="0009607E" w:rsidP="00BA62C6">
            <w:pPr>
              <w:pStyle w:val="Tabletext"/>
              <w:rPr>
                <w:lang w:eastAsia="en-GB"/>
              </w:rPr>
            </w:pPr>
          </w:p>
        </w:tc>
      </w:tr>
      <w:tr w:rsidR="002364DF" w:rsidRPr="007632EF" w14:paraId="473522F3" w14:textId="77777777" w:rsidTr="00273BC5">
        <w:trPr>
          <w:trHeight w:val="315"/>
        </w:trPr>
        <w:tc>
          <w:tcPr>
            <w:tcW w:w="4952" w:type="dxa"/>
            <w:shd w:val="clear" w:color="auto" w:fill="auto"/>
            <w:hideMark/>
          </w:tcPr>
          <w:p w14:paraId="6F3F541B" w14:textId="044AB889" w:rsidR="0009607E" w:rsidRPr="007632EF" w:rsidRDefault="008C37D5" w:rsidP="00BA62C6">
            <w:pPr>
              <w:pStyle w:val="Tabletext"/>
              <w:ind w:left="308" w:hanging="308"/>
              <w:rPr>
                <w:rFonts w:eastAsiaTheme="minorEastAsia"/>
                <w:szCs w:val="22"/>
                <w:lang w:eastAsia="en-GB"/>
              </w:rPr>
            </w:pPr>
            <w:r w:rsidRPr="007632EF">
              <w:rPr>
                <w:rFonts w:eastAsiaTheme="minorEastAsia"/>
                <w:lang w:eastAsia="en-GB"/>
              </w:rPr>
              <w:t>–</w:t>
            </w:r>
            <w:r w:rsidRPr="007632EF">
              <w:rPr>
                <w:rFonts w:eastAsiaTheme="minorEastAsia"/>
                <w:lang w:eastAsia="en-GB"/>
              </w:rPr>
              <w:tab/>
            </w:r>
            <w:r w:rsidR="001972C8" w:rsidRPr="007632EF">
              <w:rPr>
                <w:rFonts w:eastAsiaTheme="minorEastAsia"/>
                <w:lang w:eastAsia="en-GB"/>
              </w:rPr>
              <w:t>Deux modérateurs à plein temps</w:t>
            </w:r>
          </w:p>
        </w:tc>
        <w:tc>
          <w:tcPr>
            <w:tcW w:w="1275" w:type="dxa"/>
            <w:shd w:val="clear" w:color="auto" w:fill="auto"/>
            <w:hideMark/>
          </w:tcPr>
          <w:p w14:paraId="6B8A6FDD" w14:textId="77777777" w:rsidR="0009607E" w:rsidRPr="007632EF" w:rsidRDefault="008C37D5" w:rsidP="00BA62C6">
            <w:pPr>
              <w:pStyle w:val="Tabletext"/>
              <w:jc w:val="right"/>
              <w:rPr>
                <w:szCs w:val="22"/>
                <w:lang w:eastAsia="en-GB"/>
              </w:rPr>
            </w:pPr>
            <w:r w:rsidRPr="007632EF">
              <w:rPr>
                <w:lang w:eastAsia="en-GB"/>
              </w:rPr>
              <w:t>250 000</w:t>
            </w:r>
          </w:p>
        </w:tc>
        <w:tc>
          <w:tcPr>
            <w:tcW w:w="3402" w:type="dxa"/>
            <w:shd w:val="clear" w:color="auto" w:fill="auto"/>
            <w:hideMark/>
          </w:tcPr>
          <w:p w14:paraId="38F26C65" w14:textId="77777777" w:rsidR="0009607E" w:rsidRPr="007632EF" w:rsidRDefault="0009607E" w:rsidP="00BA62C6">
            <w:pPr>
              <w:pStyle w:val="Tabletext"/>
              <w:rPr>
                <w:szCs w:val="22"/>
                <w:lang w:eastAsia="en-GB"/>
              </w:rPr>
            </w:pPr>
          </w:p>
        </w:tc>
      </w:tr>
      <w:tr w:rsidR="002364DF" w:rsidRPr="007632EF" w14:paraId="4C93E375" w14:textId="77777777" w:rsidTr="00273BC5">
        <w:trPr>
          <w:trHeight w:val="315"/>
        </w:trPr>
        <w:tc>
          <w:tcPr>
            <w:tcW w:w="4952" w:type="dxa"/>
            <w:shd w:val="clear" w:color="auto" w:fill="auto"/>
            <w:hideMark/>
          </w:tcPr>
          <w:p w14:paraId="5C8AB053" w14:textId="602E0A98" w:rsidR="0009607E" w:rsidRPr="007632EF" w:rsidRDefault="008C37D5" w:rsidP="00BA62C6">
            <w:pPr>
              <w:pStyle w:val="Tabletext"/>
              <w:ind w:left="308" w:hanging="308"/>
              <w:rPr>
                <w:rFonts w:eastAsiaTheme="minorEastAsia"/>
                <w:szCs w:val="22"/>
                <w:lang w:eastAsia="en-GB"/>
              </w:rPr>
            </w:pPr>
            <w:r w:rsidRPr="007632EF">
              <w:rPr>
                <w:rFonts w:eastAsiaTheme="minorEastAsia"/>
                <w:lang w:eastAsia="en-GB"/>
              </w:rPr>
              <w:t>–</w:t>
            </w:r>
            <w:r w:rsidRPr="007632EF">
              <w:rPr>
                <w:rFonts w:eastAsiaTheme="minorEastAsia"/>
                <w:lang w:eastAsia="en-GB"/>
              </w:rPr>
              <w:tab/>
            </w:r>
            <w:r w:rsidR="00AD0A7E" w:rsidRPr="007632EF">
              <w:rPr>
                <w:rFonts w:eastAsiaTheme="minorEastAsia"/>
                <w:lang w:eastAsia="en-GB"/>
              </w:rPr>
              <w:t>Un fonctionnaire d</w:t>
            </w:r>
            <w:r w:rsidR="00380009" w:rsidRPr="007632EF">
              <w:rPr>
                <w:rFonts w:eastAsiaTheme="minorEastAsia"/>
                <w:lang w:eastAsia="en-GB"/>
              </w:rPr>
              <w:t>'</w:t>
            </w:r>
            <w:r w:rsidR="00AD0A7E" w:rsidRPr="007632EF">
              <w:rPr>
                <w:rFonts w:eastAsiaTheme="minorEastAsia"/>
                <w:lang w:eastAsia="en-GB"/>
              </w:rPr>
              <w:t>appui à l</w:t>
            </w:r>
            <w:r w:rsidR="00380009" w:rsidRPr="007632EF">
              <w:rPr>
                <w:rFonts w:eastAsiaTheme="minorEastAsia"/>
                <w:lang w:eastAsia="en-GB"/>
              </w:rPr>
              <w:t>'</w:t>
            </w:r>
            <w:r w:rsidR="00AD0A7E" w:rsidRPr="007632EF">
              <w:rPr>
                <w:rFonts w:eastAsiaTheme="minorEastAsia"/>
                <w:lang w:eastAsia="en-GB"/>
              </w:rPr>
              <w:t>organisation des manifestations, à plein temps</w:t>
            </w:r>
          </w:p>
        </w:tc>
        <w:tc>
          <w:tcPr>
            <w:tcW w:w="1275" w:type="dxa"/>
            <w:shd w:val="clear" w:color="auto" w:fill="auto"/>
            <w:hideMark/>
          </w:tcPr>
          <w:p w14:paraId="4F9B3725" w14:textId="77777777" w:rsidR="0009607E" w:rsidRPr="007632EF" w:rsidRDefault="008C37D5" w:rsidP="00BA62C6">
            <w:pPr>
              <w:pStyle w:val="Tabletext"/>
              <w:jc w:val="right"/>
              <w:rPr>
                <w:szCs w:val="22"/>
                <w:lang w:eastAsia="en-GB"/>
              </w:rPr>
            </w:pPr>
            <w:r w:rsidRPr="007632EF">
              <w:rPr>
                <w:lang w:eastAsia="en-GB"/>
              </w:rPr>
              <w:t>125 000</w:t>
            </w:r>
          </w:p>
        </w:tc>
        <w:tc>
          <w:tcPr>
            <w:tcW w:w="3402" w:type="dxa"/>
            <w:shd w:val="clear" w:color="auto" w:fill="auto"/>
            <w:hideMark/>
          </w:tcPr>
          <w:p w14:paraId="109F5BDD" w14:textId="77777777" w:rsidR="0009607E" w:rsidRPr="007632EF" w:rsidRDefault="0009607E" w:rsidP="00BA62C6">
            <w:pPr>
              <w:pStyle w:val="Tabletext"/>
              <w:rPr>
                <w:szCs w:val="22"/>
                <w:lang w:eastAsia="en-GB"/>
              </w:rPr>
            </w:pPr>
          </w:p>
        </w:tc>
      </w:tr>
      <w:tr w:rsidR="002364DF" w:rsidRPr="007632EF" w14:paraId="54FB8C2E" w14:textId="77777777" w:rsidTr="00273BC5">
        <w:trPr>
          <w:trHeight w:val="315"/>
        </w:trPr>
        <w:tc>
          <w:tcPr>
            <w:tcW w:w="4952" w:type="dxa"/>
            <w:shd w:val="clear" w:color="auto" w:fill="auto"/>
            <w:hideMark/>
          </w:tcPr>
          <w:p w14:paraId="6089E5DB" w14:textId="7AF44D8E" w:rsidR="0009607E" w:rsidRPr="007632EF" w:rsidRDefault="008C37D5" w:rsidP="00BA62C6">
            <w:pPr>
              <w:pStyle w:val="Tabletext"/>
              <w:ind w:left="308" w:hanging="308"/>
              <w:rPr>
                <w:rFonts w:eastAsiaTheme="minorEastAsia"/>
                <w:szCs w:val="22"/>
                <w:lang w:eastAsia="en-GB"/>
              </w:rPr>
            </w:pPr>
            <w:r w:rsidRPr="007632EF">
              <w:rPr>
                <w:rFonts w:eastAsiaTheme="minorEastAsia"/>
                <w:lang w:eastAsia="en-GB"/>
              </w:rPr>
              <w:t>–</w:t>
            </w:r>
            <w:r w:rsidRPr="007632EF">
              <w:rPr>
                <w:rFonts w:eastAsiaTheme="minorEastAsia"/>
                <w:lang w:eastAsia="en-GB"/>
              </w:rPr>
              <w:tab/>
            </w:r>
            <w:r w:rsidR="00281CE2" w:rsidRPr="007632EF">
              <w:rPr>
                <w:rFonts w:eastAsiaTheme="minorEastAsia"/>
                <w:lang w:eastAsia="en-GB"/>
              </w:rPr>
              <w:t>Coûts liés à la licence/l</w:t>
            </w:r>
            <w:r w:rsidR="00380009" w:rsidRPr="007632EF">
              <w:rPr>
                <w:rFonts w:eastAsiaTheme="minorEastAsia"/>
                <w:lang w:eastAsia="en-GB"/>
              </w:rPr>
              <w:t>'</w:t>
            </w:r>
            <w:r w:rsidR="00281CE2" w:rsidRPr="007632EF">
              <w:rPr>
                <w:rFonts w:eastAsiaTheme="minorEastAsia"/>
                <w:lang w:eastAsia="en-GB"/>
              </w:rPr>
              <w:t>utilisation des plates</w:t>
            </w:r>
            <w:r w:rsidR="005D6701" w:rsidRPr="007632EF">
              <w:rPr>
                <w:rFonts w:eastAsiaTheme="minorEastAsia"/>
                <w:lang w:eastAsia="en-GB"/>
              </w:rPr>
              <w:noBreakHyphen/>
            </w:r>
            <w:r w:rsidR="00281CE2" w:rsidRPr="007632EF">
              <w:rPr>
                <w:rFonts w:eastAsiaTheme="minorEastAsia"/>
                <w:lang w:eastAsia="en-GB"/>
              </w:rPr>
              <w:t>forme de conférence sur le web et du portail des manifestations</w:t>
            </w:r>
          </w:p>
        </w:tc>
        <w:tc>
          <w:tcPr>
            <w:tcW w:w="1275" w:type="dxa"/>
            <w:shd w:val="clear" w:color="auto" w:fill="auto"/>
            <w:hideMark/>
          </w:tcPr>
          <w:p w14:paraId="2543E10C" w14:textId="77777777" w:rsidR="0009607E" w:rsidRPr="007632EF" w:rsidRDefault="008C37D5" w:rsidP="00BA62C6">
            <w:pPr>
              <w:pStyle w:val="Tabletext"/>
              <w:jc w:val="right"/>
              <w:rPr>
                <w:szCs w:val="22"/>
                <w:lang w:eastAsia="en-GB"/>
              </w:rPr>
            </w:pPr>
            <w:r w:rsidRPr="007632EF">
              <w:rPr>
                <w:lang w:eastAsia="en-GB"/>
              </w:rPr>
              <w:t>200 000</w:t>
            </w:r>
          </w:p>
        </w:tc>
        <w:tc>
          <w:tcPr>
            <w:tcW w:w="3402" w:type="dxa"/>
            <w:shd w:val="clear" w:color="auto" w:fill="auto"/>
            <w:hideMark/>
          </w:tcPr>
          <w:p w14:paraId="381D3EB6" w14:textId="77777777" w:rsidR="0009607E" w:rsidRPr="007632EF" w:rsidRDefault="0009607E" w:rsidP="00BA62C6">
            <w:pPr>
              <w:pStyle w:val="Tabletext"/>
              <w:rPr>
                <w:szCs w:val="22"/>
                <w:lang w:eastAsia="en-GB"/>
              </w:rPr>
            </w:pPr>
          </w:p>
        </w:tc>
      </w:tr>
      <w:tr w:rsidR="002364DF" w:rsidRPr="007632EF" w14:paraId="0A8AF7C9" w14:textId="77777777" w:rsidTr="00273BC5">
        <w:trPr>
          <w:trHeight w:val="315"/>
        </w:trPr>
        <w:tc>
          <w:tcPr>
            <w:tcW w:w="4952" w:type="dxa"/>
            <w:tcBorders>
              <w:bottom w:val="single" w:sz="4" w:space="0" w:color="auto"/>
            </w:tcBorders>
            <w:shd w:val="clear" w:color="auto" w:fill="auto"/>
            <w:hideMark/>
          </w:tcPr>
          <w:p w14:paraId="513DA62A" w14:textId="0FF6DC89" w:rsidR="0009607E" w:rsidRPr="007632EF" w:rsidRDefault="008C37D5" w:rsidP="00BA62C6">
            <w:pPr>
              <w:pStyle w:val="Tabletext"/>
              <w:ind w:left="308" w:hanging="308"/>
              <w:rPr>
                <w:rFonts w:eastAsiaTheme="minorEastAsia"/>
                <w:lang w:eastAsia="en-GB"/>
              </w:rPr>
            </w:pPr>
            <w:r w:rsidRPr="007632EF">
              <w:rPr>
                <w:rFonts w:eastAsiaTheme="minorEastAsia"/>
                <w:lang w:eastAsia="en-GB"/>
              </w:rPr>
              <w:t>–</w:t>
            </w:r>
            <w:r w:rsidRPr="007632EF">
              <w:rPr>
                <w:rFonts w:eastAsiaTheme="minorEastAsia"/>
                <w:lang w:eastAsia="en-GB"/>
              </w:rPr>
              <w:tab/>
            </w:r>
            <w:r w:rsidR="00F5250A" w:rsidRPr="007632EF">
              <w:rPr>
                <w:rFonts w:eastAsiaTheme="minorEastAsia"/>
                <w:lang w:eastAsia="en-GB"/>
              </w:rPr>
              <w:t>Technicien et opérateur audiovisuel</w:t>
            </w:r>
          </w:p>
        </w:tc>
        <w:tc>
          <w:tcPr>
            <w:tcW w:w="1275" w:type="dxa"/>
            <w:tcBorders>
              <w:bottom w:val="single" w:sz="4" w:space="0" w:color="auto"/>
            </w:tcBorders>
            <w:shd w:val="clear" w:color="auto" w:fill="auto"/>
            <w:hideMark/>
          </w:tcPr>
          <w:p w14:paraId="451C70D9" w14:textId="77777777" w:rsidR="0009607E" w:rsidRPr="007632EF" w:rsidRDefault="008C37D5" w:rsidP="00BA62C6">
            <w:pPr>
              <w:pStyle w:val="Tabletext"/>
              <w:jc w:val="right"/>
              <w:rPr>
                <w:lang w:eastAsia="en-GB"/>
              </w:rPr>
            </w:pPr>
            <w:r w:rsidRPr="007632EF">
              <w:rPr>
                <w:lang w:eastAsia="en-GB"/>
              </w:rPr>
              <w:t>80 000</w:t>
            </w:r>
          </w:p>
        </w:tc>
        <w:tc>
          <w:tcPr>
            <w:tcW w:w="3402" w:type="dxa"/>
            <w:tcBorders>
              <w:bottom w:val="single" w:sz="4" w:space="0" w:color="auto"/>
            </w:tcBorders>
            <w:shd w:val="clear" w:color="auto" w:fill="auto"/>
            <w:hideMark/>
          </w:tcPr>
          <w:p w14:paraId="6F221BA2" w14:textId="449B8CE0" w:rsidR="0009607E" w:rsidRPr="007632EF" w:rsidRDefault="00426923" w:rsidP="00BA62C6">
            <w:pPr>
              <w:pStyle w:val="Tabletext"/>
              <w:rPr>
                <w:lang w:eastAsia="en-GB"/>
              </w:rPr>
            </w:pPr>
            <w:r w:rsidRPr="007632EF">
              <w:rPr>
                <w:lang w:eastAsia="en-GB"/>
              </w:rPr>
              <w:t>2000</w:t>
            </w:r>
            <w:r w:rsidR="00394A14" w:rsidRPr="007632EF">
              <w:rPr>
                <w:lang w:eastAsia="en-GB"/>
              </w:rPr>
              <w:t xml:space="preserve"> </w:t>
            </w:r>
            <w:r w:rsidRPr="007632EF">
              <w:rPr>
                <w:lang w:eastAsia="en-GB"/>
              </w:rPr>
              <w:t>par jour, pour une durée estimée à 40 jours</w:t>
            </w:r>
          </w:p>
        </w:tc>
      </w:tr>
      <w:tr w:rsidR="002364DF" w:rsidRPr="007632EF" w14:paraId="1517C902" w14:textId="77777777" w:rsidTr="00273BC5">
        <w:trPr>
          <w:trHeight w:val="315"/>
        </w:trPr>
        <w:tc>
          <w:tcPr>
            <w:tcW w:w="4952" w:type="dxa"/>
            <w:shd w:val="clear" w:color="auto" w:fill="auto"/>
          </w:tcPr>
          <w:p w14:paraId="10509D15" w14:textId="32A053CF" w:rsidR="0009607E" w:rsidRPr="007632EF" w:rsidRDefault="008C37D5" w:rsidP="00BA62C6">
            <w:pPr>
              <w:pStyle w:val="Tabletext"/>
              <w:ind w:left="308" w:hanging="308"/>
              <w:rPr>
                <w:rFonts w:eastAsiaTheme="minorEastAsia"/>
                <w:lang w:eastAsia="en-GB"/>
              </w:rPr>
            </w:pPr>
            <w:r w:rsidRPr="007632EF">
              <w:rPr>
                <w:rFonts w:eastAsiaTheme="minorEastAsia"/>
                <w:lang w:eastAsia="en-GB"/>
              </w:rPr>
              <w:t>–</w:t>
            </w:r>
            <w:r w:rsidRPr="007632EF">
              <w:rPr>
                <w:rFonts w:eastAsiaTheme="minorEastAsia"/>
                <w:lang w:eastAsia="en-GB"/>
              </w:rPr>
              <w:tab/>
            </w:r>
            <w:r w:rsidR="00F33064" w:rsidRPr="007632EF">
              <w:rPr>
                <w:rFonts w:eastAsiaTheme="minorEastAsia"/>
                <w:lang w:eastAsia="en-GB"/>
              </w:rPr>
              <w:t>Modérateurs</w:t>
            </w:r>
            <w:r w:rsidR="008B735C" w:rsidRPr="007632EF">
              <w:rPr>
                <w:rFonts w:eastAsiaTheme="minorEastAsia"/>
                <w:lang w:eastAsia="en-GB"/>
              </w:rPr>
              <w:t xml:space="preserve"> ad hoc pour des manifestations importantes/pics d</w:t>
            </w:r>
            <w:r w:rsidR="00380009" w:rsidRPr="007632EF">
              <w:rPr>
                <w:rFonts w:eastAsiaTheme="minorEastAsia"/>
                <w:lang w:eastAsia="en-GB"/>
              </w:rPr>
              <w:t>'</w:t>
            </w:r>
            <w:r w:rsidR="008B735C" w:rsidRPr="007632EF">
              <w:rPr>
                <w:rFonts w:eastAsiaTheme="minorEastAsia"/>
                <w:lang w:eastAsia="en-GB"/>
              </w:rPr>
              <w:t>activité</w:t>
            </w:r>
          </w:p>
        </w:tc>
        <w:tc>
          <w:tcPr>
            <w:tcW w:w="1275" w:type="dxa"/>
            <w:shd w:val="clear" w:color="auto" w:fill="auto"/>
          </w:tcPr>
          <w:p w14:paraId="7FA6F7E8" w14:textId="77777777" w:rsidR="0009607E" w:rsidRPr="007632EF" w:rsidRDefault="008C37D5" w:rsidP="00BA62C6">
            <w:pPr>
              <w:pStyle w:val="Tabletext"/>
              <w:jc w:val="right"/>
              <w:rPr>
                <w:lang w:eastAsia="en-GB"/>
              </w:rPr>
            </w:pPr>
            <w:r w:rsidRPr="007632EF">
              <w:rPr>
                <w:lang w:eastAsia="en-GB"/>
              </w:rPr>
              <w:t>200 000</w:t>
            </w:r>
          </w:p>
        </w:tc>
        <w:tc>
          <w:tcPr>
            <w:tcW w:w="3402" w:type="dxa"/>
            <w:shd w:val="clear" w:color="auto" w:fill="auto"/>
          </w:tcPr>
          <w:p w14:paraId="438171D9" w14:textId="1C240ECF" w:rsidR="0009607E" w:rsidRPr="007632EF" w:rsidRDefault="00F33064" w:rsidP="00BA62C6">
            <w:pPr>
              <w:pStyle w:val="Tabletext"/>
              <w:spacing w:after="0"/>
              <w:rPr>
                <w:lang w:eastAsia="en-GB"/>
              </w:rPr>
            </w:pPr>
            <w:r w:rsidRPr="007632EF">
              <w:rPr>
                <w:lang w:eastAsia="en-GB"/>
              </w:rPr>
              <w:t>À</w:t>
            </w:r>
            <w:r w:rsidR="00673950" w:rsidRPr="007632EF">
              <w:rPr>
                <w:lang w:eastAsia="en-GB"/>
              </w:rPr>
              <w:t xml:space="preserve"> la demande</w:t>
            </w:r>
          </w:p>
          <w:p w14:paraId="57F96154" w14:textId="4C6A23F6" w:rsidR="0009607E" w:rsidRPr="007632EF" w:rsidRDefault="004A5B4E" w:rsidP="00BA62C6">
            <w:pPr>
              <w:pStyle w:val="Tabletext"/>
              <w:spacing w:before="0"/>
              <w:rPr>
                <w:lang w:eastAsia="en-GB"/>
              </w:rPr>
            </w:pPr>
            <w:r w:rsidRPr="007632EF">
              <w:rPr>
                <w:lang w:eastAsia="en-GB"/>
              </w:rPr>
              <w:t>(200 par jour par modérateur)</w:t>
            </w:r>
          </w:p>
        </w:tc>
      </w:tr>
      <w:tr w:rsidR="002364DF" w:rsidRPr="007632EF" w14:paraId="4E1EE239" w14:textId="77777777" w:rsidTr="00273BC5">
        <w:trPr>
          <w:trHeight w:val="315"/>
        </w:trPr>
        <w:tc>
          <w:tcPr>
            <w:tcW w:w="4952" w:type="dxa"/>
            <w:shd w:val="clear" w:color="auto" w:fill="auto"/>
          </w:tcPr>
          <w:p w14:paraId="4C86FE02" w14:textId="32EA05E6" w:rsidR="0009607E" w:rsidRPr="007632EF" w:rsidRDefault="0032536A" w:rsidP="00BA62C6">
            <w:pPr>
              <w:pStyle w:val="Tabletext"/>
              <w:rPr>
                <w:b/>
                <w:lang w:eastAsia="en-GB"/>
              </w:rPr>
            </w:pPr>
            <w:r w:rsidRPr="007632EF">
              <w:rPr>
                <w:b/>
                <w:lang w:eastAsia="en-GB"/>
              </w:rPr>
              <w:t>Autres coûts de fonctionnement récurrents (annuels)</w:t>
            </w:r>
          </w:p>
        </w:tc>
        <w:tc>
          <w:tcPr>
            <w:tcW w:w="1275" w:type="dxa"/>
            <w:shd w:val="clear" w:color="auto" w:fill="auto"/>
          </w:tcPr>
          <w:p w14:paraId="71CB79FA" w14:textId="77777777" w:rsidR="0009607E" w:rsidRPr="007632EF" w:rsidRDefault="0009607E" w:rsidP="00BA62C6">
            <w:pPr>
              <w:pStyle w:val="Tabletext"/>
              <w:jc w:val="right"/>
              <w:rPr>
                <w:lang w:eastAsia="en-GB"/>
              </w:rPr>
            </w:pPr>
          </w:p>
        </w:tc>
        <w:tc>
          <w:tcPr>
            <w:tcW w:w="3402" w:type="dxa"/>
            <w:shd w:val="clear" w:color="auto" w:fill="auto"/>
          </w:tcPr>
          <w:p w14:paraId="26135133" w14:textId="77777777" w:rsidR="0009607E" w:rsidRPr="007632EF" w:rsidRDefault="0009607E" w:rsidP="00BA62C6">
            <w:pPr>
              <w:pStyle w:val="Tabletext"/>
              <w:rPr>
                <w:lang w:eastAsia="en-GB"/>
              </w:rPr>
            </w:pPr>
          </w:p>
        </w:tc>
      </w:tr>
      <w:tr w:rsidR="002364DF" w:rsidRPr="007632EF" w14:paraId="1A5EA56D" w14:textId="77777777" w:rsidTr="00273BC5">
        <w:trPr>
          <w:trHeight w:val="315"/>
        </w:trPr>
        <w:tc>
          <w:tcPr>
            <w:tcW w:w="4952" w:type="dxa"/>
            <w:shd w:val="clear" w:color="auto" w:fill="auto"/>
          </w:tcPr>
          <w:p w14:paraId="11D9969A" w14:textId="281369FA" w:rsidR="0009607E" w:rsidRPr="007632EF" w:rsidRDefault="008C37D5" w:rsidP="00BA62C6">
            <w:pPr>
              <w:pStyle w:val="Tabletext"/>
              <w:ind w:left="308" w:hanging="308"/>
              <w:rPr>
                <w:rFonts w:eastAsiaTheme="minorEastAsia"/>
                <w:lang w:eastAsia="en-GB"/>
              </w:rPr>
            </w:pPr>
            <w:r w:rsidRPr="007632EF">
              <w:rPr>
                <w:rFonts w:eastAsiaTheme="minorEastAsia"/>
                <w:lang w:eastAsia="en-GB"/>
              </w:rPr>
              <w:t>–</w:t>
            </w:r>
            <w:r w:rsidRPr="007632EF">
              <w:rPr>
                <w:rFonts w:eastAsiaTheme="minorEastAsia"/>
                <w:lang w:eastAsia="en-GB"/>
              </w:rPr>
              <w:tab/>
            </w:r>
            <w:r w:rsidR="00166765" w:rsidRPr="007632EF">
              <w:rPr>
                <w:rFonts w:eastAsiaTheme="minorEastAsia"/>
                <w:lang w:eastAsia="en-GB"/>
              </w:rPr>
              <w:t>Heures supplémentaires liées à la différence de fuseaux horaires</w:t>
            </w:r>
          </w:p>
        </w:tc>
        <w:tc>
          <w:tcPr>
            <w:tcW w:w="1275" w:type="dxa"/>
            <w:shd w:val="clear" w:color="auto" w:fill="auto"/>
          </w:tcPr>
          <w:p w14:paraId="63734904" w14:textId="7E63FD50" w:rsidR="0009607E" w:rsidRPr="007632EF" w:rsidRDefault="008A5A0E" w:rsidP="00BA62C6">
            <w:pPr>
              <w:pStyle w:val="Tabletext"/>
              <w:jc w:val="right"/>
              <w:rPr>
                <w:lang w:eastAsia="en-GB"/>
              </w:rPr>
            </w:pPr>
            <w:r w:rsidRPr="007632EF">
              <w:rPr>
                <w:color w:val="000000" w:themeColor="text1"/>
                <w:szCs w:val="22"/>
                <w:lang w:eastAsia="en-GB"/>
              </w:rPr>
              <w:t>Note</w:t>
            </w:r>
            <w:r w:rsidR="00273BC5">
              <w:rPr>
                <w:rStyle w:val="FootnoteReference"/>
                <w:color w:val="000000" w:themeColor="text1"/>
                <w:szCs w:val="22"/>
                <w:lang w:eastAsia="en-GB"/>
              </w:rPr>
              <w:footnoteReference w:id="3"/>
            </w:r>
          </w:p>
        </w:tc>
        <w:tc>
          <w:tcPr>
            <w:tcW w:w="3402" w:type="dxa"/>
            <w:shd w:val="clear" w:color="auto" w:fill="auto"/>
          </w:tcPr>
          <w:p w14:paraId="58C50BB3" w14:textId="77777777" w:rsidR="0009607E" w:rsidRPr="007632EF" w:rsidRDefault="0009607E" w:rsidP="00BA62C6">
            <w:pPr>
              <w:pStyle w:val="Tabletext"/>
              <w:rPr>
                <w:lang w:eastAsia="en-GB"/>
              </w:rPr>
            </w:pPr>
          </w:p>
        </w:tc>
      </w:tr>
      <w:tr w:rsidR="002364DF" w:rsidRPr="007632EF" w14:paraId="3F7C975B" w14:textId="77777777" w:rsidTr="00273BC5">
        <w:trPr>
          <w:trHeight w:val="315"/>
        </w:trPr>
        <w:tc>
          <w:tcPr>
            <w:tcW w:w="4952" w:type="dxa"/>
            <w:tcBorders>
              <w:top w:val="single" w:sz="4" w:space="0" w:color="auto"/>
              <w:left w:val="single" w:sz="4" w:space="0" w:color="auto"/>
              <w:bottom w:val="single" w:sz="4" w:space="0" w:color="auto"/>
              <w:right w:val="single" w:sz="4" w:space="0" w:color="auto"/>
            </w:tcBorders>
            <w:shd w:val="clear" w:color="auto" w:fill="auto"/>
          </w:tcPr>
          <w:p w14:paraId="3BFD0071" w14:textId="64C28947" w:rsidR="0009607E" w:rsidRPr="007632EF" w:rsidRDefault="008C37D5" w:rsidP="00BA62C6">
            <w:pPr>
              <w:pStyle w:val="Tabletext"/>
              <w:ind w:left="308" w:hanging="308"/>
              <w:rPr>
                <w:rFonts w:eastAsiaTheme="minorEastAsia"/>
                <w:lang w:eastAsia="en-GB"/>
              </w:rPr>
            </w:pPr>
            <w:r w:rsidRPr="007632EF">
              <w:rPr>
                <w:rFonts w:eastAsiaTheme="minorEastAsia"/>
                <w:lang w:eastAsia="en-GB"/>
              </w:rPr>
              <w:t>–</w:t>
            </w:r>
            <w:r w:rsidRPr="007632EF">
              <w:rPr>
                <w:rFonts w:eastAsiaTheme="minorEastAsia"/>
                <w:lang w:eastAsia="en-GB"/>
              </w:rPr>
              <w:tab/>
            </w:r>
            <w:r w:rsidR="00F33064" w:rsidRPr="007632EF">
              <w:rPr>
                <w:rFonts w:eastAsiaTheme="minorEastAsia"/>
                <w:lang w:eastAsia="en-GB"/>
              </w:rPr>
              <w:t>Équipe</w:t>
            </w:r>
            <w:r w:rsidR="00633BC0" w:rsidRPr="007632EF">
              <w:rPr>
                <w:rFonts w:eastAsiaTheme="minorEastAsia"/>
                <w:lang w:eastAsia="en-GB"/>
              </w:rPr>
              <w:t xml:space="preserve"> d</w:t>
            </w:r>
            <w:r w:rsidR="00380009" w:rsidRPr="007632EF">
              <w:rPr>
                <w:rFonts w:eastAsiaTheme="minorEastAsia"/>
                <w:lang w:eastAsia="en-GB"/>
              </w:rPr>
              <w:t>'</w:t>
            </w:r>
            <w:r w:rsidR="00633BC0" w:rsidRPr="007632EF">
              <w:rPr>
                <w:rFonts w:eastAsiaTheme="minorEastAsia"/>
                <w:lang w:eastAsia="en-GB"/>
              </w:rPr>
              <w:t>interprètes supplémentaire pour les séances de plus de 3 heures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406D194" w14:textId="28F02D4B" w:rsidR="0009607E" w:rsidRPr="007632EF" w:rsidRDefault="008A5A0E" w:rsidP="00BA62C6">
            <w:pPr>
              <w:pStyle w:val="Tabletext"/>
              <w:jc w:val="right"/>
              <w:rPr>
                <w:szCs w:val="22"/>
                <w:lang w:eastAsia="en-GB"/>
              </w:rPr>
            </w:pPr>
            <w:r w:rsidRPr="007632EF">
              <w:rPr>
                <w:color w:val="000000" w:themeColor="text1"/>
                <w:szCs w:val="22"/>
                <w:lang w:eastAsia="en-GB"/>
              </w:rPr>
              <w:t>Note</w:t>
            </w:r>
            <w:r w:rsidR="00273BC5">
              <w:rPr>
                <w:rStyle w:val="FootnoteReference"/>
                <w:color w:val="000000" w:themeColor="text1"/>
                <w:szCs w:val="22"/>
                <w:lang w:eastAsia="en-GB"/>
              </w:rPr>
              <w:footnoteReference w:id="4"/>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4A31580" w14:textId="0DBA5940" w:rsidR="0009607E" w:rsidRPr="007632EF" w:rsidRDefault="00BC7115" w:rsidP="00BA62C6">
            <w:pPr>
              <w:pStyle w:val="Tabletext"/>
              <w:rPr>
                <w:lang w:eastAsia="en-GB"/>
              </w:rPr>
            </w:pPr>
            <w:r w:rsidRPr="007632EF">
              <w:rPr>
                <w:lang w:eastAsia="en-GB"/>
              </w:rPr>
              <w:t>10 332 CHF par jour pour 6 langues</w:t>
            </w:r>
          </w:p>
        </w:tc>
      </w:tr>
    </w:tbl>
    <w:p w14:paraId="4176776D" w14:textId="77777777" w:rsidR="005D6701" w:rsidRPr="007632EF" w:rsidRDefault="005D6701">
      <w:pPr>
        <w:jc w:val="center"/>
      </w:pPr>
      <w:r w:rsidRPr="007632EF">
        <w:t>______________</w:t>
      </w:r>
    </w:p>
    <w:sectPr w:rsidR="005D6701" w:rsidRPr="007632EF" w:rsidSect="003A0B7D">
      <w:headerReference w:type="default" r:id="rId26"/>
      <w:footerReference w:type="default" r:id="rId27"/>
      <w:footerReference w:type="first" r:id="rId28"/>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A4B08" w14:textId="77777777" w:rsidR="007E494B" w:rsidRDefault="008C37D5">
      <w:pPr>
        <w:spacing w:before="0"/>
      </w:pPr>
      <w:r>
        <w:separator/>
      </w:r>
    </w:p>
  </w:endnote>
  <w:endnote w:type="continuationSeparator" w:id="0">
    <w:p w14:paraId="51456B8C" w14:textId="77777777" w:rsidR="007E494B" w:rsidRDefault="008C37D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56D9" w14:textId="3D69846F" w:rsidR="0009607E" w:rsidRPr="0009607E" w:rsidRDefault="008C37D5" w:rsidP="0009607E">
    <w:pPr>
      <w:pStyle w:val="Footer"/>
      <w:rPr>
        <w:lang w:val="en-US"/>
      </w:rPr>
    </w:pPr>
    <w:r w:rsidRPr="004829FA">
      <w:rPr>
        <w:color w:val="F2F2F2" w:themeColor="background1" w:themeShade="F2"/>
      </w:rPr>
      <w:fldChar w:fldCharType="begin"/>
    </w:r>
    <w:r w:rsidRPr="004829FA">
      <w:rPr>
        <w:color w:val="F2F2F2" w:themeColor="background1" w:themeShade="F2"/>
        <w:lang w:val="en-US"/>
      </w:rPr>
      <w:instrText xml:space="preserve"> FILENAME \p  \* MERGEFORMAT </w:instrText>
    </w:r>
    <w:r w:rsidRPr="004829FA">
      <w:rPr>
        <w:color w:val="F2F2F2" w:themeColor="background1" w:themeShade="F2"/>
      </w:rPr>
      <w:fldChar w:fldCharType="separate"/>
    </w:r>
    <w:r w:rsidR="00BA62C6" w:rsidRPr="004829FA">
      <w:rPr>
        <w:color w:val="F2F2F2" w:themeColor="background1" w:themeShade="F2"/>
        <w:lang w:val="en-US"/>
      </w:rPr>
      <w:t>P:\FRA\SG\CONF-SG\PP22\000\064F.docx</w:t>
    </w:r>
    <w:r w:rsidRPr="004829FA">
      <w:rPr>
        <w:color w:val="F2F2F2" w:themeColor="background1" w:themeShade="F2"/>
      </w:rPr>
      <w:fldChar w:fldCharType="end"/>
    </w:r>
    <w:r w:rsidRPr="004829FA">
      <w:rPr>
        <w:color w:val="F2F2F2" w:themeColor="background1" w:themeShade="F2"/>
        <w:lang w:val="en-US"/>
      </w:rPr>
      <w:t xml:space="preserve"> (509947)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AA48C" w14:textId="77777777" w:rsidR="000D15FB" w:rsidRDefault="008C37D5" w:rsidP="000D15FB">
    <w:pPr>
      <w:pStyle w:val="firstfooter0"/>
      <w:spacing w:before="0" w:beforeAutospacing="0" w:after="0" w:afterAutospacing="0"/>
      <w:jc w:val="center"/>
      <w:rPr>
        <w:rFonts w:ascii="Symbol" w:hAnsi="Symbol" w:hint="eastAsia"/>
        <w:sz w:val="22"/>
        <w:szCs w:val="20"/>
        <w:lang w:val="en-GB"/>
      </w:rPr>
    </w:pPr>
    <w:r w:rsidRPr="00380009">
      <w:rPr>
        <w:rFonts w:ascii="Symbol" w:hAnsi="Symbol"/>
        <w:sz w:val="22"/>
        <w:szCs w:val="20"/>
        <w:lang w:val="en-GB"/>
      </w:rPr>
      <w:sym w:font="Symbol" w:char="F0B7"/>
    </w:r>
    <w:r w:rsidRPr="00380009">
      <w:rPr>
        <w:sz w:val="20"/>
        <w:szCs w:val="20"/>
        <w:lang w:val="en-GB"/>
      </w:rPr>
      <w:t xml:space="preserve"> </w:t>
    </w:r>
    <w:bookmarkStart w:id="12" w:name="lt_pId003"/>
    <w:r w:rsidRPr="00380009">
      <w:rPr>
        <w:rStyle w:val="Hyperlink"/>
        <w:sz w:val="22"/>
        <w:szCs w:val="22"/>
        <w:lang w:val="en-GB"/>
      </w:rPr>
      <w:t>www.itu.int/plenipotentiary/</w:t>
    </w:r>
    <w:r w:rsidRPr="00380009">
      <w:rPr>
        <w:sz w:val="20"/>
        <w:szCs w:val="20"/>
        <w:lang w:val="en-GB"/>
      </w:rPr>
      <w:t xml:space="preserve"> </w:t>
    </w:r>
    <w:r w:rsidRPr="00380009">
      <w:rPr>
        <w:rFonts w:ascii="Symbol" w:hAnsi="Symbol"/>
        <w:sz w:val="22"/>
        <w:szCs w:val="20"/>
        <w:lang w:val="en-GB"/>
      </w:rPr>
      <w:sym w:font="Symbol" w:char="F0B7"/>
    </w:r>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2A72A" w14:textId="77777777" w:rsidR="004C6793" w:rsidRDefault="008C37D5">
      <w:r>
        <w:t>____________________</w:t>
      </w:r>
    </w:p>
  </w:footnote>
  <w:footnote w:type="continuationSeparator" w:id="0">
    <w:p w14:paraId="13551CAD" w14:textId="77777777" w:rsidR="004C6793" w:rsidRDefault="008C37D5">
      <w:r>
        <w:continuationSeparator/>
      </w:r>
    </w:p>
  </w:footnote>
  <w:footnote w:id="1">
    <w:p w14:paraId="1566C3EE" w14:textId="28707546" w:rsidR="00D606F3" w:rsidRDefault="00D606F3">
      <w:pPr>
        <w:pStyle w:val="FootnoteText"/>
      </w:pPr>
      <w:r>
        <w:rPr>
          <w:rStyle w:val="FootnoteReference"/>
        </w:rPr>
        <w:footnoteRef/>
      </w:r>
      <w:r>
        <w:t xml:space="preserve"> </w:t>
      </w:r>
      <w:r>
        <w:tab/>
      </w:r>
      <w:r w:rsidRPr="00AD7C95">
        <w:rPr>
          <w:sz w:val="20"/>
          <w:szCs w:val="16"/>
        </w:rPr>
        <w:t>Le nombre de participants à distance et le nombre total de participants constituent des statistiques non officielles, dans la mesure où l</w:t>
      </w:r>
      <w:r>
        <w:rPr>
          <w:sz w:val="20"/>
          <w:szCs w:val="16"/>
        </w:rPr>
        <w:t>'</w:t>
      </w:r>
      <w:r w:rsidRPr="00AD7C95">
        <w:rPr>
          <w:sz w:val="20"/>
          <w:szCs w:val="16"/>
        </w:rPr>
        <w:t>accès à la salle virtuelle ne s</w:t>
      </w:r>
      <w:r>
        <w:rPr>
          <w:sz w:val="20"/>
          <w:szCs w:val="16"/>
        </w:rPr>
        <w:t>'</w:t>
      </w:r>
      <w:r w:rsidRPr="00AD7C95">
        <w:rPr>
          <w:sz w:val="20"/>
          <w:szCs w:val="16"/>
        </w:rPr>
        <w:t>effectuait pas au moyen du portail de l</w:t>
      </w:r>
      <w:r>
        <w:rPr>
          <w:sz w:val="20"/>
          <w:szCs w:val="16"/>
        </w:rPr>
        <w:t>'</w:t>
      </w:r>
      <w:r w:rsidRPr="00AD7C95">
        <w:rPr>
          <w:sz w:val="20"/>
          <w:szCs w:val="16"/>
        </w:rPr>
        <w:t>UIT.</w:t>
      </w:r>
    </w:p>
  </w:footnote>
  <w:footnote w:id="2">
    <w:p w14:paraId="5CA397A5" w14:textId="1EBCC0F4" w:rsidR="00D606F3" w:rsidRDefault="00D606F3">
      <w:pPr>
        <w:pStyle w:val="FootnoteText"/>
      </w:pPr>
      <w:r>
        <w:rPr>
          <w:rStyle w:val="FootnoteReference"/>
        </w:rPr>
        <w:footnoteRef/>
      </w:r>
      <w:r>
        <w:t xml:space="preserve"> </w:t>
      </w:r>
      <w:r>
        <w:tab/>
      </w:r>
      <w:r w:rsidRPr="00244792">
        <w:rPr>
          <w:sz w:val="20"/>
        </w:rPr>
        <w:t>Groupe de travail interne de l</w:t>
      </w:r>
      <w:r>
        <w:rPr>
          <w:sz w:val="20"/>
        </w:rPr>
        <w:t>'</w:t>
      </w:r>
      <w:r w:rsidRPr="00244792">
        <w:rPr>
          <w:sz w:val="20"/>
        </w:rPr>
        <w:t>UIT créé en avril 2020 à la suite de l</w:t>
      </w:r>
      <w:r>
        <w:rPr>
          <w:sz w:val="20"/>
        </w:rPr>
        <w:t>'</w:t>
      </w:r>
      <w:r w:rsidRPr="00244792">
        <w:rPr>
          <w:sz w:val="20"/>
        </w:rPr>
        <w:t>adoption généralisée des plates-formes de conférence sur le web dans le contexte de la pandémie de COVID-19, afin d</w:t>
      </w:r>
      <w:r>
        <w:rPr>
          <w:sz w:val="20"/>
        </w:rPr>
        <w:t>'</w:t>
      </w:r>
      <w:r w:rsidRPr="00244792">
        <w:rPr>
          <w:sz w:val="20"/>
        </w:rPr>
        <w:t xml:space="preserve">identifier de bonnes pratiques ainsi que de nouveaux processus et de nouvelles procédures pour </w:t>
      </w:r>
      <w:r>
        <w:rPr>
          <w:sz w:val="20"/>
        </w:rPr>
        <w:t>permettre</w:t>
      </w:r>
      <w:r w:rsidRPr="00244792">
        <w:rPr>
          <w:sz w:val="20"/>
        </w:rPr>
        <w:t xml:space="preserve"> les réunions et les manifestations virtuelles avec</w:t>
      </w:r>
      <w:r>
        <w:rPr>
          <w:sz w:val="20"/>
        </w:rPr>
        <w:t xml:space="preserve"> </w:t>
      </w:r>
      <w:r w:rsidRPr="00244792">
        <w:rPr>
          <w:sz w:val="20"/>
        </w:rPr>
        <w:t>participation à distance.</w:t>
      </w:r>
    </w:p>
  </w:footnote>
  <w:footnote w:id="3">
    <w:p w14:paraId="1ACCE492" w14:textId="7113A54F" w:rsidR="00273BC5" w:rsidRDefault="00273BC5">
      <w:pPr>
        <w:pStyle w:val="FootnoteText"/>
      </w:pPr>
      <w:r>
        <w:rPr>
          <w:rStyle w:val="FootnoteReference"/>
        </w:rPr>
        <w:footnoteRef/>
      </w:r>
      <w:r>
        <w:t xml:space="preserve"> </w:t>
      </w:r>
      <w:r>
        <w:tab/>
      </w:r>
      <w:r w:rsidRPr="00244792">
        <w:rPr>
          <w:sz w:val="20"/>
          <w:szCs w:val="16"/>
        </w:rPr>
        <w:t>Montant à inscrire au budget en fonction des besoins liées à la manifestation et si un appui peut être fourni sur le terrain ou au siège.</w:t>
      </w:r>
    </w:p>
  </w:footnote>
  <w:footnote w:id="4">
    <w:p w14:paraId="5FDA865B" w14:textId="58AFB8CC" w:rsidR="00273BC5" w:rsidRDefault="00273BC5">
      <w:pPr>
        <w:pStyle w:val="FootnoteText"/>
      </w:pPr>
      <w:r>
        <w:rPr>
          <w:rStyle w:val="FootnoteReference"/>
        </w:rPr>
        <w:footnoteRef/>
      </w:r>
      <w:r>
        <w:t xml:space="preserve"> </w:t>
      </w:r>
      <w:r>
        <w:tab/>
      </w:r>
      <w:r w:rsidRPr="00394A14">
        <w:rPr>
          <w:sz w:val="20"/>
          <w:szCs w:val="16"/>
        </w:rPr>
        <w:t>Montant à inscrire au budget en fonction des besoins liées à la manifestation.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9D10E" w14:textId="672E62A4" w:rsidR="00BD1614" w:rsidRDefault="008C37D5" w:rsidP="00BD1614">
    <w:pPr>
      <w:pStyle w:val="Header"/>
    </w:pPr>
    <w:r>
      <w:fldChar w:fldCharType="begin"/>
    </w:r>
    <w:r>
      <w:instrText xml:space="preserve"> PAGE </w:instrText>
    </w:r>
    <w:r>
      <w:fldChar w:fldCharType="separate"/>
    </w:r>
    <w:r w:rsidR="00BA62C6">
      <w:rPr>
        <w:noProof/>
      </w:rPr>
      <w:t>12</w:t>
    </w:r>
    <w:r>
      <w:fldChar w:fldCharType="end"/>
    </w:r>
  </w:p>
  <w:p w14:paraId="0D9600E6" w14:textId="77777777" w:rsidR="00BD1614" w:rsidRDefault="00420EF8" w:rsidP="001E2226">
    <w:pPr>
      <w:pStyle w:val="Header"/>
    </w:pPr>
    <w:bookmarkStart w:id="11" w:name="lt_pId000"/>
    <w:r>
      <w:t>PP22/64-F</w:t>
    </w:r>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7666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546F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5C98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E88F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128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78C1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2815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F628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6A7A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083B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B55256"/>
    <w:multiLevelType w:val="hybridMultilevel"/>
    <w:tmpl w:val="5CD25226"/>
    <w:lvl w:ilvl="0" w:tplc="1220B268">
      <w:start w:val="1"/>
      <w:numFmt w:val="bullet"/>
      <w:lvlText w:val=""/>
      <w:lvlJc w:val="left"/>
      <w:pPr>
        <w:ind w:left="862" w:hanging="360"/>
      </w:pPr>
      <w:rPr>
        <w:rFonts w:ascii="Symbol" w:hAnsi="Symbol" w:hint="default"/>
      </w:rPr>
    </w:lvl>
    <w:lvl w:ilvl="1" w:tplc="AEB8632A" w:tentative="1">
      <w:start w:val="1"/>
      <w:numFmt w:val="bullet"/>
      <w:lvlText w:val="o"/>
      <w:lvlJc w:val="left"/>
      <w:pPr>
        <w:ind w:left="1582" w:hanging="360"/>
      </w:pPr>
      <w:rPr>
        <w:rFonts w:ascii="Courier New" w:hAnsi="Courier New" w:cs="Courier New" w:hint="default"/>
      </w:rPr>
    </w:lvl>
    <w:lvl w:ilvl="2" w:tplc="D7AA3FEC" w:tentative="1">
      <w:start w:val="1"/>
      <w:numFmt w:val="bullet"/>
      <w:lvlText w:val=""/>
      <w:lvlJc w:val="left"/>
      <w:pPr>
        <w:ind w:left="2302" w:hanging="360"/>
      </w:pPr>
      <w:rPr>
        <w:rFonts w:ascii="Wingdings" w:hAnsi="Wingdings" w:hint="default"/>
      </w:rPr>
    </w:lvl>
    <w:lvl w:ilvl="3" w:tplc="B52CCA48" w:tentative="1">
      <w:start w:val="1"/>
      <w:numFmt w:val="bullet"/>
      <w:lvlText w:val=""/>
      <w:lvlJc w:val="left"/>
      <w:pPr>
        <w:ind w:left="3022" w:hanging="360"/>
      </w:pPr>
      <w:rPr>
        <w:rFonts w:ascii="Symbol" w:hAnsi="Symbol" w:hint="default"/>
      </w:rPr>
    </w:lvl>
    <w:lvl w:ilvl="4" w:tplc="DA4665C2" w:tentative="1">
      <w:start w:val="1"/>
      <w:numFmt w:val="bullet"/>
      <w:lvlText w:val="o"/>
      <w:lvlJc w:val="left"/>
      <w:pPr>
        <w:ind w:left="3742" w:hanging="360"/>
      </w:pPr>
      <w:rPr>
        <w:rFonts w:ascii="Courier New" w:hAnsi="Courier New" w:cs="Courier New" w:hint="default"/>
      </w:rPr>
    </w:lvl>
    <w:lvl w:ilvl="5" w:tplc="3236C0CC" w:tentative="1">
      <w:start w:val="1"/>
      <w:numFmt w:val="bullet"/>
      <w:lvlText w:val=""/>
      <w:lvlJc w:val="left"/>
      <w:pPr>
        <w:ind w:left="4462" w:hanging="360"/>
      </w:pPr>
      <w:rPr>
        <w:rFonts w:ascii="Wingdings" w:hAnsi="Wingdings" w:hint="default"/>
      </w:rPr>
    </w:lvl>
    <w:lvl w:ilvl="6" w:tplc="0CD6E0C4" w:tentative="1">
      <w:start w:val="1"/>
      <w:numFmt w:val="bullet"/>
      <w:lvlText w:val=""/>
      <w:lvlJc w:val="left"/>
      <w:pPr>
        <w:ind w:left="5182" w:hanging="360"/>
      </w:pPr>
      <w:rPr>
        <w:rFonts w:ascii="Symbol" w:hAnsi="Symbol" w:hint="default"/>
      </w:rPr>
    </w:lvl>
    <w:lvl w:ilvl="7" w:tplc="41B4EF9A" w:tentative="1">
      <w:start w:val="1"/>
      <w:numFmt w:val="bullet"/>
      <w:lvlText w:val="o"/>
      <w:lvlJc w:val="left"/>
      <w:pPr>
        <w:ind w:left="5902" w:hanging="360"/>
      </w:pPr>
      <w:rPr>
        <w:rFonts w:ascii="Courier New" w:hAnsi="Courier New" w:cs="Courier New" w:hint="default"/>
      </w:rPr>
    </w:lvl>
    <w:lvl w:ilvl="8" w:tplc="81EE1B30" w:tentative="1">
      <w:start w:val="1"/>
      <w:numFmt w:val="bullet"/>
      <w:lvlText w:val=""/>
      <w:lvlJc w:val="left"/>
      <w:pPr>
        <w:ind w:left="6622" w:hanging="360"/>
      </w:pPr>
      <w:rPr>
        <w:rFonts w:ascii="Wingdings" w:hAnsi="Wingdings" w:hint="default"/>
      </w:rPr>
    </w:lvl>
  </w:abstractNum>
  <w:abstractNum w:abstractNumId="11" w15:restartNumberingAfterBreak="0">
    <w:nsid w:val="359255E0"/>
    <w:multiLevelType w:val="hybridMultilevel"/>
    <w:tmpl w:val="C1020CF8"/>
    <w:lvl w:ilvl="0" w:tplc="33744094">
      <w:start w:val="1"/>
      <w:numFmt w:val="decimal"/>
      <w:lvlText w:val="%1."/>
      <w:lvlJc w:val="left"/>
      <w:pPr>
        <w:ind w:left="360" w:hanging="360"/>
      </w:pPr>
      <w:rPr>
        <w:rFonts w:hint="default"/>
      </w:rPr>
    </w:lvl>
    <w:lvl w:ilvl="1" w:tplc="E688888E">
      <w:start w:val="1"/>
      <w:numFmt w:val="lowerLetter"/>
      <w:lvlText w:val="%2."/>
      <w:lvlJc w:val="left"/>
      <w:pPr>
        <w:ind w:left="1080" w:hanging="360"/>
      </w:pPr>
    </w:lvl>
    <w:lvl w:ilvl="2" w:tplc="3970CB9A" w:tentative="1">
      <w:start w:val="1"/>
      <w:numFmt w:val="lowerRoman"/>
      <w:lvlText w:val="%3."/>
      <w:lvlJc w:val="right"/>
      <w:pPr>
        <w:ind w:left="1800" w:hanging="180"/>
      </w:pPr>
    </w:lvl>
    <w:lvl w:ilvl="3" w:tplc="88300C74" w:tentative="1">
      <w:start w:val="1"/>
      <w:numFmt w:val="decimal"/>
      <w:lvlText w:val="%4."/>
      <w:lvlJc w:val="left"/>
      <w:pPr>
        <w:ind w:left="2520" w:hanging="360"/>
      </w:pPr>
    </w:lvl>
    <w:lvl w:ilvl="4" w:tplc="12861F48" w:tentative="1">
      <w:start w:val="1"/>
      <w:numFmt w:val="lowerLetter"/>
      <w:lvlText w:val="%5."/>
      <w:lvlJc w:val="left"/>
      <w:pPr>
        <w:ind w:left="3240" w:hanging="360"/>
      </w:pPr>
    </w:lvl>
    <w:lvl w:ilvl="5" w:tplc="7B304782" w:tentative="1">
      <w:start w:val="1"/>
      <w:numFmt w:val="lowerRoman"/>
      <w:lvlText w:val="%6."/>
      <w:lvlJc w:val="right"/>
      <w:pPr>
        <w:ind w:left="3960" w:hanging="180"/>
      </w:pPr>
    </w:lvl>
    <w:lvl w:ilvl="6" w:tplc="AB2E91AA" w:tentative="1">
      <w:start w:val="1"/>
      <w:numFmt w:val="decimal"/>
      <w:lvlText w:val="%7."/>
      <w:lvlJc w:val="left"/>
      <w:pPr>
        <w:ind w:left="4680" w:hanging="360"/>
      </w:pPr>
    </w:lvl>
    <w:lvl w:ilvl="7" w:tplc="B0AE7586" w:tentative="1">
      <w:start w:val="1"/>
      <w:numFmt w:val="lowerLetter"/>
      <w:lvlText w:val="%8."/>
      <w:lvlJc w:val="left"/>
      <w:pPr>
        <w:ind w:left="5400" w:hanging="360"/>
      </w:pPr>
    </w:lvl>
    <w:lvl w:ilvl="8" w:tplc="1CB0CF38" w:tentative="1">
      <w:start w:val="1"/>
      <w:numFmt w:val="lowerRoman"/>
      <w:lvlText w:val="%9."/>
      <w:lvlJc w:val="right"/>
      <w:pPr>
        <w:ind w:left="6120" w:hanging="180"/>
      </w:pPr>
    </w:lvl>
  </w:abstractNum>
  <w:abstractNum w:abstractNumId="12" w15:restartNumberingAfterBreak="0">
    <w:nsid w:val="37740AEE"/>
    <w:multiLevelType w:val="multilevel"/>
    <w:tmpl w:val="4D38D8D8"/>
    <w:lvl w:ilvl="0">
      <w:start w:val="1"/>
      <w:numFmt w:val="decimal"/>
      <w:lvlText w:val="%1."/>
      <w:lvlJc w:val="left"/>
      <w:pPr>
        <w:ind w:left="4785" w:hanging="442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ADF4F84"/>
    <w:multiLevelType w:val="hybridMultilevel"/>
    <w:tmpl w:val="9E4AE7B8"/>
    <w:lvl w:ilvl="0" w:tplc="37ECE074">
      <w:start w:val="1"/>
      <w:numFmt w:val="bullet"/>
      <w:lvlText w:val=""/>
      <w:lvlJc w:val="left"/>
      <w:pPr>
        <w:ind w:left="720" w:hanging="360"/>
      </w:pPr>
      <w:rPr>
        <w:rFonts w:ascii="Symbol" w:hAnsi="Symbol" w:hint="default"/>
      </w:rPr>
    </w:lvl>
    <w:lvl w:ilvl="1" w:tplc="59F2F0E8" w:tentative="1">
      <w:start w:val="1"/>
      <w:numFmt w:val="bullet"/>
      <w:lvlText w:val="o"/>
      <w:lvlJc w:val="left"/>
      <w:pPr>
        <w:ind w:left="1440" w:hanging="360"/>
      </w:pPr>
      <w:rPr>
        <w:rFonts w:ascii="Courier New" w:hAnsi="Courier New" w:cs="Courier New" w:hint="default"/>
      </w:rPr>
    </w:lvl>
    <w:lvl w:ilvl="2" w:tplc="AB266E5A" w:tentative="1">
      <w:start w:val="1"/>
      <w:numFmt w:val="bullet"/>
      <w:lvlText w:val=""/>
      <w:lvlJc w:val="left"/>
      <w:pPr>
        <w:ind w:left="2160" w:hanging="360"/>
      </w:pPr>
      <w:rPr>
        <w:rFonts w:ascii="Wingdings" w:hAnsi="Wingdings" w:hint="default"/>
      </w:rPr>
    </w:lvl>
    <w:lvl w:ilvl="3" w:tplc="F9D873DE" w:tentative="1">
      <w:start w:val="1"/>
      <w:numFmt w:val="bullet"/>
      <w:lvlText w:val=""/>
      <w:lvlJc w:val="left"/>
      <w:pPr>
        <w:ind w:left="2880" w:hanging="360"/>
      </w:pPr>
      <w:rPr>
        <w:rFonts w:ascii="Symbol" w:hAnsi="Symbol" w:hint="default"/>
      </w:rPr>
    </w:lvl>
    <w:lvl w:ilvl="4" w:tplc="8494C870" w:tentative="1">
      <w:start w:val="1"/>
      <w:numFmt w:val="bullet"/>
      <w:lvlText w:val="o"/>
      <w:lvlJc w:val="left"/>
      <w:pPr>
        <w:ind w:left="3600" w:hanging="360"/>
      </w:pPr>
      <w:rPr>
        <w:rFonts w:ascii="Courier New" w:hAnsi="Courier New" w:cs="Courier New" w:hint="default"/>
      </w:rPr>
    </w:lvl>
    <w:lvl w:ilvl="5" w:tplc="26A4AA7E" w:tentative="1">
      <w:start w:val="1"/>
      <w:numFmt w:val="bullet"/>
      <w:lvlText w:val=""/>
      <w:lvlJc w:val="left"/>
      <w:pPr>
        <w:ind w:left="4320" w:hanging="360"/>
      </w:pPr>
      <w:rPr>
        <w:rFonts w:ascii="Wingdings" w:hAnsi="Wingdings" w:hint="default"/>
      </w:rPr>
    </w:lvl>
    <w:lvl w:ilvl="6" w:tplc="156E6282" w:tentative="1">
      <w:start w:val="1"/>
      <w:numFmt w:val="bullet"/>
      <w:lvlText w:val=""/>
      <w:lvlJc w:val="left"/>
      <w:pPr>
        <w:ind w:left="5040" w:hanging="360"/>
      </w:pPr>
      <w:rPr>
        <w:rFonts w:ascii="Symbol" w:hAnsi="Symbol" w:hint="default"/>
      </w:rPr>
    </w:lvl>
    <w:lvl w:ilvl="7" w:tplc="AB740678" w:tentative="1">
      <w:start w:val="1"/>
      <w:numFmt w:val="bullet"/>
      <w:lvlText w:val="o"/>
      <w:lvlJc w:val="left"/>
      <w:pPr>
        <w:ind w:left="5760" w:hanging="360"/>
      </w:pPr>
      <w:rPr>
        <w:rFonts w:ascii="Courier New" w:hAnsi="Courier New" w:cs="Courier New" w:hint="default"/>
      </w:rPr>
    </w:lvl>
    <w:lvl w:ilvl="8" w:tplc="6DD4C240" w:tentative="1">
      <w:start w:val="1"/>
      <w:numFmt w:val="bullet"/>
      <w:lvlText w:val=""/>
      <w:lvlJc w:val="left"/>
      <w:pPr>
        <w:ind w:left="6480" w:hanging="360"/>
      </w:pPr>
      <w:rPr>
        <w:rFonts w:ascii="Wingdings" w:hAnsi="Wingdings" w:hint="default"/>
      </w:rPr>
    </w:lvl>
  </w:abstractNum>
  <w:abstractNum w:abstractNumId="14" w15:restartNumberingAfterBreak="0">
    <w:nsid w:val="45147DB8"/>
    <w:multiLevelType w:val="hybridMultilevel"/>
    <w:tmpl w:val="FFFFFFFF"/>
    <w:lvl w:ilvl="0" w:tplc="8402E120">
      <w:start w:val="1"/>
      <w:numFmt w:val="decimal"/>
      <w:lvlText w:val="%1."/>
      <w:lvlJc w:val="left"/>
      <w:pPr>
        <w:ind w:left="720" w:hanging="360"/>
      </w:pPr>
    </w:lvl>
    <w:lvl w:ilvl="1" w:tplc="0464D88E">
      <w:start w:val="1"/>
      <w:numFmt w:val="lowerLetter"/>
      <w:lvlText w:val="%2."/>
      <w:lvlJc w:val="left"/>
      <w:pPr>
        <w:ind w:left="1440" w:hanging="360"/>
      </w:pPr>
    </w:lvl>
    <w:lvl w:ilvl="2" w:tplc="3B8AA434">
      <w:start w:val="1"/>
      <w:numFmt w:val="lowerRoman"/>
      <w:lvlText w:val="%3."/>
      <w:lvlJc w:val="right"/>
      <w:pPr>
        <w:ind w:left="2160" w:hanging="180"/>
      </w:pPr>
    </w:lvl>
    <w:lvl w:ilvl="3" w:tplc="FF0AB986">
      <w:start w:val="1"/>
      <w:numFmt w:val="decimal"/>
      <w:lvlText w:val="%4."/>
      <w:lvlJc w:val="left"/>
      <w:pPr>
        <w:ind w:left="2880" w:hanging="360"/>
      </w:pPr>
    </w:lvl>
    <w:lvl w:ilvl="4" w:tplc="FE5CB1AA">
      <w:start w:val="1"/>
      <w:numFmt w:val="lowerLetter"/>
      <w:lvlText w:val="%5."/>
      <w:lvlJc w:val="left"/>
      <w:pPr>
        <w:ind w:left="3600" w:hanging="360"/>
      </w:pPr>
    </w:lvl>
    <w:lvl w:ilvl="5" w:tplc="518E192C">
      <w:start w:val="1"/>
      <w:numFmt w:val="lowerRoman"/>
      <w:lvlText w:val="%6."/>
      <w:lvlJc w:val="right"/>
      <w:pPr>
        <w:ind w:left="4320" w:hanging="180"/>
      </w:pPr>
    </w:lvl>
    <w:lvl w:ilvl="6" w:tplc="33C8EF52">
      <w:start w:val="1"/>
      <w:numFmt w:val="decimal"/>
      <w:lvlText w:val="%7."/>
      <w:lvlJc w:val="left"/>
      <w:pPr>
        <w:ind w:left="5040" w:hanging="360"/>
      </w:pPr>
    </w:lvl>
    <w:lvl w:ilvl="7" w:tplc="B3B85086">
      <w:start w:val="1"/>
      <w:numFmt w:val="lowerLetter"/>
      <w:lvlText w:val="%8."/>
      <w:lvlJc w:val="left"/>
      <w:pPr>
        <w:ind w:left="5760" w:hanging="360"/>
      </w:pPr>
    </w:lvl>
    <w:lvl w:ilvl="8" w:tplc="B980EA3C">
      <w:start w:val="1"/>
      <w:numFmt w:val="lowerRoman"/>
      <w:lvlText w:val="%9."/>
      <w:lvlJc w:val="right"/>
      <w:pPr>
        <w:ind w:left="6480" w:hanging="180"/>
      </w:pPr>
    </w:lvl>
  </w:abstractNum>
  <w:abstractNum w:abstractNumId="15" w15:restartNumberingAfterBreak="0">
    <w:nsid w:val="629106C9"/>
    <w:multiLevelType w:val="hybridMultilevel"/>
    <w:tmpl w:val="D2F80B84"/>
    <w:lvl w:ilvl="0" w:tplc="B0E25A16">
      <w:start w:val="1"/>
      <w:numFmt w:val="bullet"/>
      <w:lvlText w:val=""/>
      <w:lvlJc w:val="left"/>
      <w:pPr>
        <w:ind w:left="720" w:hanging="360"/>
      </w:pPr>
      <w:rPr>
        <w:rFonts w:ascii="Symbol" w:hAnsi="Symbol" w:hint="default"/>
      </w:rPr>
    </w:lvl>
    <w:lvl w:ilvl="1" w:tplc="510460AA">
      <w:start w:val="1"/>
      <w:numFmt w:val="bullet"/>
      <w:lvlText w:val="o"/>
      <w:lvlJc w:val="left"/>
      <w:pPr>
        <w:ind w:left="1440" w:hanging="360"/>
      </w:pPr>
      <w:rPr>
        <w:rFonts w:ascii="Courier New" w:hAnsi="Courier New" w:hint="default"/>
      </w:rPr>
    </w:lvl>
    <w:lvl w:ilvl="2" w:tplc="C2F0F6F2">
      <w:start w:val="1"/>
      <w:numFmt w:val="bullet"/>
      <w:lvlText w:val=""/>
      <w:lvlJc w:val="left"/>
      <w:pPr>
        <w:ind w:left="2160" w:hanging="360"/>
      </w:pPr>
      <w:rPr>
        <w:rFonts w:ascii="Wingdings" w:hAnsi="Wingdings" w:hint="default"/>
      </w:rPr>
    </w:lvl>
    <w:lvl w:ilvl="3" w:tplc="4C20CDDE">
      <w:start w:val="1"/>
      <w:numFmt w:val="bullet"/>
      <w:lvlText w:val=""/>
      <w:lvlJc w:val="left"/>
      <w:pPr>
        <w:ind w:left="2880" w:hanging="360"/>
      </w:pPr>
      <w:rPr>
        <w:rFonts w:ascii="Symbol" w:hAnsi="Symbol" w:hint="default"/>
      </w:rPr>
    </w:lvl>
    <w:lvl w:ilvl="4" w:tplc="7CE4DBC0">
      <w:start w:val="1"/>
      <w:numFmt w:val="bullet"/>
      <w:lvlText w:val="o"/>
      <w:lvlJc w:val="left"/>
      <w:pPr>
        <w:ind w:left="3600" w:hanging="360"/>
      </w:pPr>
      <w:rPr>
        <w:rFonts w:ascii="Courier New" w:hAnsi="Courier New" w:hint="default"/>
      </w:rPr>
    </w:lvl>
    <w:lvl w:ilvl="5" w:tplc="E1007414">
      <w:start w:val="1"/>
      <w:numFmt w:val="bullet"/>
      <w:lvlText w:val=""/>
      <w:lvlJc w:val="left"/>
      <w:pPr>
        <w:ind w:left="4320" w:hanging="360"/>
      </w:pPr>
      <w:rPr>
        <w:rFonts w:ascii="Wingdings" w:hAnsi="Wingdings" w:hint="default"/>
      </w:rPr>
    </w:lvl>
    <w:lvl w:ilvl="6" w:tplc="A8D80590">
      <w:start w:val="1"/>
      <w:numFmt w:val="bullet"/>
      <w:lvlText w:val=""/>
      <w:lvlJc w:val="left"/>
      <w:pPr>
        <w:ind w:left="5040" w:hanging="360"/>
      </w:pPr>
      <w:rPr>
        <w:rFonts w:ascii="Symbol" w:hAnsi="Symbol" w:hint="default"/>
      </w:rPr>
    </w:lvl>
    <w:lvl w:ilvl="7" w:tplc="AACE0FC0">
      <w:start w:val="1"/>
      <w:numFmt w:val="bullet"/>
      <w:lvlText w:val="o"/>
      <w:lvlJc w:val="left"/>
      <w:pPr>
        <w:ind w:left="5760" w:hanging="360"/>
      </w:pPr>
      <w:rPr>
        <w:rFonts w:ascii="Courier New" w:hAnsi="Courier New" w:hint="default"/>
      </w:rPr>
    </w:lvl>
    <w:lvl w:ilvl="8" w:tplc="8B8AD5DE">
      <w:start w:val="1"/>
      <w:numFmt w:val="bullet"/>
      <w:lvlText w:val=""/>
      <w:lvlJc w:val="left"/>
      <w:pPr>
        <w:ind w:left="6480" w:hanging="360"/>
      </w:pPr>
      <w:rPr>
        <w:rFonts w:ascii="Wingdings" w:hAnsi="Wingdings" w:hint="default"/>
      </w:rPr>
    </w:lvl>
  </w:abstractNum>
  <w:abstractNum w:abstractNumId="16" w15:restartNumberingAfterBreak="0">
    <w:nsid w:val="68E01A03"/>
    <w:multiLevelType w:val="multilevel"/>
    <w:tmpl w:val="4B8811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11E6E36"/>
    <w:multiLevelType w:val="hybridMultilevel"/>
    <w:tmpl w:val="28E2AAA2"/>
    <w:lvl w:ilvl="0" w:tplc="D70A2A0E">
      <w:start w:val="2"/>
      <w:numFmt w:val="bullet"/>
      <w:lvlText w:val="-"/>
      <w:lvlJc w:val="left"/>
      <w:pPr>
        <w:ind w:left="720" w:hanging="360"/>
      </w:pPr>
      <w:rPr>
        <w:rFonts w:ascii="Calibri" w:eastAsia="Times New Roman" w:hAnsi="Calibri" w:cs="Calibri" w:hint="default"/>
      </w:rPr>
    </w:lvl>
    <w:lvl w:ilvl="1" w:tplc="D7FC5EC2" w:tentative="1">
      <w:start w:val="1"/>
      <w:numFmt w:val="bullet"/>
      <w:lvlText w:val="o"/>
      <w:lvlJc w:val="left"/>
      <w:pPr>
        <w:ind w:left="1440" w:hanging="360"/>
      </w:pPr>
      <w:rPr>
        <w:rFonts w:ascii="Courier New" w:hAnsi="Courier New" w:cs="Courier New" w:hint="default"/>
      </w:rPr>
    </w:lvl>
    <w:lvl w:ilvl="2" w:tplc="A648969C" w:tentative="1">
      <w:start w:val="1"/>
      <w:numFmt w:val="bullet"/>
      <w:lvlText w:val=""/>
      <w:lvlJc w:val="left"/>
      <w:pPr>
        <w:ind w:left="2160" w:hanging="360"/>
      </w:pPr>
      <w:rPr>
        <w:rFonts w:ascii="Wingdings" w:hAnsi="Wingdings" w:hint="default"/>
      </w:rPr>
    </w:lvl>
    <w:lvl w:ilvl="3" w:tplc="6C1E570E" w:tentative="1">
      <w:start w:val="1"/>
      <w:numFmt w:val="bullet"/>
      <w:lvlText w:val=""/>
      <w:lvlJc w:val="left"/>
      <w:pPr>
        <w:ind w:left="2880" w:hanging="360"/>
      </w:pPr>
      <w:rPr>
        <w:rFonts w:ascii="Symbol" w:hAnsi="Symbol" w:hint="default"/>
      </w:rPr>
    </w:lvl>
    <w:lvl w:ilvl="4" w:tplc="324052A2" w:tentative="1">
      <w:start w:val="1"/>
      <w:numFmt w:val="bullet"/>
      <w:lvlText w:val="o"/>
      <w:lvlJc w:val="left"/>
      <w:pPr>
        <w:ind w:left="3600" w:hanging="360"/>
      </w:pPr>
      <w:rPr>
        <w:rFonts w:ascii="Courier New" w:hAnsi="Courier New" w:cs="Courier New" w:hint="default"/>
      </w:rPr>
    </w:lvl>
    <w:lvl w:ilvl="5" w:tplc="92067484" w:tentative="1">
      <w:start w:val="1"/>
      <w:numFmt w:val="bullet"/>
      <w:lvlText w:val=""/>
      <w:lvlJc w:val="left"/>
      <w:pPr>
        <w:ind w:left="4320" w:hanging="360"/>
      </w:pPr>
      <w:rPr>
        <w:rFonts w:ascii="Wingdings" w:hAnsi="Wingdings" w:hint="default"/>
      </w:rPr>
    </w:lvl>
    <w:lvl w:ilvl="6" w:tplc="497A4EE6" w:tentative="1">
      <w:start w:val="1"/>
      <w:numFmt w:val="bullet"/>
      <w:lvlText w:val=""/>
      <w:lvlJc w:val="left"/>
      <w:pPr>
        <w:ind w:left="5040" w:hanging="360"/>
      </w:pPr>
      <w:rPr>
        <w:rFonts w:ascii="Symbol" w:hAnsi="Symbol" w:hint="default"/>
      </w:rPr>
    </w:lvl>
    <w:lvl w:ilvl="7" w:tplc="53A2F82C" w:tentative="1">
      <w:start w:val="1"/>
      <w:numFmt w:val="bullet"/>
      <w:lvlText w:val="o"/>
      <w:lvlJc w:val="left"/>
      <w:pPr>
        <w:ind w:left="5760" w:hanging="360"/>
      </w:pPr>
      <w:rPr>
        <w:rFonts w:ascii="Courier New" w:hAnsi="Courier New" w:cs="Courier New" w:hint="default"/>
      </w:rPr>
    </w:lvl>
    <w:lvl w:ilvl="8" w:tplc="7C008610" w:tentative="1">
      <w:start w:val="1"/>
      <w:numFmt w:val="bullet"/>
      <w:lvlText w:val=""/>
      <w:lvlJc w:val="left"/>
      <w:pPr>
        <w:ind w:left="6480" w:hanging="360"/>
      </w:pPr>
      <w:rPr>
        <w:rFonts w:ascii="Wingdings" w:hAnsi="Wingdings" w:hint="default"/>
      </w:rPr>
    </w:lvl>
  </w:abstractNum>
  <w:num w:numId="1" w16cid:durableId="2037383966">
    <w:abstractNumId w:val="9"/>
  </w:num>
  <w:num w:numId="2" w16cid:durableId="1352344506">
    <w:abstractNumId w:val="7"/>
  </w:num>
  <w:num w:numId="3" w16cid:durableId="2040158999">
    <w:abstractNumId w:val="6"/>
  </w:num>
  <w:num w:numId="4" w16cid:durableId="1270238825">
    <w:abstractNumId w:val="5"/>
  </w:num>
  <w:num w:numId="5" w16cid:durableId="162399211">
    <w:abstractNumId w:val="4"/>
  </w:num>
  <w:num w:numId="6" w16cid:durableId="1436944951">
    <w:abstractNumId w:val="8"/>
  </w:num>
  <w:num w:numId="7" w16cid:durableId="1249778382">
    <w:abstractNumId w:val="3"/>
  </w:num>
  <w:num w:numId="8" w16cid:durableId="1587572543">
    <w:abstractNumId w:val="2"/>
  </w:num>
  <w:num w:numId="9" w16cid:durableId="1992825757">
    <w:abstractNumId w:val="1"/>
  </w:num>
  <w:num w:numId="10" w16cid:durableId="46492797">
    <w:abstractNumId w:val="0"/>
  </w:num>
  <w:num w:numId="11" w16cid:durableId="1090931697">
    <w:abstractNumId w:val="11"/>
  </w:num>
  <w:num w:numId="12" w16cid:durableId="1851866187">
    <w:abstractNumId w:val="12"/>
  </w:num>
  <w:num w:numId="13" w16cid:durableId="1878539251">
    <w:abstractNumId w:val="16"/>
  </w:num>
  <w:num w:numId="14" w16cid:durableId="563025772">
    <w:abstractNumId w:val="13"/>
  </w:num>
  <w:num w:numId="15" w16cid:durableId="1309244758">
    <w:abstractNumId w:val="17"/>
  </w:num>
  <w:num w:numId="16" w16cid:durableId="1813450600">
    <w:abstractNumId w:val="15"/>
  </w:num>
  <w:num w:numId="17" w16cid:durableId="1007945648">
    <w:abstractNumId w:val="10"/>
  </w:num>
  <w:num w:numId="18" w16cid:durableId="587522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15FDA"/>
    <w:rsid w:val="00016540"/>
    <w:rsid w:val="00022E2F"/>
    <w:rsid w:val="00026408"/>
    <w:rsid w:val="00033185"/>
    <w:rsid w:val="00036D73"/>
    <w:rsid w:val="000408C7"/>
    <w:rsid w:val="00057417"/>
    <w:rsid w:val="00060D74"/>
    <w:rsid w:val="00072D5C"/>
    <w:rsid w:val="0007706C"/>
    <w:rsid w:val="0008398C"/>
    <w:rsid w:val="00084308"/>
    <w:rsid w:val="00087721"/>
    <w:rsid w:val="00095D57"/>
    <w:rsid w:val="0009607E"/>
    <w:rsid w:val="000B14B6"/>
    <w:rsid w:val="000B5A5E"/>
    <w:rsid w:val="000C467B"/>
    <w:rsid w:val="000D15FB"/>
    <w:rsid w:val="000E2973"/>
    <w:rsid w:val="000F58F7"/>
    <w:rsid w:val="000F6395"/>
    <w:rsid w:val="001051C9"/>
    <w:rsid w:val="001051E4"/>
    <w:rsid w:val="00105EB6"/>
    <w:rsid w:val="001106E3"/>
    <w:rsid w:val="00113E7E"/>
    <w:rsid w:val="001175EA"/>
    <w:rsid w:val="001354EA"/>
    <w:rsid w:val="00136FCE"/>
    <w:rsid w:val="00153BA4"/>
    <w:rsid w:val="00166765"/>
    <w:rsid w:val="00177E42"/>
    <w:rsid w:val="001803B1"/>
    <w:rsid w:val="001941AD"/>
    <w:rsid w:val="001972C8"/>
    <w:rsid w:val="0019732C"/>
    <w:rsid w:val="001A0682"/>
    <w:rsid w:val="001A308C"/>
    <w:rsid w:val="001B4D8D"/>
    <w:rsid w:val="001B77A4"/>
    <w:rsid w:val="001C3339"/>
    <w:rsid w:val="001C594B"/>
    <w:rsid w:val="001D24FE"/>
    <w:rsid w:val="001D31B2"/>
    <w:rsid w:val="001D72C4"/>
    <w:rsid w:val="001E1484"/>
    <w:rsid w:val="001E1B9B"/>
    <w:rsid w:val="001E2226"/>
    <w:rsid w:val="001E2A48"/>
    <w:rsid w:val="001E3EC0"/>
    <w:rsid w:val="001F073B"/>
    <w:rsid w:val="001F6233"/>
    <w:rsid w:val="00206AD0"/>
    <w:rsid w:val="00210989"/>
    <w:rsid w:val="0021220C"/>
    <w:rsid w:val="002138EF"/>
    <w:rsid w:val="00215B65"/>
    <w:rsid w:val="00222FF2"/>
    <w:rsid w:val="00225C6E"/>
    <w:rsid w:val="0023145D"/>
    <w:rsid w:val="00232B18"/>
    <w:rsid w:val="00233F84"/>
    <w:rsid w:val="002355CD"/>
    <w:rsid w:val="002364DF"/>
    <w:rsid w:val="00236D69"/>
    <w:rsid w:val="00244792"/>
    <w:rsid w:val="0024770D"/>
    <w:rsid w:val="00253B60"/>
    <w:rsid w:val="0025653E"/>
    <w:rsid w:val="0026754B"/>
    <w:rsid w:val="00270B2F"/>
    <w:rsid w:val="00272F0B"/>
    <w:rsid w:val="002736A6"/>
    <w:rsid w:val="00273BC5"/>
    <w:rsid w:val="00274088"/>
    <w:rsid w:val="00281CE2"/>
    <w:rsid w:val="002841EA"/>
    <w:rsid w:val="00284DFA"/>
    <w:rsid w:val="002853EA"/>
    <w:rsid w:val="002A0B6A"/>
    <w:rsid w:val="002A0E1B"/>
    <w:rsid w:val="002A4698"/>
    <w:rsid w:val="002A6F8F"/>
    <w:rsid w:val="002A7A1D"/>
    <w:rsid w:val="002C1059"/>
    <w:rsid w:val="002C2F9C"/>
    <w:rsid w:val="002C637D"/>
    <w:rsid w:val="002D5B59"/>
    <w:rsid w:val="002D65C7"/>
    <w:rsid w:val="002E1715"/>
    <w:rsid w:val="002E7DA9"/>
    <w:rsid w:val="002F3471"/>
    <w:rsid w:val="002F44EC"/>
    <w:rsid w:val="002F5D1C"/>
    <w:rsid w:val="00312610"/>
    <w:rsid w:val="00314940"/>
    <w:rsid w:val="003154C7"/>
    <w:rsid w:val="003166EB"/>
    <w:rsid w:val="0031726B"/>
    <w:rsid w:val="00320C03"/>
    <w:rsid w:val="00322DEA"/>
    <w:rsid w:val="0032536A"/>
    <w:rsid w:val="003466EB"/>
    <w:rsid w:val="003538CB"/>
    <w:rsid w:val="00355FBD"/>
    <w:rsid w:val="0036462B"/>
    <w:rsid w:val="00366A3C"/>
    <w:rsid w:val="00380009"/>
    <w:rsid w:val="00381461"/>
    <w:rsid w:val="0038614E"/>
    <w:rsid w:val="003906E0"/>
    <w:rsid w:val="00391C12"/>
    <w:rsid w:val="00394A14"/>
    <w:rsid w:val="00395F54"/>
    <w:rsid w:val="00396FA8"/>
    <w:rsid w:val="003A0B7D"/>
    <w:rsid w:val="003A2A4C"/>
    <w:rsid w:val="003A4558"/>
    <w:rsid w:val="003A45C2"/>
    <w:rsid w:val="003A7B0C"/>
    <w:rsid w:val="003B475B"/>
    <w:rsid w:val="003C0D5B"/>
    <w:rsid w:val="003C4BE2"/>
    <w:rsid w:val="003D147D"/>
    <w:rsid w:val="003D637A"/>
    <w:rsid w:val="00412DB8"/>
    <w:rsid w:val="004138F7"/>
    <w:rsid w:val="004139C2"/>
    <w:rsid w:val="00420EF8"/>
    <w:rsid w:val="00426923"/>
    <w:rsid w:val="00430015"/>
    <w:rsid w:val="00436903"/>
    <w:rsid w:val="00463C0B"/>
    <w:rsid w:val="004678D0"/>
    <w:rsid w:val="00474363"/>
    <w:rsid w:val="00481044"/>
    <w:rsid w:val="00482954"/>
    <w:rsid w:val="004829FA"/>
    <w:rsid w:val="004951C0"/>
    <w:rsid w:val="00496857"/>
    <w:rsid w:val="004A0FAF"/>
    <w:rsid w:val="004A160B"/>
    <w:rsid w:val="004A5B4E"/>
    <w:rsid w:val="004A78AF"/>
    <w:rsid w:val="004C1052"/>
    <w:rsid w:val="004C3DDE"/>
    <w:rsid w:val="004C6793"/>
    <w:rsid w:val="004C7646"/>
    <w:rsid w:val="004D57EB"/>
    <w:rsid w:val="004E4123"/>
    <w:rsid w:val="004E59AF"/>
    <w:rsid w:val="004E7CFF"/>
    <w:rsid w:val="0050367A"/>
    <w:rsid w:val="00504EE2"/>
    <w:rsid w:val="00511330"/>
    <w:rsid w:val="00514CAD"/>
    <w:rsid w:val="00524001"/>
    <w:rsid w:val="00532BE5"/>
    <w:rsid w:val="0053358B"/>
    <w:rsid w:val="00535407"/>
    <w:rsid w:val="00540340"/>
    <w:rsid w:val="00541C53"/>
    <w:rsid w:val="00564AFB"/>
    <w:rsid w:val="00564B63"/>
    <w:rsid w:val="00564C3F"/>
    <w:rsid w:val="005718A6"/>
    <w:rsid w:val="005742AE"/>
    <w:rsid w:val="00575DC7"/>
    <w:rsid w:val="005836C2"/>
    <w:rsid w:val="00597D8F"/>
    <w:rsid w:val="005A4EFD"/>
    <w:rsid w:val="005A5ABE"/>
    <w:rsid w:val="005B20F6"/>
    <w:rsid w:val="005B7240"/>
    <w:rsid w:val="005C151E"/>
    <w:rsid w:val="005C2ECC"/>
    <w:rsid w:val="005C6744"/>
    <w:rsid w:val="005C7F58"/>
    <w:rsid w:val="005D32D7"/>
    <w:rsid w:val="005D6701"/>
    <w:rsid w:val="005E419E"/>
    <w:rsid w:val="005E71ED"/>
    <w:rsid w:val="005F44F2"/>
    <w:rsid w:val="005F63BD"/>
    <w:rsid w:val="006001D4"/>
    <w:rsid w:val="006021AF"/>
    <w:rsid w:val="00602EA8"/>
    <w:rsid w:val="00611CF1"/>
    <w:rsid w:val="00613707"/>
    <w:rsid w:val="00616E97"/>
    <w:rsid w:val="006201D9"/>
    <w:rsid w:val="0062432D"/>
    <w:rsid w:val="006277DB"/>
    <w:rsid w:val="006323E4"/>
    <w:rsid w:val="00633865"/>
    <w:rsid w:val="00633BC0"/>
    <w:rsid w:val="00635B7B"/>
    <w:rsid w:val="00636CF7"/>
    <w:rsid w:val="00645575"/>
    <w:rsid w:val="0065592A"/>
    <w:rsid w:val="00655B98"/>
    <w:rsid w:val="006575B7"/>
    <w:rsid w:val="0066257A"/>
    <w:rsid w:val="00667AD2"/>
    <w:rsid w:val="006710E6"/>
    <w:rsid w:val="00673950"/>
    <w:rsid w:val="00675987"/>
    <w:rsid w:val="00686973"/>
    <w:rsid w:val="006965C2"/>
    <w:rsid w:val="00696B2D"/>
    <w:rsid w:val="006A046E"/>
    <w:rsid w:val="006A131D"/>
    <w:rsid w:val="006A2656"/>
    <w:rsid w:val="006A3475"/>
    <w:rsid w:val="006A5384"/>
    <w:rsid w:val="006A6342"/>
    <w:rsid w:val="006B6C9C"/>
    <w:rsid w:val="006C7AE3"/>
    <w:rsid w:val="006D55E8"/>
    <w:rsid w:val="006E1921"/>
    <w:rsid w:val="006F36F9"/>
    <w:rsid w:val="0070576B"/>
    <w:rsid w:val="00713335"/>
    <w:rsid w:val="00717030"/>
    <w:rsid w:val="007204A4"/>
    <w:rsid w:val="00727C2F"/>
    <w:rsid w:val="00735F13"/>
    <w:rsid w:val="00751AC9"/>
    <w:rsid w:val="007632EF"/>
    <w:rsid w:val="007717F2"/>
    <w:rsid w:val="00772E3B"/>
    <w:rsid w:val="007736D4"/>
    <w:rsid w:val="0078134C"/>
    <w:rsid w:val="0078768B"/>
    <w:rsid w:val="007A5830"/>
    <w:rsid w:val="007A5A5F"/>
    <w:rsid w:val="007A5BD4"/>
    <w:rsid w:val="007B14BE"/>
    <w:rsid w:val="007B7E91"/>
    <w:rsid w:val="007C131B"/>
    <w:rsid w:val="007C25D2"/>
    <w:rsid w:val="007D21FB"/>
    <w:rsid w:val="007D4F0E"/>
    <w:rsid w:val="007E494B"/>
    <w:rsid w:val="007E5080"/>
    <w:rsid w:val="00801256"/>
    <w:rsid w:val="00803532"/>
    <w:rsid w:val="008045A1"/>
    <w:rsid w:val="00807A60"/>
    <w:rsid w:val="008101DA"/>
    <w:rsid w:val="00813A0B"/>
    <w:rsid w:val="00815045"/>
    <w:rsid w:val="0083309D"/>
    <w:rsid w:val="00854885"/>
    <w:rsid w:val="00856EBF"/>
    <w:rsid w:val="008625CB"/>
    <w:rsid w:val="008703CB"/>
    <w:rsid w:val="008731CB"/>
    <w:rsid w:val="00877AB9"/>
    <w:rsid w:val="0089159B"/>
    <w:rsid w:val="00897230"/>
    <w:rsid w:val="008A5A0E"/>
    <w:rsid w:val="008B61AF"/>
    <w:rsid w:val="008B735C"/>
    <w:rsid w:val="008C10D9"/>
    <w:rsid w:val="008C33C2"/>
    <w:rsid w:val="008C37D5"/>
    <w:rsid w:val="008C6137"/>
    <w:rsid w:val="008E2DB4"/>
    <w:rsid w:val="008E3DC0"/>
    <w:rsid w:val="008F7E95"/>
    <w:rsid w:val="00900AF2"/>
    <w:rsid w:val="00901DD5"/>
    <w:rsid w:val="0090735B"/>
    <w:rsid w:val="00912D5E"/>
    <w:rsid w:val="00917A15"/>
    <w:rsid w:val="009249C9"/>
    <w:rsid w:val="00934340"/>
    <w:rsid w:val="009356BC"/>
    <w:rsid w:val="00943C7E"/>
    <w:rsid w:val="00953059"/>
    <w:rsid w:val="00956DC7"/>
    <w:rsid w:val="00960D89"/>
    <w:rsid w:val="00965209"/>
    <w:rsid w:val="00966CD3"/>
    <w:rsid w:val="00976908"/>
    <w:rsid w:val="00985AE8"/>
    <w:rsid w:val="00987A20"/>
    <w:rsid w:val="00997C12"/>
    <w:rsid w:val="009A0E15"/>
    <w:rsid w:val="009A6F92"/>
    <w:rsid w:val="009D4037"/>
    <w:rsid w:val="009F0592"/>
    <w:rsid w:val="00A03FF5"/>
    <w:rsid w:val="00A04F0A"/>
    <w:rsid w:val="00A1141A"/>
    <w:rsid w:val="00A12E41"/>
    <w:rsid w:val="00A20E72"/>
    <w:rsid w:val="00A21C75"/>
    <w:rsid w:val="00A246DC"/>
    <w:rsid w:val="00A26D79"/>
    <w:rsid w:val="00A36504"/>
    <w:rsid w:val="00A42AF3"/>
    <w:rsid w:val="00A44D7D"/>
    <w:rsid w:val="00A47BAF"/>
    <w:rsid w:val="00A52901"/>
    <w:rsid w:val="00A542D3"/>
    <w:rsid w:val="00A5784F"/>
    <w:rsid w:val="00A8436E"/>
    <w:rsid w:val="00A9115E"/>
    <w:rsid w:val="00A95472"/>
    <w:rsid w:val="00A95B66"/>
    <w:rsid w:val="00AD0A7E"/>
    <w:rsid w:val="00AD67B1"/>
    <w:rsid w:val="00AD7C95"/>
    <w:rsid w:val="00AE0667"/>
    <w:rsid w:val="00AE5CF0"/>
    <w:rsid w:val="00AF453D"/>
    <w:rsid w:val="00B13D9C"/>
    <w:rsid w:val="00B17548"/>
    <w:rsid w:val="00B210AA"/>
    <w:rsid w:val="00B23961"/>
    <w:rsid w:val="00B24B23"/>
    <w:rsid w:val="00B27A88"/>
    <w:rsid w:val="00B35733"/>
    <w:rsid w:val="00B36182"/>
    <w:rsid w:val="00B41E0A"/>
    <w:rsid w:val="00B432A6"/>
    <w:rsid w:val="00B56870"/>
    <w:rsid w:val="00B56DE0"/>
    <w:rsid w:val="00B5715A"/>
    <w:rsid w:val="00B6652E"/>
    <w:rsid w:val="00B71F12"/>
    <w:rsid w:val="00B76FEC"/>
    <w:rsid w:val="00B8009A"/>
    <w:rsid w:val="00B91CE4"/>
    <w:rsid w:val="00B92A77"/>
    <w:rsid w:val="00B96A5A"/>
    <w:rsid w:val="00B96B0C"/>
    <w:rsid w:val="00B96B1E"/>
    <w:rsid w:val="00B978B5"/>
    <w:rsid w:val="00BA21AB"/>
    <w:rsid w:val="00BA62C6"/>
    <w:rsid w:val="00BB02F8"/>
    <w:rsid w:val="00BB2A6F"/>
    <w:rsid w:val="00BC62C2"/>
    <w:rsid w:val="00BC7115"/>
    <w:rsid w:val="00BD1614"/>
    <w:rsid w:val="00BD3762"/>
    <w:rsid w:val="00BD382C"/>
    <w:rsid w:val="00BD3D6A"/>
    <w:rsid w:val="00BD5DA6"/>
    <w:rsid w:val="00BE005E"/>
    <w:rsid w:val="00BE2B4A"/>
    <w:rsid w:val="00BF7D25"/>
    <w:rsid w:val="00C010C0"/>
    <w:rsid w:val="00C015DB"/>
    <w:rsid w:val="00C07147"/>
    <w:rsid w:val="00C3416E"/>
    <w:rsid w:val="00C40CB5"/>
    <w:rsid w:val="00C44FE9"/>
    <w:rsid w:val="00C54CE6"/>
    <w:rsid w:val="00C575E2"/>
    <w:rsid w:val="00C64D11"/>
    <w:rsid w:val="00C7368B"/>
    <w:rsid w:val="00C800B0"/>
    <w:rsid w:val="00C875C0"/>
    <w:rsid w:val="00C92746"/>
    <w:rsid w:val="00C96B5F"/>
    <w:rsid w:val="00CB044D"/>
    <w:rsid w:val="00CB2687"/>
    <w:rsid w:val="00CB6093"/>
    <w:rsid w:val="00CC4DC5"/>
    <w:rsid w:val="00CC5212"/>
    <w:rsid w:val="00CC6271"/>
    <w:rsid w:val="00CD6FCB"/>
    <w:rsid w:val="00CE1A7C"/>
    <w:rsid w:val="00CE2FD4"/>
    <w:rsid w:val="00CF3558"/>
    <w:rsid w:val="00CF4B25"/>
    <w:rsid w:val="00D00F70"/>
    <w:rsid w:val="00D0464B"/>
    <w:rsid w:val="00D12C74"/>
    <w:rsid w:val="00D2263F"/>
    <w:rsid w:val="00D35F40"/>
    <w:rsid w:val="00D417D8"/>
    <w:rsid w:val="00D510C9"/>
    <w:rsid w:val="00D56483"/>
    <w:rsid w:val="00D5658F"/>
    <w:rsid w:val="00D56AD6"/>
    <w:rsid w:val="00D606F3"/>
    <w:rsid w:val="00D62411"/>
    <w:rsid w:val="00D64EAF"/>
    <w:rsid w:val="00D70019"/>
    <w:rsid w:val="00D74B58"/>
    <w:rsid w:val="00D76194"/>
    <w:rsid w:val="00D81840"/>
    <w:rsid w:val="00D82ABE"/>
    <w:rsid w:val="00D83EF2"/>
    <w:rsid w:val="00D877B1"/>
    <w:rsid w:val="00D93068"/>
    <w:rsid w:val="00D931AB"/>
    <w:rsid w:val="00DA4ABA"/>
    <w:rsid w:val="00DA526B"/>
    <w:rsid w:val="00DA685B"/>
    <w:rsid w:val="00DA742B"/>
    <w:rsid w:val="00DB3668"/>
    <w:rsid w:val="00DB3713"/>
    <w:rsid w:val="00DC5D1E"/>
    <w:rsid w:val="00DD49B2"/>
    <w:rsid w:val="00DE1CE4"/>
    <w:rsid w:val="00DE4BF6"/>
    <w:rsid w:val="00DF25C1"/>
    <w:rsid w:val="00DF48F7"/>
    <w:rsid w:val="00DF4964"/>
    <w:rsid w:val="00DF4D73"/>
    <w:rsid w:val="00DF4FFE"/>
    <w:rsid w:val="00DF6F46"/>
    <w:rsid w:val="00DF79B0"/>
    <w:rsid w:val="00E1047D"/>
    <w:rsid w:val="00E13B21"/>
    <w:rsid w:val="00E153D6"/>
    <w:rsid w:val="00E2366F"/>
    <w:rsid w:val="00E25E18"/>
    <w:rsid w:val="00E32CD2"/>
    <w:rsid w:val="00E36731"/>
    <w:rsid w:val="00E443FA"/>
    <w:rsid w:val="00E45453"/>
    <w:rsid w:val="00E54718"/>
    <w:rsid w:val="00E54FCE"/>
    <w:rsid w:val="00E60DA1"/>
    <w:rsid w:val="00E6499C"/>
    <w:rsid w:val="00E66ED8"/>
    <w:rsid w:val="00E869C5"/>
    <w:rsid w:val="00E91AAC"/>
    <w:rsid w:val="00E93D35"/>
    <w:rsid w:val="00E9786E"/>
    <w:rsid w:val="00EA249A"/>
    <w:rsid w:val="00EA45DB"/>
    <w:rsid w:val="00EA62FF"/>
    <w:rsid w:val="00EB3863"/>
    <w:rsid w:val="00EB6476"/>
    <w:rsid w:val="00ED1AA4"/>
    <w:rsid w:val="00ED2CD9"/>
    <w:rsid w:val="00EE62DC"/>
    <w:rsid w:val="00F01F2C"/>
    <w:rsid w:val="00F0274C"/>
    <w:rsid w:val="00F07DA7"/>
    <w:rsid w:val="00F12A2F"/>
    <w:rsid w:val="00F25CE7"/>
    <w:rsid w:val="00F265A4"/>
    <w:rsid w:val="00F31F1C"/>
    <w:rsid w:val="00F33064"/>
    <w:rsid w:val="00F37779"/>
    <w:rsid w:val="00F44D1C"/>
    <w:rsid w:val="00F51B8E"/>
    <w:rsid w:val="00F5250A"/>
    <w:rsid w:val="00F560CE"/>
    <w:rsid w:val="00F564C1"/>
    <w:rsid w:val="00F60833"/>
    <w:rsid w:val="00F64777"/>
    <w:rsid w:val="00F67099"/>
    <w:rsid w:val="00F75746"/>
    <w:rsid w:val="00F77FA2"/>
    <w:rsid w:val="00F8357A"/>
    <w:rsid w:val="00F83F8C"/>
    <w:rsid w:val="00F8677A"/>
    <w:rsid w:val="00F95642"/>
    <w:rsid w:val="00F97403"/>
    <w:rsid w:val="00FA1B77"/>
    <w:rsid w:val="00FA2B57"/>
    <w:rsid w:val="00FA471D"/>
    <w:rsid w:val="00FB4B65"/>
    <w:rsid w:val="00FB74B8"/>
    <w:rsid w:val="00FB7C46"/>
    <w:rsid w:val="00FC1CC8"/>
    <w:rsid w:val="00FC2E4E"/>
    <w:rsid w:val="00FC49E0"/>
    <w:rsid w:val="00FE0880"/>
    <w:rsid w:val="00FE3E6F"/>
    <w:rsid w:val="00FF0484"/>
    <w:rsid w:val="00FF4E56"/>
    <w:rsid w:val="00FF68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B6E6E"/>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FootnoteTextChar">
    <w:name w:val="Footnote Text Char"/>
    <w:basedOn w:val="DefaultParagraphFont"/>
    <w:link w:val="FootnoteText"/>
    <w:rsid w:val="0009607E"/>
    <w:rPr>
      <w:rFonts w:ascii="Calibri" w:hAnsi="Calibri"/>
      <w:sz w:val="24"/>
      <w:lang w:val="fr-FR" w:eastAsia="en-US"/>
    </w:rPr>
  </w:style>
  <w:style w:type="paragraph" w:customStyle="1" w:styleId="Table">
    <w:name w:val="Table_#"/>
    <w:basedOn w:val="Normal"/>
    <w:next w:val="Normal"/>
    <w:rsid w:val="0009607E"/>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FooterChar">
    <w:name w:val="Footer Char"/>
    <w:basedOn w:val="DefaultParagraphFont"/>
    <w:link w:val="Footer"/>
    <w:rsid w:val="0009607E"/>
    <w:rPr>
      <w:rFonts w:ascii="Calibri" w:hAnsi="Calibri"/>
      <w:caps/>
      <w:noProof/>
      <w:sz w:val="16"/>
      <w:lang w:val="fr-FR" w:eastAsia="en-US"/>
    </w:rPr>
  </w:style>
  <w:style w:type="character" w:styleId="FollowedHyperlink">
    <w:name w:val="FollowedHyperlink"/>
    <w:basedOn w:val="DefaultParagraphFont"/>
    <w:semiHidden/>
    <w:unhideWhenUsed/>
    <w:rsid w:val="0009607E"/>
    <w:rPr>
      <w:color w:val="800080" w:themeColor="followedHyperlink"/>
      <w:u w:val="single"/>
    </w:rPr>
  </w:style>
  <w:style w:type="character" w:customStyle="1" w:styleId="bri1">
    <w:name w:val="bri1"/>
    <w:basedOn w:val="DefaultParagraphFont"/>
    <w:rsid w:val="0009607E"/>
    <w:rPr>
      <w:b/>
      <w:bCs/>
      <w:color w:val="B10739"/>
    </w:rPr>
  </w:style>
  <w:style w:type="paragraph" w:styleId="Revision">
    <w:name w:val="Revision"/>
    <w:hidden/>
    <w:uiPriority w:val="99"/>
    <w:semiHidden/>
    <w:rsid w:val="00225C6E"/>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2-CL-C-0073/en" TargetMode="External"/><Relationship Id="rId18" Type="http://schemas.openxmlformats.org/officeDocument/2006/relationships/hyperlink" Target="https://www.itu.int/dms_pub/itu-d/md/18/wtdc21/c/D18-WTDC21-C-0103!R1!PDF-F.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en/events/Pages/Virtual-Sessions.aspx" TargetMode="External"/><Relationship Id="rId7" Type="http://schemas.openxmlformats.org/officeDocument/2006/relationships/endnotes" Target="endnotes.xml"/><Relationship Id="rId12" Type="http://schemas.openxmlformats.org/officeDocument/2006/relationships/hyperlink" Target="https://www.itu.int/md/S22-CL-C-0069/en" TargetMode="External"/><Relationship Id="rId17" Type="http://schemas.openxmlformats.org/officeDocument/2006/relationships/hyperlink" Target="https://www.itu.int/md/T17-TSAG-220110-TD-GEN-1253/en" TargetMode="External"/><Relationship Id="rId25" Type="http://schemas.openxmlformats.org/officeDocument/2006/relationships/hyperlink" Target="https://www.itu.int/myworkspace/" TargetMode="External"/><Relationship Id="rId2" Type="http://schemas.openxmlformats.org/officeDocument/2006/relationships/numbering" Target="numbering.xml"/><Relationship Id="rId16" Type="http://schemas.openxmlformats.org/officeDocument/2006/relationships/hyperlink" Target="https://www.itu.int/md/T17-TSAG-220110-TD-GEN-1191/en" TargetMode="External"/><Relationship Id="rId20" Type="http://schemas.openxmlformats.org/officeDocument/2006/relationships/hyperlink" Target="https://www.itu.int/en/events/Pages/Calendar-Events.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CL-C-0065/en" TargetMode="External"/><Relationship Id="rId24" Type="http://schemas.openxmlformats.org/officeDocument/2006/relationships/hyperlink" Target="https://www.itu.int/myworkspace/" TargetMode="External"/><Relationship Id="rId5" Type="http://schemas.openxmlformats.org/officeDocument/2006/relationships/webSettings" Target="webSettings.xml"/><Relationship Id="rId15" Type="http://schemas.openxmlformats.org/officeDocument/2006/relationships/hyperlink" Target="https://www.itu.int/pub/T-RES-T.32-2022" TargetMode="External"/><Relationship Id="rId23" Type="http://schemas.openxmlformats.org/officeDocument/2006/relationships/hyperlink" Target="https://www.itu.int/myworkspace/" TargetMode="External"/><Relationship Id="rId28" Type="http://schemas.openxmlformats.org/officeDocument/2006/relationships/footer" Target="footer2.xml"/><Relationship Id="rId10" Type="http://schemas.openxmlformats.org/officeDocument/2006/relationships/hyperlink" Target="https://www.itu.int/en/council/Documents/basic-texts/RES-167-F.pdf" TargetMode="External"/><Relationship Id="rId19" Type="http://schemas.openxmlformats.org/officeDocument/2006/relationships/hyperlink" Target="https://www.itu.int/en/events/Pages/Virtual-Sessions.aspx" TargetMode="External"/><Relationship Id="rId4" Type="http://schemas.openxmlformats.org/officeDocument/2006/relationships/settings" Target="settings.xml"/><Relationship Id="rId9" Type="http://schemas.openxmlformats.org/officeDocument/2006/relationships/hyperlink" Target="https://www.itu.int/en/council/Documents/basic-texts/DEC-005-F.pdf" TargetMode="External"/><Relationship Id="rId14" Type="http://schemas.openxmlformats.org/officeDocument/2006/relationships/hyperlink" Target="https://www.itu.int/md/S22-CWGFHR15-C-0019/en" TargetMode="External"/><Relationship Id="rId22" Type="http://schemas.openxmlformats.org/officeDocument/2006/relationships/hyperlink" Target="https://www.itu.int/en/events/Pages/Public-Virtual-Sessions.asp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FBC42-AE4F-4E1C-B4DF-6A854C6F1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5520</Words>
  <Characters>32293</Characters>
  <Application>Microsoft Office Word</Application>
  <DocSecurity>4</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d'activité sur la mise en œuvre de la Résolution 167 (Rév. Dubaï, 2018) de la Conférence de plénipotentiaires</dc:title>
  <dc:subject>Plenipotentiary Conference (PP-22)</dc:subject>
  <dc:creator>Royer, Veronique</dc:creator>
  <cp:keywords>PP22, PP-22</cp:keywords>
  <cp:lastModifiedBy>Xue, Kun</cp:lastModifiedBy>
  <cp:revision>2</cp:revision>
  <dcterms:created xsi:type="dcterms:W3CDTF">2022-08-16T16:54:00Z</dcterms:created>
  <dcterms:modified xsi:type="dcterms:W3CDTF">2022-08-16T16:54:00Z</dcterms:modified>
  <cp:category>Conference document</cp:category>
</cp:coreProperties>
</file>