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2592D" w14:paraId="0277FE2A" w14:textId="77777777" w:rsidTr="006A046E">
        <w:trPr>
          <w:cantSplit/>
        </w:trPr>
        <w:tc>
          <w:tcPr>
            <w:tcW w:w="6911" w:type="dxa"/>
          </w:tcPr>
          <w:p w14:paraId="7AD3A3EE" w14:textId="77777777" w:rsidR="00BD1614" w:rsidRPr="0062592D" w:rsidRDefault="00BD1614" w:rsidP="00FF41A1">
            <w:pPr>
              <w:rPr>
                <w:b/>
                <w:bCs/>
                <w:position w:val="6"/>
                <w:szCs w:val="24"/>
              </w:rPr>
            </w:pPr>
            <w:bookmarkStart w:id="0" w:name="dbreak"/>
            <w:bookmarkStart w:id="1" w:name="dpp"/>
            <w:bookmarkEnd w:id="0"/>
            <w:bookmarkEnd w:id="1"/>
            <w:r w:rsidRPr="0062592D">
              <w:rPr>
                <w:rFonts w:cs="Times"/>
                <w:b/>
                <w:sz w:val="30"/>
                <w:szCs w:val="30"/>
              </w:rPr>
              <w:t>Conférence de plénipotentiaires</w:t>
            </w:r>
            <w:r w:rsidRPr="0062592D">
              <w:rPr>
                <w:b/>
                <w:smallCaps/>
                <w:sz w:val="30"/>
                <w:szCs w:val="30"/>
              </w:rPr>
              <w:t xml:space="preserve"> (PP-</w:t>
            </w:r>
            <w:r w:rsidR="002A7A1D" w:rsidRPr="0062592D">
              <w:rPr>
                <w:b/>
                <w:smallCaps/>
                <w:sz w:val="30"/>
                <w:szCs w:val="30"/>
              </w:rPr>
              <w:t>22</w:t>
            </w:r>
            <w:r w:rsidRPr="0062592D">
              <w:rPr>
                <w:b/>
                <w:smallCaps/>
                <w:sz w:val="30"/>
                <w:szCs w:val="30"/>
              </w:rPr>
              <w:t>)</w:t>
            </w:r>
            <w:r w:rsidRPr="0062592D">
              <w:rPr>
                <w:b/>
                <w:smallCaps/>
                <w:sz w:val="36"/>
              </w:rPr>
              <w:br/>
            </w:r>
            <w:r w:rsidR="002A7A1D" w:rsidRPr="0062592D">
              <w:rPr>
                <w:rFonts w:cs="Times New Roman Bold"/>
                <w:b/>
                <w:bCs/>
                <w:szCs w:val="24"/>
              </w:rPr>
              <w:t>Bucarest</w:t>
            </w:r>
            <w:r w:rsidRPr="0062592D">
              <w:rPr>
                <w:rFonts w:cs="Times New Roman Bold"/>
                <w:b/>
                <w:bCs/>
                <w:szCs w:val="24"/>
              </w:rPr>
              <w:t>, 2</w:t>
            </w:r>
            <w:r w:rsidR="002A7A1D" w:rsidRPr="0062592D">
              <w:rPr>
                <w:rFonts w:cs="Times New Roman Bold"/>
                <w:b/>
                <w:bCs/>
                <w:szCs w:val="24"/>
              </w:rPr>
              <w:t>6</w:t>
            </w:r>
            <w:r w:rsidRPr="0062592D">
              <w:rPr>
                <w:rFonts w:cs="Times New Roman Bold"/>
                <w:b/>
                <w:bCs/>
                <w:szCs w:val="24"/>
              </w:rPr>
              <w:t xml:space="preserve"> </w:t>
            </w:r>
            <w:r w:rsidR="002A7A1D" w:rsidRPr="0062592D">
              <w:rPr>
                <w:rFonts w:cs="Times New Roman Bold"/>
                <w:b/>
                <w:bCs/>
                <w:szCs w:val="24"/>
              </w:rPr>
              <w:t>septembre</w:t>
            </w:r>
            <w:r w:rsidRPr="0062592D">
              <w:rPr>
                <w:rFonts w:cs="Times New Roman Bold"/>
                <w:b/>
                <w:bCs/>
                <w:szCs w:val="24"/>
              </w:rPr>
              <w:t xml:space="preserve"> </w:t>
            </w:r>
            <w:r w:rsidR="001E2226" w:rsidRPr="0062592D">
              <w:rPr>
                <w:rFonts w:cs="Times New Roman Bold"/>
                <w:b/>
                <w:bCs/>
                <w:szCs w:val="24"/>
              </w:rPr>
              <w:t>–</w:t>
            </w:r>
            <w:r w:rsidRPr="0062592D">
              <w:rPr>
                <w:rFonts w:cs="Times New Roman Bold"/>
                <w:b/>
                <w:bCs/>
                <w:szCs w:val="24"/>
              </w:rPr>
              <w:t xml:space="preserve"> </w:t>
            </w:r>
            <w:r w:rsidR="001E2226" w:rsidRPr="0062592D">
              <w:rPr>
                <w:rFonts w:cs="Times New Roman Bold"/>
                <w:b/>
                <w:bCs/>
                <w:szCs w:val="24"/>
              </w:rPr>
              <w:t>1</w:t>
            </w:r>
            <w:r w:rsidR="002A7A1D" w:rsidRPr="0062592D">
              <w:rPr>
                <w:rFonts w:cs="Times New Roman Bold"/>
                <w:b/>
                <w:bCs/>
                <w:szCs w:val="24"/>
              </w:rPr>
              <w:t>4</w:t>
            </w:r>
            <w:r w:rsidRPr="0062592D">
              <w:rPr>
                <w:rFonts w:cs="Times New Roman Bold"/>
                <w:b/>
                <w:bCs/>
                <w:szCs w:val="24"/>
              </w:rPr>
              <w:t xml:space="preserve"> </w:t>
            </w:r>
            <w:r w:rsidR="002A7A1D" w:rsidRPr="0062592D">
              <w:rPr>
                <w:rFonts w:cs="Times New Roman Bold"/>
                <w:b/>
                <w:bCs/>
                <w:szCs w:val="24"/>
              </w:rPr>
              <w:t>octobre</w:t>
            </w:r>
            <w:r w:rsidRPr="0062592D">
              <w:rPr>
                <w:rFonts w:cs="Times New Roman Bold"/>
                <w:b/>
                <w:bCs/>
                <w:szCs w:val="24"/>
              </w:rPr>
              <w:t xml:space="preserve"> 20</w:t>
            </w:r>
            <w:r w:rsidR="002A7A1D" w:rsidRPr="0062592D">
              <w:rPr>
                <w:rFonts w:cs="Times New Roman Bold"/>
                <w:b/>
                <w:bCs/>
                <w:szCs w:val="24"/>
              </w:rPr>
              <w:t>22</w:t>
            </w:r>
          </w:p>
        </w:tc>
        <w:tc>
          <w:tcPr>
            <w:tcW w:w="3120" w:type="dxa"/>
          </w:tcPr>
          <w:p w14:paraId="2444E7A9" w14:textId="77777777" w:rsidR="00BD1614" w:rsidRPr="0062592D" w:rsidRDefault="002A7A1D" w:rsidP="005A477A">
            <w:pPr>
              <w:spacing w:before="0"/>
              <w:rPr>
                <w:rFonts w:cstheme="minorHAnsi"/>
              </w:rPr>
            </w:pPr>
            <w:bookmarkStart w:id="2" w:name="ditulogo"/>
            <w:bookmarkEnd w:id="2"/>
            <w:r w:rsidRPr="0062592D">
              <w:rPr>
                <w:noProof/>
                <w:lang w:val="en-US"/>
              </w:rPr>
              <w:drawing>
                <wp:inline distT="0" distB="0" distL="0" distR="0" wp14:anchorId="6DCE7E8A" wp14:editId="25D96D2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62592D" w14:paraId="032BA537" w14:textId="77777777" w:rsidTr="006A046E">
        <w:trPr>
          <w:cantSplit/>
        </w:trPr>
        <w:tc>
          <w:tcPr>
            <w:tcW w:w="6911" w:type="dxa"/>
            <w:tcBorders>
              <w:bottom w:val="single" w:sz="12" w:space="0" w:color="auto"/>
            </w:tcBorders>
          </w:tcPr>
          <w:p w14:paraId="505E3479" w14:textId="77777777" w:rsidR="00BD1614" w:rsidRPr="0062592D" w:rsidRDefault="00BD1614" w:rsidP="005A477A">
            <w:pPr>
              <w:spacing w:before="0" w:after="48"/>
              <w:rPr>
                <w:rFonts w:cstheme="minorHAnsi"/>
                <w:b/>
                <w:smallCaps/>
                <w:szCs w:val="24"/>
              </w:rPr>
            </w:pPr>
            <w:bookmarkStart w:id="3" w:name="dhead"/>
          </w:p>
        </w:tc>
        <w:tc>
          <w:tcPr>
            <w:tcW w:w="3120" w:type="dxa"/>
            <w:tcBorders>
              <w:bottom w:val="single" w:sz="12" w:space="0" w:color="auto"/>
            </w:tcBorders>
          </w:tcPr>
          <w:p w14:paraId="490FEE09" w14:textId="77777777" w:rsidR="00BD1614" w:rsidRPr="0062592D" w:rsidRDefault="00BD1614" w:rsidP="005A477A">
            <w:pPr>
              <w:spacing w:before="0" w:after="48"/>
              <w:rPr>
                <w:rFonts w:cstheme="minorHAnsi"/>
                <w:b/>
                <w:smallCaps/>
                <w:szCs w:val="24"/>
              </w:rPr>
            </w:pPr>
          </w:p>
        </w:tc>
      </w:tr>
      <w:tr w:rsidR="00BD1614" w:rsidRPr="0062592D" w14:paraId="08B9359C" w14:textId="77777777" w:rsidTr="006A046E">
        <w:trPr>
          <w:cantSplit/>
        </w:trPr>
        <w:tc>
          <w:tcPr>
            <w:tcW w:w="6911" w:type="dxa"/>
            <w:tcBorders>
              <w:top w:val="single" w:sz="12" w:space="0" w:color="auto"/>
            </w:tcBorders>
          </w:tcPr>
          <w:p w14:paraId="3C6DEF92" w14:textId="77777777" w:rsidR="00BD1614" w:rsidRPr="0062592D" w:rsidRDefault="00BD1614" w:rsidP="005A477A">
            <w:pPr>
              <w:spacing w:before="0"/>
              <w:rPr>
                <w:rFonts w:cstheme="minorHAnsi"/>
                <w:b/>
                <w:smallCaps/>
                <w:szCs w:val="24"/>
              </w:rPr>
            </w:pPr>
          </w:p>
        </w:tc>
        <w:tc>
          <w:tcPr>
            <w:tcW w:w="3120" w:type="dxa"/>
            <w:tcBorders>
              <w:top w:val="single" w:sz="12" w:space="0" w:color="auto"/>
            </w:tcBorders>
          </w:tcPr>
          <w:p w14:paraId="608C7D8B" w14:textId="77777777" w:rsidR="00BD1614" w:rsidRPr="0062592D" w:rsidRDefault="00BD1614" w:rsidP="005A477A">
            <w:pPr>
              <w:spacing w:before="0"/>
              <w:rPr>
                <w:rFonts w:cstheme="minorHAnsi"/>
                <w:szCs w:val="24"/>
              </w:rPr>
            </w:pPr>
          </w:p>
        </w:tc>
      </w:tr>
      <w:tr w:rsidR="00BD1614" w:rsidRPr="0062592D" w14:paraId="14567233" w14:textId="77777777" w:rsidTr="006A046E">
        <w:trPr>
          <w:cantSplit/>
        </w:trPr>
        <w:tc>
          <w:tcPr>
            <w:tcW w:w="6911" w:type="dxa"/>
          </w:tcPr>
          <w:p w14:paraId="444A5BAB" w14:textId="77777777" w:rsidR="00BD1614" w:rsidRPr="0062592D" w:rsidRDefault="00BD1614" w:rsidP="005A477A">
            <w:pPr>
              <w:pStyle w:val="Committee"/>
              <w:framePr w:hSpace="0" w:wrap="auto" w:hAnchor="text" w:yAlign="inline"/>
              <w:spacing w:after="0" w:line="240" w:lineRule="auto"/>
              <w:rPr>
                <w:lang w:val="fr-FR"/>
              </w:rPr>
            </w:pPr>
            <w:r w:rsidRPr="0062592D">
              <w:rPr>
                <w:lang w:val="fr-FR"/>
              </w:rPr>
              <w:t>SÉANCE PLÉNIÈRE</w:t>
            </w:r>
          </w:p>
        </w:tc>
        <w:tc>
          <w:tcPr>
            <w:tcW w:w="3120" w:type="dxa"/>
          </w:tcPr>
          <w:p w14:paraId="73AB7939" w14:textId="77777777" w:rsidR="00BD1614" w:rsidRPr="0062592D" w:rsidRDefault="00BD1614" w:rsidP="005A477A">
            <w:pPr>
              <w:spacing w:before="0"/>
              <w:rPr>
                <w:rFonts w:cstheme="minorHAnsi"/>
                <w:szCs w:val="24"/>
              </w:rPr>
            </w:pPr>
            <w:r w:rsidRPr="0062592D">
              <w:rPr>
                <w:rFonts w:cstheme="minorHAnsi"/>
                <w:b/>
                <w:szCs w:val="24"/>
              </w:rPr>
              <w:t>Addendum 15 au</w:t>
            </w:r>
            <w:r w:rsidRPr="0062592D">
              <w:rPr>
                <w:rFonts w:cstheme="minorHAnsi"/>
                <w:b/>
                <w:szCs w:val="24"/>
              </w:rPr>
              <w:br/>
              <w:t>Document 68</w:t>
            </w:r>
            <w:r w:rsidR="005F63BD" w:rsidRPr="0062592D">
              <w:rPr>
                <w:rFonts w:cstheme="minorHAnsi"/>
                <w:b/>
                <w:szCs w:val="24"/>
              </w:rPr>
              <w:t>-F</w:t>
            </w:r>
          </w:p>
        </w:tc>
      </w:tr>
      <w:tr w:rsidR="00BD1614" w:rsidRPr="0062592D" w14:paraId="4D496E0B" w14:textId="77777777" w:rsidTr="006A046E">
        <w:trPr>
          <w:cantSplit/>
        </w:trPr>
        <w:tc>
          <w:tcPr>
            <w:tcW w:w="6911" w:type="dxa"/>
          </w:tcPr>
          <w:p w14:paraId="5367D6FB" w14:textId="77777777" w:rsidR="00BD1614" w:rsidRPr="0062592D" w:rsidRDefault="00BD1614" w:rsidP="005A477A">
            <w:pPr>
              <w:spacing w:before="0"/>
              <w:rPr>
                <w:rFonts w:cstheme="minorHAnsi"/>
                <w:b/>
                <w:szCs w:val="24"/>
              </w:rPr>
            </w:pPr>
          </w:p>
        </w:tc>
        <w:tc>
          <w:tcPr>
            <w:tcW w:w="3120" w:type="dxa"/>
          </w:tcPr>
          <w:p w14:paraId="51AF4DD3" w14:textId="77777777" w:rsidR="00BD1614" w:rsidRPr="0062592D" w:rsidRDefault="00BD1614" w:rsidP="005A477A">
            <w:pPr>
              <w:spacing w:before="0"/>
              <w:rPr>
                <w:rFonts w:cstheme="minorHAnsi"/>
                <w:b/>
                <w:szCs w:val="24"/>
              </w:rPr>
            </w:pPr>
            <w:r w:rsidRPr="0062592D">
              <w:rPr>
                <w:rFonts w:cstheme="minorHAnsi"/>
                <w:b/>
                <w:szCs w:val="24"/>
              </w:rPr>
              <w:t>18 août 2022</w:t>
            </w:r>
          </w:p>
        </w:tc>
      </w:tr>
      <w:tr w:rsidR="00BD1614" w:rsidRPr="0062592D" w14:paraId="146A79BD" w14:textId="77777777" w:rsidTr="006A046E">
        <w:trPr>
          <w:cantSplit/>
        </w:trPr>
        <w:tc>
          <w:tcPr>
            <w:tcW w:w="6911" w:type="dxa"/>
          </w:tcPr>
          <w:p w14:paraId="150F8666" w14:textId="77777777" w:rsidR="00BD1614" w:rsidRPr="0062592D" w:rsidRDefault="00BD1614" w:rsidP="005A477A">
            <w:pPr>
              <w:spacing w:before="0"/>
              <w:rPr>
                <w:rFonts w:cstheme="minorHAnsi"/>
                <w:b/>
                <w:smallCaps/>
                <w:szCs w:val="24"/>
              </w:rPr>
            </w:pPr>
          </w:p>
        </w:tc>
        <w:tc>
          <w:tcPr>
            <w:tcW w:w="3120" w:type="dxa"/>
          </w:tcPr>
          <w:p w14:paraId="0FA3A7D6" w14:textId="77777777" w:rsidR="00BD1614" w:rsidRPr="0062592D" w:rsidRDefault="00BD1614" w:rsidP="005A477A">
            <w:pPr>
              <w:spacing w:before="0"/>
              <w:rPr>
                <w:rFonts w:cstheme="minorHAnsi"/>
                <w:b/>
                <w:szCs w:val="24"/>
              </w:rPr>
            </w:pPr>
            <w:proofErr w:type="gramStart"/>
            <w:r w:rsidRPr="0062592D">
              <w:rPr>
                <w:rFonts w:cstheme="minorHAnsi"/>
                <w:b/>
                <w:szCs w:val="24"/>
              </w:rPr>
              <w:t>Original:</w:t>
            </w:r>
            <w:proofErr w:type="gramEnd"/>
            <w:r w:rsidRPr="0062592D">
              <w:rPr>
                <w:rFonts w:cstheme="minorHAnsi"/>
                <w:b/>
                <w:szCs w:val="24"/>
              </w:rPr>
              <w:t xml:space="preserve"> russe</w:t>
            </w:r>
          </w:p>
        </w:tc>
      </w:tr>
      <w:tr w:rsidR="00BD1614" w:rsidRPr="0062592D" w14:paraId="78F688F4" w14:textId="77777777" w:rsidTr="006A046E">
        <w:trPr>
          <w:cantSplit/>
        </w:trPr>
        <w:tc>
          <w:tcPr>
            <w:tcW w:w="10031" w:type="dxa"/>
            <w:gridSpan w:val="2"/>
          </w:tcPr>
          <w:p w14:paraId="53CCF597" w14:textId="77777777" w:rsidR="00BD1614" w:rsidRPr="0062592D" w:rsidRDefault="00BD1614" w:rsidP="005A477A">
            <w:pPr>
              <w:spacing w:before="0"/>
              <w:rPr>
                <w:rFonts w:cstheme="minorHAnsi"/>
                <w:b/>
                <w:szCs w:val="24"/>
              </w:rPr>
            </w:pPr>
          </w:p>
        </w:tc>
      </w:tr>
      <w:tr w:rsidR="00BD1614" w:rsidRPr="0062592D" w14:paraId="4B2B4C5B" w14:textId="77777777" w:rsidTr="006A046E">
        <w:trPr>
          <w:cantSplit/>
        </w:trPr>
        <w:tc>
          <w:tcPr>
            <w:tcW w:w="10031" w:type="dxa"/>
            <w:gridSpan w:val="2"/>
          </w:tcPr>
          <w:p w14:paraId="24F0F672" w14:textId="2135CC98" w:rsidR="00BD1614" w:rsidRPr="0062592D" w:rsidRDefault="00EA4C77" w:rsidP="00070402">
            <w:pPr>
              <w:pStyle w:val="Source"/>
              <w:spacing w:before="720"/>
            </w:pPr>
            <w:bookmarkStart w:id="4" w:name="dsource" w:colFirst="0" w:colLast="0"/>
            <w:bookmarkEnd w:id="3"/>
            <w:r w:rsidRPr="00070402">
              <w:rPr>
                <w:caps/>
              </w:rPr>
              <w:t>é</w:t>
            </w:r>
            <w:r w:rsidR="00BD1614" w:rsidRPr="00070402">
              <w:t>tats Membres de l</w:t>
            </w:r>
            <w:r w:rsidR="005A477A" w:rsidRPr="00070402">
              <w:t>'</w:t>
            </w:r>
            <w:r w:rsidR="00BD1614" w:rsidRPr="00070402">
              <w:t xml:space="preserve">UIT, </w:t>
            </w:r>
            <w:r w:rsidR="00A27191" w:rsidRPr="00070402">
              <w:t>m</w:t>
            </w:r>
            <w:r w:rsidR="00BD1614" w:rsidRPr="00070402">
              <w:t>embres de la RCC</w:t>
            </w:r>
          </w:p>
        </w:tc>
      </w:tr>
      <w:tr w:rsidR="00EA4C77" w:rsidRPr="0062592D" w14:paraId="100F3B39" w14:textId="77777777" w:rsidTr="006A046E">
        <w:trPr>
          <w:cantSplit/>
        </w:trPr>
        <w:tc>
          <w:tcPr>
            <w:tcW w:w="10031" w:type="dxa"/>
            <w:gridSpan w:val="2"/>
          </w:tcPr>
          <w:p w14:paraId="571D09D6" w14:textId="6141BDDA" w:rsidR="00EA4C77" w:rsidRPr="0062592D" w:rsidRDefault="00EA4C77" w:rsidP="005A477A">
            <w:pPr>
              <w:pStyle w:val="Title1"/>
            </w:pPr>
            <w:bookmarkStart w:id="5" w:name="dtitle1" w:colFirst="0" w:colLast="0"/>
            <w:bookmarkEnd w:id="4"/>
            <w:r w:rsidRPr="0062592D">
              <w:t>Projet de nouvelle résolution [article 48 de la constitution de l</w:t>
            </w:r>
            <w:r w:rsidR="005A477A">
              <w:t>'</w:t>
            </w:r>
            <w:r w:rsidRPr="0062592D">
              <w:t>UIT]</w:t>
            </w:r>
          </w:p>
        </w:tc>
      </w:tr>
      <w:tr w:rsidR="00EA4C77" w:rsidRPr="0062592D" w14:paraId="7BD96F55" w14:textId="77777777" w:rsidTr="006A046E">
        <w:trPr>
          <w:cantSplit/>
        </w:trPr>
        <w:tc>
          <w:tcPr>
            <w:tcW w:w="10031" w:type="dxa"/>
            <w:gridSpan w:val="2"/>
          </w:tcPr>
          <w:p w14:paraId="335FC370" w14:textId="6ECCEDCE" w:rsidR="00EA4C77" w:rsidRPr="0062592D" w:rsidRDefault="009107A3" w:rsidP="00D549A5">
            <w:pPr>
              <w:pStyle w:val="Title2"/>
            </w:pPr>
            <w:bookmarkStart w:id="6" w:name="dtitle2" w:colFirst="0" w:colLast="0"/>
            <w:bookmarkEnd w:id="5"/>
            <w:r w:rsidRPr="0062592D">
              <w:t xml:space="preserve">UTILIsation des assignations de fréquence </w:t>
            </w:r>
            <w:r w:rsidR="00D549A5">
              <w:t>pour</w:t>
            </w:r>
            <w:r w:rsidRPr="0062592D">
              <w:t xml:space="preserve"> des </w:t>
            </w:r>
            <w:r w:rsidR="00EA4C77" w:rsidRPr="0062592D">
              <w:t>installations</w:t>
            </w:r>
            <w:r w:rsidRPr="0062592D">
              <w:t xml:space="preserve"> radioélectriques militaires</w:t>
            </w:r>
          </w:p>
        </w:tc>
      </w:tr>
      <w:tr w:rsidR="00BD1614" w:rsidRPr="0062592D" w14:paraId="5B9E61E3" w14:textId="77777777" w:rsidTr="006A046E">
        <w:trPr>
          <w:cantSplit/>
        </w:trPr>
        <w:tc>
          <w:tcPr>
            <w:tcW w:w="10031" w:type="dxa"/>
            <w:gridSpan w:val="2"/>
          </w:tcPr>
          <w:p w14:paraId="5F91134D" w14:textId="77777777" w:rsidR="00BD1614" w:rsidRPr="0062592D" w:rsidRDefault="00BD1614" w:rsidP="005A477A">
            <w:pPr>
              <w:pStyle w:val="Agendaitem"/>
              <w:rPr>
                <w:lang w:val="fr-FR"/>
              </w:rPr>
            </w:pPr>
            <w:bookmarkStart w:id="7" w:name="dtitle3" w:colFirst="0" w:colLast="0"/>
            <w:bookmarkEnd w:id="6"/>
          </w:p>
        </w:tc>
      </w:tr>
      <w:bookmarkEnd w:id="7"/>
    </w:tbl>
    <w:p w14:paraId="661E3766" w14:textId="77777777" w:rsidR="00EA4C77" w:rsidRPr="0062592D" w:rsidRDefault="00EA4C77" w:rsidP="005A477A">
      <w:pPr>
        <w:spacing w:before="2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A4C77" w:rsidRPr="0062592D" w14:paraId="3B6AC579" w14:textId="77777777" w:rsidTr="0088652E">
        <w:trPr>
          <w:trHeight w:val="3372"/>
        </w:trPr>
        <w:tc>
          <w:tcPr>
            <w:tcW w:w="8080" w:type="dxa"/>
            <w:tcBorders>
              <w:top w:val="single" w:sz="12" w:space="0" w:color="auto"/>
              <w:left w:val="single" w:sz="12" w:space="0" w:color="auto"/>
              <w:bottom w:val="single" w:sz="12" w:space="0" w:color="auto"/>
              <w:right w:val="single" w:sz="12" w:space="0" w:color="auto"/>
            </w:tcBorders>
          </w:tcPr>
          <w:p w14:paraId="30404083" w14:textId="77777777" w:rsidR="00EA4C77" w:rsidRPr="0062592D" w:rsidRDefault="00EA4C77" w:rsidP="005A477A">
            <w:pPr>
              <w:pStyle w:val="Headingb"/>
              <w:keepNext w:val="0"/>
              <w:keepLines w:val="0"/>
            </w:pPr>
            <w:r w:rsidRPr="0062592D">
              <w:t>Résumé</w:t>
            </w:r>
          </w:p>
          <w:p w14:paraId="2BF7B01E" w14:textId="1BD3A7FA" w:rsidR="0043792A" w:rsidRPr="0062592D" w:rsidRDefault="0043792A" w:rsidP="005A477A">
            <w:pPr>
              <w:rPr>
                <w:rFonts w:ascii="Times New Roman" w:eastAsia="SimSun" w:hAnsi="Times New Roman"/>
                <w:szCs w:val="24"/>
                <w:lang w:eastAsia="zh-CN"/>
              </w:rPr>
            </w:pPr>
            <w:r w:rsidRPr="0062592D">
              <w:rPr>
                <w:szCs w:val="24"/>
              </w:rPr>
              <w:t>Au titre du point 9.3 de l</w:t>
            </w:r>
            <w:r w:rsidR="005A477A">
              <w:rPr>
                <w:szCs w:val="24"/>
              </w:rPr>
              <w:t>'</w:t>
            </w:r>
            <w:r w:rsidRPr="0062592D">
              <w:rPr>
                <w:szCs w:val="24"/>
              </w:rPr>
              <w:t>ordre du jour de la C</w:t>
            </w:r>
            <w:r w:rsidR="009107A3" w:rsidRPr="0062592D">
              <w:rPr>
                <w:szCs w:val="24"/>
              </w:rPr>
              <w:t>onférence mondiale des radiocommunications de 2019 (C</w:t>
            </w:r>
            <w:r w:rsidRPr="0062592D">
              <w:rPr>
                <w:szCs w:val="24"/>
              </w:rPr>
              <w:t>MR-19</w:t>
            </w:r>
            <w:r w:rsidR="009107A3" w:rsidRPr="0062592D">
              <w:rPr>
                <w:szCs w:val="24"/>
              </w:rPr>
              <w:t>)</w:t>
            </w:r>
            <w:r w:rsidRPr="0062592D">
              <w:rPr>
                <w:szCs w:val="24"/>
              </w:rPr>
              <w:t xml:space="preserve">, la </w:t>
            </w:r>
            <w:r w:rsidR="0079308D" w:rsidRPr="0062592D">
              <w:rPr>
                <w:szCs w:val="24"/>
              </w:rPr>
              <w:t>CMR-19</w:t>
            </w:r>
            <w:r w:rsidRPr="0062592D">
              <w:rPr>
                <w:szCs w:val="24"/>
              </w:rPr>
              <w:t xml:space="preserve"> a reçu du Comité du Règlement des radiocommunications (RRB)</w:t>
            </w:r>
            <w:r w:rsidR="0079308D" w:rsidRPr="0062592D">
              <w:rPr>
                <w:szCs w:val="24"/>
              </w:rPr>
              <w:t xml:space="preserve"> le Document 15</w:t>
            </w:r>
            <w:r w:rsidRPr="0062592D">
              <w:rPr>
                <w:szCs w:val="24"/>
              </w:rPr>
              <w:t xml:space="preserve">, intitulé </w:t>
            </w:r>
            <w:r w:rsidRPr="0062592D">
              <w:rPr>
                <w:i/>
                <w:szCs w:val="24"/>
              </w:rPr>
              <w:t xml:space="preserve">Rapport du Comité du Règlement des radiocommunications à la CMR-19 sur la Résolution </w:t>
            </w:r>
            <w:r w:rsidRPr="0062592D">
              <w:rPr>
                <w:b/>
                <w:i/>
                <w:szCs w:val="24"/>
              </w:rPr>
              <w:t>80 (Rév.CMR-07)</w:t>
            </w:r>
            <w:r w:rsidRPr="0062592D">
              <w:rPr>
                <w:i/>
                <w:szCs w:val="24"/>
              </w:rPr>
              <w:t>.</w:t>
            </w:r>
            <w:r w:rsidRPr="0062592D">
              <w:rPr>
                <w:szCs w:val="24"/>
              </w:rPr>
              <w:t xml:space="preserve"> Ce rapport présent</w:t>
            </w:r>
            <w:r w:rsidR="0079308D">
              <w:rPr>
                <w:szCs w:val="24"/>
              </w:rPr>
              <w:t>ait</w:t>
            </w:r>
            <w:r w:rsidR="005A477A">
              <w:rPr>
                <w:szCs w:val="24"/>
              </w:rPr>
              <w:t xml:space="preserve"> </w:t>
            </w:r>
            <w:r w:rsidRPr="0062592D">
              <w:rPr>
                <w:szCs w:val="24"/>
              </w:rPr>
              <w:t xml:space="preserve">une synthèse des activités du RRB concernant la Résolution </w:t>
            </w:r>
            <w:r w:rsidRPr="0062592D">
              <w:rPr>
                <w:b/>
                <w:bCs/>
                <w:szCs w:val="24"/>
              </w:rPr>
              <w:t>80</w:t>
            </w:r>
            <w:r w:rsidRPr="0062592D">
              <w:rPr>
                <w:szCs w:val="24"/>
              </w:rPr>
              <w:t xml:space="preserve"> </w:t>
            </w:r>
            <w:r w:rsidRPr="0062592D">
              <w:rPr>
                <w:b/>
                <w:bCs/>
                <w:szCs w:val="24"/>
              </w:rPr>
              <w:t>(Rév.CMR-07)</w:t>
            </w:r>
            <w:r w:rsidRPr="0062592D">
              <w:rPr>
                <w:szCs w:val="24"/>
              </w:rPr>
              <w:t xml:space="preserve"> – </w:t>
            </w:r>
            <w:r w:rsidRPr="0062592D">
              <w:rPr>
                <w:i/>
              </w:rPr>
              <w:t>Procédure de diligence due dans l</w:t>
            </w:r>
            <w:r w:rsidR="005A477A">
              <w:rPr>
                <w:i/>
              </w:rPr>
              <w:t>'</w:t>
            </w:r>
            <w:r w:rsidRPr="0062592D">
              <w:rPr>
                <w:i/>
              </w:rPr>
              <w:t>application des principes énoncés dans la Constitution</w:t>
            </w:r>
            <w:r w:rsidRPr="0062592D">
              <w:rPr>
                <w:szCs w:val="24"/>
              </w:rPr>
              <w:t>. Le rapport du Comité à la CMR</w:t>
            </w:r>
            <w:r w:rsidRPr="0062592D">
              <w:rPr>
                <w:szCs w:val="24"/>
              </w:rPr>
              <w:noBreakHyphen/>
              <w:t>19 consist</w:t>
            </w:r>
            <w:r w:rsidR="0079308D">
              <w:rPr>
                <w:szCs w:val="24"/>
              </w:rPr>
              <w:t>ait</w:t>
            </w:r>
            <w:r w:rsidR="005A477A">
              <w:rPr>
                <w:szCs w:val="24"/>
              </w:rPr>
              <w:t xml:space="preserve"> </w:t>
            </w:r>
            <w:r w:rsidRPr="0062592D">
              <w:rPr>
                <w:szCs w:val="24"/>
              </w:rPr>
              <w:t xml:space="preserve">en une mise à jour du rapport </w:t>
            </w:r>
            <w:r w:rsidRPr="0062592D">
              <w:rPr>
                <w:rFonts w:eastAsia="SimSun"/>
                <w:szCs w:val="24"/>
                <w:lang w:eastAsia="zh-CN"/>
              </w:rPr>
              <w:t>à la CMR-15, l</w:t>
            </w:r>
            <w:r w:rsidR="005A477A">
              <w:rPr>
                <w:rFonts w:eastAsia="SimSun"/>
                <w:szCs w:val="24"/>
                <w:lang w:eastAsia="zh-CN"/>
              </w:rPr>
              <w:t>'</w:t>
            </w:r>
            <w:r w:rsidRPr="0062592D">
              <w:rPr>
                <w:rFonts w:eastAsia="SimSun"/>
                <w:szCs w:val="24"/>
                <w:lang w:eastAsia="zh-CN"/>
              </w:rPr>
              <w:t>accent étant mis sur les efforts déployés par le Comité pour résoudre les problèmes rencontrés par le Comité et le Bureau des ra</w:t>
            </w:r>
            <w:r w:rsidR="005A477A">
              <w:rPr>
                <w:rFonts w:eastAsia="SimSun"/>
                <w:szCs w:val="24"/>
                <w:lang w:eastAsia="zh-CN"/>
              </w:rPr>
              <w:t>diocommunications depuis la CMR</w:t>
            </w:r>
            <w:r w:rsidR="005A477A">
              <w:rPr>
                <w:rFonts w:eastAsia="SimSun"/>
                <w:szCs w:val="24"/>
                <w:lang w:eastAsia="zh-CN"/>
              </w:rPr>
              <w:noBreakHyphen/>
            </w:r>
            <w:r w:rsidRPr="0062592D">
              <w:rPr>
                <w:rFonts w:eastAsia="SimSun"/>
                <w:szCs w:val="24"/>
                <w:lang w:eastAsia="zh-CN"/>
              </w:rPr>
              <w:t>15</w:t>
            </w:r>
            <w:r w:rsidR="005A477A">
              <w:rPr>
                <w:rFonts w:eastAsia="SimSun"/>
                <w:szCs w:val="24"/>
                <w:lang w:eastAsia="zh-CN"/>
              </w:rPr>
              <w:t xml:space="preserve"> </w:t>
            </w:r>
            <w:r w:rsidRPr="0062592D">
              <w:rPr>
                <w:rFonts w:eastAsia="SimSun"/>
                <w:szCs w:val="24"/>
                <w:lang w:eastAsia="zh-CN"/>
              </w:rPr>
              <w:t xml:space="preserve">et </w:t>
            </w:r>
            <w:r w:rsidR="0079308D">
              <w:rPr>
                <w:rFonts w:eastAsia="SimSun"/>
                <w:szCs w:val="24"/>
                <w:lang w:eastAsia="zh-CN"/>
              </w:rPr>
              <w:t>ayant</w:t>
            </w:r>
            <w:r w:rsidRPr="0062592D">
              <w:rPr>
                <w:rFonts w:eastAsia="SimSun"/>
                <w:szCs w:val="24"/>
                <w:lang w:eastAsia="zh-CN"/>
              </w:rPr>
              <w:t xml:space="preserve"> une incidence sur le respect des principes énoncés dans l</w:t>
            </w:r>
            <w:r w:rsidR="005A477A">
              <w:rPr>
                <w:rFonts w:eastAsia="SimSun"/>
                <w:szCs w:val="24"/>
                <w:lang w:eastAsia="zh-CN"/>
              </w:rPr>
              <w:t>'</w:t>
            </w:r>
            <w:r w:rsidRPr="0062592D">
              <w:rPr>
                <w:rFonts w:eastAsia="SimSun"/>
                <w:szCs w:val="24"/>
                <w:lang w:eastAsia="zh-CN"/>
              </w:rPr>
              <w:t xml:space="preserve">article </w:t>
            </w:r>
            <w:r w:rsidRPr="0062592D">
              <w:rPr>
                <w:rFonts w:eastAsia="SimSun"/>
                <w:bCs/>
                <w:szCs w:val="24"/>
                <w:lang w:eastAsia="zh-CN"/>
              </w:rPr>
              <w:t>44</w:t>
            </w:r>
            <w:r w:rsidRPr="0062592D">
              <w:rPr>
                <w:rFonts w:eastAsia="SimSun"/>
                <w:szCs w:val="24"/>
                <w:lang w:eastAsia="zh-CN"/>
              </w:rPr>
              <w:t xml:space="preserve"> de la Constitution de l</w:t>
            </w:r>
            <w:r w:rsidR="005A477A">
              <w:rPr>
                <w:rFonts w:eastAsia="SimSun"/>
                <w:szCs w:val="24"/>
                <w:lang w:eastAsia="zh-CN"/>
              </w:rPr>
              <w:t>'</w:t>
            </w:r>
            <w:r w:rsidRPr="0062592D">
              <w:rPr>
                <w:rFonts w:eastAsia="SimSun"/>
                <w:szCs w:val="24"/>
                <w:lang w:eastAsia="zh-CN"/>
              </w:rPr>
              <w:t>UIT ainsi qu</w:t>
            </w:r>
            <w:r w:rsidR="005A477A">
              <w:rPr>
                <w:rFonts w:eastAsia="SimSun"/>
                <w:szCs w:val="24"/>
                <w:lang w:eastAsia="zh-CN"/>
              </w:rPr>
              <w:t>'</w:t>
            </w:r>
            <w:r w:rsidRPr="0062592D">
              <w:rPr>
                <w:rFonts w:eastAsia="SimSun"/>
                <w:szCs w:val="24"/>
                <w:lang w:eastAsia="zh-CN"/>
              </w:rPr>
              <w:t xml:space="preserve">au numéro </w:t>
            </w:r>
            <w:r w:rsidRPr="0062592D">
              <w:rPr>
                <w:rFonts w:eastAsia="SimSun"/>
                <w:b/>
                <w:szCs w:val="24"/>
                <w:lang w:eastAsia="zh-CN"/>
              </w:rPr>
              <w:t>0.3</w:t>
            </w:r>
            <w:r w:rsidRPr="0062592D">
              <w:rPr>
                <w:rFonts w:eastAsia="SimSun"/>
                <w:szCs w:val="24"/>
                <w:lang w:eastAsia="zh-CN"/>
              </w:rPr>
              <w:t xml:space="preserve"> du Préambule du Règlement des radiocommunications.</w:t>
            </w:r>
          </w:p>
          <w:p w14:paraId="582C3029" w14:textId="19B48240" w:rsidR="0043792A" w:rsidRPr="0062592D" w:rsidRDefault="0043792A" w:rsidP="005A477A">
            <w:pPr>
              <w:rPr>
                <w:i/>
              </w:rPr>
            </w:pPr>
            <w:r w:rsidRPr="0062592D">
              <w:rPr>
                <w:rFonts w:eastAsia="SimSun"/>
                <w:bCs/>
                <w:szCs w:val="24"/>
                <w:lang w:eastAsia="zh-CN"/>
              </w:rPr>
              <w:t xml:space="preserve">Le rapport du Comité indique, entre autres, ce qui </w:t>
            </w:r>
            <w:proofErr w:type="gramStart"/>
            <w:r w:rsidRPr="0062592D">
              <w:rPr>
                <w:rFonts w:eastAsia="SimSun"/>
                <w:bCs/>
                <w:szCs w:val="24"/>
                <w:lang w:eastAsia="zh-CN"/>
              </w:rPr>
              <w:t>suit</w:t>
            </w:r>
            <w:r w:rsidRPr="0062592D">
              <w:rPr>
                <w:szCs w:val="24"/>
                <w:lang w:eastAsia="ar-SA"/>
              </w:rPr>
              <w:t>:</w:t>
            </w:r>
            <w:proofErr w:type="gramEnd"/>
            <w:r w:rsidRPr="0062592D">
              <w:rPr>
                <w:szCs w:val="24"/>
                <w:lang w:eastAsia="ar-SA"/>
              </w:rPr>
              <w:t xml:space="preserve"> "</w:t>
            </w:r>
            <w:r w:rsidRPr="0062592D">
              <w:rPr>
                <w:i/>
              </w:rPr>
              <w:t xml:space="preserve">Le Comité a </w:t>
            </w:r>
            <w:r w:rsidRPr="0062592D">
              <w:rPr>
                <w:i/>
                <w:color w:val="000000"/>
              </w:rPr>
              <w:t>examiné</w:t>
            </w:r>
            <w:r w:rsidRPr="0062592D">
              <w:rPr>
                <w:i/>
              </w:rPr>
              <w:t xml:space="preserve"> </w:t>
            </w:r>
            <w:r w:rsidRPr="0062592D">
              <w:rPr>
                <w:i/>
                <w:color w:val="000000"/>
              </w:rPr>
              <w:t>les inquiétudes exprimées</w:t>
            </w:r>
            <w:r w:rsidRPr="0062592D">
              <w:rPr>
                <w:i/>
              </w:rPr>
              <w:t xml:space="preserve"> par certaines administrations, qui se demandaient si l</w:t>
            </w:r>
            <w:r w:rsidR="005A477A">
              <w:rPr>
                <w:i/>
              </w:rPr>
              <w:t>'</w:t>
            </w:r>
            <w:r w:rsidRPr="0062592D">
              <w:rPr>
                <w:i/>
              </w:rPr>
              <w:t>application par d</w:t>
            </w:r>
            <w:r w:rsidR="005A477A">
              <w:rPr>
                <w:i/>
              </w:rPr>
              <w:t>'</w:t>
            </w:r>
            <w:r w:rsidRPr="0062592D">
              <w:rPr>
                <w:i/>
              </w:rPr>
              <w:t>autres administrations de l</w:t>
            </w:r>
            <w:r w:rsidR="005A477A">
              <w:rPr>
                <w:i/>
              </w:rPr>
              <w:t>'</w:t>
            </w:r>
            <w:r w:rsidRPr="0062592D">
              <w:rPr>
                <w:i/>
              </w:rPr>
              <w:t>article 48 de la Constitution de l</w:t>
            </w:r>
            <w:r w:rsidR="005A477A">
              <w:rPr>
                <w:i/>
              </w:rPr>
              <w:t>'</w:t>
            </w:r>
            <w:r w:rsidRPr="0062592D">
              <w:rPr>
                <w:i/>
              </w:rPr>
              <w:t>UIT était justifiée. Les cas allégués de non</w:t>
            </w:r>
            <w:r w:rsidRPr="0062592D">
              <w:rPr>
                <w:i/>
              </w:rPr>
              <w:noBreakHyphen/>
              <w:t>conformité à l</w:t>
            </w:r>
            <w:r w:rsidR="005A477A">
              <w:rPr>
                <w:i/>
              </w:rPr>
              <w:t>'</w:t>
            </w:r>
            <w:r w:rsidRPr="0062592D">
              <w:rPr>
                <w:i/>
              </w:rPr>
              <w:t xml:space="preserve">article 48 de la Constitution qui ont été présentés au Comité peuvent être résumés comme </w:t>
            </w:r>
            <w:proofErr w:type="gramStart"/>
            <w:r w:rsidRPr="0062592D">
              <w:rPr>
                <w:i/>
              </w:rPr>
              <w:t>suit:</w:t>
            </w:r>
            <w:proofErr w:type="gramEnd"/>
          </w:p>
          <w:p w14:paraId="324076C1" w14:textId="3B1B5F37" w:rsidR="0043792A" w:rsidRPr="0062592D" w:rsidRDefault="0043792A" w:rsidP="005A477A">
            <w:pPr>
              <w:pStyle w:val="enumlev1"/>
            </w:pPr>
            <w:r w:rsidRPr="0062592D">
              <w:t>–</w:t>
            </w:r>
            <w:r w:rsidRPr="0062592D">
              <w:tab/>
              <w:t>Administrations invoquant l</w:t>
            </w:r>
            <w:r w:rsidR="005A477A">
              <w:t>'</w:t>
            </w:r>
            <w:r w:rsidRPr="0062592D">
              <w:t xml:space="preserve">article 48 de la Constitution après que le Bureau a entrepris un examen au titre du numéro </w:t>
            </w:r>
            <w:r w:rsidRPr="0062592D">
              <w:rPr>
                <w:b/>
                <w:bCs/>
              </w:rPr>
              <w:t>13.6</w:t>
            </w:r>
            <w:r w:rsidRPr="0062592D">
              <w:t xml:space="preserve"> du RR, pour en empêcher l</w:t>
            </w:r>
            <w:r w:rsidR="005A477A">
              <w:t>'</w:t>
            </w:r>
            <w:r w:rsidRPr="0062592D">
              <w:t>application et conserver leurs droits dans le Fichier de référence international des fréquences.</w:t>
            </w:r>
          </w:p>
          <w:p w14:paraId="6E188621" w14:textId="11AC7E4B" w:rsidR="0043792A" w:rsidRPr="0062592D" w:rsidRDefault="0043792A" w:rsidP="005A477A">
            <w:pPr>
              <w:pStyle w:val="enumlev1"/>
            </w:pPr>
            <w:r w:rsidRPr="0062592D">
              <w:lastRenderedPageBreak/>
              <w:t>–</w:t>
            </w:r>
            <w:r w:rsidRPr="0062592D">
              <w:tab/>
              <w:t>Administrations invoquant l</w:t>
            </w:r>
            <w:r w:rsidR="005A477A">
              <w:t>'</w:t>
            </w:r>
            <w:r w:rsidRPr="0062592D">
              <w:t>article 48 de la Constitution pour des assignations de fréquence qui ne sont pas utilisées à des fins militaires".</w:t>
            </w:r>
          </w:p>
          <w:p w14:paraId="3DDE8CC9" w14:textId="29E52ADA" w:rsidR="0043792A" w:rsidRPr="0062592D" w:rsidRDefault="0079308D" w:rsidP="005A477A">
            <w:pPr>
              <w:rPr>
                <w:lang w:eastAsia="ar-SA"/>
              </w:rPr>
            </w:pPr>
            <w:r>
              <w:rPr>
                <w:lang w:eastAsia="ar-SA"/>
              </w:rPr>
              <w:t>Suite</w:t>
            </w:r>
            <w:r w:rsidR="0043792A" w:rsidRPr="0062592D">
              <w:rPr>
                <w:lang w:eastAsia="ar-SA"/>
              </w:rPr>
              <w:t xml:space="preserve"> au rapport du Comité, plusieurs administrations ont présenté </w:t>
            </w:r>
            <w:r w:rsidR="00442E14" w:rsidRPr="0062592D">
              <w:rPr>
                <w:lang w:eastAsia="ar-SA"/>
              </w:rPr>
              <w:t>à la Conférence</w:t>
            </w:r>
            <w:r w:rsidR="005A477A">
              <w:rPr>
                <w:lang w:eastAsia="ar-SA"/>
              </w:rPr>
              <w:t xml:space="preserve"> </w:t>
            </w:r>
            <w:r w:rsidR="0043792A" w:rsidRPr="0062592D">
              <w:rPr>
                <w:lang w:eastAsia="ar-SA"/>
              </w:rPr>
              <w:t>des contributions faisant état de diverses mesures</w:t>
            </w:r>
            <w:r w:rsidR="005A477A">
              <w:rPr>
                <w:lang w:eastAsia="ar-SA"/>
              </w:rPr>
              <w:t xml:space="preserve"> </w:t>
            </w:r>
            <w:r w:rsidR="00442E14">
              <w:rPr>
                <w:lang w:eastAsia="ar-SA"/>
              </w:rPr>
              <w:t>devant être examinées par</w:t>
            </w:r>
            <w:r w:rsidR="0043792A" w:rsidRPr="0062592D">
              <w:rPr>
                <w:lang w:eastAsia="ar-SA"/>
              </w:rPr>
              <w:t xml:space="preserve"> la Conférence</w:t>
            </w:r>
            <w:r w:rsidR="00442E14">
              <w:rPr>
                <w:lang w:eastAsia="ar-SA"/>
              </w:rPr>
              <w:t>,</w:t>
            </w:r>
            <w:r w:rsidR="0043792A" w:rsidRPr="0062592D">
              <w:rPr>
                <w:lang w:eastAsia="ar-SA"/>
              </w:rPr>
              <w:t xml:space="preserve"> pour répondre aux inquiétudes exprimées par les </w:t>
            </w:r>
            <w:proofErr w:type="gramStart"/>
            <w:r w:rsidR="0043792A" w:rsidRPr="0062592D">
              <w:rPr>
                <w:lang w:eastAsia="ar-SA"/>
              </w:rPr>
              <w:t>administrations;</w:t>
            </w:r>
            <w:proofErr w:type="gramEnd"/>
            <w:r w:rsidR="0043792A" w:rsidRPr="0062592D">
              <w:rPr>
                <w:lang w:eastAsia="ar-SA"/>
              </w:rPr>
              <w:t xml:space="preserve"> toutefois, il </w:t>
            </w:r>
            <w:r w:rsidR="00442E14">
              <w:rPr>
                <w:lang w:eastAsia="ar-SA"/>
              </w:rPr>
              <w:t xml:space="preserve">était </w:t>
            </w:r>
            <w:r w:rsidR="0043792A" w:rsidRPr="0062592D">
              <w:rPr>
                <w:lang w:eastAsia="ar-SA"/>
              </w:rPr>
              <w:t>entendu qu</w:t>
            </w:r>
            <w:r w:rsidR="005A477A">
              <w:rPr>
                <w:lang w:eastAsia="ar-SA"/>
              </w:rPr>
              <w:t>'</w:t>
            </w:r>
            <w:r w:rsidR="0043792A" w:rsidRPr="0062592D">
              <w:rPr>
                <w:lang w:eastAsia="ar-SA"/>
              </w:rPr>
              <w:t>aucune de ces mesures ne</w:t>
            </w:r>
            <w:r w:rsidR="005A477A">
              <w:rPr>
                <w:lang w:eastAsia="ar-SA"/>
              </w:rPr>
              <w:t xml:space="preserve"> </w:t>
            </w:r>
            <w:r w:rsidR="00442E14">
              <w:rPr>
                <w:lang w:eastAsia="ar-SA"/>
              </w:rPr>
              <w:t xml:space="preserve">pourrait </w:t>
            </w:r>
            <w:r w:rsidR="0043792A" w:rsidRPr="0062592D">
              <w:rPr>
                <w:lang w:eastAsia="ar-SA"/>
              </w:rPr>
              <w:t>être mise en œuvre tant qu</w:t>
            </w:r>
            <w:r w:rsidR="005A477A">
              <w:rPr>
                <w:lang w:eastAsia="ar-SA"/>
              </w:rPr>
              <w:t>'</w:t>
            </w:r>
            <w:r w:rsidR="0043792A" w:rsidRPr="0062592D">
              <w:rPr>
                <w:lang w:eastAsia="ar-SA"/>
              </w:rPr>
              <w:t>une Conférence de plénipotentiaires n</w:t>
            </w:r>
            <w:r w:rsidR="005A477A">
              <w:rPr>
                <w:lang w:eastAsia="ar-SA"/>
              </w:rPr>
              <w:t>'</w:t>
            </w:r>
            <w:r w:rsidR="0043792A" w:rsidRPr="0062592D">
              <w:rPr>
                <w:lang w:eastAsia="ar-SA"/>
              </w:rPr>
              <w:t>a</w:t>
            </w:r>
            <w:r w:rsidR="00BD52E8">
              <w:rPr>
                <w:lang w:eastAsia="ar-SA"/>
              </w:rPr>
              <w:t>urait</w:t>
            </w:r>
            <w:r w:rsidR="0043792A" w:rsidRPr="0062592D">
              <w:rPr>
                <w:lang w:eastAsia="ar-SA"/>
              </w:rPr>
              <w:t xml:space="preserve"> pas expressément chargé une CMR de le faire.</w:t>
            </w:r>
          </w:p>
          <w:p w14:paraId="1DCBCAF8" w14:textId="1F6D7460" w:rsidR="0043792A" w:rsidRPr="0062592D" w:rsidRDefault="0043792A" w:rsidP="005A477A">
            <w:pPr>
              <w:rPr>
                <w:lang w:eastAsia="ar-SA"/>
              </w:rPr>
            </w:pPr>
            <w:r w:rsidRPr="0062592D">
              <w:rPr>
                <w:lang w:eastAsia="ar-SA"/>
              </w:rPr>
              <w:t xml:space="preserve">Compte tenu du rapport du Comité sur la Résolution </w:t>
            </w:r>
            <w:r w:rsidRPr="00D549A5">
              <w:rPr>
                <w:bCs/>
                <w:szCs w:val="24"/>
              </w:rPr>
              <w:t>80</w:t>
            </w:r>
            <w:r w:rsidRPr="00D549A5">
              <w:rPr>
                <w:szCs w:val="24"/>
              </w:rPr>
              <w:t xml:space="preserve"> </w:t>
            </w:r>
            <w:r w:rsidRPr="00D549A5">
              <w:rPr>
                <w:bCs/>
                <w:szCs w:val="24"/>
              </w:rPr>
              <w:t>(Rév.CMR-07)</w:t>
            </w:r>
            <w:r w:rsidRPr="00D549A5">
              <w:rPr>
                <w:szCs w:val="24"/>
              </w:rPr>
              <w:t>, ainsi</w:t>
            </w:r>
            <w:r w:rsidRPr="0062592D">
              <w:rPr>
                <w:szCs w:val="24"/>
              </w:rPr>
              <w:t xml:space="preserve"> que des contributions et des observations soumises à la CMR-19 en</w:t>
            </w:r>
            <w:r w:rsidR="005A477A">
              <w:rPr>
                <w:szCs w:val="24"/>
              </w:rPr>
              <w:t xml:space="preserve"> </w:t>
            </w:r>
            <w:r w:rsidRPr="0062592D">
              <w:rPr>
                <w:szCs w:val="24"/>
              </w:rPr>
              <w:t xml:space="preserve">ce </w:t>
            </w:r>
            <w:r w:rsidR="00BD52E8">
              <w:rPr>
                <w:szCs w:val="24"/>
              </w:rPr>
              <w:t xml:space="preserve">qui concerne ce </w:t>
            </w:r>
            <w:r w:rsidRPr="0062592D">
              <w:rPr>
                <w:szCs w:val="24"/>
              </w:rPr>
              <w:t xml:space="preserve">rapport, la CMR-19, </w:t>
            </w:r>
            <w:r w:rsidR="00BD52E8">
              <w:rPr>
                <w:szCs w:val="24"/>
              </w:rPr>
              <w:t>conformément à</w:t>
            </w:r>
            <w:r w:rsidR="005A477A">
              <w:rPr>
                <w:szCs w:val="24"/>
              </w:rPr>
              <w:t xml:space="preserve"> </w:t>
            </w:r>
            <w:r w:rsidRPr="0062592D">
              <w:rPr>
                <w:szCs w:val="24"/>
              </w:rPr>
              <w:t>l</w:t>
            </w:r>
            <w:r w:rsidR="005A477A">
              <w:rPr>
                <w:szCs w:val="24"/>
              </w:rPr>
              <w:t>'</w:t>
            </w:r>
            <w:r w:rsidRPr="0062592D">
              <w:rPr>
                <w:szCs w:val="24"/>
              </w:rPr>
              <w:t>article 21 de la Convention de l</w:t>
            </w:r>
            <w:r w:rsidR="005A477A">
              <w:rPr>
                <w:szCs w:val="24"/>
              </w:rPr>
              <w:t>'</w:t>
            </w:r>
            <w:r w:rsidRPr="0062592D">
              <w:rPr>
                <w:szCs w:val="24"/>
              </w:rPr>
              <w:t xml:space="preserve">UIT, </w:t>
            </w:r>
            <w:r w:rsidR="0062592D" w:rsidRPr="0062592D">
              <w:rPr>
                <w:szCs w:val="24"/>
              </w:rPr>
              <w:t xml:space="preserve">a invité </w:t>
            </w:r>
            <w:r w:rsidRPr="0062592D">
              <w:rPr>
                <w:szCs w:val="24"/>
              </w:rPr>
              <w:t xml:space="preserve">la Conférence de plénipotentiaires </w:t>
            </w:r>
            <w:r w:rsidR="0062592D" w:rsidRPr="0062592D">
              <w:rPr>
                <w:szCs w:val="24"/>
              </w:rPr>
              <w:t>(</w:t>
            </w:r>
            <w:r w:rsidR="005A477A">
              <w:rPr>
                <w:szCs w:val="24"/>
              </w:rPr>
              <w:t xml:space="preserve"> </w:t>
            </w:r>
            <w:r w:rsidR="0062592D" w:rsidRPr="0062592D">
              <w:rPr>
                <w:szCs w:val="24"/>
              </w:rPr>
              <w:t>Bucarest</w:t>
            </w:r>
            <w:r w:rsidR="00BD52E8">
              <w:rPr>
                <w:szCs w:val="24"/>
              </w:rPr>
              <w:t>,</w:t>
            </w:r>
            <w:r w:rsidR="005A477A">
              <w:rPr>
                <w:szCs w:val="24"/>
              </w:rPr>
              <w:t xml:space="preserve"> </w:t>
            </w:r>
            <w:r w:rsidR="00BD52E8" w:rsidRPr="0062592D">
              <w:rPr>
                <w:szCs w:val="24"/>
              </w:rPr>
              <w:t>2022</w:t>
            </w:r>
            <w:r w:rsidR="0062592D" w:rsidRPr="0062592D">
              <w:rPr>
                <w:szCs w:val="24"/>
              </w:rPr>
              <w:t xml:space="preserve">) </w:t>
            </w:r>
            <w:r w:rsidRPr="0062592D">
              <w:rPr>
                <w:szCs w:val="24"/>
              </w:rPr>
              <w:t xml:space="preserve">à examiner la question </w:t>
            </w:r>
            <w:r w:rsidR="004764B8">
              <w:rPr>
                <w:szCs w:val="24"/>
              </w:rPr>
              <w:t>de</w:t>
            </w:r>
            <w:r w:rsidR="005A477A">
              <w:rPr>
                <w:szCs w:val="24"/>
              </w:rPr>
              <w:t xml:space="preserve"> </w:t>
            </w:r>
            <w:r w:rsidRPr="0062592D">
              <w:rPr>
                <w:szCs w:val="24"/>
              </w:rPr>
              <w:t>l</w:t>
            </w:r>
            <w:r w:rsidR="005A477A">
              <w:rPr>
                <w:szCs w:val="24"/>
              </w:rPr>
              <w:t>'</w:t>
            </w:r>
            <w:r w:rsidRPr="0062592D">
              <w:rPr>
                <w:szCs w:val="24"/>
              </w:rPr>
              <w:t>invocation de l</w:t>
            </w:r>
            <w:r w:rsidR="005A477A">
              <w:rPr>
                <w:szCs w:val="24"/>
              </w:rPr>
              <w:t>'</w:t>
            </w:r>
            <w:r w:rsidRPr="0062592D">
              <w:rPr>
                <w:szCs w:val="24"/>
              </w:rPr>
              <w:t>article 48 de la Constitution en ce qui concerne le Règlement des radiocommunications, qui a été soulevée à la CMR-19, et à prendre les mesures nécessaires, selon qu</w:t>
            </w:r>
            <w:r w:rsidR="005A477A">
              <w:rPr>
                <w:szCs w:val="24"/>
              </w:rPr>
              <w:t>'</w:t>
            </w:r>
            <w:r w:rsidRPr="0062592D">
              <w:rPr>
                <w:szCs w:val="24"/>
              </w:rPr>
              <w:t>il convien</w:t>
            </w:r>
            <w:r w:rsidR="0062592D" w:rsidRPr="0062592D">
              <w:rPr>
                <w:szCs w:val="24"/>
              </w:rPr>
              <w:t>drai</w:t>
            </w:r>
            <w:r w:rsidRPr="0062592D">
              <w:rPr>
                <w:szCs w:val="24"/>
              </w:rPr>
              <w:t>t.</w:t>
            </w:r>
          </w:p>
          <w:p w14:paraId="2E365EAB" w14:textId="360CC306" w:rsidR="00EA4C77" w:rsidRPr="0062592D" w:rsidRDefault="0043792A" w:rsidP="005A477A">
            <w:r w:rsidRPr="0062592D">
              <w:t>En outre, la CMR-19 a chargé le Bureau de continuer d</w:t>
            </w:r>
            <w:r w:rsidR="005A477A">
              <w:t>'</w:t>
            </w:r>
            <w:r w:rsidRPr="0062592D">
              <w:t>appliquer la pratique qu</w:t>
            </w:r>
            <w:r w:rsidR="005A477A">
              <w:t>'</w:t>
            </w:r>
            <w:r w:rsidRPr="0062592D">
              <w:t>il suit actuellement, qui consiste à répondre aux demandes spécifiques des administrations concernant la situation de certain</w:t>
            </w:r>
            <w:r w:rsidR="00D549A5">
              <w:t>s réseaux à satellite donnés, y </w:t>
            </w:r>
            <w:r w:rsidRPr="0062592D">
              <w:t>compris lorsqu</w:t>
            </w:r>
            <w:r w:rsidR="005A477A">
              <w:t>'</w:t>
            </w:r>
            <w:r w:rsidRPr="0062592D">
              <w:t>il s</w:t>
            </w:r>
            <w:r w:rsidR="005A477A">
              <w:t>'</w:t>
            </w:r>
            <w:r w:rsidRPr="0062592D">
              <w:t>agit d</w:t>
            </w:r>
            <w:r w:rsidR="005A477A">
              <w:t>'</w:t>
            </w:r>
            <w:r w:rsidRPr="0062592D">
              <w:t>indications précisant si l</w:t>
            </w:r>
            <w:r w:rsidR="005A477A">
              <w:t>'</w:t>
            </w:r>
            <w:r w:rsidRPr="0062592D">
              <w:t>article 48</w:t>
            </w:r>
            <w:r w:rsidRPr="0062592D">
              <w:rPr>
                <w:szCs w:val="24"/>
              </w:rPr>
              <w:t xml:space="preserve"> de la Constitution a été invoqué pour un réseau à satellite</w:t>
            </w:r>
            <w:r w:rsidRPr="0062592D">
              <w:t>.</w:t>
            </w:r>
          </w:p>
          <w:p w14:paraId="76DA800A" w14:textId="77777777" w:rsidR="00EA4C77" w:rsidRPr="0062592D" w:rsidRDefault="00EA4C77" w:rsidP="005A477A">
            <w:pPr>
              <w:pStyle w:val="Headingb"/>
              <w:keepNext w:val="0"/>
              <w:keepLines w:val="0"/>
            </w:pPr>
            <w:proofErr w:type="gramStart"/>
            <w:r w:rsidRPr="0062592D">
              <w:t>Suite à</w:t>
            </w:r>
            <w:proofErr w:type="gramEnd"/>
            <w:r w:rsidRPr="0062592D">
              <w:t xml:space="preserve"> donner</w:t>
            </w:r>
          </w:p>
          <w:p w14:paraId="376EE922" w14:textId="05A32881" w:rsidR="00674A28" w:rsidRPr="007A52E8" w:rsidRDefault="0062592D" w:rsidP="005A477A">
            <w:pPr>
              <w:rPr>
                <w:szCs w:val="24"/>
              </w:rPr>
            </w:pPr>
            <w:r w:rsidRPr="00233915">
              <w:rPr>
                <w:szCs w:val="24"/>
              </w:rPr>
              <w:t>Les A</w:t>
            </w:r>
            <w:r w:rsidR="00674A28" w:rsidRPr="00233915">
              <w:rPr>
                <w:szCs w:val="24"/>
              </w:rPr>
              <w:t xml:space="preserve">dministrations </w:t>
            </w:r>
            <w:r w:rsidR="00682F52" w:rsidRPr="00682F52">
              <w:rPr>
                <w:szCs w:val="24"/>
              </w:rPr>
              <w:t xml:space="preserve">des pays </w:t>
            </w:r>
            <w:r w:rsidRPr="00233915">
              <w:rPr>
                <w:szCs w:val="24"/>
              </w:rPr>
              <w:t>membres de la RCC estiment qu</w:t>
            </w:r>
            <w:r w:rsidR="005A477A">
              <w:rPr>
                <w:szCs w:val="24"/>
              </w:rPr>
              <w:t>'</w:t>
            </w:r>
            <w:r w:rsidRPr="00233915">
              <w:rPr>
                <w:szCs w:val="24"/>
              </w:rPr>
              <w:t xml:space="preserve">il </w:t>
            </w:r>
            <w:r w:rsidR="000C5F9F">
              <w:rPr>
                <w:szCs w:val="24"/>
              </w:rPr>
              <w:t xml:space="preserve">est </w:t>
            </w:r>
            <w:r w:rsidRPr="00233915">
              <w:rPr>
                <w:szCs w:val="24"/>
              </w:rPr>
              <w:t>import</w:t>
            </w:r>
            <w:r w:rsidR="000C5F9F">
              <w:rPr>
                <w:szCs w:val="24"/>
              </w:rPr>
              <w:t>ant</w:t>
            </w:r>
            <w:r w:rsidR="005A477A">
              <w:rPr>
                <w:szCs w:val="24"/>
              </w:rPr>
              <w:t xml:space="preserve"> </w:t>
            </w:r>
            <w:r w:rsidRPr="00233915">
              <w:rPr>
                <w:szCs w:val="24"/>
              </w:rPr>
              <w:t>d</w:t>
            </w:r>
            <w:r w:rsidR="005A477A">
              <w:rPr>
                <w:szCs w:val="24"/>
              </w:rPr>
              <w:t>'</w:t>
            </w:r>
            <w:r w:rsidRPr="00233915">
              <w:rPr>
                <w:szCs w:val="24"/>
              </w:rPr>
              <w:t>examiner</w:t>
            </w:r>
            <w:r w:rsidR="00674A28" w:rsidRPr="00233915">
              <w:rPr>
                <w:szCs w:val="24"/>
              </w:rPr>
              <w:t xml:space="preserve"> </w:t>
            </w:r>
            <w:r w:rsidR="00233915" w:rsidRPr="00233915">
              <w:rPr>
                <w:szCs w:val="24"/>
              </w:rPr>
              <w:t xml:space="preserve">la question </w:t>
            </w:r>
            <w:r w:rsidR="00B840FE">
              <w:rPr>
                <w:szCs w:val="24"/>
              </w:rPr>
              <w:t>de</w:t>
            </w:r>
            <w:r w:rsidR="00233915" w:rsidRPr="00233915">
              <w:rPr>
                <w:szCs w:val="24"/>
              </w:rPr>
              <w:t xml:space="preserve"> l</w:t>
            </w:r>
            <w:r w:rsidR="005A477A">
              <w:rPr>
                <w:szCs w:val="24"/>
              </w:rPr>
              <w:t>'</w:t>
            </w:r>
            <w:r w:rsidR="00233915" w:rsidRPr="00233915">
              <w:rPr>
                <w:szCs w:val="24"/>
              </w:rPr>
              <w:t>interprétation sans équivoque de</w:t>
            </w:r>
            <w:r w:rsidR="00674A28" w:rsidRPr="00233915">
              <w:rPr>
                <w:szCs w:val="24"/>
              </w:rPr>
              <w:t xml:space="preserve"> </w:t>
            </w:r>
            <w:r w:rsidR="00233915" w:rsidRPr="00233915">
              <w:rPr>
                <w:szCs w:val="24"/>
              </w:rPr>
              <w:t>la pratique</w:t>
            </w:r>
            <w:r w:rsidR="00A8459B" w:rsidRPr="00A8459B">
              <w:rPr>
                <w:szCs w:val="24"/>
              </w:rPr>
              <w:t xml:space="preserve"> de mise en application</w:t>
            </w:r>
            <w:r w:rsidR="007634E1">
              <w:rPr>
                <w:szCs w:val="24"/>
              </w:rPr>
              <w:t xml:space="preserve"> des dispositions</w:t>
            </w:r>
            <w:r w:rsidR="00674A28" w:rsidRPr="00233915">
              <w:rPr>
                <w:szCs w:val="24"/>
              </w:rPr>
              <w:t xml:space="preserve"> </w:t>
            </w:r>
            <w:r w:rsidR="007A52E8">
              <w:rPr>
                <w:szCs w:val="24"/>
              </w:rPr>
              <w:t xml:space="preserve">suivie par le </w:t>
            </w:r>
            <w:r w:rsidR="00674A28" w:rsidRPr="00233915">
              <w:rPr>
                <w:szCs w:val="24"/>
              </w:rPr>
              <w:t xml:space="preserve">Bureau </w:t>
            </w:r>
            <w:r w:rsidR="007A52E8">
              <w:rPr>
                <w:szCs w:val="24"/>
              </w:rPr>
              <w:t>des r</w:t>
            </w:r>
            <w:r w:rsidR="007A52E8" w:rsidRPr="00233915">
              <w:rPr>
                <w:szCs w:val="24"/>
              </w:rPr>
              <w:t>adiocommunication</w:t>
            </w:r>
            <w:r w:rsidR="007A52E8">
              <w:rPr>
                <w:szCs w:val="24"/>
              </w:rPr>
              <w:t>s</w:t>
            </w:r>
            <w:r w:rsidR="007A52E8" w:rsidRPr="00233915">
              <w:rPr>
                <w:szCs w:val="24"/>
              </w:rPr>
              <w:t xml:space="preserve"> </w:t>
            </w:r>
            <w:r w:rsidR="007A52E8">
              <w:rPr>
                <w:szCs w:val="24"/>
              </w:rPr>
              <w:t xml:space="preserve">lorsque des </w:t>
            </w:r>
            <w:r w:rsidR="00674A28" w:rsidRPr="00233915">
              <w:rPr>
                <w:szCs w:val="24"/>
              </w:rPr>
              <w:t xml:space="preserve">administrations </w:t>
            </w:r>
            <w:r w:rsidR="007A52E8">
              <w:rPr>
                <w:szCs w:val="24"/>
              </w:rPr>
              <w:t>invoquent l</w:t>
            </w:r>
            <w:r w:rsidR="005A477A">
              <w:rPr>
                <w:szCs w:val="24"/>
              </w:rPr>
              <w:t>'</w:t>
            </w:r>
            <w:r w:rsidR="00E17EFA">
              <w:rPr>
                <w:szCs w:val="24"/>
              </w:rPr>
              <w:t>a</w:t>
            </w:r>
            <w:r w:rsidR="00674A28" w:rsidRPr="00233915">
              <w:rPr>
                <w:szCs w:val="24"/>
              </w:rPr>
              <w:t xml:space="preserve">rticle 48 </w:t>
            </w:r>
            <w:r w:rsidR="007A52E8">
              <w:rPr>
                <w:szCs w:val="24"/>
              </w:rPr>
              <w:t xml:space="preserve">de la </w:t>
            </w:r>
            <w:r w:rsidR="00674A28" w:rsidRPr="00233915">
              <w:rPr>
                <w:szCs w:val="24"/>
              </w:rPr>
              <w:t xml:space="preserve">Constitution </w:t>
            </w:r>
            <w:r w:rsidR="002C27E0">
              <w:rPr>
                <w:szCs w:val="24"/>
              </w:rPr>
              <w:t>lors</w:t>
            </w:r>
            <w:r w:rsidR="005A477A">
              <w:rPr>
                <w:szCs w:val="24"/>
              </w:rPr>
              <w:t xml:space="preserve"> </w:t>
            </w:r>
            <w:r w:rsidR="007A52E8">
              <w:rPr>
                <w:szCs w:val="24"/>
              </w:rPr>
              <w:t>de la notification d</w:t>
            </w:r>
            <w:r w:rsidR="005A477A">
              <w:rPr>
                <w:szCs w:val="24"/>
              </w:rPr>
              <w:t>'</w:t>
            </w:r>
            <w:r w:rsidR="007A52E8">
              <w:rPr>
                <w:szCs w:val="24"/>
              </w:rPr>
              <w:t xml:space="preserve">assignations de fréquence et </w:t>
            </w:r>
            <w:r w:rsidR="002C27E0">
              <w:rPr>
                <w:szCs w:val="24"/>
              </w:rPr>
              <w:t>considèrent</w:t>
            </w:r>
            <w:r w:rsidR="007A52E8">
              <w:rPr>
                <w:szCs w:val="24"/>
              </w:rPr>
              <w:t xml:space="preserve"> que les États Membres doivent prendre</w:t>
            </w:r>
            <w:r w:rsidR="001F5D99">
              <w:rPr>
                <w:szCs w:val="24"/>
              </w:rPr>
              <w:t xml:space="preserve"> une décision</w:t>
            </w:r>
            <w:r w:rsidR="007A52E8">
              <w:rPr>
                <w:szCs w:val="24"/>
              </w:rPr>
              <w:t xml:space="preserve">, à la présente Conférence de plénipotentiaires, </w:t>
            </w:r>
            <w:r w:rsidR="00B840FE">
              <w:rPr>
                <w:szCs w:val="24"/>
              </w:rPr>
              <w:t xml:space="preserve">concernant </w:t>
            </w:r>
            <w:r w:rsidR="007A52E8">
              <w:rPr>
                <w:szCs w:val="24"/>
              </w:rPr>
              <w:t>l</w:t>
            </w:r>
            <w:r w:rsidR="005A477A">
              <w:rPr>
                <w:szCs w:val="24"/>
              </w:rPr>
              <w:t>'</w:t>
            </w:r>
            <w:r w:rsidR="007A52E8">
              <w:rPr>
                <w:szCs w:val="24"/>
              </w:rPr>
              <w:t>interprétation sans équivoque de l</w:t>
            </w:r>
            <w:r w:rsidR="005A477A">
              <w:rPr>
                <w:szCs w:val="24"/>
              </w:rPr>
              <w:t>'</w:t>
            </w:r>
            <w:r w:rsidR="00E17EFA">
              <w:rPr>
                <w:szCs w:val="24"/>
              </w:rPr>
              <w:t>a</w:t>
            </w:r>
            <w:r w:rsidR="00674A28" w:rsidRPr="00233915">
              <w:rPr>
                <w:szCs w:val="24"/>
              </w:rPr>
              <w:t xml:space="preserve">rticle 48 </w:t>
            </w:r>
            <w:r w:rsidR="007A52E8">
              <w:rPr>
                <w:szCs w:val="24"/>
              </w:rPr>
              <w:t xml:space="preserve">de la </w:t>
            </w:r>
            <w:r w:rsidR="00674A28" w:rsidRPr="00233915">
              <w:rPr>
                <w:szCs w:val="24"/>
              </w:rPr>
              <w:t xml:space="preserve">Constitution </w:t>
            </w:r>
            <w:r w:rsidR="007A52E8">
              <w:rPr>
                <w:szCs w:val="24"/>
              </w:rPr>
              <w:t xml:space="preserve">et la pratique suivie par le </w:t>
            </w:r>
            <w:r w:rsidR="00674A28" w:rsidRPr="00233915">
              <w:rPr>
                <w:szCs w:val="24"/>
              </w:rPr>
              <w:t xml:space="preserve">Bureau </w:t>
            </w:r>
            <w:r w:rsidR="007A52E8">
              <w:rPr>
                <w:szCs w:val="24"/>
              </w:rPr>
              <w:t xml:space="preserve">dans le cadre de </w:t>
            </w:r>
            <w:r w:rsidR="00B840FE">
              <w:rPr>
                <w:szCs w:val="24"/>
              </w:rPr>
              <w:t>l</w:t>
            </w:r>
            <w:r w:rsidR="005A477A">
              <w:rPr>
                <w:szCs w:val="24"/>
              </w:rPr>
              <w:t>'</w:t>
            </w:r>
            <w:r w:rsidR="00B840FE">
              <w:rPr>
                <w:szCs w:val="24"/>
              </w:rPr>
              <w:t>application</w:t>
            </w:r>
            <w:r w:rsidR="007A52E8">
              <w:rPr>
                <w:szCs w:val="24"/>
              </w:rPr>
              <w:t xml:space="preserve"> des dispositions concernées</w:t>
            </w:r>
            <w:r w:rsidR="00674A28" w:rsidRPr="00233915">
              <w:rPr>
                <w:szCs w:val="24"/>
              </w:rPr>
              <w:t xml:space="preserve">. </w:t>
            </w:r>
            <w:r w:rsidR="007A52E8" w:rsidRPr="007A52E8">
              <w:rPr>
                <w:szCs w:val="24"/>
              </w:rPr>
              <w:t xml:space="preserve">Les </w:t>
            </w:r>
            <w:r w:rsidR="00674A28" w:rsidRPr="007A52E8">
              <w:rPr>
                <w:szCs w:val="24"/>
              </w:rPr>
              <w:t xml:space="preserve">Administrations </w:t>
            </w:r>
            <w:r w:rsidR="001F5D99" w:rsidRPr="00682F52">
              <w:rPr>
                <w:szCs w:val="24"/>
              </w:rPr>
              <w:t xml:space="preserve">des pays </w:t>
            </w:r>
            <w:r w:rsidR="007A52E8" w:rsidRPr="007A52E8">
              <w:rPr>
                <w:szCs w:val="24"/>
              </w:rPr>
              <w:t>membres de la RCC sont d</w:t>
            </w:r>
            <w:r w:rsidR="005A477A">
              <w:rPr>
                <w:szCs w:val="24"/>
              </w:rPr>
              <w:t>'</w:t>
            </w:r>
            <w:r w:rsidR="007A52E8" w:rsidRPr="007A52E8">
              <w:rPr>
                <w:szCs w:val="24"/>
              </w:rPr>
              <w:t>avis que la</w:t>
            </w:r>
            <w:r w:rsidR="00674A28" w:rsidRPr="007A52E8">
              <w:rPr>
                <w:szCs w:val="24"/>
              </w:rPr>
              <w:t xml:space="preserve"> question </w:t>
            </w:r>
            <w:r w:rsidR="007A52E8" w:rsidRPr="007A52E8">
              <w:rPr>
                <w:szCs w:val="24"/>
              </w:rPr>
              <w:t>de l</w:t>
            </w:r>
            <w:r w:rsidR="005A477A">
              <w:rPr>
                <w:szCs w:val="24"/>
              </w:rPr>
              <w:t>'</w:t>
            </w:r>
            <w:r w:rsidR="00674A28" w:rsidRPr="007A52E8">
              <w:rPr>
                <w:szCs w:val="24"/>
              </w:rPr>
              <w:t>interpr</w:t>
            </w:r>
            <w:r w:rsidR="007A52E8" w:rsidRPr="007A52E8">
              <w:rPr>
                <w:szCs w:val="24"/>
              </w:rPr>
              <w:t>é</w:t>
            </w:r>
            <w:r w:rsidR="00674A28" w:rsidRPr="007A52E8">
              <w:rPr>
                <w:szCs w:val="24"/>
              </w:rPr>
              <w:t xml:space="preserve">tation </w:t>
            </w:r>
            <w:r w:rsidR="007A52E8" w:rsidRPr="007A52E8">
              <w:rPr>
                <w:szCs w:val="24"/>
              </w:rPr>
              <w:t xml:space="preserve">des </w:t>
            </w:r>
            <w:r w:rsidR="007A52E8">
              <w:rPr>
                <w:szCs w:val="24"/>
              </w:rPr>
              <w:t xml:space="preserve">dispositions de la </w:t>
            </w:r>
            <w:r w:rsidR="00674A28" w:rsidRPr="007A52E8">
              <w:rPr>
                <w:szCs w:val="24"/>
              </w:rPr>
              <w:t xml:space="preserve">Constitution </w:t>
            </w:r>
            <w:r w:rsidR="00BB097D" w:rsidRPr="00BB097D">
              <w:rPr>
                <w:szCs w:val="24"/>
              </w:rPr>
              <w:t>relève</w:t>
            </w:r>
            <w:r w:rsidR="005A477A">
              <w:rPr>
                <w:szCs w:val="24"/>
              </w:rPr>
              <w:t xml:space="preserve"> </w:t>
            </w:r>
            <w:r w:rsidR="00BB097D" w:rsidRPr="00BB097D">
              <w:rPr>
                <w:szCs w:val="24"/>
              </w:rPr>
              <w:t>de la seule compétence</w:t>
            </w:r>
            <w:r w:rsidR="00BB097D" w:rsidRPr="00BB097D" w:rsidDel="00BB097D">
              <w:rPr>
                <w:szCs w:val="24"/>
              </w:rPr>
              <w:t xml:space="preserve"> </w:t>
            </w:r>
            <w:r w:rsidR="00BB097D">
              <w:rPr>
                <w:szCs w:val="24"/>
              </w:rPr>
              <w:t xml:space="preserve">de </w:t>
            </w:r>
            <w:r w:rsidR="007A52E8">
              <w:rPr>
                <w:szCs w:val="24"/>
              </w:rPr>
              <w:t xml:space="preserve">la </w:t>
            </w:r>
            <w:r w:rsidR="00674A28" w:rsidRPr="007A52E8">
              <w:rPr>
                <w:szCs w:val="24"/>
              </w:rPr>
              <w:t>Conf</w:t>
            </w:r>
            <w:r w:rsidR="007A52E8">
              <w:rPr>
                <w:szCs w:val="24"/>
              </w:rPr>
              <w:t>é</w:t>
            </w:r>
            <w:r w:rsidR="00674A28" w:rsidRPr="007A52E8">
              <w:rPr>
                <w:szCs w:val="24"/>
              </w:rPr>
              <w:t xml:space="preserve">rence </w:t>
            </w:r>
            <w:r w:rsidR="007A52E8">
              <w:rPr>
                <w:szCs w:val="24"/>
              </w:rPr>
              <w:t>de plénipotentiaires et</w:t>
            </w:r>
            <w:r w:rsidR="005A477A">
              <w:rPr>
                <w:szCs w:val="24"/>
              </w:rPr>
              <w:t xml:space="preserve"> </w:t>
            </w:r>
            <w:r w:rsidR="00BB097D">
              <w:rPr>
                <w:szCs w:val="24"/>
              </w:rPr>
              <w:t>ne</w:t>
            </w:r>
            <w:r w:rsidR="005A477A">
              <w:rPr>
                <w:szCs w:val="24"/>
              </w:rPr>
              <w:t xml:space="preserve"> </w:t>
            </w:r>
            <w:r w:rsidR="007A52E8">
              <w:rPr>
                <w:szCs w:val="24"/>
              </w:rPr>
              <w:t>devrait donc pas être soumise à la Conférence mondiale des r</w:t>
            </w:r>
            <w:r w:rsidR="00674A28" w:rsidRPr="007A52E8">
              <w:rPr>
                <w:szCs w:val="24"/>
              </w:rPr>
              <w:t>adiocommunication</w:t>
            </w:r>
            <w:r w:rsidR="007A52E8">
              <w:rPr>
                <w:szCs w:val="24"/>
              </w:rPr>
              <w:t>s</w:t>
            </w:r>
            <w:r w:rsidR="00674A28" w:rsidRPr="007A52E8">
              <w:rPr>
                <w:szCs w:val="24"/>
              </w:rPr>
              <w:t xml:space="preserve"> </w:t>
            </w:r>
            <w:r w:rsidR="007A52E8">
              <w:rPr>
                <w:szCs w:val="24"/>
              </w:rPr>
              <w:t>ou à d</w:t>
            </w:r>
            <w:r w:rsidR="005A477A">
              <w:rPr>
                <w:szCs w:val="24"/>
              </w:rPr>
              <w:t>'</w:t>
            </w:r>
            <w:r w:rsidR="007A52E8">
              <w:rPr>
                <w:szCs w:val="24"/>
              </w:rPr>
              <w:t>autres organes de l</w:t>
            </w:r>
            <w:r w:rsidR="005A477A">
              <w:rPr>
                <w:szCs w:val="24"/>
              </w:rPr>
              <w:t>'</w:t>
            </w:r>
            <w:r w:rsidR="007A52E8">
              <w:rPr>
                <w:szCs w:val="24"/>
              </w:rPr>
              <w:t>UIT</w:t>
            </w:r>
            <w:r w:rsidR="00674A28" w:rsidRPr="007A52E8">
              <w:rPr>
                <w:szCs w:val="24"/>
              </w:rPr>
              <w:t>.</w:t>
            </w:r>
          </w:p>
          <w:p w14:paraId="34F28D9A" w14:textId="19335B32" w:rsidR="00674A28" w:rsidRPr="00B23ABA" w:rsidRDefault="00B23ABA" w:rsidP="005A477A">
            <w:pPr>
              <w:rPr>
                <w:szCs w:val="24"/>
              </w:rPr>
            </w:pPr>
            <w:r w:rsidRPr="00B23ABA">
              <w:rPr>
                <w:szCs w:val="24"/>
              </w:rPr>
              <w:t>Compte tenu de l</w:t>
            </w:r>
            <w:r w:rsidR="005A477A">
              <w:rPr>
                <w:szCs w:val="24"/>
              </w:rPr>
              <w:t>'</w:t>
            </w:r>
            <w:r w:rsidR="00674A28" w:rsidRPr="00B23ABA">
              <w:rPr>
                <w:szCs w:val="24"/>
              </w:rPr>
              <w:t xml:space="preserve">importance </w:t>
            </w:r>
            <w:r w:rsidRPr="00B23ABA">
              <w:rPr>
                <w:szCs w:val="24"/>
              </w:rPr>
              <w:t>de la question</w:t>
            </w:r>
            <w:r w:rsidR="00674A28" w:rsidRPr="00B23ABA">
              <w:rPr>
                <w:szCs w:val="24"/>
              </w:rPr>
              <w:t xml:space="preserve">, </w:t>
            </w:r>
            <w:r w:rsidRPr="00B23ABA">
              <w:rPr>
                <w:szCs w:val="24"/>
              </w:rPr>
              <w:t xml:space="preserve">qui </w:t>
            </w:r>
            <w:r w:rsidR="00825CEA">
              <w:rPr>
                <w:szCs w:val="24"/>
              </w:rPr>
              <w:t xml:space="preserve">a des incidences sur </w:t>
            </w:r>
            <w:r w:rsidRPr="00B23ABA">
              <w:rPr>
                <w:szCs w:val="24"/>
              </w:rPr>
              <w:t xml:space="preserve">les droits des États </w:t>
            </w:r>
            <w:r w:rsidR="00734370">
              <w:rPr>
                <w:szCs w:val="24"/>
              </w:rPr>
              <w:t>concernant l</w:t>
            </w:r>
            <w:r w:rsidR="005A477A">
              <w:rPr>
                <w:szCs w:val="24"/>
              </w:rPr>
              <w:t>'</w:t>
            </w:r>
            <w:r>
              <w:rPr>
                <w:szCs w:val="24"/>
              </w:rPr>
              <w:t xml:space="preserve">utilisation des </w:t>
            </w:r>
            <w:r w:rsidR="00674A28" w:rsidRPr="00B23ABA">
              <w:rPr>
                <w:szCs w:val="24"/>
              </w:rPr>
              <w:t>installations</w:t>
            </w:r>
            <w:r>
              <w:rPr>
                <w:szCs w:val="24"/>
              </w:rPr>
              <w:t xml:space="preserve"> militaires</w:t>
            </w:r>
            <w:r w:rsidR="00674A28" w:rsidRPr="00B23ABA">
              <w:rPr>
                <w:szCs w:val="24"/>
              </w:rPr>
              <w:t xml:space="preserve">, </w:t>
            </w:r>
            <w:r>
              <w:rPr>
                <w:szCs w:val="24"/>
              </w:rPr>
              <w:t xml:space="preserve">les </w:t>
            </w:r>
            <w:r w:rsidR="00674A28" w:rsidRPr="00B23ABA">
              <w:rPr>
                <w:szCs w:val="24"/>
              </w:rPr>
              <w:t>Administrations</w:t>
            </w:r>
            <w:r w:rsidR="00734370" w:rsidRPr="00682F52">
              <w:rPr>
                <w:szCs w:val="24"/>
              </w:rPr>
              <w:t xml:space="preserve"> des pays</w:t>
            </w:r>
            <w:r w:rsidR="00674A28" w:rsidRPr="00B23ABA">
              <w:rPr>
                <w:szCs w:val="24"/>
              </w:rPr>
              <w:t xml:space="preserve"> </w:t>
            </w:r>
            <w:r>
              <w:rPr>
                <w:szCs w:val="24"/>
              </w:rPr>
              <w:t xml:space="preserve">membres de la </w:t>
            </w:r>
            <w:r w:rsidRPr="00B23ABA">
              <w:rPr>
                <w:szCs w:val="24"/>
              </w:rPr>
              <w:t xml:space="preserve">RCC </w:t>
            </w:r>
            <w:r w:rsidR="00674A28" w:rsidRPr="00B23ABA">
              <w:rPr>
                <w:szCs w:val="24"/>
              </w:rPr>
              <w:t>propose</w:t>
            </w:r>
            <w:r>
              <w:rPr>
                <w:szCs w:val="24"/>
              </w:rPr>
              <w:t>nt</w:t>
            </w:r>
            <w:r w:rsidR="00674A28" w:rsidRPr="00B23ABA">
              <w:rPr>
                <w:szCs w:val="24"/>
              </w:rPr>
              <w:t xml:space="preserve"> </w:t>
            </w:r>
            <w:r>
              <w:rPr>
                <w:szCs w:val="24"/>
              </w:rPr>
              <w:t>d</w:t>
            </w:r>
            <w:r w:rsidR="005A477A">
              <w:rPr>
                <w:szCs w:val="24"/>
              </w:rPr>
              <w:t>'</w:t>
            </w:r>
            <w:r>
              <w:rPr>
                <w:szCs w:val="24"/>
              </w:rPr>
              <w:t xml:space="preserve">examiner le projet de nouvelle </w:t>
            </w:r>
            <w:r w:rsidR="00674A28" w:rsidRPr="00B23ABA">
              <w:rPr>
                <w:szCs w:val="24"/>
              </w:rPr>
              <w:t>R</w:t>
            </w:r>
            <w:r>
              <w:rPr>
                <w:szCs w:val="24"/>
              </w:rPr>
              <w:t>é</w:t>
            </w:r>
            <w:r w:rsidR="00674A28" w:rsidRPr="00B23ABA">
              <w:rPr>
                <w:szCs w:val="24"/>
              </w:rPr>
              <w:t xml:space="preserve">solution [Article 48 </w:t>
            </w:r>
            <w:r>
              <w:rPr>
                <w:szCs w:val="24"/>
              </w:rPr>
              <w:t xml:space="preserve">de la </w:t>
            </w:r>
            <w:r w:rsidR="00674A28" w:rsidRPr="00B23ABA">
              <w:rPr>
                <w:szCs w:val="24"/>
              </w:rPr>
              <w:t>Constitution</w:t>
            </w:r>
            <w:r>
              <w:rPr>
                <w:szCs w:val="24"/>
              </w:rPr>
              <w:t xml:space="preserve"> de l</w:t>
            </w:r>
            <w:r w:rsidR="005A477A">
              <w:rPr>
                <w:szCs w:val="24"/>
              </w:rPr>
              <w:t>'</w:t>
            </w:r>
            <w:r>
              <w:rPr>
                <w:szCs w:val="24"/>
              </w:rPr>
              <w:t>UIT</w:t>
            </w:r>
            <w:r w:rsidR="00674A28" w:rsidRPr="00B23ABA">
              <w:rPr>
                <w:szCs w:val="24"/>
              </w:rPr>
              <w:t xml:space="preserve">] </w:t>
            </w:r>
            <w:r>
              <w:rPr>
                <w:szCs w:val="24"/>
              </w:rPr>
              <w:t>sur l</w:t>
            </w:r>
            <w:r w:rsidR="005A477A">
              <w:rPr>
                <w:szCs w:val="24"/>
              </w:rPr>
              <w:t>'</w:t>
            </w:r>
            <w:r>
              <w:rPr>
                <w:szCs w:val="24"/>
              </w:rPr>
              <w:t>utilisation des assignations de fréquence</w:t>
            </w:r>
            <w:r w:rsidR="005A477A">
              <w:rPr>
                <w:szCs w:val="24"/>
              </w:rPr>
              <w:t xml:space="preserve"> </w:t>
            </w:r>
            <w:r w:rsidR="00734370">
              <w:rPr>
                <w:szCs w:val="24"/>
              </w:rPr>
              <w:t xml:space="preserve">pour </w:t>
            </w:r>
            <w:r>
              <w:rPr>
                <w:szCs w:val="24"/>
              </w:rPr>
              <w:t xml:space="preserve">des </w:t>
            </w:r>
            <w:r w:rsidR="00674A28" w:rsidRPr="00B23ABA">
              <w:rPr>
                <w:szCs w:val="24"/>
              </w:rPr>
              <w:t xml:space="preserve">installations </w:t>
            </w:r>
            <w:r>
              <w:rPr>
                <w:szCs w:val="24"/>
              </w:rPr>
              <w:t>radioélectriques militaires</w:t>
            </w:r>
            <w:r w:rsidR="00D82261">
              <w:rPr>
                <w:szCs w:val="24"/>
              </w:rPr>
              <w:t>,</w:t>
            </w:r>
            <w:r>
              <w:rPr>
                <w:szCs w:val="24"/>
              </w:rPr>
              <w:t xml:space="preserve"> afin que la Conférence de plénipotentiaires prenne une décision à cet égard</w:t>
            </w:r>
            <w:r w:rsidR="00674A28" w:rsidRPr="00B23ABA">
              <w:rPr>
                <w:szCs w:val="24"/>
              </w:rPr>
              <w:t xml:space="preserve">. </w:t>
            </w:r>
          </w:p>
          <w:p w14:paraId="582F1506" w14:textId="77777777" w:rsidR="00EA4C77" w:rsidRPr="0062592D" w:rsidRDefault="00EA4C77" w:rsidP="005A477A">
            <w:pPr>
              <w:pStyle w:val="Table"/>
              <w:keepNext w:val="0"/>
              <w:spacing w:before="0" w:after="0"/>
              <w:rPr>
                <w:rFonts w:ascii="Calibri" w:hAnsi="Calibri"/>
                <w:caps w:val="0"/>
                <w:sz w:val="22"/>
                <w:lang w:val="fr-FR"/>
              </w:rPr>
            </w:pPr>
            <w:r w:rsidRPr="0062592D">
              <w:rPr>
                <w:rFonts w:ascii="Calibri" w:hAnsi="Calibri"/>
                <w:caps w:val="0"/>
                <w:sz w:val="22"/>
                <w:lang w:val="fr-FR"/>
              </w:rPr>
              <w:t>____________</w:t>
            </w:r>
          </w:p>
          <w:p w14:paraId="21467D58" w14:textId="77777777" w:rsidR="00EA4C77" w:rsidRPr="0062592D" w:rsidRDefault="00EA4C77" w:rsidP="005A477A">
            <w:pPr>
              <w:pStyle w:val="Headingb"/>
              <w:keepNext w:val="0"/>
              <w:keepLines w:val="0"/>
            </w:pPr>
            <w:r w:rsidRPr="0062592D">
              <w:t>Références</w:t>
            </w:r>
          </w:p>
          <w:p w14:paraId="28435D9B" w14:textId="77777777" w:rsidR="00EA4C77" w:rsidRPr="0062592D" w:rsidRDefault="00674A28" w:rsidP="005A477A">
            <w:pPr>
              <w:spacing w:before="0" w:after="120"/>
              <w:rPr>
                <w:i/>
                <w:iCs/>
              </w:rPr>
            </w:pPr>
            <w:r w:rsidRPr="0062592D">
              <w:t>–</w:t>
            </w:r>
          </w:p>
        </w:tc>
      </w:tr>
    </w:tbl>
    <w:p w14:paraId="78283D44" w14:textId="77777777" w:rsidR="00885447" w:rsidRPr="0062592D" w:rsidRDefault="0057556E" w:rsidP="005A477A">
      <w:pPr>
        <w:pStyle w:val="Proposal"/>
      </w:pPr>
      <w:r w:rsidRPr="0062592D">
        <w:lastRenderedPageBreak/>
        <w:t>ADD</w:t>
      </w:r>
      <w:r w:rsidRPr="0062592D">
        <w:tab/>
        <w:t>RCC/68A15/1</w:t>
      </w:r>
    </w:p>
    <w:p w14:paraId="3AC34C1F" w14:textId="77777777" w:rsidR="00885447" w:rsidRPr="0062592D" w:rsidRDefault="0057556E" w:rsidP="005A477A">
      <w:pPr>
        <w:pStyle w:val="ResNo"/>
      </w:pPr>
      <w:r w:rsidRPr="0062592D">
        <w:t>Projet de nouvelle Résolution [RCC-</w:t>
      </w:r>
      <w:r w:rsidR="00674A28" w:rsidRPr="0062592D">
        <w:t>1</w:t>
      </w:r>
      <w:r w:rsidRPr="0062592D">
        <w:t>]</w:t>
      </w:r>
    </w:p>
    <w:p w14:paraId="714C0E5C" w14:textId="55658A96" w:rsidR="00674A28" w:rsidRPr="00B23ABA" w:rsidRDefault="00B23ABA" w:rsidP="005A477A">
      <w:pPr>
        <w:pStyle w:val="Restitle"/>
      </w:pPr>
      <w:r w:rsidRPr="00B23ABA">
        <w:t xml:space="preserve">Utilisation des assignations de fréquence </w:t>
      </w:r>
      <w:r w:rsidR="00734370">
        <w:t>pour</w:t>
      </w:r>
      <w:r w:rsidR="00D549A5">
        <w:t xml:space="preserve"> des </w:t>
      </w:r>
      <w:r w:rsidR="00674A28" w:rsidRPr="00B23ABA">
        <w:t>installations</w:t>
      </w:r>
      <w:r w:rsidR="00D549A5">
        <w:t xml:space="preserve"> radioélectriques </w:t>
      </w:r>
      <w:r>
        <w:t>militaires</w:t>
      </w:r>
    </w:p>
    <w:p w14:paraId="0DCFDC1B" w14:textId="3EEF02EB" w:rsidR="00674A28" w:rsidRPr="00B23ABA" w:rsidRDefault="00B23ABA" w:rsidP="005A477A">
      <w:pPr>
        <w:pStyle w:val="Normalaftertitle"/>
      </w:pPr>
      <w:r w:rsidRPr="00B23ABA">
        <w:t>La Conférence de plénipotentiaires de l</w:t>
      </w:r>
      <w:r w:rsidR="005A477A">
        <w:t>'</w:t>
      </w:r>
      <w:r w:rsidRPr="00B23ABA">
        <w:t>Un</w:t>
      </w:r>
      <w:r>
        <w:t>ion internationale des</w:t>
      </w:r>
      <w:r w:rsidR="00674A28" w:rsidRPr="00B23ABA">
        <w:t xml:space="preserve"> </w:t>
      </w:r>
      <w:r>
        <w:t>té</w:t>
      </w:r>
      <w:r w:rsidR="00674A28" w:rsidRPr="00B23ABA">
        <w:t>l</w:t>
      </w:r>
      <w:r>
        <w:t>é</w:t>
      </w:r>
      <w:r w:rsidR="00674A28" w:rsidRPr="00B23ABA">
        <w:t>communication</w:t>
      </w:r>
      <w:r>
        <w:t>s</w:t>
      </w:r>
      <w:r w:rsidR="00D549A5">
        <w:t xml:space="preserve"> (Bucarest, </w:t>
      </w:r>
      <w:r w:rsidR="00674A28" w:rsidRPr="00B23ABA">
        <w:t>2022),</w:t>
      </w:r>
    </w:p>
    <w:p w14:paraId="7A3BB4DF" w14:textId="0D4BEBCC" w:rsidR="00674A28" w:rsidRPr="0062592D" w:rsidRDefault="00B23ABA" w:rsidP="005A477A">
      <w:pPr>
        <w:pStyle w:val="Call"/>
      </w:pPr>
      <w:proofErr w:type="gramStart"/>
      <w:r>
        <w:t>réaffirmant</w:t>
      </w:r>
      <w:proofErr w:type="gramEnd"/>
    </w:p>
    <w:p w14:paraId="5F96D0A3" w14:textId="1D1CA0C1" w:rsidR="00674A28" w:rsidRPr="0062592D" w:rsidRDefault="00674A28" w:rsidP="005A477A">
      <w:r w:rsidRPr="0062592D">
        <w:rPr>
          <w:i/>
          <w:iCs/>
        </w:rPr>
        <w:t>a)</w:t>
      </w:r>
      <w:r w:rsidRPr="0062592D">
        <w:rPr>
          <w:i/>
          <w:iCs/>
        </w:rPr>
        <w:tab/>
      </w:r>
      <w:r w:rsidR="003925F4">
        <w:t>que les</w:t>
      </w:r>
      <w:r w:rsidRPr="0062592D">
        <w:t xml:space="preserve"> </w:t>
      </w:r>
      <w:r w:rsidR="003925F4">
        <w:t xml:space="preserve">États Membres </w:t>
      </w:r>
      <w:r w:rsidR="00E17EFA">
        <w:t xml:space="preserve">conservent leur entière liberté en ce qui concerne les installations radioélectriques militaires, comme </w:t>
      </w:r>
      <w:r w:rsidR="00734370" w:rsidRPr="00734370">
        <w:t>indiqué</w:t>
      </w:r>
      <w:r w:rsidR="005A477A">
        <w:t xml:space="preserve"> </w:t>
      </w:r>
      <w:r w:rsidR="00E17EFA">
        <w:t>dans l</w:t>
      </w:r>
      <w:r w:rsidR="005A477A">
        <w:t>'</w:t>
      </w:r>
      <w:r w:rsidR="00E17EFA">
        <w:t>a</w:t>
      </w:r>
      <w:r w:rsidRPr="0062592D">
        <w:t xml:space="preserve">rticle 48 </w:t>
      </w:r>
      <w:r w:rsidR="00E17EFA">
        <w:t xml:space="preserve">de la </w:t>
      </w:r>
      <w:r w:rsidRPr="0062592D">
        <w:t>Constitution</w:t>
      </w:r>
      <w:r w:rsidR="00E17EFA">
        <w:t xml:space="preserve"> de </w:t>
      </w:r>
      <w:proofErr w:type="gramStart"/>
      <w:r w:rsidR="00E17EFA">
        <w:t>l</w:t>
      </w:r>
      <w:r w:rsidR="005A477A">
        <w:t>'</w:t>
      </w:r>
      <w:r w:rsidR="00E17EFA">
        <w:t>UIT</w:t>
      </w:r>
      <w:r w:rsidRPr="0062592D">
        <w:t>;</w:t>
      </w:r>
      <w:proofErr w:type="gramEnd"/>
    </w:p>
    <w:p w14:paraId="37CEE059" w14:textId="7BFF25C9" w:rsidR="00674A28" w:rsidRPr="0062592D" w:rsidRDefault="00674A28" w:rsidP="005A477A">
      <w:r w:rsidRPr="0062592D">
        <w:rPr>
          <w:i/>
          <w:iCs/>
        </w:rPr>
        <w:t>b)</w:t>
      </w:r>
      <w:r w:rsidRPr="0062592D">
        <w:rPr>
          <w:i/>
          <w:iCs/>
        </w:rPr>
        <w:tab/>
      </w:r>
      <w:r w:rsidR="00E17EFA">
        <w:t>que</w:t>
      </w:r>
      <w:r w:rsidRPr="0062592D">
        <w:t xml:space="preserve">, </w:t>
      </w:r>
      <w:r w:rsidR="00E17EFA">
        <w:t>conformément à l</w:t>
      </w:r>
      <w:r w:rsidR="005A477A">
        <w:t>'</w:t>
      </w:r>
      <w:r w:rsidR="00E17EFA">
        <w:t>a</w:t>
      </w:r>
      <w:r w:rsidRPr="0062592D">
        <w:t xml:space="preserve">rticle 48 </w:t>
      </w:r>
      <w:r w:rsidR="00E17EFA">
        <w:t xml:space="preserve">de la </w:t>
      </w:r>
      <w:r w:rsidRPr="0062592D">
        <w:t xml:space="preserve">Constitution, </w:t>
      </w:r>
      <w:r w:rsidR="00E17EFA">
        <w:t xml:space="preserve">les États Membres conservent leur entière liberté en ce qui concerne les </w:t>
      </w:r>
      <w:r w:rsidRPr="0062592D">
        <w:t>installations</w:t>
      </w:r>
      <w:r w:rsidR="00E17EFA">
        <w:t xml:space="preserve"> radioélectriques militaires</w:t>
      </w:r>
      <w:r w:rsidRPr="0062592D">
        <w:t xml:space="preserve">, </w:t>
      </w:r>
      <w:r w:rsidR="00A77FE0">
        <w:t xml:space="preserve">ce qui correspond à la </w:t>
      </w:r>
      <w:r w:rsidR="00E17EFA">
        <w:t xml:space="preserve">pratique </w:t>
      </w:r>
      <w:r w:rsidR="00A77FE0">
        <w:t xml:space="preserve">suivie </w:t>
      </w:r>
      <w:r w:rsidR="00E17EFA">
        <w:t xml:space="preserve">de longue date par les États </w:t>
      </w:r>
      <w:r w:rsidR="00A77FE0">
        <w:t>en matière de gestion de</w:t>
      </w:r>
      <w:r w:rsidR="005A477A">
        <w:t xml:space="preserve"> </w:t>
      </w:r>
      <w:r w:rsidR="0073368C">
        <w:t>l</w:t>
      </w:r>
      <w:r w:rsidR="005A477A">
        <w:t>'</w:t>
      </w:r>
      <w:r w:rsidR="0073368C">
        <w:t xml:space="preserve">utilisation des </w:t>
      </w:r>
      <w:r w:rsidRPr="0062592D">
        <w:t>t</w:t>
      </w:r>
      <w:r w:rsidR="0073368C">
        <w:t>é</w:t>
      </w:r>
      <w:r w:rsidRPr="0062592D">
        <w:t>l</w:t>
      </w:r>
      <w:r w:rsidR="0073368C">
        <w:t>é</w:t>
      </w:r>
      <w:r w:rsidRPr="0062592D">
        <w:t>communications</w:t>
      </w:r>
      <w:r w:rsidR="0073368C">
        <w:t xml:space="preserve"> </w:t>
      </w:r>
      <w:proofErr w:type="gramStart"/>
      <w:r w:rsidR="0073368C" w:rsidRPr="0062592D">
        <w:t>international</w:t>
      </w:r>
      <w:r w:rsidR="0073368C">
        <w:t>es</w:t>
      </w:r>
      <w:r w:rsidRPr="0062592D">
        <w:t>;</w:t>
      </w:r>
      <w:proofErr w:type="gramEnd"/>
    </w:p>
    <w:p w14:paraId="168175B9" w14:textId="3FDDBF45" w:rsidR="00674A28" w:rsidRPr="0062592D" w:rsidRDefault="00674A28" w:rsidP="005A477A">
      <w:r w:rsidRPr="0062592D">
        <w:rPr>
          <w:i/>
          <w:iCs/>
        </w:rPr>
        <w:t>c)</w:t>
      </w:r>
      <w:r w:rsidRPr="0062592D">
        <w:tab/>
      </w:r>
      <w:r w:rsidR="00E81FA6">
        <w:t>que, conformément à l</w:t>
      </w:r>
      <w:r w:rsidR="005A477A">
        <w:t>'</w:t>
      </w:r>
      <w:r w:rsidR="00E81FA6">
        <w:t>article 6 de la Constitution, l</w:t>
      </w:r>
      <w:r w:rsidRPr="0062592D">
        <w:t xml:space="preserve">es États Membres </w:t>
      </w:r>
      <w:r w:rsidRPr="0062592D">
        <w:rPr>
          <w:bCs/>
        </w:rPr>
        <w:t>sont tenus de se conformer aux dispositions</w:t>
      </w:r>
      <w:r w:rsidRPr="0062592D">
        <w:t xml:space="preserve"> de la Constitution, de la Convention</w:t>
      </w:r>
      <w:r w:rsidR="00E81FA6">
        <w:t xml:space="preserve"> de l</w:t>
      </w:r>
      <w:r w:rsidR="005A477A">
        <w:t>'</w:t>
      </w:r>
      <w:r w:rsidR="00E81FA6">
        <w:t>UIT</w:t>
      </w:r>
      <w:r w:rsidRPr="0062592D">
        <w:t xml:space="preserve"> et des </w:t>
      </w:r>
      <w:r w:rsidRPr="0062592D">
        <w:rPr>
          <w:bCs/>
        </w:rPr>
        <w:t>Règlements administratifs,</w:t>
      </w:r>
      <w:r w:rsidRPr="0062592D">
        <w:t xml:space="preserve"> dans tous les bureaux et dans toutes les stations de télécommunication établis ou exploités par eux et qui assurent des services internationaux ou qui peuvent causer des brouillages préjudiciables aux services de radiocommunication d</w:t>
      </w:r>
      <w:r w:rsidR="005A477A">
        <w:t>'</w:t>
      </w:r>
      <w:r w:rsidRPr="0062592D">
        <w:t>autres pays, sauf en ce qui concerne les services qui échappent à ces obligations en vertu des dispositions de l</w:t>
      </w:r>
      <w:r w:rsidR="005A477A">
        <w:t>'</w:t>
      </w:r>
      <w:r w:rsidRPr="0062592D">
        <w:t>article 48 de la Constitution,</w:t>
      </w:r>
    </w:p>
    <w:p w14:paraId="7F8E074E" w14:textId="439FD9B3" w:rsidR="00674A28" w:rsidRPr="0062592D" w:rsidRDefault="00E81FA6" w:rsidP="005A477A">
      <w:pPr>
        <w:pStyle w:val="Call"/>
      </w:pPr>
      <w:proofErr w:type="gramStart"/>
      <w:r>
        <w:t>notant</w:t>
      </w:r>
      <w:proofErr w:type="gramEnd"/>
    </w:p>
    <w:p w14:paraId="06BB3805" w14:textId="3ED468B9" w:rsidR="00674A28" w:rsidRPr="0062592D" w:rsidRDefault="00674A28" w:rsidP="005A477A">
      <w:r w:rsidRPr="0062592D">
        <w:rPr>
          <w:i/>
          <w:iCs/>
        </w:rPr>
        <w:t>a)</w:t>
      </w:r>
      <w:r w:rsidRPr="0062592D">
        <w:tab/>
      </w:r>
      <w:r w:rsidR="00E81FA6">
        <w:t>que les États Membres invoquent l</w:t>
      </w:r>
      <w:r w:rsidR="005A477A">
        <w:t>'</w:t>
      </w:r>
      <w:r w:rsidR="00E81FA6">
        <w:t>a</w:t>
      </w:r>
      <w:r w:rsidRPr="0062592D">
        <w:t xml:space="preserve">rticle 48 </w:t>
      </w:r>
      <w:r w:rsidR="00E81FA6">
        <w:t xml:space="preserve">de la </w:t>
      </w:r>
      <w:r w:rsidRPr="0062592D">
        <w:t xml:space="preserve">Constitution </w:t>
      </w:r>
      <w:r w:rsidR="00E81FA6">
        <w:t xml:space="preserve">en ce qui concerne les assignations de fréquence </w:t>
      </w:r>
      <w:r w:rsidR="00EC0EEE">
        <w:t xml:space="preserve">des services par </w:t>
      </w:r>
      <w:r w:rsidRPr="0062592D">
        <w:t xml:space="preserve">satellite </w:t>
      </w:r>
      <w:r w:rsidR="00EC0EEE">
        <w:t xml:space="preserve">et des </w:t>
      </w:r>
      <w:r w:rsidRPr="0062592D">
        <w:t>services</w:t>
      </w:r>
      <w:r w:rsidR="00EC0EEE">
        <w:t xml:space="preserve"> de </w:t>
      </w:r>
      <w:proofErr w:type="gramStart"/>
      <w:r w:rsidR="00EC0EEE">
        <w:t>Terre</w:t>
      </w:r>
      <w:r w:rsidRPr="0062592D">
        <w:t>;</w:t>
      </w:r>
      <w:proofErr w:type="gramEnd"/>
    </w:p>
    <w:p w14:paraId="5760D4E2" w14:textId="05EF5A2D" w:rsidR="00674A28" w:rsidRPr="0062592D" w:rsidRDefault="00674A28" w:rsidP="005A477A">
      <w:r w:rsidRPr="0062592D">
        <w:rPr>
          <w:i/>
          <w:iCs/>
        </w:rPr>
        <w:t>b)</w:t>
      </w:r>
      <w:r w:rsidRPr="0062592D">
        <w:tab/>
      </w:r>
      <w:r w:rsidR="00EC0EEE">
        <w:t>que l</w:t>
      </w:r>
      <w:r w:rsidR="005A477A">
        <w:t>'</w:t>
      </w:r>
      <w:r w:rsidR="00EC0EEE">
        <w:t>a</w:t>
      </w:r>
      <w:r w:rsidRPr="0062592D">
        <w:t xml:space="preserve">rticle 48 </w:t>
      </w:r>
      <w:r w:rsidR="00EC0EEE">
        <w:t xml:space="preserve">de la </w:t>
      </w:r>
      <w:r w:rsidRPr="0062592D">
        <w:t xml:space="preserve">Constitution </w:t>
      </w:r>
      <w:r w:rsidR="00EC0EEE">
        <w:t>s</w:t>
      </w:r>
      <w:r w:rsidR="005A477A">
        <w:t>'</w:t>
      </w:r>
      <w:r w:rsidR="00EC0EEE">
        <w:t xml:space="preserve">applique aux </w:t>
      </w:r>
      <w:r w:rsidRPr="0062592D">
        <w:t xml:space="preserve">installations </w:t>
      </w:r>
      <w:r w:rsidR="00EC0EEE">
        <w:t xml:space="preserve">radioélectriques militaires et non aux </w:t>
      </w:r>
      <w:r w:rsidRPr="0062592D">
        <w:t xml:space="preserve">stations </w:t>
      </w:r>
      <w:r w:rsidR="00EC0EEE">
        <w:t xml:space="preserve">utilisées à des fins </w:t>
      </w:r>
      <w:r w:rsidR="00436083">
        <w:t>gouvernementales</w:t>
      </w:r>
      <w:r w:rsidR="00EC0EEE">
        <w:t xml:space="preserve"> en général</w:t>
      </w:r>
      <w:r w:rsidRPr="0062592D">
        <w:t>,</w:t>
      </w:r>
    </w:p>
    <w:p w14:paraId="38D3BD5D" w14:textId="415DE625" w:rsidR="00674A28" w:rsidRPr="0062592D" w:rsidRDefault="00EC0EEE" w:rsidP="005A477A">
      <w:pPr>
        <w:pStyle w:val="Call"/>
      </w:pPr>
      <w:proofErr w:type="gramStart"/>
      <w:r>
        <w:t>décide</w:t>
      </w:r>
      <w:proofErr w:type="gramEnd"/>
    </w:p>
    <w:p w14:paraId="2E147BC4" w14:textId="4F01C6E8" w:rsidR="00674A28" w:rsidRPr="0062592D" w:rsidRDefault="00674A28" w:rsidP="005A477A">
      <w:r w:rsidRPr="0062592D">
        <w:t>1</w:t>
      </w:r>
      <w:r w:rsidRPr="0062592D">
        <w:tab/>
      </w:r>
      <w:r w:rsidR="00EC0EEE">
        <w:t xml:space="preserve">que le droit des </w:t>
      </w:r>
      <w:r w:rsidRPr="0062592D">
        <w:t xml:space="preserve">administrations </w:t>
      </w:r>
      <w:r w:rsidR="00EC0EEE">
        <w:t>d</w:t>
      </w:r>
      <w:r w:rsidR="005A477A">
        <w:t>'</w:t>
      </w:r>
      <w:r w:rsidR="00EC0EEE">
        <w:t>invoquer l</w:t>
      </w:r>
      <w:r w:rsidR="005A477A">
        <w:t>'</w:t>
      </w:r>
      <w:r w:rsidR="00EC0EEE">
        <w:t>a</w:t>
      </w:r>
      <w:r w:rsidRPr="0062592D">
        <w:t xml:space="preserve">rticle 48 </w:t>
      </w:r>
      <w:r w:rsidR="00EC0EEE">
        <w:t xml:space="preserve">de la </w:t>
      </w:r>
      <w:r w:rsidRPr="0062592D">
        <w:t xml:space="preserve">Constitution </w:t>
      </w:r>
      <w:r w:rsidR="00EC0EEE">
        <w:t xml:space="preserve">ne doit pas </w:t>
      </w:r>
      <w:r w:rsidR="00A3332F" w:rsidRPr="00A3332F">
        <w:t>faire l</w:t>
      </w:r>
      <w:r w:rsidR="005A477A">
        <w:t>'</w:t>
      </w:r>
      <w:r w:rsidR="00A3332F" w:rsidRPr="00A3332F">
        <w:t xml:space="preserve">objet de </w:t>
      </w:r>
      <w:proofErr w:type="gramStart"/>
      <w:r w:rsidR="00A3332F" w:rsidRPr="00A3332F">
        <w:t>restrictions</w:t>
      </w:r>
      <w:r w:rsidR="005A477A">
        <w:t>;</w:t>
      </w:r>
      <w:proofErr w:type="gramEnd"/>
    </w:p>
    <w:p w14:paraId="62DCE604" w14:textId="5CA2747E" w:rsidR="00674A28" w:rsidRPr="0062592D" w:rsidRDefault="00674A28" w:rsidP="005A477A">
      <w:r w:rsidRPr="0062592D">
        <w:t>2</w:t>
      </w:r>
      <w:r w:rsidRPr="0062592D">
        <w:tab/>
      </w:r>
      <w:r w:rsidR="00EC0EEE">
        <w:t>que les États</w:t>
      </w:r>
      <w:r w:rsidRPr="0062592D">
        <w:t xml:space="preserve"> </w:t>
      </w:r>
      <w:r w:rsidR="00EC0EEE">
        <w:t>Membres invoqu</w:t>
      </w:r>
      <w:r w:rsidR="00436083">
        <w:t>ant</w:t>
      </w:r>
      <w:r w:rsidR="00EC0EEE">
        <w:t xml:space="preserve"> l</w:t>
      </w:r>
      <w:r w:rsidR="005A477A">
        <w:t>'</w:t>
      </w:r>
      <w:r w:rsidR="00EC0EEE">
        <w:t>a</w:t>
      </w:r>
      <w:r w:rsidRPr="0062592D">
        <w:t xml:space="preserve">rticle 48 </w:t>
      </w:r>
      <w:r w:rsidR="00EC0EEE">
        <w:t xml:space="preserve">de la </w:t>
      </w:r>
      <w:r w:rsidRPr="0062592D">
        <w:t xml:space="preserve">Constitution </w:t>
      </w:r>
      <w:r w:rsidR="00EC0EEE">
        <w:t xml:space="preserve">pour </w:t>
      </w:r>
      <w:r w:rsidR="00436083">
        <w:t>une</w:t>
      </w:r>
      <w:r w:rsidR="00EC0EEE">
        <w:t xml:space="preserve"> assignation de fréquence </w:t>
      </w:r>
      <w:r w:rsidR="00436083">
        <w:t xml:space="preserve">donnée </w:t>
      </w:r>
      <w:r w:rsidR="00827CDE">
        <w:t xml:space="preserve">ne </w:t>
      </w:r>
      <w:r w:rsidR="00EC0EEE">
        <w:t>doi</w:t>
      </w:r>
      <w:r w:rsidR="00436083">
        <w:t>ven</w:t>
      </w:r>
      <w:r w:rsidR="00EC0EEE">
        <w:t xml:space="preserve">t conserver </w:t>
      </w:r>
      <w:r w:rsidR="00436083">
        <w:t>leur</w:t>
      </w:r>
      <w:r w:rsidR="00EC0EEE">
        <w:t xml:space="preserve"> entière liberté</w:t>
      </w:r>
      <w:r w:rsidR="005A477A">
        <w:t xml:space="preserve"> </w:t>
      </w:r>
      <w:r w:rsidR="00827CDE">
        <w:t>qu</w:t>
      </w:r>
      <w:r w:rsidR="005A477A">
        <w:t>'</w:t>
      </w:r>
      <w:r w:rsidR="00EC0EEE">
        <w:t xml:space="preserve">en ce qui concerne les </w:t>
      </w:r>
      <w:r w:rsidRPr="0062592D">
        <w:t xml:space="preserve">installations </w:t>
      </w:r>
      <w:r w:rsidR="00EC0EEE">
        <w:t>radioélectriques militaires</w:t>
      </w:r>
      <w:r w:rsidR="005A477A">
        <w:t xml:space="preserve"> </w:t>
      </w:r>
      <w:r w:rsidR="00EC0EEE">
        <w:t>utilis</w:t>
      </w:r>
      <w:r w:rsidR="00827CDE">
        <w:t>a</w:t>
      </w:r>
      <w:r w:rsidR="00EC0EEE">
        <w:t>nt</w:t>
      </w:r>
      <w:r w:rsidR="005A477A">
        <w:t xml:space="preserve"> </w:t>
      </w:r>
      <w:r w:rsidR="00827CDE">
        <w:t>l</w:t>
      </w:r>
      <w:r w:rsidR="005A477A">
        <w:t>'</w:t>
      </w:r>
      <w:r w:rsidR="00EC0EEE">
        <w:t xml:space="preserve">assignation de fréquence </w:t>
      </w:r>
      <w:r w:rsidR="00827CDE">
        <w:t xml:space="preserve">concernée </w:t>
      </w:r>
      <w:r w:rsidR="00EC0EEE">
        <w:t xml:space="preserve">et </w:t>
      </w:r>
      <w:r w:rsidR="00436083">
        <w:t>sont</w:t>
      </w:r>
      <w:r w:rsidR="00EC0EEE">
        <w:t xml:space="preserve"> tenu</w:t>
      </w:r>
      <w:r w:rsidR="00436083">
        <w:t>s</w:t>
      </w:r>
      <w:r w:rsidR="00EC0EEE">
        <w:t xml:space="preserve"> d</w:t>
      </w:r>
      <w:r w:rsidR="005A477A">
        <w:t>'</w:t>
      </w:r>
      <w:r w:rsidR="00EC0EEE">
        <w:t xml:space="preserve">utiliser cette assignation de fréquence </w:t>
      </w:r>
      <w:r w:rsidR="00827CDE">
        <w:t>exclusivement pour</w:t>
      </w:r>
      <w:r w:rsidR="005A477A">
        <w:t xml:space="preserve"> </w:t>
      </w:r>
      <w:r w:rsidR="0056539F">
        <w:t xml:space="preserve">des </w:t>
      </w:r>
      <w:r w:rsidRPr="0062592D">
        <w:t>installations</w:t>
      </w:r>
      <w:r w:rsidR="0056539F">
        <w:t xml:space="preserve"> radioélectriques </w:t>
      </w:r>
      <w:proofErr w:type="gramStart"/>
      <w:r w:rsidR="0056539F">
        <w:t>militaires</w:t>
      </w:r>
      <w:r w:rsidR="005A477A">
        <w:t>;</w:t>
      </w:r>
      <w:proofErr w:type="gramEnd"/>
    </w:p>
    <w:p w14:paraId="4F712329" w14:textId="7B7F5E1B" w:rsidR="00674A28" w:rsidRPr="0062592D" w:rsidRDefault="00674A28" w:rsidP="005A477A">
      <w:r w:rsidRPr="0062592D">
        <w:t>3</w:t>
      </w:r>
      <w:r w:rsidRPr="0062592D">
        <w:tab/>
      </w:r>
      <w:r w:rsidR="0056539F">
        <w:t>que</w:t>
      </w:r>
      <w:r w:rsidRPr="0062592D">
        <w:t xml:space="preserve">, </w:t>
      </w:r>
      <w:r w:rsidR="0056539F">
        <w:t>si une assignation de fréquence pour laquelle l</w:t>
      </w:r>
      <w:r w:rsidR="005A477A">
        <w:t>'</w:t>
      </w:r>
      <w:r w:rsidR="0056539F">
        <w:t>a</w:t>
      </w:r>
      <w:r w:rsidRPr="0062592D">
        <w:t xml:space="preserve">rticle 48 </w:t>
      </w:r>
      <w:r w:rsidR="0056539F">
        <w:t xml:space="preserve">de la </w:t>
      </w:r>
      <w:r w:rsidRPr="0062592D">
        <w:t xml:space="preserve">Constitution </w:t>
      </w:r>
      <w:r w:rsidR="0056539F">
        <w:t xml:space="preserve">a été invoqué est utilisée à des fins autres que </w:t>
      </w:r>
      <w:r w:rsidR="00827CDE">
        <w:t>pour des</w:t>
      </w:r>
      <w:r w:rsidR="005A477A">
        <w:t xml:space="preserve"> </w:t>
      </w:r>
      <w:r w:rsidRPr="0062592D">
        <w:t>installations</w:t>
      </w:r>
      <w:r w:rsidR="0056539F">
        <w:t xml:space="preserve"> radioélectriques militaires</w:t>
      </w:r>
      <w:r w:rsidRPr="0062592D">
        <w:t xml:space="preserve">, </w:t>
      </w:r>
      <w:r w:rsidR="0056539F">
        <w:t>toutes les dispositions pertinentes du Règlement des radiocommunications s</w:t>
      </w:r>
      <w:r w:rsidR="005A477A">
        <w:t>'</w:t>
      </w:r>
      <w:r w:rsidR="0056539F">
        <w:t>applique</w:t>
      </w:r>
      <w:r w:rsidR="00916295">
        <w:t>ro</w:t>
      </w:r>
      <w:r w:rsidR="0056539F">
        <w:t xml:space="preserve">nt à cette assignation de </w:t>
      </w:r>
      <w:proofErr w:type="gramStart"/>
      <w:r w:rsidR="0056539F">
        <w:t>fréquence</w:t>
      </w:r>
      <w:r w:rsidRPr="0062592D">
        <w:t>;</w:t>
      </w:r>
      <w:proofErr w:type="gramEnd"/>
    </w:p>
    <w:p w14:paraId="425EB176" w14:textId="18119E90" w:rsidR="00674A28" w:rsidRPr="00A61A8C" w:rsidRDefault="00674A28" w:rsidP="005A477A">
      <w:r w:rsidRPr="0062592D">
        <w:lastRenderedPageBreak/>
        <w:t>4</w:t>
      </w:r>
      <w:r w:rsidRPr="0062592D">
        <w:tab/>
      </w:r>
      <w:r w:rsidR="00B24C8E" w:rsidRPr="00A61A8C">
        <w:t xml:space="preserve">que </w:t>
      </w:r>
      <w:r w:rsidR="00C805FB">
        <w:t xml:space="preserve">la simple invocation par </w:t>
      </w:r>
      <w:r w:rsidR="00B24C8E" w:rsidRPr="00A61A8C">
        <w:t xml:space="preserve">un État Membre </w:t>
      </w:r>
      <w:r w:rsidR="00C805FB">
        <w:t>de</w:t>
      </w:r>
      <w:r w:rsidR="00C805FB" w:rsidRPr="00A61A8C">
        <w:t xml:space="preserve"> </w:t>
      </w:r>
      <w:r w:rsidR="00B24C8E" w:rsidRPr="00A61A8C">
        <w:t>l</w:t>
      </w:r>
      <w:r w:rsidR="005A477A">
        <w:t>'</w:t>
      </w:r>
      <w:r w:rsidR="00B24C8E" w:rsidRPr="00A61A8C">
        <w:t>a</w:t>
      </w:r>
      <w:r w:rsidRPr="00A61A8C">
        <w:t xml:space="preserve">rticle 48 </w:t>
      </w:r>
      <w:r w:rsidR="00B24C8E" w:rsidRPr="00A61A8C">
        <w:t xml:space="preserve">de la </w:t>
      </w:r>
      <w:r w:rsidRPr="00A61A8C">
        <w:t xml:space="preserve">Constitution </w:t>
      </w:r>
      <w:r w:rsidR="00B24C8E" w:rsidRPr="00A61A8C">
        <w:t xml:space="preserve">ne confère pas </w:t>
      </w:r>
      <w:proofErr w:type="gramStart"/>
      <w:r w:rsidR="00B24C8E" w:rsidRPr="00A61A8C">
        <w:t>une</w:t>
      </w:r>
      <w:proofErr w:type="gramEnd"/>
      <w:r w:rsidR="00B24C8E" w:rsidRPr="00A61A8C">
        <w:t xml:space="preserve"> reconnaissance ou une protection internationale</w:t>
      </w:r>
      <w:r w:rsidR="00C805FB" w:rsidRPr="00A61A8C">
        <w:t xml:space="preserve"> à une assignation de fréquence</w:t>
      </w:r>
      <w:r w:rsidR="00B24C8E" w:rsidRPr="00A61A8C">
        <w:t xml:space="preserve"> </w:t>
      </w:r>
      <w:r w:rsidR="00C805FB">
        <w:t>qui</w:t>
      </w:r>
      <w:r w:rsidR="005A477A">
        <w:t xml:space="preserve"> </w:t>
      </w:r>
      <w:r w:rsidR="00B24C8E" w:rsidRPr="00A61A8C">
        <w:t>n</w:t>
      </w:r>
      <w:r w:rsidR="005A477A">
        <w:t>'</w:t>
      </w:r>
      <w:r w:rsidR="00B24C8E" w:rsidRPr="00A61A8C">
        <w:t xml:space="preserve">est pas inscrite dans le </w:t>
      </w:r>
      <w:r w:rsidR="00B24C8E" w:rsidRPr="00A61A8C">
        <w:rPr>
          <w:color w:val="000000"/>
        </w:rPr>
        <w:t>Fichier de référence international des fréquences</w:t>
      </w:r>
      <w:r w:rsidRPr="00A61A8C">
        <w:t>,</w:t>
      </w:r>
    </w:p>
    <w:p w14:paraId="45CAE657" w14:textId="399311B9" w:rsidR="00674A28" w:rsidRPr="0062592D" w:rsidRDefault="00B24C8E" w:rsidP="005A477A">
      <w:pPr>
        <w:pStyle w:val="Call"/>
      </w:pPr>
      <w:proofErr w:type="gramStart"/>
      <w:r>
        <w:t>charge</w:t>
      </w:r>
      <w:proofErr w:type="gramEnd"/>
      <w:r>
        <w:t xml:space="preserve"> le Secrétaire général</w:t>
      </w:r>
    </w:p>
    <w:p w14:paraId="13F375B8" w14:textId="21AE4DCF" w:rsidR="00674A28" w:rsidRPr="0062592D" w:rsidRDefault="00674A28" w:rsidP="005A477A">
      <w:r w:rsidRPr="0062592D">
        <w:t>1</w:t>
      </w:r>
      <w:r w:rsidRPr="0062592D">
        <w:tab/>
      </w:r>
      <w:r w:rsidR="00B24C8E">
        <w:t xml:space="preserve">de porter la présente </w:t>
      </w:r>
      <w:r w:rsidR="00C805FB">
        <w:t>Résolution</w:t>
      </w:r>
      <w:r w:rsidR="00C805FB" w:rsidRPr="0062592D">
        <w:t xml:space="preserve"> </w:t>
      </w:r>
      <w:r w:rsidR="00B24C8E">
        <w:t>à l</w:t>
      </w:r>
      <w:r w:rsidR="005A477A">
        <w:t>'</w:t>
      </w:r>
      <w:r w:rsidRPr="0062592D">
        <w:t xml:space="preserve">attention </w:t>
      </w:r>
      <w:r w:rsidR="00B24C8E">
        <w:t xml:space="preserve">de la Conférence mondiale des radiocommunications de </w:t>
      </w:r>
      <w:proofErr w:type="gramStart"/>
      <w:r w:rsidRPr="0062592D">
        <w:t>2023;</w:t>
      </w:r>
      <w:proofErr w:type="gramEnd"/>
    </w:p>
    <w:p w14:paraId="7DF7CCB6" w14:textId="733160D7" w:rsidR="00674A28" w:rsidRPr="0062592D" w:rsidRDefault="00674A28" w:rsidP="005A477A">
      <w:r w:rsidRPr="0062592D">
        <w:t>2</w:t>
      </w:r>
      <w:r w:rsidRPr="0062592D">
        <w:tab/>
      </w:r>
      <w:r w:rsidR="0057556E" w:rsidRPr="0062592D">
        <w:rPr>
          <w:color w:val="000000"/>
        </w:rPr>
        <w:t xml:space="preserve">de faire rapport à la prochaine Conférence de plénipotentiaires sur les progrès accomplis dans la mise en </w:t>
      </w:r>
      <w:r w:rsidR="00070402" w:rsidRPr="0062592D">
        <w:rPr>
          <w:color w:val="000000"/>
        </w:rPr>
        <w:t>œuvre</w:t>
      </w:r>
      <w:r w:rsidR="0057556E" w:rsidRPr="0062592D">
        <w:rPr>
          <w:color w:val="000000"/>
        </w:rPr>
        <w:t xml:space="preserve"> de la présente </w:t>
      </w:r>
      <w:r w:rsidR="00C805FB">
        <w:rPr>
          <w:color w:val="000000"/>
        </w:rPr>
        <w:t>R</w:t>
      </w:r>
      <w:r w:rsidR="00C805FB" w:rsidRPr="0062592D">
        <w:rPr>
          <w:color w:val="000000"/>
        </w:rPr>
        <w:t>ésolution</w:t>
      </w:r>
      <w:r w:rsidRPr="0062592D">
        <w:t>.</w:t>
      </w:r>
    </w:p>
    <w:p w14:paraId="26755D27" w14:textId="77777777" w:rsidR="00674A28" w:rsidRPr="0062592D" w:rsidRDefault="00674A28" w:rsidP="005A477A">
      <w:pPr>
        <w:pStyle w:val="Reasons"/>
      </w:pPr>
    </w:p>
    <w:p w14:paraId="7F835E88" w14:textId="77777777" w:rsidR="00885447" w:rsidRPr="0062592D" w:rsidRDefault="00674A28" w:rsidP="005A477A">
      <w:pPr>
        <w:jc w:val="center"/>
      </w:pPr>
      <w:r w:rsidRPr="0062592D">
        <w:t>______________</w:t>
      </w:r>
    </w:p>
    <w:sectPr w:rsidR="00885447" w:rsidRPr="0062592D"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544C" w14:textId="77777777" w:rsidR="00676CF4" w:rsidRDefault="00676CF4">
      <w:r>
        <w:separator/>
      </w:r>
    </w:p>
  </w:endnote>
  <w:endnote w:type="continuationSeparator" w:id="0">
    <w:p w14:paraId="5FF48CD9" w14:textId="77777777" w:rsidR="00676CF4" w:rsidRDefault="0067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F66D" w14:textId="69E0D441" w:rsidR="00674A28" w:rsidRPr="008D461A" w:rsidRDefault="00000000" w:rsidP="00FF41A1">
    <w:pPr>
      <w:pStyle w:val="Footer"/>
      <w:rPr>
        <w:color w:val="FFFFFF" w:themeColor="background1"/>
        <w:lang w:val="en-US"/>
      </w:rPr>
    </w:pPr>
    <w:r w:rsidRPr="008D461A">
      <w:rPr>
        <w:color w:val="FFFFFF" w:themeColor="background1"/>
      </w:rPr>
      <w:fldChar w:fldCharType="begin"/>
    </w:r>
    <w:r w:rsidRPr="008D461A">
      <w:rPr>
        <w:color w:val="FFFFFF" w:themeColor="background1"/>
      </w:rPr>
      <w:instrText xml:space="preserve"> FILENAME \p  \* MERGEFORMAT </w:instrText>
    </w:r>
    <w:r w:rsidRPr="008D461A">
      <w:rPr>
        <w:color w:val="FFFFFF" w:themeColor="background1"/>
      </w:rPr>
      <w:fldChar w:fldCharType="separate"/>
    </w:r>
    <w:r w:rsidR="00FF41A1" w:rsidRPr="008D461A">
      <w:rPr>
        <w:color w:val="FFFFFF" w:themeColor="background1"/>
      </w:rPr>
      <w:t>P:\FRA\SG\CONF-SG\PP22\000\068ADD15F.docx</w:t>
    </w:r>
    <w:r w:rsidRPr="008D461A">
      <w:rPr>
        <w:color w:val="FFFFFF" w:themeColor="background1"/>
      </w:rPr>
      <w:fldChar w:fldCharType="end"/>
    </w:r>
    <w:r w:rsidR="00674A28" w:rsidRPr="008D461A">
      <w:rPr>
        <w:color w:val="FFFFFF" w:themeColor="background1"/>
        <w:lang w:val="en-US"/>
      </w:rPr>
      <w:t xml:space="preserve"> (510828)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02D6" w14:textId="77777777" w:rsidR="000C467B" w:rsidRDefault="000D15FB" w:rsidP="00EA4C77">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5A05" w14:textId="77777777" w:rsidR="00676CF4" w:rsidRDefault="00676CF4">
      <w:r>
        <w:t>____________________</w:t>
      </w:r>
    </w:p>
  </w:footnote>
  <w:footnote w:type="continuationSeparator" w:id="0">
    <w:p w14:paraId="3B377BC8" w14:textId="77777777" w:rsidR="00676CF4" w:rsidRDefault="0067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6AD3" w14:textId="3973B3C2" w:rsidR="00BD1614" w:rsidRDefault="00BD1614" w:rsidP="00BD1614">
    <w:pPr>
      <w:pStyle w:val="Header"/>
    </w:pPr>
    <w:r>
      <w:fldChar w:fldCharType="begin"/>
    </w:r>
    <w:r>
      <w:instrText xml:space="preserve"> PAGE </w:instrText>
    </w:r>
    <w:r>
      <w:fldChar w:fldCharType="separate"/>
    </w:r>
    <w:r w:rsidR="00070402">
      <w:rPr>
        <w:noProof/>
      </w:rPr>
      <w:t>4</w:t>
    </w:r>
    <w:r>
      <w:fldChar w:fldCharType="end"/>
    </w:r>
  </w:p>
  <w:p w14:paraId="49EC0FFF" w14:textId="77777777" w:rsidR="00BD1614" w:rsidRDefault="00BD1614" w:rsidP="001E2226">
    <w:pPr>
      <w:pStyle w:val="Header"/>
    </w:pPr>
    <w:r>
      <w:t>PP</w:t>
    </w:r>
    <w:r w:rsidR="002A7A1D">
      <w:t>22</w:t>
    </w:r>
    <w:r>
      <w:t>/68(Add.</w:t>
    </w:r>
    <w:proofErr w:type="gramStart"/>
    <w:r>
      <w:t>15)-</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72381378">
    <w:abstractNumId w:val="9"/>
  </w:num>
  <w:num w:numId="2" w16cid:durableId="903636159">
    <w:abstractNumId w:val="7"/>
  </w:num>
  <w:num w:numId="3" w16cid:durableId="150678035">
    <w:abstractNumId w:val="6"/>
  </w:num>
  <w:num w:numId="4" w16cid:durableId="1219168884">
    <w:abstractNumId w:val="5"/>
  </w:num>
  <w:num w:numId="5" w16cid:durableId="254826493">
    <w:abstractNumId w:val="4"/>
  </w:num>
  <w:num w:numId="6" w16cid:durableId="1597206202">
    <w:abstractNumId w:val="8"/>
  </w:num>
  <w:num w:numId="7" w16cid:durableId="1808353721">
    <w:abstractNumId w:val="3"/>
  </w:num>
  <w:num w:numId="8" w16cid:durableId="391779953">
    <w:abstractNumId w:val="2"/>
  </w:num>
  <w:num w:numId="9" w16cid:durableId="631785647">
    <w:abstractNumId w:val="1"/>
  </w:num>
  <w:num w:numId="10" w16cid:durableId="58333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0402"/>
    <w:rsid w:val="00072D5C"/>
    <w:rsid w:val="0008398C"/>
    <w:rsid w:val="00084308"/>
    <w:rsid w:val="000B14B6"/>
    <w:rsid w:val="000C467B"/>
    <w:rsid w:val="000C5F9F"/>
    <w:rsid w:val="000D15FB"/>
    <w:rsid w:val="000F58F7"/>
    <w:rsid w:val="001051E4"/>
    <w:rsid w:val="001354EA"/>
    <w:rsid w:val="00136FCE"/>
    <w:rsid w:val="00153BA4"/>
    <w:rsid w:val="001941AD"/>
    <w:rsid w:val="0019732C"/>
    <w:rsid w:val="001A0682"/>
    <w:rsid w:val="001B4D8D"/>
    <w:rsid w:val="001D31B2"/>
    <w:rsid w:val="001E1B9B"/>
    <w:rsid w:val="001E2226"/>
    <w:rsid w:val="001F5D99"/>
    <w:rsid w:val="001F6233"/>
    <w:rsid w:val="00233915"/>
    <w:rsid w:val="002355CD"/>
    <w:rsid w:val="00270B2F"/>
    <w:rsid w:val="002A0E1B"/>
    <w:rsid w:val="002A7A1D"/>
    <w:rsid w:val="002C1059"/>
    <w:rsid w:val="002C27E0"/>
    <w:rsid w:val="002C2F9C"/>
    <w:rsid w:val="00301BBA"/>
    <w:rsid w:val="00322DEA"/>
    <w:rsid w:val="00355FBD"/>
    <w:rsid w:val="00381461"/>
    <w:rsid w:val="00391C12"/>
    <w:rsid w:val="003925F4"/>
    <w:rsid w:val="003A0B7D"/>
    <w:rsid w:val="003A45C2"/>
    <w:rsid w:val="003C4BE2"/>
    <w:rsid w:val="003D147D"/>
    <w:rsid w:val="003D637A"/>
    <w:rsid w:val="00430015"/>
    <w:rsid w:val="00435AAD"/>
    <w:rsid w:val="00436083"/>
    <w:rsid w:val="0043792A"/>
    <w:rsid w:val="00442E14"/>
    <w:rsid w:val="004678D0"/>
    <w:rsid w:val="004764B8"/>
    <w:rsid w:val="00482954"/>
    <w:rsid w:val="004951C0"/>
    <w:rsid w:val="004C7646"/>
    <w:rsid w:val="00524001"/>
    <w:rsid w:val="00564B63"/>
    <w:rsid w:val="0056539F"/>
    <w:rsid w:val="0057556E"/>
    <w:rsid w:val="00575DC7"/>
    <w:rsid w:val="005836C2"/>
    <w:rsid w:val="005A477A"/>
    <w:rsid w:val="005A4EFD"/>
    <w:rsid w:val="005A5ABE"/>
    <w:rsid w:val="005C2ECC"/>
    <w:rsid w:val="005C6744"/>
    <w:rsid w:val="005E419E"/>
    <w:rsid w:val="005F63BD"/>
    <w:rsid w:val="00611CF1"/>
    <w:rsid w:val="006201D9"/>
    <w:rsid w:val="0062592D"/>
    <w:rsid w:val="00627138"/>
    <w:rsid w:val="006277DB"/>
    <w:rsid w:val="00635B7B"/>
    <w:rsid w:val="00655B98"/>
    <w:rsid w:val="006710E6"/>
    <w:rsid w:val="00674A28"/>
    <w:rsid w:val="00676CF4"/>
    <w:rsid w:val="00682F52"/>
    <w:rsid w:val="00686973"/>
    <w:rsid w:val="00696B2D"/>
    <w:rsid w:val="006A2656"/>
    <w:rsid w:val="006A3475"/>
    <w:rsid w:val="006A6342"/>
    <w:rsid w:val="006B6C9C"/>
    <w:rsid w:val="006C25BA"/>
    <w:rsid w:val="006C7AE3"/>
    <w:rsid w:val="006D55E8"/>
    <w:rsid w:val="006E1921"/>
    <w:rsid w:val="006F36F9"/>
    <w:rsid w:val="0070576B"/>
    <w:rsid w:val="00713335"/>
    <w:rsid w:val="00727C2F"/>
    <w:rsid w:val="0073368C"/>
    <w:rsid w:val="00734370"/>
    <w:rsid w:val="00735F13"/>
    <w:rsid w:val="007634E1"/>
    <w:rsid w:val="007717F2"/>
    <w:rsid w:val="00772E3B"/>
    <w:rsid w:val="0078134C"/>
    <w:rsid w:val="0079308D"/>
    <w:rsid w:val="007A52E8"/>
    <w:rsid w:val="007A5830"/>
    <w:rsid w:val="007D21FB"/>
    <w:rsid w:val="00801256"/>
    <w:rsid w:val="00825CEA"/>
    <w:rsid w:val="00827CDE"/>
    <w:rsid w:val="008703CB"/>
    <w:rsid w:val="00885447"/>
    <w:rsid w:val="008B61AF"/>
    <w:rsid w:val="008C33C2"/>
    <w:rsid w:val="008C6137"/>
    <w:rsid w:val="008D02EF"/>
    <w:rsid w:val="008D461A"/>
    <w:rsid w:val="008E2DB4"/>
    <w:rsid w:val="00901DD5"/>
    <w:rsid w:val="0090735B"/>
    <w:rsid w:val="009107A3"/>
    <w:rsid w:val="00912D5E"/>
    <w:rsid w:val="00916295"/>
    <w:rsid w:val="00934340"/>
    <w:rsid w:val="00956DC7"/>
    <w:rsid w:val="00966CD3"/>
    <w:rsid w:val="00987A20"/>
    <w:rsid w:val="009A0E15"/>
    <w:rsid w:val="009D4037"/>
    <w:rsid w:val="009F0592"/>
    <w:rsid w:val="00A20E72"/>
    <w:rsid w:val="00A246DC"/>
    <w:rsid w:val="00A27191"/>
    <w:rsid w:val="00A3332F"/>
    <w:rsid w:val="00A47BAF"/>
    <w:rsid w:val="00A542D3"/>
    <w:rsid w:val="00A5784F"/>
    <w:rsid w:val="00A61A8C"/>
    <w:rsid w:val="00A77FE0"/>
    <w:rsid w:val="00A8436E"/>
    <w:rsid w:val="00A8459B"/>
    <w:rsid w:val="00A95B66"/>
    <w:rsid w:val="00AE0667"/>
    <w:rsid w:val="00B23ABA"/>
    <w:rsid w:val="00B24C8E"/>
    <w:rsid w:val="00B41E0A"/>
    <w:rsid w:val="00B56DE0"/>
    <w:rsid w:val="00B71F12"/>
    <w:rsid w:val="00B76FEC"/>
    <w:rsid w:val="00B840FE"/>
    <w:rsid w:val="00B96B1E"/>
    <w:rsid w:val="00BB097D"/>
    <w:rsid w:val="00BB2A6F"/>
    <w:rsid w:val="00BD1614"/>
    <w:rsid w:val="00BD382C"/>
    <w:rsid w:val="00BD52E8"/>
    <w:rsid w:val="00BD5DA6"/>
    <w:rsid w:val="00BF7D25"/>
    <w:rsid w:val="00C010C0"/>
    <w:rsid w:val="00C40CB5"/>
    <w:rsid w:val="00C54CE6"/>
    <w:rsid w:val="00C575E2"/>
    <w:rsid w:val="00C7368B"/>
    <w:rsid w:val="00C805FB"/>
    <w:rsid w:val="00C92746"/>
    <w:rsid w:val="00CC4DC5"/>
    <w:rsid w:val="00CE1A7C"/>
    <w:rsid w:val="00D0464B"/>
    <w:rsid w:val="00D12C74"/>
    <w:rsid w:val="00D2263F"/>
    <w:rsid w:val="00D549A5"/>
    <w:rsid w:val="00D56483"/>
    <w:rsid w:val="00D5658F"/>
    <w:rsid w:val="00D56AD6"/>
    <w:rsid w:val="00D70019"/>
    <w:rsid w:val="00D74B58"/>
    <w:rsid w:val="00D82261"/>
    <w:rsid w:val="00D82ABE"/>
    <w:rsid w:val="00DA4ABA"/>
    <w:rsid w:val="00DA685B"/>
    <w:rsid w:val="00DA742B"/>
    <w:rsid w:val="00DF25C1"/>
    <w:rsid w:val="00DF48F7"/>
    <w:rsid w:val="00DF4964"/>
    <w:rsid w:val="00DF4D73"/>
    <w:rsid w:val="00DF79B0"/>
    <w:rsid w:val="00E1047D"/>
    <w:rsid w:val="00E17EFA"/>
    <w:rsid w:val="00E443FA"/>
    <w:rsid w:val="00E54FCE"/>
    <w:rsid w:val="00E60DA1"/>
    <w:rsid w:val="00E81FA6"/>
    <w:rsid w:val="00E836D6"/>
    <w:rsid w:val="00E93D35"/>
    <w:rsid w:val="00EA45DB"/>
    <w:rsid w:val="00EA4C77"/>
    <w:rsid w:val="00EC0EEE"/>
    <w:rsid w:val="00ED2CD9"/>
    <w:rsid w:val="00F07DA7"/>
    <w:rsid w:val="00F564C1"/>
    <w:rsid w:val="00F77FA2"/>
    <w:rsid w:val="00F8357A"/>
    <w:rsid w:val="00FA1B77"/>
    <w:rsid w:val="00FB4B65"/>
    <w:rsid w:val="00FB74B8"/>
    <w:rsid w:val="00FC49E0"/>
    <w:rsid w:val="00FF0484"/>
    <w:rsid w:val="00FF41A1"/>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DA2B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
    <w:name w:val="Table_#"/>
    <w:basedOn w:val="Normal"/>
    <w:next w:val="Normal"/>
    <w:rsid w:val="00EA4C7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link w:val="enumlev1"/>
    <w:locked/>
    <w:rsid w:val="0043792A"/>
    <w:rPr>
      <w:rFonts w:ascii="Calibri" w:hAnsi="Calibri"/>
      <w:sz w:val="24"/>
      <w:lang w:val="fr-FR" w:eastAsia="en-US"/>
    </w:rPr>
  </w:style>
  <w:style w:type="paragraph" w:styleId="Revision">
    <w:name w:val="Revision"/>
    <w:hidden/>
    <w:uiPriority w:val="99"/>
    <w:semiHidden/>
    <w:rsid w:val="0062592D"/>
    <w:rPr>
      <w:rFonts w:ascii="Calibri" w:hAnsi="Calibri"/>
      <w:sz w:val="24"/>
      <w:lang w:val="fr-FR" w:eastAsia="en-US"/>
    </w:rPr>
  </w:style>
  <w:style w:type="character" w:styleId="CommentReference">
    <w:name w:val="annotation reference"/>
    <w:basedOn w:val="DefaultParagraphFont"/>
    <w:semiHidden/>
    <w:unhideWhenUsed/>
    <w:rsid w:val="00E17EFA"/>
    <w:rPr>
      <w:sz w:val="16"/>
      <w:szCs w:val="16"/>
    </w:rPr>
  </w:style>
  <w:style w:type="paragraph" w:styleId="CommentText">
    <w:name w:val="annotation text"/>
    <w:basedOn w:val="Normal"/>
    <w:link w:val="CommentTextChar"/>
    <w:unhideWhenUsed/>
    <w:rsid w:val="00E17EFA"/>
    <w:rPr>
      <w:sz w:val="20"/>
    </w:rPr>
  </w:style>
  <w:style w:type="character" w:customStyle="1" w:styleId="CommentTextChar">
    <w:name w:val="Comment Text Char"/>
    <w:basedOn w:val="DefaultParagraphFont"/>
    <w:link w:val="CommentText"/>
    <w:rsid w:val="00E17EFA"/>
    <w:rPr>
      <w:rFonts w:ascii="Calibri" w:hAnsi="Calibri"/>
      <w:lang w:val="fr-FR" w:eastAsia="en-US"/>
    </w:rPr>
  </w:style>
  <w:style w:type="paragraph" w:styleId="CommentSubject">
    <w:name w:val="annotation subject"/>
    <w:basedOn w:val="CommentText"/>
    <w:next w:val="CommentText"/>
    <w:link w:val="CommentSubjectChar"/>
    <w:semiHidden/>
    <w:unhideWhenUsed/>
    <w:rsid w:val="00E17EFA"/>
    <w:rPr>
      <w:b/>
      <w:bCs/>
    </w:rPr>
  </w:style>
  <w:style w:type="character" w:customStyle="1" w:styleId="CommentSubjectChar">
    <w:name w:val="Comment Subject Char"/>
    <w:basedOn w:val="CommentTextChar"/>
    <w:link w:val="CommentSubject"/>
    <w:semiHidden/>
    <w:rsid w:val="00E17EFA"/>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b6bae8-48d4-4703-ade7-95054e5f0cb9" targetNamespace="http://schemas.microsoft.com/office/2006/metadata/properties" ma:root="true" ma:fieldsID="d41af5c836d734370eb92e7ee5f83852" ns2:_="" ns3:_="">
    <xsd:import namespace="996b2e75-67fd-4955-a3b0-5ab9934cb50b"/>
    <xsd:import namespace="01b6bae8-48d4-4703-ade7-95054e5f0c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b6bae8-48d4-4703-ade7-95054e5f0c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b6bae8-48d4-4703-ade7-95054e5f0cb9">DPM</DPM_x0020_Author>
    <DPM_x0020_File_x0020_name xmlns="01b6bae8-48d4-4703-ade7-95054e5f0cb9">S22-PP-C-0068!A15!MSW-F</DPM_x0020_File_x0020_name>
    <DPM_x0020_Version xmlns="01b6bae8-48d4-4703-ade7-95054e5f0cb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b6bae8-48d4-4703-ade7-95054e5f0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b6bae8-48d4-4703-ade7-95054e5f0cb9"/>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S22-PP-C-0068!A15!MSW-F</vt:lpstr>
    </vt:vector>
  </TitlesOfParts>
  <Manager/>
  <Company/>
  <LinksUpToDate>false</LinksUpToDate>
  <CharactersWithSpaces>7923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S22-PP-C-0068!A15!MSW-F</dc:title>
  <dc:subject>Plenipotentiary Conference (PP-18)</dc:subject>
  <dc:creator>Documents Proposals Manager (DPM)</dc:creator>
  <cp:keywords>DPM_v2022.8.26.1_prod</cp:keywords>
  <dc:description/>
  <cp:lastModifiedBy>Arnould, Carine</cp:lastModifiedBy>
  <cp:revision>5</cp:revision>
  <dcterms:created xsi:type="dcterms:W3CDTF">2022-09-01T12:07:00Z</dcterms:created>
  <dcterms:modified xsi:type="dcterms:W3CDTF">2022-09-19T12:24:00Z</dcterms:modified>
  <cp:category>Conference document</cp:category>
</cp:coreProperties>
</file>