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7678FA" w14:paraId="6B386B34" w14:textId="77777777" w:rsidTr="007A47E9">
        <w:trPr>
          <w:cantSplit/>
          <w:jc w:val="center"/>
        </w:trPr>
        <w:tc>
          <w:tcPr>
            <w:tcW w:w="6911" w:type="dxa"/>
          </w:tcPr>
          <w:p w14:paraId="495A6397" w14:textId="77777777" w:rsidR="00BD1614" w:rsidRPr="007678FA" w:rsidRDefault="00BD1614" w:rsidP="007A47E9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7678FA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7678FA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7678FA">
              <w:rPr>
                <w:b/>
                <w:smallCaps/>
                <w:sz w:val="30"/>
                <w:szCs w:val="30"/>
              </w:rPr>
              <w:t>22</w:t>
            </w:r>
            <w:r w:rsidRPr="007678FA">
              <w:rPr>
                <w:b/>
                <w:smallCaps/>
                <w:sz w:val="30"/>
                <w:szCs w:val="30"/>
              </w:rPr>
              <w:t>)</w:t>
            </w:r>
            <w:r w:rsidRPr="007678FA">
              <w:rPr>
                <w:b/>
                <w:smallCaps/>
                <w:sz w:val="36"/>
              </w:rPr>
              <w:br/>
            </w:r>
            <w:r w:rsidR="002A7A1D" w:rsidRPr="007678FA">
              <w:rPr>
                <w:rFonts w:cs="Times New Roman Bold"/>
                <w:b/>
                <w:bCs/>
                <w:szCs w:val="24"/>
              </w:rPr>
              <w:t>Bucarest</w:t>
            </w:r>
            <w:r w:rsidRPr="007678FA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7678FA">
              <w:rPr>
                <w:rFonts w:cs="Times New Roman Bold"/>
                <w:b/>
                <w:bCs/>
                <w:szCs w:val="24"/>
              </w:rPr>
              <w:t>6</w:t>
            </w:r>
            <w:r w:rsidRPr="007678FA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7678FA">
              <w:rPr>
                <w:rFonts w:cs="Times New Roman Bold"/>
                <w:b/>
                <w:bCs/>
                <w:szCs w:val="24"/>
              </w:rPr>
              <w:t>septembre</w:t>
            </w:r>
            <w:r w:rsidRPr="007678FA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7678FA">
              <w:rPr>
                <w:rFonts w:cs="Times New Roman Bold"/>
                <w:b/>
                <w:bCs/>
                <w:szCs w:val="24"/>
              </w:rPr>
              <w:t>–</w:t>
            </w:r>
            <w:r w:rsidRPr="007678FA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7678FA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7678FA">
              <w:rPr>
                <w:rFonts w:cs="Times New Roman Bold"/>
                <w:b/>
                <w:bCs/>
                <w:szCs w:val="24"/>
              </w:rPr>
              <w:t>4</w:t>
            </w:r>
            <w:r w:rsidRPr="007678FA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7678FA">
              <w:rPr>
                <w:rFonts w:cs="Times New Roman Bold"/>
                <w:b/>
                <w:bCs/>
                <w:szCs w:val="24"/>
              </w:rPr>
              <w:t>octobre</w:t>
            </w:r>
            <w:r w:rsidRPr="007678FA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7678FA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2BAB71C5" w14:textId="77777777" w:rsidR="00BD1614" w:rsidRPr="007678FA" w:rsidRDefault="002A7A1D" w:rsidP="007A47E9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7678FA">
              <w:rPr>
                <w:noProof/>
                <w:lang w:val="en-US"/>
              </w:rPr>
              <w:drawing>
                <wp:inline distT="0" distB="0" distL="0" distR="0" wp14:anchorId="57C8AE6A" wp14:editId="48D80454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7678FA" w14:paraId="07F15635" w14:textId="77777777" w:rsidTr="007A47E9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6E75A585" w14:textId="77777777" w:rsidR="00BD1614" w:rsidRPr="007678FA" w:rsidRDefault="00BD1614" w:rsidP="007A47E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25BD46E" w14:textId="77777777" w:rsidR="00BD1614" w:rsidRPr="007678FA" w:rsidRDefault="00BD1614" w:rsidP="007A47E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7678FA" w14:paraId="0DB41AE0" w14:textId="77777777" w:rsidTr="007A47E9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5084E55A" w14:textId="77777777" w:rsidR="00BD1614" w:rsidRPr="007678FA" w:rsidRDefault="00BD1614" w:rsidP="007A47E9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55F8D15" w14:textId="77777777" w:rsidR="00BD1614" w:rsidRPr="007678FA" w:rsidRDefault="00BD1614" w:rsidP="007A47E9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7678FA" w14:paraId="7AF855D9" w14:textId="77777777" w:rsidTr="007A47E9">
        <w:trPr>
          <w:cantSplit/>
          <w:jc w:val="center"/>
        </w:trPr>
        <w:tc>
          <w:tcPr>
            <w:tcW w:w="6911" w:type="dxa"/>
          </w:tcPr>
          <w:p w14:paraId="5177B859" w14:textId="77777777" w:rsidR="00BD1614" w:rsidRPr="007678FA" w:rsidRDefault="00BD1614" w:rsidP="007A47E9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7678FA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78E81847" w14:textId="77777777" w:rsidR="00BD1614" w:rsidRPr="007678FA" w:rsidRDefault="00BD1614" w:rsidP="007A47E9">
            <w:pPr>
              <w:spacing w:before="0"/>
              <w:rPr>
                <w:rFonts w:cstheme="minorHAnsi"/>
                <w:szCs w:val="24"/>
              </w:rPr>
            </w:pPr>
            <w:r w:rsidRPr="007678FA">
              <w:rPr>
                <w:rFonts w:cstheme="minorHAnsi"/>
                <w:b/>
                <w:szCs w:val="24"/>
              </w:rPr>
              <w:t>Addendum 16 au</w:t>
            </w:r>
            <w:r w:rsidRPr="007678FA">
              <w:rPr>
                <w:rFonts w:cstheme="minorHAnsi"/>
                <w:b/>
                <w:szCs w:val="24"/>
              </w:rPr>
              <w:br/>
              <w:t>Document 68</w:t>
            </w:r>
            <w:r w:rsidR="005F63BD" w:rsidRPr="007678FA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7678FA" w14:paraId="6BEAD8B6" w14:textId="77777777" w:rsidTr="007A47E9">
        <w:trPr>
          <w:cantSplit/>
          <w:jc w:val="center"/>
        </w:trPr>
        <w:tc>
          <w:tcPr>
            <w:tcW w:w="6911" w:type="dxa"/>
          </w:tcPr>
          <w:p w14:paraId="240261FE" w14:textId="77777777" w:rsidR="00BD1614" w:rsidRPr="007678FA" w:rsidRDefault="00BD1614" w:rsidP="007A47E9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0A760001" w14:textId="77777777" w:rsidR="00BD1614" w:rsidRPr="007678FA" w:rsidRDefault="00BD1614" w:rsidP="007A47E9">
            <w:pPr>
              <w:spacing w:before="0"/>
              <w:rPr>
                <w:rFonts w:cstheme="minorHAnsi"/>
                <w:b/>
                <w:szCs w:val="24"/>
              </w:rPr>
            </w:pPr>
            <w:r w:rsidRPr="007678FA">
              <w:rPr>
                <w:rFonts w:cstheme="minorHAnsi"/>
                <w:b/>
                <w:szCs w:val="24"/>
              </w:rPr>
              <w:t>18 août 2022</w:t>
            </w:r>
          </w:p>
        </w:tc>
      </w:tr>
      <w:tr w:rsidR="00BD1614" w:rsidRPr="007678FA" w14:paraId="5AB2A1A1" w14:textId="77777777" w:rsidTr="007A47E9">
        <w:trPr>
          <w:cantSplit/>
          <w:jc w:val="center"/>
        </w:trPr>
        <w:tc>
          <w:tcPr>
            <w:tcW w:w="6911" w:type="dxa"/>
          </w:tcPr>
          <w:p w14:paraId="2B88C0B8" w14:textId="77777777" w:rsidR="00BD1614" w:rsidRPr="007678FA" w:rsidRDefault="00BD1614" w:rsidP="007A47E9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38561D66" w14:textId="77777777" w:rsidR="00BD1614" w:rsidRPr="007678FA" w:rsidRDefault="00BD1614" w:rsidP="007A47E9">
            <w:pPr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7678FA">
              <w:rPr>
                <w:rFonts w:cstheme="minorHAnsi"/>
                <w:b/>
                <w:szCs w:val="24"/>
              </w:rPr>
              <w:t>Original:</w:t>
            </w:r>
            <w:proofErr w:type="gramEnd"/>
            <w:r w:rsidRPr="007678FA">
              <w:rPr>
                <w:rFonts w:cstheme="minorHAnsi"/>
                <w:b/>
                <w:szCs w:val="24"/>
              </w:rPr>
              <w:t xml:space="preserve"> russe</w:t>
            </w:r>
          </w:p>
        </w:tc>
      </w:tr>
      <w:tr w:rsidR="00BD1614" w:rsidRPr="007678FA" w14:paraId="2A31E9A8" w14:textId="77777777" w:rsidTr="007A47E9">
        <w:trPr>
          <w:cantSplit/>
          <w:jc w:val="center"/>
        </w:trPr>
        <w:tc>
          <w:tcPr>
            <w:tcW w:w="10031" w:type="dxa"/>
            <w:gridSpan w:val="2"/>
          </w:tcPr>
          <w:p w14:paraId="11EF7396" w14:textId="77777777" w:rsidR="00BD1614" w:rsidRPr="007678FA" w:rsidRDefault="00BD1614" w:rsidP="007A47E9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BD1614" w:rsidRPr="007678FA" w14:paraId="6A68861A" w14:textId="77777777" w:rsidTr="007A47E9">
        <w:trPr>
          <w:cantSplit/>
          <w:jc w:val="center"/>
        </w:trPr>
        <w:tc>
          <w:tcPr>
            <w:tcW w:w="10031" w:type="dxa"/>
            <w:gridSpan w:val="2"/>
          </w:tcPr>
          <w:p w14:paraId="57DD934B" w14:textId="5423EE48" w:rsidR="00BD1614" w:rsidRPr="007678FA" w:rsidRDefault="00546AAC" w:rsidP="00D90C8A">
            <w:pPr>
              <w:pStyle w:val="Source"/>
            </w:pPr>
            <w:bookmarkStart w:id="4" w:name="dsource" w:colFirst="0" w:colLast="0"/>
            <w:bookmarkEnd w:id="3"/>
            <w:r w:rsidRPr="00546AAC">
              <w:rPr>
                <w:caps/>
              </w:rPr>
              <w:t>é</w:t>
            </w:r>
            <w:r w:rsidRPr="007678FA">
              <w:t xml:space="preserve">tats </w:t>
            </w:r>
            <w:r w:rsidR="00BD1614" w:rsidRPr="007678FA">
              <w:t>Membres de l</w:t>
            </w:r>
            <w:r>
              <w:t>'</w:t>
            </w:r>
            <w:r w:rsidR="00BD1614" w:rsidRPr="007678FA">
              <w:t xml:space="preserve">UIT, </w:t>
            </w:r>
            <w:r w:rsidR="00D90C8A">
              <w:t>m</w:t>
            </w:r>
            <w:r w:rsidR="00D90C8A" w:rsidRPr="007678FA">
              <w:t xml:space="preserve">embres </w:t>
            </w:r>
            <w:r w:rsidR="00BD1614" w:rsidRPr="007678FA">
              <w:t>de la RCC</w:t>
            </w:r>
          </w:p>
        </w:tc>
      </w:tr>
      <w:tr w:rsidR="00BD1614" w:rsidRPr="007678FA" w14:paraId="1ECE0C73" w14:textId="77777777" w:rsidTr="007A47E9">
        <w:trPr>
          <w:cantSplit/>
          <w:jc w:val="center"/>
        </w:trPr>
        <w:tc>
          <w:tcPr>
            <w:tcW w:w="10031" w:type="dxa"/>
            <w:gridSpan w:val="2"/>
          </w:tcPr>
          <w:p w14:paraId="46ED75D3" w14:textId="0DDEA127" w:rsidR="00BD1614" w:rsidRPr="007678FA" w:rsidRDefault="004A125F" w:rsidP="004A125F">
            <w:pPr>
              <w:pStyle w:val="Title1"/>
            </w:pPr>
            <w:bookmarkStart w:id="5" w:name="dtitle1" w:colFirst="0" w:colLast="0"/>
            <w:bookmarkEnd w:id="4"/>
            <w:r w:rsidRPr="007678FA">
              <w:t>projet de nouvelle résolution de la PP-</w:t>
            </w:r>
            <w:r w:rsidR="00BD1614" w:rsidRPr="007678FA">
              <w:t>22</w:t>
            </w:r>
          </w:p>
        </w:tc>
      </w:tr>
      <w:tr w:rsidR="00BD1614" w:rsidRPr="007678FA" w14:paraId="2D581D25" w14:textId="77777777" w:rsidTr="007A47E9">
        <w:trPr>
          <w:cantSplit/>
          <w:jc w:val="center"/>
        </w:trPr>
        <w:tc>
          <w:tcPr>
            <w:tcW w:w="10031" w:type="dxa"/>
            <w:gridSpan w:val="2"/>
          </w:tcPr>
          <w:p w14:paraId="61C067B9" w14:textId="1D09C745" w:rsidR="00BD1614" w:rsidRPr="007678FA" w:rsidRDefault="00972ABC" w:rsidP="00972ABC">
            <w:pPr>
              <w:pStyle w:val="Title2"/>
            </w:pPr>
            <w:bookmarkStart w:id="6" w:name="dtitle2" w:colFirst="0" w:colLast="0"/>
            <w:bookmarkEnd w:id="5"/>
            <w:r w:rsidRPr="007678FA">
              <w:t>mandat des fonctionnaires élus de l</w:t>
            </w:r>
            <w:r w:rsidR="00546AAC">
              <w:t>'</w:t>
            </w:r>
            <w:r w:rsidRPr="007678FA">
              <w:t>union</w:t>
            </w:r>
          </w:p>
        </w:tc>
      </w:tr>
      <w:tr w:rsidR="00BD1614" w:rsidRPr="007678FA" w14:paraId="719388EB" w14:textId="77777777" w:rsidTr="007A47E9">
        <w:trPr>
          <w:cantSplit/>
          <w:jc w:val="center"/>
        </w:trPr>
        <w:tc>
          <w:tcPr>
            <w:tcW w:w="10031" w:type="dxa"/>
            <w:gridSpan w:val="2"/>
          </w:tcPr>
          <w:p w14:paraId="2862CE5D" w14:textId="77777777" w:rsidR="00BD1614" w:rsidRPr="007678FA" w:rsidRDefault="00BD1614" w:rsidP="007A47E9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43F895FC" w14:textId="346564B4" w:rsidR="000D15FB" w:rsidRPr="007678FA" w:rsidRDefault="000D15FB" w:rsidP="00E60DA1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7A3B74" w:rsidRPr="007678FA" w14:paraId="216CEE5B" w14:textId="77777777" w:rsidTr="007A3B74">
        <w:tc>
          <w:tcPr>
            <w:tcW w:w="9072" w:type="dxa"/>
          </w:tcPr>
          <w:p w14:paraId="08A68C04" w14:textId="507A553A" w:rsidR="007A3B74" w:rsidRPr="007678FA" w:rsidRDefault="00972ABC" w:rsidP="007A3B74">
            <w:pPr>
              <w:pStyle w:val="Headingb"/>
            </w:pPr>
            <w:r w:rsidRPr="007678FA">
              <w:t>Résumé</w:t>
            </w:r>
          </w:p>
          <w:p w14:paraId="785635F7" w14:textId="6C58A876" w:rsidR="007A3B74" w:rsidRPr="007678FA" w:rsidRDefault="00972ABC" w:rsidP="007A3B74">
            <w:r w:rsidRPr="007678FA">
              <w:t>Le présent projet de nouvelle</w:t>
            </w:r>
            <w:r w:rsidR="007A3B74" w:rsidRPr="007678FA">
              <w:t xml:space="preserve"> R</w:t>
            </w:r>
            <w:r w:rsidRPr="007678FA">
              <w:t>é</w:t>
            </w:r>
            <w:r w:rsidR="007A3B74" w:rsidRPr="007678FA">
              <w:t xml:space="preserve">solution </w:t>
            </w:r>
            <w:r w:rsidRPr="007678FA">
              <w:t xml:space="preserve">vise à </w:t>
            </w:r>
            <w:r w:rsidR="009A6F42">
              <w:t>accroître</w:t>
            </w:r>
            <w:r w:rsidR="009A6F42" w:rsidRPr="007678FA">
              <w:t xml:space="preserve"> </w:t>
            </w:r>
            <w:r w:rsidRPr="007678FA">
              <w:t>l</w:t>
            </w:r>
            <w:r w:rsidR="00546AAC">
              <w:t>'</w:t>
            </w:r>
            <w:r w:rsidRPr="007678FA">
              <w:t>efficacité de la gestion de l</w:t>
            </w:r>
            <w:r w:rsidR="00546AAC">
              <w:t>'</w:t>
            </w:r>
            <w:r w:rsidRPr="007678FA">
              <w:t>Union.</w:t>
            </w:r>
          </w:p>
          <w:p w14:paraId="1E612DA2" w14:textId="4D7333BA" w:rsidR="007A3B74" w:rsidRPr="007678FA" w:rsidRDefault="00972ABC" w:rsidP="007A3B74">
            <w:pPr>
              <w:pStyle w:val="Headingb"/>
            </w:pPr>
            <w:proofErr w:type="gramStart"/>
            <w:r w:rsidRPr="007678FA">
              <w:t>Suite à</w:t>
            </w:r>
            <w:proofErr w:type="gramEnd"/>
            <w:r w:rsidRPr="007678FA">
              <w:t xml:space="preserve"> donner</w:t>
            </w:r>
          </w:p>
          <w:p w14:paraId="11205EB8" w14:textId="5CFBEB84" w:rsidR="007A3B74" w:rsidRPr="007678FA" w:rsidRDefault="00972ABC" w:rsidP="007A3B74">
            <w:r w:rsidRPr="007678FA">
              <w:t xml:space="preserve">La </w:t>
            </w:r>
            <w:r w:rsidR="007A3B74" w:rsidRPr="007678FA">
              <w:t>Conf</w:t>
            </w:r>
            <w:r w:rsidRPr="007678FA">
              <w:t>é</w:t>
            </w:r>
            <w:r w:rsidR="007A3B74" w:rsidRPr="007678FA">
              <w:t xml:space="preserve">rence </w:t>
            </w:r>
            <w:r w:rsidRPr="007678FA">
              <w:t>de plénipotentiaires est invit</w:t>
            </w:r>
            <w:r w:rsidR="007678FA">
              <w:t>é</w:t>
            </w:r>
            <w:r w:rsidRPr="007678FA">
              <w:t xml:space="preserve">e à </w:t>
            </w:r>
            <w:r w:rsidRPr="007678FA">
              <w:rPr>
                <w:b/>
                <w:bCs/>
              </w:rPr>
              <w:t xml:space="preserve">examiner </w:t>
            </w:r>
            <w:r w:rsidRPr="007678FA">
              <w:t xml:space="preserve">la présente </w:t>
            </w:r>
            <w:r w:rsidR="007A3B74" w:rsidRPr="007678FA">
              <w:t>propos</w:t>
            </w:r>
            <w:r w:rsidRPr="007678FA">
              <w:t>ition et à</w:t>
            </w:r>
            <w:r w:rsidR="007A3B74" w:rsidRPr="007678FA">
              <w:t xml:space="preserve"> </w:t>
            </w:r>
            <w:r w:rsidRPr="007678FA">
              <w:rPr>
                <w:b/>
                <w:bCs/>
              </w:rPr>
              <w:t>prendre une décision en vue d</w:t>
            </w:r>
            <w:r w:rsidR="00546AAC">
              <w:rPr>
                <w:b/>
                <w:bCs/>
              </w:rPr>
              <w:t>'</w:t>
            </w:r>
            <w:r w:rsidRPr="007678FA">
              <w:rPr>
                <w:b/>
                <w:bCs/>
              </w:rPr>
              <w:t xml:space="preserve">encourager une plus large </w:t>
            </w:r>
            <w:r w:rsidR="007A3B74" w:rsidRPr="007678FA">
              <w:rPr>
                <w:b/>
                <w:bCs/>
              </w:rPr>
              <w:t xml:space="preserve">participation </w:t>
            </w:r>
            <w:r w:rsidRPr="007678FA">
              <w:rPr>
                <w:b/>
                <w:bCs/>
              </w:rPr>
              <w:t>des pays en développement</w:t>
            </w:r>
            <w:r w:rsidR="007A3B74" w:rsidRPr="007678FA">
              <w:rPr>
                <w:b/>
                <w:bCs/>
              </w:rPr>
              <w:t>.</w:t>
            </w:r>
          </w:p>
          <w:p w14:paraId="21DE7B88" w14:textId="77777777" w:rsidR="007A3B74" w:rsidRPr="007678FA" w:rsidRDefault="007A3B74" w:rsidP="007A3B74">
            <w:pPr>
              <w:jc w:val="center"/>
            </w:pPr>
            <w:r w:rsidRPr="007678FA">
              <w:t>____________</w:t>
            </w:r>
          </w:p>
          <w:p w14:paraId="6F35DD35" w14:textId="50B0A2FA" w:rsidR="007A3B74" w:rsidRPr="007678FA" w:rsidRDefault="007A3B74" w:rsidP="007A3B74">
            <w:pPr>
              <w:pStyle w:val="Headingb"/>
            </w:pPr>
            <w:r w:rsidRPr="007678FA">
              <w:t>R</w:t>
            </w:r>
            <w:r w:rsidR="00972ABC" w:rsidRPr="007678FA">
              <w:t>é</w:t>
            </w:r>
            <w:r w:rsidRPr="007678FA">
              <w:t>f</w:t>
            </w:r>
            <w:r w:rsidR="00972ABC" w:rsidRPr="007678FA">
              <w:t>é</w:t>
            </w:r>
            <w:r w:rsidRPr="007678FA">
              <w:t>rences</w:t>
            </w:r>
          </w:p>
          <w:p w14:paraId="5D3DA843" w14:textId="41EC9F1A" w:rsidR="007A3B74" w:rsidRPr="007678FA" w:rsidRDefault="00546AAC" w:rsidP="00546AAC">
            <w:pPr>
              <w:spacing w:after="120"/>
            </w:pPr>
            <w:r>
              <w:t>–</w:t>
            </w:r>
          </w:p>
        </w:tc>
      </w:tr>
    </w:tbl>
    <w:p w14:paraId="65917032" w14:textId="77777777" w:rsidR="007A3B74" w:rsidRPr="007678FA" w:rsidRDefault="007A3B74" w:rsidP="00E60DA1"/>
    <w:p w14:paraId="329EACB4" w14:textId="77777777" w:rsidR="00BD1614" w:rsidRPr="007678FA" w:rsidRDefault="00BD16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7678FA">
        <w:br w:type="page"/>
      </w:r>
    </w:p>
    <w:p w14:paraId="18FA8169" w14:textId="77777777" w:rsidR="009A2035" w:rsidRPr="007678FA" w:rsidRDefault="00B46A87">
      <w:pPr>
        <w:pStyle w:val="Proposal"/>
      </w:pPr>
      <w:r w:rsidRPr="007678FA">
        <w:lastRenderedPageBreak/>
        <w:t>ADD</w:t>
      </w:r>
      <w:r w:rsidRPr="007678FA">
        <w:tab/>
        <w:t>RCC/68A16/1</w:t>
      </w:r>
    </w:p>
    <w:p w14:paraId="5D435BAE" w14:textId="591DEC04" w:rsidR="009A2035" w:rsidRPr="007678FA" w:rsidRDefault="00B46A87" w:rsidP="00022B0F">
      <w:pPr>
        <w:pStyle w:val="ResNo"/>
      </w:pPr>
      <w:r w:rsidRPr="007678FA">
        <w:t xml:space="preserve">Projet de </w:t>
      </w:r>
      <w:r w:rsidRPr="00022B0F">
        <w:t>nouvelle</w:t>
      </w:r>
      <w:r w:rsidRPr="007678FA">
        <w:t xml:space="preserve"> Résolution [RCC-</w:t>
      </w:r>
      <w:r w:rsidR="007A3B74" w:rsidRPr="007678FA">
        <w:t>2</w:t>
      </w:r>
      <w:r w:rsidRPr="007678FA">
        <w:t>]</w:t>
      </w:r>
    </w:p>
    <w:p w14:paraId="7C210770" w14:textId="20AF2380" w:rsidR="009A2035" w:rsidRPr="007678FA" w:rsidRDefault="007678FA" w:rsidP="00972ABC">
      <w:pPr>
        <w:pStyle w:val="Restitle"/>
      </w:pPr>
      <w:r>
        <w:t>M</w:t>
      </w:r>
      <w:r w:rsidR="00972ABC" w:rsidRPr="007678FA">
        <w:t>andat des fonctionnaires élus de l</w:t>
      </w:r>
      <w:r w:rsidR="00546AAC">
        <w:t>'</w:t>
      </w:r>
      <w:r w:rsidR="007A3B74" w:rsidRPr="007678FA">
        <w:t>Union</w:t>
      </w:r>
    </w:p>
    <w:p w14:paraId="3C6FC415" w14:textId="44BD1E09" w:rsidR="007A3B74" w:rsidRPr="007678FA" w:rsidRDefault="009F57D4" w:rsidP="009F57D4">
      <w:pPr>
        <w:pStyle w:val="Normalaftertitle"/>
      </w:pPr>
      <w:r w:rsidRPr="007678FA">
        <w:t>La Conférence de plénipotentiaires de l</w:t>
      </w:r>
      <w:r w:rsidR="00546AAC">
        <w:t>'</w:t>
      </w:r>
      <w:r w:rsidRPr="007678FA">
        <w:t xml:space="preserve">Union internationale des télécommunications </w:t>
      </w:r>
      <w:r w:rsidR="00546AAC">
        <w:t>(Bucarest, </w:t>
      </w:r>
      <w:r w:rsidR="007A3B74" w:rsidRPr="007678FA">
        <w:t>2022),</w:t>
      </w:r>
    </w:p>
    <w:p w14:paraId="26C2338B" w14:textId="1C685AFF" w:rsidR="007A3B74" w:rsidRPr="007678FA" w:rsidRDefault="007A3B74" w:rsidP="00E36CBD">
      <w:pPr>
        <w:pStyle w:val="Call"/>
      </w:pPr>
      <w:proofErr w:type="gramStart"/>
      <w:r w:rsidRPr="007678FA">
        <w:t>r</w:t>
      </w:r>
      <w:r w:rsidR="0015387C" w:rsidRPr="007678FA">
        <w:t>appelant</w:t>
      </w:r>
      <w:proofErr w:type="gramEnd"/>
    </w:p>
    <w:p w14:paraId="03403424" w14:textId="052D73E1" w:rsidR="007A3B74" w:rsidRPr="007678FA" w:rsidRDefault="007A3B74" w:rsidP="009F57D4">
      <w:r w:rsidRPr="007678FA">
        <w:rPr>
          <w:i/>
          <w:iCs/>
        </w:rPr>
        <w:t>a)</w:t>
      </w:r>
      <w:r w:rsidRPr="007678FA">
        <w:tab/>
      </w:r>
      <w:r w:rsidR="009F57D4" w:rsidRPr="007678FA">
        <w:t xml:space="preserve">que </w:t>
      </w:r>
      <w:r w:rsidR="0015387C" w:rsidRPr="007678FA">
        <w:t xml:space="preserve">tout </w:t>
      </w:r>
      <w:r w:rsidR="00546AAC" w:rsidRPr="00546AAC">
        <w:rPr>
          <w:caps/>
        </w:rPr>
        <w:t>é</w:t>
      </w:r>
      <w:r w:rsidR="0015387C" w:rsidRPr="007678FA">
        <w:t>tat Membre a le droit de présenter des candidats à l</w:t>
      </w:r>
      <w:r w:rsidR="00546AAC">
        <w:t>'</w:t>
      </w:r>
      <w:r w:rsidR="0015387C" w:rsidRPr="007678FA">
        <w:t>élection des fonctionnaires élus de l</w:t>
      </w:r>
      <w:r w:rsidR="00546AAC">
        <w:t>'</w:t>
      </w:r>
      <w:r w:rsidR="0015387C" w:rsidRPr="007678FA">
        <w:t>Union</w:t>
      </w:r>
      <w:r w:rsidR="00E36CBD" w:rsidRPr="007678FA">
        <w:t xml:space="preserve"> (</w:t>
      </w:r>
      <w:r w:rsidR="007678FA">
        <w:t>numéro</w:t>
      </w:r>
      <w:r w:rsidR="00E36CBD" w:rsidRPr="007678FA">
        <w:t xml:space="preserve"> 26 de la Constitution</w:t>
      </w:r>
      <w:proofErr w:type="gramStart"/>
      <w:r w:rsidR="00E36CBD" w:rsidRPr="007678FA">
        <w:t>)</w:t>
      </w:r>
      <w:r w:rsidR="0015387C" w:rsidRPr="007678FA">
        <w:t>;</w:t>
      </w:r>
      <w:proofErr w:type="gramEnd"/>
    </w:p>
    <w:p w14:paraId="511CF7FC" w14:textId="4A86F85C" w:rsidR="007A3B74" w:rsidRPr="007678FA" w:rsidRDefault="007A3B74" w:rsidP="005C129C">
      <w:r w:rsidRPr="007678FA">
        <w:rPr>
          <w:i/>
          <w:iCs/>
        </w:rPr>
        <w:t>b)</w:t>
      </w:r>
      <w:r w:rsidRPr="007678FA">
        <w:tab/>
      </w:r>
      <w:r w:rsidR="005C129C" w:rsidRPr="007678FA">
        <w:t xml:space="preserve">que la Conférence de plénipotentiaires </w:t>
      </w:r>
      <w:r w:rsidR="0015387C" w:rsidRPr="007678FA">
        <w:t>élit le Secrétaire général</w:t>
      </w:r>
      <w:r w:rsidR="00546AAC">
        <w:t>, le Vice-Secrétaire général et les D</w:t>
      </w:r>
      <w:r w:rsidR="0015387C" w:rsidRPr="007678FA">
        <w:t>irecteurs des Bureaux des Secteurs en leur qualité de fonctionnaires élus de l</w:t>
      </w:r>
      <w:r w:rsidR="00546AAC">
        <w:t>'</w:t>
      </w:r>
      <w:r w:rsidR="0015387C" w:rsidRPr="007678FA">
        <w:t>Union</w:t>
      </w:r>
      <w:r w:rsidR="00E36CBD" w:rsidRPr="007678FA">
        <w:t xml:space="preserve"> (</w:t>
      </w:r>
      <w:r w:rsidR="007678FA">
        <w:t>numéro</w:t>
      </w:r>
      <w:r w:rsidR="00E36CBD" w:rsidRPr="007678FA">
        <w:t xml:space="preserve"> 55 de la Constitution</w:t>
      </w:r>
      <w:proofErr w:type="gramStart"/>
      <w:r w:rsidR="00E36CBD" w:rsidRPr="007678FA">
        <w:t>)</w:t>
      </w:r>
      <w:r w:rsidR="0015387C" w:rsidRPr="007678FA">
        <w:t>;</w:t>
      </w:r>
      <w:proofErr w:type="gramEnd"/>
    </w:p>
    <w:p w14:paraId="5F624D26" w14:textId="765272FC" w:rsidR="007A3B74" w:rsidRPr="007678FA" w:rsidRDefault="007A3B74" w:rsidP="00E36CBD">
      <w:r w:rsidRPr="007678FA">
        <w:rPr>
          <w:i/>
          <w:iCs/>
        </w:rPr>
        <w:t>c)</w:t>
      </w:r>
      <w:r w:rsidRPr="007678FA">
        <w:tab/>
      </w:r>
      <w:r w:rsidR="00E36CBD" w:rsidRPr="007678FA">
        <w:t xml:space="preserve">que la Conférence de plénipotentiaires </w:t>
      </w:r>
      <w:r w:rsidR="0015387C" w:rsidRPr="007678FA">
        <w:t>formule toutes directives générales concernant les effectifs de l</w:t>
      </w:r>
      <w:r w:rsidR="00546AAC">
        <w:t>'</w:t>
      </w:r>
      <w:r w:rsidR="0015387C" w:rsidRPr="007678FA">
        <w:t>Union et fixe, au besoin, les traitements de base, les échelles de traitements et le régime des indemnités et pensions de tous les fonctionnaires de l</w:t>
      </w:r>
      <w:r w:rsidR="00546AAC">
        <w:t>'</w:t>
      </w:r>
      <w:r w:rsidR="0015387C" w:rsidRPr="007678FA">
        <w:t>Union</w:t>
      </w:r>
      <w:r w:rsidR="00E36CBD" w:rsidRPr="007678FA">
        <w:t xml:space="preserve"> (</w:t>
      </w:r>
      <w:r w:rsidR="007678FA">
        <w:t xml:space="preserve">numéro </w:t>
      </w:r>
      <w:r w:rsidR="00E36CBD" w:rsidRPr="007678FA">
        <w:t>52 de la Constitution</w:t>
      </w:r>
      <w:proofErr w:type="gramStart"/>
      <w:r w:rsidR="00E36CBD" w:rsidRPr="007678FA">
        <w:t>)</w:t>
      </w:r>
      <w:r w:rsidR="0015387C" w:rsidRPr="007678FA">
        <w:t>;</w:t>
      </w:r>
      <w:proofErr w:type="gramEnd"/>
    </w:p>
    <w:p w14:paraId="59368A0A" w14:textId="75D3422B" w:rsidR="007A3B74" w:rsidRPr="007678FA" w:rsidRDefault="007A3B74" w:rsidP="00B93C97">
      <w:r w:rsidRPr="007678FA">
        <w:rPr>
          <w:i/>
          <w:iCs/>
        </w:rPr>
        <w:t>d)</w:t>
      </w:r>
      <w:r w:rsidRPr="007678FA">
        <w:tab/>
      </w:r>
      <w:r w:rsidR="00E36CBD" w:rsidRPr="007678FA">
        <w:t>que l</w:t>
      </w:r>
      <w:r w:rsidR="0015387C" w:rsidRPr="007678FA">
        <w:t>a considération dominante dans le recrutement et la fixation des conditions d</w:t>
      </w:r>
      <w:r w:rsidR="00546AAC">
        <w:t>'</w:t>
      </w:r>
      <w:r w:rsidR="0015387C" w:rsidRPr="007678FA">
        <w:t>emploi du personnel doit être la nécessité d</w:t>
      </w:r>
      <w:r w:rsidR="00546AAC">
        <w:t>'</w:t>
      </w:r>
      <w:r w:rsidR="0015387C" w:rsidRPr="007678FA">
        <w:t>assurer à l</w:t>
      </w:r>
      <w:r w:rsidR="00546AAC">
        <w:t>'</w:t>
      </w:r>
      <w:r w:rsidR="0015387C" w:rsidRPr="007678FA">
        <w:t>Union les services de personnes possédant les plus hautes qualités d</w:t>
      </w:r>
      <w:r w:rsidR="00546AAC">
        <w:t>'</w:t>
      </w:r>
      <w:r w:rsidR="0015387C" w:rsidRPr="007678FA">
        <w:t>efficacité, de compétence et d</w:t>
      </w:r>
      <w:r w:rsidR="00546AAC">
        <w:t>'</w:t>
      </w:r>
      <w:r w:rsidR="0015387C" w:rsidRPr="007678FA">
        <w:t>intégrité</w:t>
      </w:r>
      <w:r w:rsidR="00B04266">
        <w:t xml:space="preserve"> </w:t>
      </w:r>
      <w:r w:rsidR="00546AAC">
        <w:t>e</w:t>
      </w:r>
      <w:r w:rsidR="00B04266">
        <w:t>t que l</w:t>
      </w:r>
      <w:r w:rsidR="00546AAC">
        <w:t>'</w:t>
      </w:r>
      <w:r w:rsidR="0015387C" w:rsidRPr="007678FA">
        <w:t>importance d</w:t>
      </w:r>
      <w:r w:rsidR="00546AAC">
        <w:t>'</w:t>
      </w:r>
      <w:r w:rsidR="0015387C" w:rsidRPr="007678FA">
        <w:t xml:space="preserve">un recrutement effectué sur une base géographique aussi large que possible doit être dûment prise en </w:t>
      </w:r>
      <w:proofErr w:type="gramStart"/>
      <w:r w:rsidR="0015387C" w:rsidRPr="007678FA">
        <w:t>considération;</w:t>
      </w:r>
      <w:proofErr w:type="gramEnd"/>
    </w:p>
    <w:p w14:paraId="1C5A764E" w14:textId="580278F7" w:rsidR="007A3B74" w:rsidRPr="007678FA" w:rsidRDefault="007A3B74" w:rsidP="00B93C97">
      <w:r w:rsidRPr="007678FA">
        <w:rPr>
          <w:i/>
          <w:iCs/>
        </w:rPr>
        <w:t>e)</w:t>
      </w:r>
      <w:r w:rsidRPr="007678FA">
        <w:tab/>
      </w:r>
      <w:r w:rsidR="00B93C97" w:rsidRPr="007678FA">
        <w:t>l</w:t>
      </w:r>
      <w:r w:rsidR="00546AAC">
        <w:t>'</w:t>
      </w:r>
      <w:r w:rsidR="00B93C97" w:rsidRPr="007678FA">
        <w:t>a</w:t>
      </w:r>
      <w:r w:rsidRPr="007678FA">
        <w:t xml:space="preserve">rticle 9 </w:t>
      </w:r>
      <w:r w:rsidR="00B93C97" w:rsidRPr="007678FA">
        <w:t xml:space="preserve">de la </w:t>
      </w:r>
      <w:r w:rsidRPr="007678FA">
        <w:t>Constitution</w:t>
      </w:r>
      <w:r w:rsidR="00B93C97" w:rsidRPr="007678FA">
        <w:t xml:space="preserve"> de l</w:t>
      </w:r>
      <w:r w:rsidR="00546AAC">
        <w:t>'</w:t>
      </w:r>
      <w:r w:rsidR="00B93C97" w:rsidRPr="007678FA">
        <w:t>UIT</w:t>
      </w:r>
      <w:r w:rsidR="00B04266">
        <w:t>, intitulé</w:t>
      </w:r>
      <w:r w:rsidR="00546AAC">
        <w:t xml:space="preserve"> "</w:t>
      </w:r>
      <w:r w:rsidR="00B04266">
        <w:t>P</w:t>
      </w:r>
      <w:r w:rsidR="0015387C" w:rsidRPr="007678FA">
        <w:t>rincipes relatifs aux élections et questions connexes</w:t>
      </w:r>
      <w:proofErr w:type="gramStart"/>
      <w:r w:rsidR="00546AAC">
        <w:t>"</w:t>
      </w:r>
      <w:r w:rsidRPr="007678FA">
        <w:t>;</w:t>
      </w:r>
      <w:proofErr w:type="gramEnd"/>
    </w:p>
    <w:p w14:paraId="55794B8D" w14:textId="25A7148E" w:rsidR="007A3B74" w:rsidRPr="007678FA" w:rsidRDefault="007A3B74" w:rsidP="00B93C97">
      <w:r w:rsidRPr="007678FA">
        <w:rPr>
          <w:i/>
          <w:iCs/>
        </w:rPr>
        <w:t>f)</w:t>
      </w:r>
      <w:r w:rsidRPr="007678FA">
        <w:tab/>
      </w:r>
      <w:r w:rsidR="00B93C97" w:rsidRPr="007678FA">
        <w:t>l</w:t>
      </w:r>
      <w:r w:rsidR="0095604E">
        <w:t xml:space="preserve">e paragraphe </w:t>
      </w:r>
      <w:r w:rsidR="00B93C97" w:rsidRPr="007678FA">
        <w:t>de l</w:t>
      </w:r>
      <w:r w:rsidR="00546AAC">
        <w:t>'</w:t>
      </w:r>
      <w:r w:rsidR="00B93C97" w:rsidRPr="007678FA">
        <w:t>a</w:t>
      </w:r>
      <w:r w:rsidRPr="007678FA">
        <w:t xml:space="preserve">rticle 2 </w:t>
      </w:r>
      <w:r w:rsidR="00B93C97" w:rsidRPr="007678FA">
        <w:t xml:space="preserve">de la </w:t>
      </w:r>
      <w:r w:rsidRPr="007678FA">
        <w:t xml:space="preserve">Convention </w:t>
      </w:r>
      <w:r w:rsidR="00B93C97" w:rsidRPr="007678FA">
        <w:t>de l</w:t>
      </w:r>
      <w:r w:rsidR="00546AAC">
        <w:t>'</w:t>
      </w:r>
      <w:r w:rsidR="00B93C97" w:rsidRPr="007678FA">
        <w:t>UIT</w:t>
      </w:r>
      <w:r w:rsidR="00B04266" w:rsidRPr="00B04266">
        <w:t xml:space="preserve"> </w:t>
      </w:r>
      <w:r w:rsidR="00B04266" w:rsidRPr="007678FA">
        <w:t>relatif aux fonctionnaires élus</w:t>
      </w:r>
      <w:r w:rsidR="00B93C97" w:rsidRPr="007678FA">
        <w:t xml:space="preserve"> </w:t>
      </w:r>
      <w:r w:rsidRPr="007678FA">
        <w:t>(</w:t>
      </w:r>
      <w:r w:rsidR="00B93C97" w:rsidRPr="007678FA">
        <w:t>numéros</w:t>
      </w:r>
      <w:r w:rsidR="00546AAC">
        <w:t> </w:t>
      </w:r>
      <w:r w:rsidRPr="007678FA">
        <w:t>13</w:t>
      </w:r>
      <w:r w:rsidR="00B93C97" w:rsidRPr="007678FA">
        <w:t xml:space="preserve"> à </w:t>
      </w:r>
      <w:r w:rsidRPr="007678FA">
        <w:t>19</w:t>
      </w:r>
      <w:r w:rsidR="00B93C97" w:rsidRPr="007678FA">
        <w:t xml:space="preserve"> de la Convention</w:t>
      </w:r>
      <w:r w:rsidRPr="007678FA">
        <w:t>),</w:t>
      </w:r>
    </w:p>
    <w:p w14:paraId="2954496C" w14:textId="45D6AD08" w:rsidR="007A3B74" w:rsidRPr="007678FA" w:rsidRDefault="007A3B74" w:rsidP="00F62249">
      <w:pPr>
        <w:pStyle w:val="Call"/>
      </w:pPr>
      <w:proofErr w:type="gramStart"/>
      <w:r w:rsidRPr="007678FA">
        <w:t>t</w:t>
      </w:r>
      <w:r w:rsidR="0015387C" w:rsidRPr="007678FA">
        <w:t>enant</w:t>
      </w:r>
      <w:proofErr w:type="gramEnd"/>
      <w:r w:rsidR="0015387C" w:rsidRPr="007678FA">
        <w:t xml:space="preserve"> compte</w:t>
      </w:r>
      <w:r w:rsidR="002102AD" w:rsidRPr="007678FA">
        <w:t xml:space="preserve"> du fait</w:t>
      </w:r>
    </w:p>
    <w:p w14:paraId="21918EFA" w14:textId="18B2F387" w:rsidR="007A3B74" w:rsidRPr="007678FA" w:rsidRDefault="007A3B74" w:rsidP="00F62249">
      <w:r w:rsidRPr="007678FA">
        <w:rPr>
          <w:i/>
          <w:iCs/>
        </w:rPr>
        <w:t>a)</w:t>
      </w:r>
      <w:r w:rsidRPr="007678FA">
        <w:tab/>
      </w:r>
      <w:r w:rsidR="00F62249" w:rsidRPr="007678FA">
        <w:t>que l</w:t>
      </w:r>
      <w:r w:rsidR="00B46A87" w:rsidRPr="007678FA">
        <w:t xml:space="preserve">e Secrétaire général, le </w:t>
      </w:r>
      <w:r w:rsidR="00022B0F">
        <w:t>Vice-Secrétaire général et les D</w:t>
      </w:r>
      <w:r w:rsidR="00B46A87" w:rsidRPr="007678FA">
        <w:t xml:space="preserve">irecteurs des Bureaux prennent leurs fonctions à la date fixée par la Conférence de plénipotentiaires au moment de leur </w:t>
      </w:r>
      <w:proofErr w:type="gramStart"/>
      <w:r w:rsidR="00B46A87" w:rsidRPr="007678FA">
        <w:t>élection;</w:t>
      </w:r>
      <w:proofErr w:type="gramEnd"/>
    </w:p>
    <w:p w14:paraId="6826BF05" w14:textId="49968DA1" w:rsidR="007A3B74" w:rsidRPr="007678FA" w:rsidRDefault="007A3B74" w:rsidP="00F62249">
      <w:r w:rsidRPr="007678FA">
        <w:rPr>
          <w:i/>
          <w:iCs/>
        </w:rPr>
        <w:t>b)</w:t>
      </w:r>
      <w:r w:rsidRPr="007678FA">
        <w:tab/>
      </w:r>
      <w:r w:rsidR="0095604E" w:rsidRPr="007678FA">
        <w:t>que le Secrétaire général, le Vice-Secrétai</w:t>
      </w:r>
      <w:r w:rsidR="00022B0F">
        <w:t>re général et les D</w:t>
      </w:r>
      <w:r w:rsidR="0095604E" w:rsidRPr="007678FA">
        <w:t>irecteurs des Bureaux</w:t>
      </w:r>
      <w:r w:rsidR="00B46A87" w:rsidRPr="007678FA">
        <w:t xml:space="preserve"> restent normalement en fonction jusqu</w:t>
      </w:r>
      <w:r w:rsidR="00546AAC">
        <w:t>'</w:t>
      </w:r>
      <w:r w:rsidR="00B46A87" w:rsidRPr="007678FA">
        <w:t>à la date fixée par la Conférence de plénipotentiaires suivante et ne sont rééligibles qu</w:t>
      </w:r>
      <w:r w:rsidR="00546AAC">
        <w:t>'</w:t>
      </w:r>
      <w:r w:rsidR="00B46A87" w:rsidRPr="007678FA">
        <w:t xml:space="preserve">une fois au même </w:t>
      </w:r>
      <w:proofErr w:type="gramStart"/>
      <w:r w:rsidR="00B46A87" w:rsidRPr="007678FA">
        <w:t>emploi;</w:t>
      </w:r>
      <w:proofErr w:type="gramEnd"/>
    </w:p>
    <w:p w14:paraId="317B177B" w14:textId="78C881F4" w:rsidR="007A3B74" w:rsidRPr="007678FA" w:rsidRDefault="007A3B74" w:rsidP="006926EA">
      <w:r w:rsidRPr="007678FA">
        <w:rPr>
          <w:i/>
          <w:iCs/>
        </w:rPr>
        <w:t>c)</w:t>
      </w:r>
      <w:r w:rsidRPr="007678FA">
        <w:tab/>
      </w:r>
      <w:r w:rsidR="00F62249" w:rsidRPr="007678FA">
        <w:t>que l</w:t>
      </w:r>
      <w:r w:rsidR="00B46A87" w:rsidRPr="007678FA">
        <w:t>e terme rééligible signifie qu</w:t>
      </w:r>
      <w:r w:rsidR="00546AAC">
        <w:t>'</w:t>
      </w:r>
      <w:r w:rsidR="00B46A87" w:rsidRPr="007678FA">
        <w:t>il n</w:t>
      </w:r>
      <w:r w:rsidR="00546AAC">
        <w:t>'</w:t>
      </w:r>
      <w:r w:rsidR="00B46A87" w:rsidRPr="007678FA">
        <w:t>est possible d</w:t>
      </w:r>
      <w:r w:rsidR="00546AAC">
        <w:t>'</w:t>
      </w:r>
      <w:r w:rsidR="00B46A87" w:rsidRPr="007678FA">
        <w:t>effectuer qu</w:t>
      </w:r>
      <w:r w:rsidR="00546AAC">
        <w:t>'</w:t>
      </w:r>
      <w:r w:rsidR="00B46A87" w:rsidRPr="007678FA">
        <w:t>un</w:t>
      </w:r>
      <w:r w:rsidR="006926EA" w:rsidRPr="007678FA">
        <w:t>e seule fois un</w:t>
      </w:r>
      <w:r w:rsidR="00B46A87" w:rsidRPr="007678FA">
        <w:t xml:space="preserve"> second mandat, que celui-ci soit consécutif ou non au </w:t>
      </w:r>
      <w:proofErr w:type="gramStart"/>
      <w:r w:rsidR="00B46A87" w:rsidRPr="007678FA">
        <w:t>premier;</w:t>
      </w:r>
      <w:proofErr w:type="gramEnd"/>
    </w:p>
    <w:p w14:paraId="5A409C67" w14:textId="771B32B4" w:rsidR="007A3B74" w:rsidRPr="007678FA" w:rsidRDefault="007A3B74" w:rsidP="006926EA">
      <w:r w:rsidRPr="007678FA">
        <w:rPr>
          <w:i/>
          <w:iCs/>
        </w:rPr>
        <w:t>d)</w:t>
      </w:r>
      <w:r w:rsidRPr="007678FA">
        <w:tab/>
      </w:r>
      <w:r w:rsidR="006926EA" w:rsidRPr="007678FA">
        <w:t>que la</w:t>
      </w:r>
      <w:r w:rsidRPr="007678FA">
        <w:t xml:space="preserve"> nomination </w:t>
      </w:r>
      <w:r w:rsidR="006926EA" w:rsidRPr="007678FA">
        <w:t>de</w:t>
      </w:r>
      <w:r w:rsidRPr="007678FA">
        <w:t xml:space="preserve"> candidats</w:t>
      </w:r>
      <w:r w:rsidR="006926EA" w:rsidRPr="007678FA">
        <w:t xml:space="preserve"> des pays en développement</w:t>
      </w:r>
      <w:r w:rsidR="006926EA" w:rsidRPr="007678FA">
        <w:rPr>
          <w:rStyle w:val="FootnoteReference"/>
        </w:rPr>
        <w:footnoteReference w:id="1"/>
      </w:r>
      <w:r w:rsidRPr="007678FA">
        <w:t xml:space="preserve"> </w:t>
      </w:r>
      <w:r w:rsidR="006926EA" w:rsidRPr="007678FA">
        <w:t>au poste de</w:t>
      </w:r>
      <w:r w:rsidRPr="007678FA">
        <w:t xml:space="preserve"> Direct</w:t>
      </w:r>
      <w:r w:rsidR="006926EA" w:rsidRPr="007678FA">
        <w:t>eu</w:t>
      </w:r>
      <w:r w:rsidRPr="007678FA">
        <w:t xml:space="preserve">r </w:t>
      </w:r>
      <w:r w:rsidR="006926EA" w:rsidRPr="007678FA">
        <w:t xml:space="preserve">du Bureau de développement des télécommunications </w:t>
      </w:r>
      <w:r w:rsidR="00362093">
        <w:t xml:space="preserve">doit </w:t>
      </w:r>
      <w:r w:rsidR="00362093" w:rsidRPr="007678FA">
        <w:t>faciliter</w:t>
      </w:r>
      <w:r w:rsidR="00546AAC">
        <w:t xml:space="preserve"> </w:t>
      </w:r>
      <w:r w:rsidR="006926EA" w:rsidRPr="007678FA">
        <w:t xml:space="preserve">la </w:t>
      </w:r>
      <w:r w:rsidRPr="007678FA">
        <w:t xml:space="preserve">participation </w:t>
      </w:r>
      <w:r w:rsidR="006926EA" w:rsidRPr="007678FA">
        <w:t xml:space="preserve">effective des pays </w:t>
      </w:r>
      <w:r w:rsidR="006926EA" w:rsidRPr="007678FA">
        <w:lastRenderedPageBreak/>
        <w:t>en développement aux activités de l</w:t>
      </w:r>
      <w:r w:rsidR="00546AAC">
        <w:t>'</w:t>
      </w:r>
      <w:r w:rsidRPr="007678FA">
        <w:t xml:space="preserve">Union </w:t>
      </w:r>
      <w:r w:rsidR="006926EA" w:rsidRPr="007678FA">
        <w:t>et le développement des télécommunications/TIC</w:t>
      </w:r>
      <w:r w:rsidRPr="007678FA">
        <w:t xml:space="preserve">, </w:t>
      </w:r>
      <w:r w:rsidR="00360F35" w:rsidRPr="007678FA">
        <w:t>compte tenu des besoins des pays en développement et de la</w:t>
      </w:r>
      <w:r w:rsidRPr="007678FA">
        <w:t xml:space="preserve"> situation </w:t>
      </w:r>
      <w:r w:rsidR="00360F35" w:rsidRPr="007678FA">
        <w:t>géographique particulière de certains pays</w:t>
      </w:r>
      <w:r w:rsidRPr="007678FA">
        <w:t>,</w:t>
      </w:r>
    </w:p>
    <w:p w14:paraId="7BBD09A2" w14:textId="583EE2E0" w:rsidR="007A3B74" w:rsidRPr="007678FA" w:rsidRDefault="00B46A87" w:rsidP="00360F35">
      <w:pPr>
        <w:pStyle w:val="Call"/>
      </w:pPr>
      <w:proofErr w:type="gramStart"/>
      <w:r w:rsidRPr="007678FA">
        <w:t>décide</w:t>
      </w:r>
      <w:proofErr w:type="gramEnd"/>
    </w:p>
    <w:p w14:paraId="1E279379" w14:textId="1D45CBC2" w:rsidR="007A3B74" w:rsidRPr="007678FA" w:rsidRDefault="007A3B74" w:rsidP="00721DD9">
      <w:r w:rsidRPr="007678FA">
        <w:t>1</w:t>
      </w:r>
      <w:r w:rsidRPr="007678FA">
        <w:tab/>
      </w:r>
      <w:r w:rsidR="00360F35" w:rsidRPr="007678FA">
        <w:t>qu</w:t>
      </w:r>
      <w:r w:rsidR="00546AAC">
        <w:t>'</w:t>
      </w:r>
      <w:r w:rsidR="003E7FA8">
        <w:t>un</w:t>
      </w:r>
      <w:r w:rsidR="00546AAC">
        <w:t xml:space="preserve"> </w:t>
      </w:r>
      <w:r w:rsidR="003E7FA8">
        <w:t xml:space="preserve">même </w:t>
      </w:r>
      <w:r w:rsidRPr="007678FA">
        <w:t>candidat</w:t>
      </w:r>
      <w:r w:rsidR="00360F35" w:rsidRPr="007678FA">
        <w:t xml:space="preserve"> à</w:t>
      </w:r>
      <w:r w:rsidR="00546AAC">
        <w:t xml:space="preserve"> </w:t>
      </w:r>
      <w:r w:rsidR="003E7FA8" w:rsidRPr="003E7FA8">
        <w:t>l</w:t>
      </w:r>
      <w:r w:rsidR="00546AAC">
        <w:t>'</w:t>
      </w:r>
      <w:r w:rsidR="003E7FA8" w:rsidRPr="003E7FA8">
        <w:t>élection ou à la réélection</w:t>
      </w:r>
      <w:r w:rsidR="003E7FA8">
        <w:t xml:space="preserve"> à</w:t>
      </w:r>
      <w:r w:rsidR="00546AAC">
        <w:t xml:space="preserve"> </w:t>
      </w:r>
      <w:r w:rsidR="00FF1D47" w:rsidRPr="00FF1D47">
        <w:t>l</w:t>
      </w:r>
      <w:r w:rsidR="00546AAC">
        <w:t>'</w:t>
      </w:r>
      <w:r w:rsidR="00FF1D47" w:rsidRPr="00FF1D47">
        <w:t>un quelconque</w:t>
      </w:r>
      <w:r w:rsidR="00546AAC">
        <w:t xml:space="preserve"> </w:t>
      </w:r>
      <w:r w:rsidR="00FF1D47">
        <w:t xml:space="preserve">des </w:t>
      </w:r>
      <w:r w:rsidR="00360F35" w:rsidRPr="007678FA">
        <w:t>poste</w:t>
      </w:r>
      <w:r w:rsidR="00FF1D47">
        <w:t>s</w:t>
      </w:r>
      <w:r w:rsidR="00546AAC">
        <w:t xml:space="preserve"> </w:t>
      </w:r>
      <w:r w:rsidR="0095604E">
        <w:t xml:space="preserve">de </w:t>
      </w:r>
      <w:r w:rsidR="00360F35" w:rsidRPr="007678FA">
        <w:t>fonctionnaire</w:t>
      </w:r>
      <w:r w:rsidR="00FF1D47">
        <w:t>s</w:t>
      </w:r>
      <w:r w:rsidR="00360F35" w:rsidRPr="007678FA">
        <w:t xml:space="preserve"> élu</w:t>
      </w:r>
      <w:r w:rsidR="00FF1D47">
        <w:t>s</w:t>
      </w:r>
      <w:r w:rsidRPr="007678FA">
        <w:t xml:space="preserve"> </w:t>
      </w:r>
      <w:r w:rsidR="00360F35" w:rsidRPr="007678FA">
        <w:t>de l</w:t>
      </w:r>
      <w:r w:rsidR="00546AAC">
        <w:t>'</w:t>
      </w:r>
      <w:r w:rsidR="00022B0F">
        <w:t>Union</w:t>
      </w:r>
      <w:r w:rsidR="003E7FA8">
        <w:t xml:space="preserve">, </w:t>
      </w:r>
      <w:r w:rsidR="003E7FA8" w:rsidRPr="003E7FA8">
        <w:t>postes de</w:t>
      </w:r>
      <w:r w:rsidR="003E7FA8">
        <w:t xml:space="preserve"> </w:t>
      </w:r>
      <w:r w:rsidR="00721DD9" w:rsidRPr="007678FA">
        <w:t>Secrétaire général, Vice-Secrétaire général et</w:t>
      </w:r>
      <w:r w:rsidR="0095604E">
        <w:t xml:space="preserve"> D</w:t>
      </w:r>
      <w:r w:rsidR="00721DD9" w:rsidRPr="007678FA">
        <w:t xml:space="preserve">irecteur </w:t>
      </w:r>
      <w:r w:rsidR="0095604E">
        <w:t>d</w:t>
      </w:r>
      <w:r w:rsidR="00546AAC">
        <w:t>'</w:t>
      </w:r>
      <w:r w:rsidR="0095604E">
        <w:t xml:space="preserve">un </w:t>
      </w:r>
      <w:r w:rsidR="00721DD9" w:rsidRPr="007678FA">
        <w:t xml:space="preserve">Bureau </w:t>
      </w:r>
      <w:r w:rsidRPr="007678FA">
        <w:t xml:space="preserve">– </w:t>
      </w:r>
      <w:r w:rsidR="0072341D" w:rsidRPr="007678FA">
        <w:t>ne</w:t>
      </w:r>
      <w:r w:rsidR="00546AAC">
        <w:t xml:space="preserve"> </w:t>
      </w:r>
      <w:r w:rsidR="003E7FA8">
        <w:t>peut</w:t>
      </w:r>
      <w:r w:rsidR="00FF1D47" w:rsidRPr="00FF1D47">
        <w:t xml:space="preserve"> pas exercer plus de deux </w:t>
      </w:r>
      <w:proofErr w:type="gramStart"/>
      <w:r w:rsidR="00FF1D47" w:rsidRPr="00FF1D47">
        <w:t>mandat</w:t>
      </w:r>
      <w:r w:rsidR="003E7FA8">
        <w:t>s</w:t>
      </w:r>
      <w:r w:rsidR="00E01A39">
        <w:t>;</w:t>
      </w:r>
      <w:proofErr w:type="gramEnd"/>
    </w:p>
    <w:p w14:paraId="6F515A1A" w14:textId="0B1D55CB" w:rsidR="007A3B74" w:rsidRPr="007678FA" w:rsidRDefault="007A3B74" w:rsidP="002F7FEA">
      <w:r w:rsidRPr="007678FA">
        <w:t>2</w:t>
      </w:r>
      <w:r w:rsidRPr="007678FA">
        <w:tab/>
      </w:r>
      <w:r w:rsidR="00360B7D">
        <w:t xml:space="preserve">que </w:t>
      </w:r>
      <w:r w:rsidR="00F95DDA">
        <w:t>l</w:t>
      </w:r>
      <w:r w:rsidR="00546AAC">
        <w:t>'</w:t>
      </w:r>
      <w:r w:rsidR="00F95DDA">
        <w:t>exercice d</w:t>
      </w:r>
      <w:r w:rsidR="00546AAC">
        <w:t>'</w:t>
      </w:r>
      <w:r w:rsidR="00F95DDA">
        <w:t>un</w:t>
      </w:r>
      <w:r w:rsidR="00360B7D">
        <w:t xml:space="preserve"> </w:t>
      </w:r>
      <w:r w:rsidR="002F7FEA" w:rsidRPr="007678FA">
        <w:t>mandat</w:t>
      </w:r>
      <w:r w:rsidR="00546AAC">
        <w:t xml:space="preserve"> </w:t>
      </w:r>
      <w:r w:rsidR="002F7FEA" w:rsidRPr="007678FA">
        <w:t xml:space="preserve">à </w:t>
      </w:r>
      <w:r w:rsidR="00E01A39" w:rsidRPr="00E01A39">
        <w:t>l</w:t>
      </w:r>
      <w:r w:rsidR="00546AAC">
        <w:t>'</w:t>
      </w:r>
      <w:r w:rsidR="00E01A39" w:rsidRPr="00E01A39">
        <w:t>un quelconque des</w:t>
      </w:r>
      <w:r w:rsidR="00546AAC">
        <w:t xml:space="preserve"> </w:t>
      </w:r>
      <w:r w:rsidR="002F7FEA" w:rsidRPr="007678FA">
        <w:t>poste</w:t>
      </w:r>
      <w:r w:rsidR="00E01A39">
        <w:t>s</w:t>
      </w:r>
      <w:r w:rsidR="00546AAC">
        <w:t xml:space="preserve"> </w:t>
      </w:r>
      <w:r w:rsidR="002F7FEA" w:rsidRPr="007678FA">
        <w:t>de fonctionnaire</w:t>
      </w:r>
      <w:r w:rsidR="00E01A39">
        <w:t>s</w:t>
      </w:r>
      <w:r w:rsidR="002F7FEA" w:rsidRPr="007678FA">
        <w:t xml:space="preserve"> élu</w:t>
      </w:r>
      <w:r w:rsidR="00E01A39">
        <w:t>s</w:t>
      </w:r>
      <w:r w:rsidR="002F7FEA" w:rsidRPr="007678FA">
        <w:t xml:space="preserve"> de l</w:t>
      </w:r>
      <w:r w:rsidR="00546AAC">
        <w:t>'</w:t>
      </w:r>
      <w:r w:rsidR="002F7FEA" w:rsidRPr="007678FA">
        <w:t>Union (par exemple, Directeur d</w:t>
      </w:r>
      <w:r w:rsidR="00546AAC">
        <w:t>'</w:t>
      </w:r>
      <w:r w:rsidR="002F7FEA" w:rsidRPr="007678FA">
        <w:t xml:space="preserve">un Bureau) sera pris en compte dans le </w:t>
      </w:r>
      <w:r w:rsidR="00F95DDA">
        <w:t>l</w:t>
      </w:r>
      <w:r w:rsidR="00546AAC">
        <w:t>'</w:t>
      </w:r>
      <w:r w:rsidR="00F95DDA">
        <w:t>exercice</w:t>
      </w:r>
      <w:r w:rsidR="00546AAC">
        <w:t xml:space="preserve"> </w:t>
      </w:r>
      <w:r w:rsidR="00F95DDA">
        <w:t>d</w:t>
      </w:r>
      <w:r w:rsidR="00546AAC">
        <w:t>'</w:t>
      </w:r>
      <w:r w:rsidR="00F95DDA">
        <w:t>un</w:t>
      </w:r>
      <w:r w:rsidR="00F95DDA" w:rsidRPr="007678FA">
        <w:t xml:space="preserve"> </w:t>
      </w:r>
      <w:r w:rsidR="002F7FEA" w:rsidRPr="007678FA">
        <w:t>mandat</w:t>
      </w:r>
      <w:r w:rsidR="00546AAC">
        <w:t xml:space="preserve"> </w:t>
      </w:r>
      <w:r w:rsidR="002F7FEA" w:rsidRPr="007678FA">
        <w:t xml:space="preserve">à un </w:t>
      </w:r>
      <w:r w:rsidR="00F95DDA">
        <w:t xml:space="preserve">autre </w:t>
      </w:r>
      <w:r w:rsidR="002F7FEA" w:rsidRPr="007678FA">
        <w:t>poste de fonctionnaire élu de l</w:t>
      </w:r>
      <w:r w:rsidR="00546AAC">
        <w:t>'</w:t>
      </w:r>
      <w:r w:rsidR="002F7FEA" w:rsidRPr="007678FA">
        <w:t>Union (par exemple, Vice-Secrétaire général</w:t>
      </w:r>
      <w:proofErr w:type="gramStart"/>
      <w:r w:rsidR="002F7FEA" w:rsidRPr="007678FA">
        <w:t>);</w:t>
      </w:r>
      <w:proofErr w:type="gramEnd"/>
    </w:p>
    <w:p w14:paraId="1EFA8CC9" w14:textId="489343FD" w:rsidR="007A3B74" w:rsidRPr="007678FA" w:rsidRDefault="007A3B74" w:rsidP="002F7FEA">
      <w:r w:rsidRPr="007678FA">
        <w:t>3</w:t>
      </w:r>
      <w:r w:rsidRPr="007678FA">
        <w:tab/>
      </w:r>
      <w:r w:rsidR="002F7FEA" w:rsidRPr="007678FA">
        <w:t xml:space="preserve">que les points </w:t>
      </w:r>
      <w:r w:rsidRPr="007678FA">
        <w:t xml:space="preserve">1 </w:t>
      </w:r>
      <w:r w:rsidR="002F7FEA" w:rsidRPr="007678FA">
        <w:t xml:space="preserve">et </w:t>
      </w:r>
      <w:r w:rsidRPr="007678FA">
        <w:t xml:space="preserve">2 </w:t>
      </w:r>
      <w:r w:rsidR="002F7FEA" w:rsidRPr="007678FA">
        <w:t xml:space="preserve">du </w:t>
      </w:r>
      <w:r w:rsidR="002F7FEA" w:rsidRPr="007678FA">
        <w:rPr>
          <w:i/>
          <w:iCs/>
        </w:rPr>
        <w:t xml:space="preserve">décide </w:t>
      </w:r>
      <w:r w:rsidR="002F7FEA" w:rsidRPr="007678FA">
        <w:t xml:space="preserve">ci-dessus </w:t>
      </w:r>
      <w:r w:rsidR="00B95916" w:rsidRPr="00B95916">
        <w:t>entre</w:t>
      </w:r>
      <w:r w:rsidR="00B95916">
        <w:t>ro</w:t>
      </w:r>
      <w:r w:rsidR="00B95916" w:rsidRPr="00B95916">
        <w:t>nt en vigueur</w:t>
      </w:r>
      <w:r w:rsidR="00B95916" w:rsidRPr="00B95916" w:rsidDel="00B95916">
        <w:t xml:space="preserve"> </w:t>
      </w:r>
      <w:r w:rsidR="00B95916">
        <w:t xml:space="preserve">pour les </w:t>
      </w:r>
      <w:r w:rsidR="002F7FEA" w:rsidRPr="007678FA">
        <w:t xml:space="preserve">nouveaux candidats élus </w:t>
      </w:r>
      <w:r w:rsidR="00B95916">
        <w:t>à</w:t>
      </w:r>
      <w:r w:rsidR="00546AAC">
        <w:t xml:space="preserve"> </w:t>
      </w:r>
      <w:r w:rsidR="002F7FEA" w:rsidRPr="007678FA">
        <w:t xml:space="preserve">la Conférence de plénipotentiaires de 2026 et </w:t>
      </w:r>
      <w:r w:rsidR="00B95916">
        <w:t xml:space="preserve">aux </w:t>
      </w:r>
      <w:r w:rsidR="002F7FEA" w:rsidRPr="007678FA">
        <w:t xml:space="preserve">Conférences de plénipotentiaires </w:t>
      </w:r>
      <w:proofErr w:type="gramStart"/>
      <w:r w:rsidR="002F7FEA" w:rsidRPr="007678FA">
        <w:t>ultérieures</w:t>
      </w:r>
      <w:r w:rsidRPr="007678FA">
        <w:t>;</w:t>
      </w:r>
      <w:proofErr w:type="gramEnd"/>
    </w:p>
    <w:p w14:paraId="0CF7BFE2" w14:textId="62BD98C8" w:rsidR="007A3B74" w:rsidRPr="007678FA" w:rsidRDefault="007A3B74" w:rsidP="00333335">
      <w:r w:rsidRPr="007678FA">
        <w:t>4</w:t>
      </w:r>
      <w:r w:rsidRPr="007678FA">
        <w:tab/>
      </w:r>
      <w:r w:rsidR="00333335" w:rsidRPr="007678FA">
        <w:t xml:space="preserve">que pour tous les candidats élus pour la première fois à des postes de fonctionnaires </w:t>
      </w:r>
      <w:r w:rsidR="009E41B0">
        <w:t xml:space="preserve">élus </w:t>
      </w:r>
      <w:r w:rsidR="00333335" w:rsidRPr="007678FA">
        <w:t>de l</w:t>
      </w:r>
      <w:r w:rsidR="00546AAC">
        <w:t>'</w:t>
      </w:r>
      <w:r w:rsidR="00333335" w:rsidRPr="007678FA">
        <w:t xml:space="preserve">Union avant la Conférence de plénipotentiaires de 2026, les points 1 et 2 du </w:t>
      </w:r>
      <w:r w:rsidR="00333335" w:rsidRPr="007678FA">
        <w:rPr>
          <w:i/>
          <w:iCs/>
        </w:rPr>
        <w:t>décide</w:t>
      </w:r>
      <w:r w:rsidR="00333335" w:rsidRPr="007678FA">
        <w:t xml:space="preserve"> ci-dessus ne s</w:t>
      </w:r>
      <w:r w:rsidR="00546AAC">
        <w:t>'</w:t>
      </w:r>
      <w:r w:rsidR="00333335" w:rsidRPr="007678FA">
        <w:t>applique</w:t>
      </w:r>
      <w:r w:rsidR="00B95916">
        <w:t>ro</w:t>
      </w:r>
      <w:r w:rsidR="00333335" w:rsidRPr="007678FA">
        <w:t>nt pas</w:t>
      </w:r>
      <w:r w:rsidRPr="007678FA">
        <w:t>,</w:t>
      </w:r>
    </w:p>
    <w:p w14:paraId="1788F1CF" w14:textId="5D9A3E6B" w:rsidR="007A3B74" w:rsidRPr="007678FA" w:rsidRDefault="00333335" w:rsidP="00333335">
      <w:pPr>
        <w:pStyle w:val="Call"/>
      </w:pPr>
      <w:proofErr w:type="gramStart"/>
      <w:r w:rsidRPr="007678FA">
        <w:t>i</w:t>
      </w:r>
      <w:r w:rsidR="007A3B74" w:rsidRPr="007678FA">
        <w:t>nvite</w:t>
      </w:r>
      <w:proofErr w:type="gramEnd"/>
      <w:r w:rsidRPr="007678FA">
        <w:t xml:space="preserve"> les </w:t>
      </w:r>
      <w:r w:rsidR="00022B0F" w:rsidRPr="00022B0F">
        <w:rPr>
          <w:caps/>
        </w:rPr>
        <w:t>é</w:t>
      </w:r>
      <w:r w:rsidRPr="007678FA">
        <w:t>tats Membres</w:t>
      </w:r>
    </w:p>
    <w:p w14:paraId="7BB14838" w14:textId="0B1C464E" w:rsidR="007A3B74" w:rsidRPr="007678FA" w:rsidRDefault="007A3B74" w:rsidP="005330DF">
      <w:r w:rsidRPr="007678FA">
        <w:t>1</w:t>
      </w:r>
      <w:r w:rsidRPr="007678FA">
        <w:tab/>
      </w:r>
      <w:r w:rsidR="005330DF" w:rsidRPr="007678FA">
        <w:t>à favoriser une rotation aussi efficace que possible des fonctionnaires élus, en accordant une attention toute particulière à la nécessité</w:t>
      </w:r>
      <w:r w:rsidR="00A6412F" w:rsidRPr="00A6412F">
        <w:t xml:space="preserve"> de garantir</w:t>
      </w:r>
      <w:r w:rsidR="00546AAC">
        <w:t xml:space="preserve"> </w:t>
      </w:r>
      <w:r w:rsidR="005330DF" w:rsidRPr="007678FA">
        <w:t xml:space="preserve">une répartition géographique équitable entre les régions du monde et aux principes énoncés au numéro 154 de la </w:t>
      </w:r>
      <w:proofErr w:type="gramStart"/>
      <w:r w:rsidR="005330DF" w:rsidRPr="007678FA">
        <w:t>Constitution</w:t>
      </w:r>
      <w:r w:rsidRPr="007678FA">
        <w:t>;</w:t>
      </w:r>
      <w:proofErr w:type="gramEnd"/>
    </w:p>
    <w:p w14:paraId="5B2C8B1F" w14:textId="6406A340" w:rsidR="007A3B74" w:rsidRPr="007678FA" w:rsidRDefault="007A3B74" w:rsidP="005330DF">
      <w:r w:rsidRPr="007678FA">
        <w:t>2</w:t>
      </w:r>
      <w:r w:rsidRPr="007678FA">
        <w:tab/>
      </w:r>
      <w:r w:rsidR="005330DF" w:rsidRPr="007678FA">
        <w:t>à exercer de manière responsable leur droit de présenter des candidats à l</w:t>
      </w:r>
      <w:r w:rsidR="00546AAC">
        <w:t>'</w:t>
      </w:r>
      <w:r w:rsidR="005330DF" w:rsidRPr="007678FA">
        <w:t xml:space="preserve">élection des fonctionnaires élus de </w:t>
      </w:r>
      <w:proofErr w:type="gramStart"/>
      <w:r w:rsidR="005330DF" w:rsidRPr="007678FA">
        <w:t>l</w:t>
      </w:r>
      <w:r w:rsidR="00546AAC">
        <w:t>'</w:t>
      </w:r>
      <w:r w:rsidR="005330DF" w:rsidRPr="007678FA">
        <w:t>Union</w:t>
      </w:r>
      <w:r w:rsidRPr="007678FA">
        <w:t>;</w:t>
      </w:r>
      <w:proofErr w:type="gramEnd"/>
    </w:p>
    <w:p w14:paraId="56E20AFD" w14:textId="253A76E2" w:rsidR="007A3B74" w:rsidRPr="007678FA" w:rsidRDefault="007A3B74" w:rsidP="00C57EED">
      <w:r w:rsidRPr="007678FA">
        <w:t>3</w:t>
      </w:r>
      <w:r w:rsidRPr="007678FA">
        <w:tab/>
      </w:r>
      <w:r w:rsidR="00C57EED" w:rsidRPr="007678FA">
        <w:t>à s</w:t>
      </w:r>
      <w:r w:rsidR="00546AAC">
        <w:t>'</w:t>
      </w:r>
      <w:r w:rsidR="00C57EED" w:rsidRPr="007678FA">
        <w:t>inspirer des dispositions de la présente Résolution, tant pour la désignation de leurs propres candidats aux postes de fonctionnaires élus de l</w:t>
      </w:r>
      <w:r w:rsidR="00546AAC">
        <w:t>'</w:t>
      </w:r>
      <w:r w:rsidR="00C57EED" w:rsidRPr="007678FA">
        <w:t>Union que pour</w:t>
      </w:r>
      <w:r w:rsidR="00546AAC">
        <w:t xml:space="preserve"> </w:t>
      </w:r>
      <w:r w:rsidR="00975BAE">
        <w:t>l</w:t>
      </w:r>
      <w:r w:rsidR="00546AAC">
        <w:t>'</w:t>
      </w:r>
      <w:r w:rsidR="00975BAE">
        <w:t>examen</w:t>
      </w:r>
      <w:r w:rsidR="00975BAE" w:rsidRPr="00975BAE">
        <w:t xml:space="preserve"> des candidatures</w:t>
      </w:r>
      <w:r w:rsidR="00C57EED" w:rsidRPr="007678FA">
        <w:t xml:space="preserve"> et l</w:t>
      </w:r>
      <w:r w:rsidR="00546AAC">
        <w:t>'</w:t>
      </w:r>
      <w:r w:rsidR="00C57EED" w:rsidRPr="007678FA">
        <w:t>élection d</w:t>
      </w:r>
      <w:r w:rsidR="00546AAC">
        <w:t>'</w:t>
      </w:r>
      <w:r w:rsidR="00C57EED" w:rsidRPr="007678FA">
        <w:t xml:space="preserve">autres </w:t>
      </w:r>
      <w:proofErr w:type="gramStart"/>
      <w:r w:rsidR="00C57EED" w:rsidRPr="007678FA">
        <w:t>candidats</w:t>
      </w:r>
      <w:r w:rsidRPr="007678FA">
        <w:t>;</w:t>
      </w:r>
      <w:proofErr w:type="gramEnd"/>
    </w:p>
    <w:p w14:paraId="38CC66E0" w14:textId="2E6D2F52" w:rsidR="007A3B74" w:rsidRDefault="007A3B74" w:rsidP="007678FA">
      <w:r w:rsidRPr="007678FA">
        <w:t>4</w:t>
      </w:r>
      <w:r w:rsidRPr="007678FA">
        <w:tab/>
      </w:r>
      <w:r w:rsidR="007678FA" w:rsidRPr="007678FA">
        <w:t xml:space="preserve">à </w:t>
      </w:r>
      <w:r w:rsidR="00975BAE">
        <w:t>s</w:t>
      </w:r>
      <w:r w:rsidR="00546AAC">
        <w:t>'</w:t>
      </w:r>
      <w:r w:rsidR="00975BAE">
        <w:t xml:space="preserve">employer à </w:t>
      </w:r>
      <w:r w:rsidR="007678FA" w:rsidRPr="007678FA">
        <w:t>présenter</w:t>
      </w:r>
      <w:r w:rsidR="00546AAC">
        <w:t xml:space="preserve"> </w:t>
      </w:r>
      <w:r w:rsidR="007678FA" w:rsidRPr="007678FA">
        <w:t>des candidats</w:t>
      </w:r>
      <w:r w:rsidR="00546AAC">
        <w:t xml:space="preserve"> </w:t>
      </w:r>
      <w:r w:rsidR="002329AA" w:rsidRPr="007678FA">
        <w:t>rempliss</w:t>
      </w:r>
      <w:r w:rsidR="002329AA">
        <w:t>a</w:t>
      </w:r>
      <w:r w:rsidR="002329AA" w:rsidRPr="007678FA">
        <w:t xml:space="preserve">nt </w:t>
      </w:r>
      <w:r w:rsidR="007678FA" w:rsidRPr="007678FA">
        <w:t>toutes les conditions requises par l</w:t>
      </w:r>
      <w:r w:rsidR="00546AAC">
        <w:t>'</w:t>
      </w:r>
      <w:r w:rsidR="007678FA" w:rsidRPr="007678FA">
        <w:t>Union pour</w:t>
      </w:r>
      <w:r w:rsidR="00546AAC">
        <w:t xml:space="preserve"> </w:t>
      </w:r>
      <w:r w:rsidR="00DA3B3A" w:rsidRPr="00DA3B3A">
        <w:t>l</w:t>
      </w:r>
      <w:r w:rsidR="00546AAC">
        <w:t>'</w:t>
      </w:r>
      <w:r w:rsidR="00DA3B3A" w:rsidRPr="00DA3B3A">
        <w:t xml:space="preserve">élection </w:t>
      </w:r>
      <w:r w:rsidR="007678FA" w:rsidRPr="007678FA">
        <w:t xml:space="preserve">au poste de Directeur du Bureau de développement des télécommunications, afin </w:t>
      </w:r>
      <w:r w:rsidR="00DA3B3A">
        <w:t>que celui-ci</w:t>
      </w:r>
      <w:r w:rsidR="00DA3B3A" w:rsidRPr="007678FA">
        <w:t xml:space="preserve"> s</w:t>
      </w:r>
      <w:r w:rsidR="00546AAC">
        <w:t>'</w:t>
      </w:r>
      <w:r w:rsidR="00DA3B3A" w:rsidRPr="007678FA">
        <w:t>acquitte</w:t>
      </w:r>
      <w:r w:rsidR="00546AAC">
        <w:t xml:space="preserve"> </w:t>
      </w:r>
      <w:r w:rsidR="007678FA" w:rsidRPr="007678FA">
        <w:t>le plus efficacement possible des fonctions</w:t>
      </w:r>
      <w:r w:rsidR="00546AAC">
        <w:t xml:space="preserve"> </w:t>
      </w:r>
      <w:r w:rsidR="007678FA" w:rsidRPr="007678FA">
        <w:t>du Secteur du développement des télécommunications (UIT-D)</w:t>
      </w:r>
      <w:r w:rsidR="00546AAC">
        <w:t xml:space="preserve"> </w:t>
      </w:r>
      <w:r w:rsidR="002D3A6D">
        <w:t>consistant</w:t>
      </w:r>
      <w:r w:rsidR="002D3A6D" w:rsidRPr="007678FA">
        <w:t xml:space="preserve"> </w:t>
      </w:r>
      <w:r w:rsidR="007678FA" w:rsidRPr="007678FA">
        <w:t xml:space="preserve">à </w:t>
      </w:r>
      <w:r w:rsidR="002D3A6D" w:rsidRPr="002D3A6D">
        <w:t>satisfaire l</w:t>
      </w:r>
      <w:r w:rsidR="00546AAC">
        <w:t>'</w:t>
      </w:r>
      <w:r w:rsidR="002D3A6D" w:rsidRPr="002D3A6D">
        <w:t>objet</w:t>
      </w:r>
      <w:r w:rsidR="00546AAC">
        <w:t xml:space="preserve"> </w:t>
      </w:r>
      <w:r w:rsidR="007678FA" w:rsidRPr="007678FA">
        <w:t>de l</w:t>
      </w:r>
      <w:r w:rsidR="00546AAC">
        <w:t>'</w:t>
      </w:r>
      <w:r w:rsidR="007678FA" w:rsidRPr="007678FA">
        <w:t>Union,</w:t>
      </w:r>
      <w:r w:rsidR="00546AAC">
        <w:t xml:space="preserve"> </w:t>
      </w:r>
      <w:r w:rsidR="002D3A6D" w:rsidRPr="002D3A6D">
        <w:t>conformément</w:t>
      </w:r>
      <w:r w:rsidR="00546AAC">
        <w:t xml:space="preserve"> </w:t>
      </w:r>
      <w:r w:rsidR="007678FA" w:rsidRPr="007678FA">
        <w:t>à l</w:t>
      </w:r>
      <w:r w:rsidR="00546AAC">
        <w:t>'</w:t>
      </w:r>
      <w:r w:rsidR="007678FA" w:rsidRPr="007678FA">
        <w:t xml:space="preserve">article 1 de la Constitution, et à mettre en œuvre des projets, </w:t>
      </w:r>
      <w:r w:rsidR="002D3A6D">
        <w:t>dans</w:t>
      </w:r>
      <w:r w:rsidR="00022B0F">
        <w:t xml:space="preserve"> les </w:t>
      </w:r>
      <w:r w:rsidR="002D3A6D" w:rsidRPr="002D3A6D">
        <w:t xml:space="preserve">limites de </w:t>
      </w:r>
      <w:r w:rsidR="00C75942">
        <w:t>la</w:t>
      </w:r>
      <w:r w:rsidR="002D3A6D">
        <w:t xml:space="preserve"> sphère</w:t>
      </w:r>
      <w:r w:rsidR="007678FA" w:rsidRPr="007678FA">
        <w:t xml:space="preserve"> de </w:t>
      </w:r>
      <w:r w:rsidR="002D3A6D" w:rsidRPr="007678FA">
        <w:t>compétence</w:t>
      </w:r>
      <w:r w:rsidR="00546AAC">
        <w:t xml:space="preserve"> </w:t>
      </w:r>
      <w:r w:rsidR="007678FA" w:rsidRPr="007678FA">
        <w:t>spécifique de l</w:t>
      </w:r>
      <w:r w:rsidR="00546AAC">
        <w:t>'</w:t>
      </w:r>
      <w:r w:rsidR="007678FA" w:rsidRPr="007678FA">
        <w:t>UIT-D, dans le cadre</w:t>
      </w:r>
      <w:r w:rsidR="00546AAC">
        <w:t xml:space="preserve"> </w:t>
      </w:r>
      <w:r w:rsidR="00022B0F">
        <w:t>du système des Nations </w:t>
      </w:r>
      <w:r w:rsidR="007678FA" w:rsidRPr="007678FA">
        <w:t xml:space="preserve">Unies </w:t>
      </w:r>
      <w:r w:rsidR="00552B6B">
        <w:t>pour le</w:t>
      </w:r>
      <w:r w:rsidR="00552B6B" w:rsidRPr="00552B6B">
        <w:t xml:space="preserve"> </w:t>
      </w:r>
      <w:r w:rsidR="00552B6B" w:rsidRPr="007678FA">
        <w:t>développement</w:t>
      </w:r>
      <w:r w:rsidR="00552B6B">
        <w:t xml:space="preserve"> </w:t>
      </w:r>
      <w:r w:rsidR="007678FA" w:rsidRPr="007678FA">
        <w:t>ou d</w:t>
      </w:r>
      <w:r w:rsidR="00546AAC">
        <w:t>'</w:t>
      </w:r>
      <w:r w:rsidR="007678FA" w:rsidRPr="007678FA">
        <w:t xml:space="preserve">autres </w:t>
      </w:r>
      <w:r w:rsidR="00552B6B">
        <w:rPr>
          <w:color w:val="000000"/>
        </w:rPr>
        <w:t>modalités de financement</w:t>
      </w:r>
      <w:r w:rsidR="007678FA" w:rsidRPr="007678FA">
        <w:t>, afin de faciliter et d</w:t>
      </w:r>
      <w:r w:rsidR="00546AAC">
        <w:t>'</w:t>
      </w:r>
      <w:r w:rsidR="007678FA" w:rsidRPr="007678FA">
        <w:t>améliorer le développement des télécommunications</w:t>
      </w:r>
      <w:r w:rsidR="00552B6B" w:rsidRPr="00552B6B">
        <w:t xml:space="preserve"> en offrant, organisant et coordonnant des</w:t>
      </w:r>
      <w:r w:rsidR="00546AAC">
        <w:t xml:space="preserve"> </w:t>
      </w:r>
      <w:r w:rsidR="007678FA" w:rsidRPr="007678FA">
        <w:t>d</w:t>
      </w:r>
      <w:r w:rsidR="00546AAC">
        <w:t>'</w:t>
      </w:r>
      <w:r w:rsidR="007678FA" w:rsidRPr="007678FA">
        <w:t>activités de coopération et d</w:t>
      </w:r>
      <w:r w:rsidR="00546AAC">
        <w:t>'</w:t>
      </w:r>
      <w:r w:rsidR="007678FA" w:rsidRPr="007678FA">
        <w:t>assistance techniques</w:t>
      </w:r>
      <w:r w:rsidR="00750438">
        <w:t>,</w:t>
      </w:r>
      <w:r w:rsidR="00546AAC">
        <w:t xml:space="preserve"> </w:t>
      </w:r>
      <w:r w:rsidR="00750438">
        <w:t>essentiellement en faveur des</w:t>
      </w:r>
      <w:r w:rsidR="007678FA" w:rsidRPr="007678FA">
        <w:t xml:space="preserve"> pays en développement et </w:t>
      </w:r>
      <w:r w:rsidR="00750438">
        <w:t>des</w:t>
      </w:r>
      <w:r w:rsidR="00750438" w:rsidRPr="007678FA">
        <w:t xml:space="preserve"> </w:t>
      </w:r>
      <w:r w:rsidR="007678FA" w:rsidRPr="007678FA">
        <w:t>pays qui en ont besoin</w:t>
      </w:r>
      <w:r w:rsidRPr="007678FA">
        <w:t>.</w:t>
      </w:r>
    </w:p>
    <w:p w14:paraId="2DBD1C7B" w14:textId="77777777" w:rsidR="00022B0F" w:rsidRPr="007678FA" w:rsidRDefault="00022B0F" w:rsidP="00022B0F">
      <w:pPr>
        <w:pStyle w:val="Reasons"/>
      </w:pPr>
    </w:p>
    <w:p w14:paraId="1A273CBD" w14:textId="6AF62E0F" w:rsidR="009A2035" w:rsidRPr="007678FA" w:rsidRDefault="00B46A87" w:rsidP="00022B0F">
      <w:pPr>
        <w:spacing w:before="0"/>
        <w:jc w:val="center"/>
      </w:pPr>
      <w:r w:rsidRPr="007678FA">
        <w:t>______________</w:t>
      </w:r>
    </w:p>
    <w:sectPr w:rsidR="009A2035" w:rsidRPr="007678FA" w:rsidSect="00022B0F">
      <w:headerReference w:type="default" r:id="rId12"/>
      <w:footerReference w:type="default" r:id="rId13"/>
      <w:footerReference w:type="first" r:id="rId14"/>
      <w:type w:val="continuous"/>
      <w:pgSz w:w="11913" w:h="16834"/>
      <w:pgMar w:top="1304" w:right="1134" w:bottom="1304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8B71" w14:textId="77777777" w:rsidR="003A2410" w:rsidRDefault="003A2410">
      <w:r>
        <w:separator/>
      </w:r>
    </w:p>
  </w:endnote>
  <w:endnote w:type="continuationSeparator" w:id="0">
    <w:p w14:paraId="7385B2B1" w14:textId="77777777" w:rsidR="003A2410" w:rsidRDefault="003A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Hlk113973815"/>
  <w:p w14:paraId="1D3D12D5" w14:textId="488A3F33" w:rsidR="00901E77" w:rsidRPr="00672559" w:rsidRDefault="00546AAC" w:rsidP="00546AAC">
    <w:pPr>
      <w:pStyle w:val="Footer"/>
      <w:rPr>
        <w:color w:val="FFFFFF" w:themeColor="background1"/>
        <w:lang w:val="en-GB"/>
      </w:rPr>
    </w:pPr>
    <w:r w:rsidRPr="00672559">
      <w:rPr>
        <w:color w:val="FFFFFF" w:themeColor="background1"/>
      </w:rPr>
      <w:fldChar w:fldCharType="begin"/>
    </w:r>
    <w:r w:rsidRPr="00672559">
      <w:rPr>
        <w:color w:val="FFFFFF" w:themeColor="background1"/>
      </w:rPr>
      <w:instrText xml:space="preserve"> FILENAME \p  \* MERGEFORMAT </w:instrText>
    </w:r>
    <w:r w:rsidRPr="00672559">
      <w:rPr>
        <w:color w:val="FFFFFF" w:themeColor="background1"/>
      </w:rPr>
      <w:fldChar w:fldCharType="separate"/>
    </w:r>
    <w:r w:rsidRPr="00672559">
      <w:rPr>
        <w:color w:val="FFFFFF" w:themeColor="background1"/>
      </w:rPr>
      <w:t>P:\FRA\SG\CONF-SG\PP22\000\068ADD16F.docx</w:t>
    </w:r>
    <w:r w:rsidRPr="00672559">
      <w:rPr>
        <w:color w:val="FFFFFF" w:themeColor="background1"/>
      </w:rPr>
      <w:fldChar w:fldCharType="end"/>
    </w:r>
    <w:r w:rsidR="00B46A87" w:rsidRPr="00672559">
      <w:rPr>
        <w:color w:val="FFFFFF" w:themeColor="background1"/>
        <w:lang w:val="en-GB"/>
      </w:rPr>
      <w:t xml:space="preserve"> (510830)</w:t>
    </w:r>
    <w:bookmarkEnd w:id="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2874" w14:textId="07C85D6A" w:rsidR="000C467B" w:rsidRDefault="000D15FB" w:rsidP="00546AAC">
    <w:pPr>
      <w:pStyle w:val="firstfooter0"/>
      <w:spacing w:before="0" w:beforeAutospacing="0" w:after="0" w:afterAutospacing="0"/>
      <w:jc w:val="center"/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7575CC" w:rsidRPr="007575CC">
        <w:rPr>
          <w:rStyle w:val="Hyperlink"/>
          <w:sz w:val="22"/>
          <w:szCs w:val="22"/>
          <w:lang w:val="en-GB"/>
        </w:rPr>
        <w:t>www.itu.int/plenipotentiary/</w:t>
      </w:r>
    </w:hyperlink>
    <w:r w:rsidR="007575CC" w:rsidRPr="007575CC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473D" w14:textId="77777777" w:rsidR="003A2410" w:rsidRDefault="003A2410">
      <w:r>
        <w:t>____________________</w:t>
      </w:r>
    </w:p>
  </w:footnote>
  <w:footnote w:type="continuationSeparator" w:id="0">
    <w:p w14:paraId="4ED014DC" w14:textId="77777777" w:rsidR="003A2410" w:rsidRDefault="003A2410">
      <w:r>
        <w:continuationSeparator/>
      </w:r>
    </w:p>
  </w:footnote>
  <w:footnote w:id="1">
    <w:p w14:paraId="18CD90A1" w14:textId="095A626B" w:rsidR="006926EA" w:rsidRDefault="006926EA" w:rsidP="00360F35">
      <w:pPr>
        <w:pStyle w:val="FootnoteText"/>
        <w:tabs>
          <w:tab w:val="clear" w:pos="256"/>
          <w:tab w:val="left" w:pos="142"/>
        </w:tabs>
        <w:ind w:left="142" w:hanging="142"/>
      </w:pPr>
      <w:r>
        <w:rPr>
          <w:rStyle w:val="FootnoteReference"/>
        </w:rPr>
        <w:footnoteRef/>
      </w:r>
      <w:r w:rsidR="00546AAC">
        <w:tab/>
      </w:r>
      <w:r w:rsidR="00360F35" w:rsidRPr="00360F35">
        <w:t xml:space="preserve">Par pays en développement, on entend aussi les pays les moins avancés, les petits </w:t>
      </w:r>
      <w:r w:rsidR="00546AAC" w:rsidRPr="00546AAC">
        <w:rPr>
          <w:caps/>
        </w:rPr>
        <w:t>é</w:t>
      </w:r>
      <w:r w:rsidR="00360F35" w:rsidRPr="00360F35">
        <w:t>tats insulaires en développement, les pays en développement sans littoral et les pays dont l</w:t>
      </w:r>
      <w:r w:rsidR="00546AAC">
        <w:t>'</w:t>
      </w:r>
      <w:r w:rsidR="00360F35" w:rsidRPr="00360F35">
        <w:t>économie est en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7CF5" w14:textId="256034A3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96370">
      <w:rPr>
        <w:noProof/>
      </w:rPr>
      <w:t>3</w:t>
    </w:r>
    <w:r>
      <w:fldChar w:fldCharType="end"/>
    </w:r>
  </w:p>
  <w:p w14:paraId="74B8A47C" w14:textId="77777777" w:rsidR="00BD1614" w:rsidRDefault="00BD1614" w:rsidP="001E2226">
    <w:pPr>
      <w:pStyle w:val="Header"/>
    </w:pPr>
    <w:r>
      <w:t>PP</w:t>
    </w:r>
    <w:r w:rsidR="002A7A1D">
      <w:t>22</w:t>
    </w:r>
    <w:r>
      <w:t>/68(Add.</w:t>
    </w:r>
    <w:proofErr w:type="gramStart"/>
    <w:r>
      <w:t>16)-</w:t>
    </w:r>
    <w:proofErr w:type="gramEnd"/>
    <w:r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602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5EB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A01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667F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BA3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5A40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420B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824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B42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1450945">
    <w:abstractNumId w:val="9"/>
  </w:num>
  <w:num w:numId="2" w16cid:durableId="774398644">
    <w:abstractNumId w:val="7"/>
  </w:num>
  <w:num w:numId="3" w16cid:durableId="1624925482">
    <w:abstractNumId w:val="6"/>
  </w:num>
  <w:num w:numId="4" w16cid:durableId="1587575284">
    <w:abstractNumId w:val="5"/>
  </w:num>
  <w:num w:numId="5" w16cid:durableId="206114985">
    <w:abstractNumId w:val="4"/>
  </w:num>
  <w:num w:numId="6" w16cid:durableId="157430502">
    <w:abstractNumId w:val="8"/>
  </w:num>
  <w:num w:numId="7" w16cid:durableId="1385326897">
    <w:abstractNumId w:val="3"/>
  </w:num>
  <w:num w:numId="8" w16cid:durableId="1620721332">
    <w:abstractNumId w:val="2"/>
  </w:num>
  <w:num w:numId="9" w16cid:durableId="452288360">
    <w:abstractNumId w:val="1"/>
  </w:num>
  <w:num w:numId="10" w16cid:durableId="18148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22B0F"/>
    <w:rsid w:val="00060D74"/>
    <w:rsid w:val="00072D5C"/>
    <w:rsid w:val="0008398C"/>
    <w:rsid w:val="00084308"/>
    <w:rsid w:val="00096370"/>
    <w:rsid w:val="000B14B6"/>
    <w:rsid w:val="000C467B"/>
    <w:rsid w:val="000D15FB"/>
    <w:rsid w:val="000F58F7"/>
    <w:rsid w:val="001051E4"/>
    <w:rsid w:val="001354EA"/>
    <w:rsid w:val="00136FCE"/>
    <w:rsid w:val="0015387C"/>
    <w:rsid w:val="00153BA4"/>
    <w:rsid w:val="001941AD"/>
    <w:rsid w:val="0019732C"/>
    <w:rsid w:val="001A0682"/>
    <w:rsid w:val="001B4D8D"/>
    <w:rsid w:val="001D31B2"/>
    <w:rsid w:val="001E1B9B"/>
    <w:rsid w:val="001E2226"/>
    <w:rsid w:val="001F6233"/>
    <w:rsid w:val="002102AD"/>
    <w:rsid w:val="002329AA"/>
    <w:rsid w:val="002355CD"/>
    <w:rsid w:val="00270B2F"/>
    <w:rsid w:val="002A0E1B"/>
    <w:rsid w:val="002A7A1D"/>
    <w:rsid w:val="002C1059"/>
    <w:rsid w:val="002C2F9C"/>
    <w:rsid w:val="002D3A6D"/>
    <w:rsid w:val="002F7FEA"/>
    <w:rsid w:val="00322DEA"/>
    <w:rsid w:val="00333335"/>
    <w:rsid w:val="00355FBD"/>
    <w:rsid w:val="00360B7D"/>
    <w:rsid w:val="00360F35"/>
    <w:rsid w:val="00362093"/>
    <w:rsid w:val="00381461"/>
    <w:rsid w:val="00391C12"/>
    <w:rsid w:val="003A0B7D"/>
    <w:rsid w:val="003A2410"/>
    <w:rsid w:val="003A45C2"/>
    <w:rsid w:val="003C4BE2"/>
    <w:rsid w:val="003D147D"/>
    <w:rsid w:val="003D637A"/>
    <w:rsid w:val="003E7FA8"/>
    <w:rsid w:val="00430015"/>
    <w:rsid w:val="004678D0"/>
    <w:rsid w:val="00482954"/>
    <w:rsid w:val="004951C0"/>
    <w:rsid w:val="004A125F"/>
    <w:rsid w:val="004C7646"/>
    <w:rsid w:val="00524001"/>
    <w:rsid w:val="005330DF"/>
    <w:rsid w:val="00535D95"/>
    <w:rsid w:val="00546AAC"/>
    <w:rsid w:val="00552B6B"/>
    <w:rsid w:val="00564B63"/>
    <w:rsid w:val="00575DC7"/>
    <w:rsid w:val="005836C2"/>
    <w:rsid w:val="005A4EFD"/>
    <w:rsid w:val="005A5ABE"/>
    <w:rsid w:val="005C129C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72559"/>
    <w:rsid w:val="00686973"/>
    <w:rsid w:val="006926EA"/>
    <w:rsid w:val="00696B2D"/>
    <w:rsid w:val="006A2656"/>
    <w:rsid w:val="006A3475"/>
    <w:rsid w:val="006A6342"/>
    <w:rsid w:val="006B6C9C"/>
    <w:rsid w:val="006C7AE3"/>
    <w:rsid w:val="006D55E8"/>
    <w:rsid w:val="006E1921"/>
    <w:rsid w:val="006F36F9"/>
    <w:rsid w:val="0070576B"/>
    <w:rsid w:val="00713335"/>
    <w:rsid w:val="00721DD9"/>
    <w:rsid w:val="0072341D"/>
    <w:rsid w:val="00727C2F"/>
    <w:rsid w:val="00735F13"/>
    <w:rsid w:val="00750438"/>
    <w:rsid w:val="007575CC"/>
    <w:rsid w:val="007678FA"/>
    <w:rsid w:val="007717F2"/>
    <w:rsid w:val="00772E3B"/>
    <w:rsid w:val="0078134C"/>
    <w:rsid w:val="007A3B74"/>
    <w:rsid w:val="007A47E9"/>
    <w:rsid w:val="007A5830"/>
    <w:rsid w:val="007D21FB"/>
    <w:rsid w:val="00801256"/>
    <w:rsid w:val="008703CB"/>
    <w:rsid w:val="008A6B20"/>
    <w:rsid w:val="008B61AF"/>
    <w:rsid w:val="008C33C2"/>
    <w:rsid w:val="008C6137"/>
    <w:rsid w:val="008E2DB4"/>
    <w:rsid w:val="00901DD5"/>
    <w:rsid w:val="00901E77"/>
    <w:rsid w:val="0090735B"/>
    <w:rsid w:val="00912D5E"/>
    <w:rsid w:val="00934340"/>
    <w:rsid w:val="0095604E"/>
    <w:rsid w:val="00956DC7"/>
    <w:rsid w:val="00966CD3"/>
    <w:rsid w:val="00972ABC"/>
    <w:rsid w:val="00975BAE"/>
    <w:rsid w:val="00987A20"/>
    <w:rsid w:val="009A0E15"/>
    <w:rsid w:val="009A2035"/>
    <w:rsid w:val="009A6F42"/>
    <w:rsid w:val="009D4037"/>
    <w:rsid w:val="009E41B0"/>
    <w:rsid w:val="009F0592"/>
    <w:rsid w:val="009F57D4"/>
    <w:rsid w:val="00A20E72"/>
    <w:rsid w:val="00A246DC"/>
    <w:rsid w:val="00A47BAF"/>
    <w:rsid w:val="00A542D3"/>
    <w:rsid w:val="00A5784F"/>
    <w:rsid w:val="00A6412F"/>
    <w:rsid w:val="00A8436E"/>
    <w:rsid w:val="00A95B66"/>
    <w:rsid w:val="00AE0667"/>
    <w:rsid w:val="00AE13F9"/>
    <w:rsid w:val="00B04266"/>
    <w:rsid w:val="00B41E0A"/>
    <w:rsid w:val="00B46A87"/>
    <w:rsid w:val="00B56DE0"/>
    <w:rsid w:val="00B71F12"/>
    <w:rsid w:val="00B76FEC"/>
    <w:rsid w:val="00B93C97"/>
    <w:rsid w:val="00B95916"/>
    <w:rsid w:val="00B96B1E"/>
    <w:rsid w:val="00BB2A6F"/>
    <w:rsid w:val="00BD1614"/>
    <w:rsid w:val="00BD382C"/>
    <w:rsid w:val="00BD5DA6"/>
    <w:rsid w:val="00BF7D25"/>
    <w:rsid w:val="00C010C0"/>
    <w:rsid w:val="00C40CB5"/>
    <w:rsid w:val="00C54CE6"/>
    <w:rsid w:val="00C575E2"/>
    <w:rsid w:val="00C57EED"/>
    <w:rsid w:val="00C7368B"/>
    <w:rsid w:val="00C75942"/>
    <w:rsid w:val="00C92746"/>
    <w:rsid w:val="00CC4DC5"/>
    <w:rsid w:val="00CE1A7C"/>
    <w:rsid w:val="00CF59D1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90C8A"/>
    <w:rsid w:val="00DA3B3A"/>
    <w:rsid w:val="00DA4ABA"/>
    <w:rsid w:val="00DA685B"/>
    <w:rsid w:val="00DA742B"/>
    <w:rsid w:val="00DF25C1"/>
    <w:rsid w:val="00DF48F7"/>
    <w:rsid w:val="00DF4964"/>
    <w:rsid w:val="00DF4D73"/>
    <w:rsid w:val="00DF79B0"/>
    <w:rsid w:val="00E01A39"/>
    <w:rsid w:val="00E1047D"/>
    <w:rsid w:val="00E36CBD"/>
    <w:rsid w:val="00E443FA"/>
    <w:rsid w:val="00E54FCE"/>
    <w:rsid w:val="00E60DA1"/>
    <w:rsid w:val="00E93D35"/>
    <w:rsid w:val="00EA45DB"/>
    <w:rsid w:val="00ED2CD9"/>
    <w:rsid w:val="00F07DA7"/>
    <w:rsid w:val="00F564C1"/>
    <w:rsid w:val="00F62249"/>
    <w:rsid w:val="00F77FA2"/>
    <w:rsid w:val="00F8357A"/>
    <w:rsid w:val="00F95DDA"/>
    <w:rsid w:val="00FA1B77"/>
    <w:rsid w:val="00FB4B65"/>
    <w:rsid w:val="00FB74B8"/>
    <w:rsid w:val="00FC49E0"/>
    <w:rsid w:val="00FF0484"/>
    <w:rsid w:val="00FF1D47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0FE1B7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5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01E77"/>
    <w:rPr>
      <w:color w:val="800080" w:themeColor="followedHyperlink"/>
      <w:u w:val="single"/>
    </w:rPr>
  </w:style>
  <w:style w:type="table" w:styleId="TableGrid">
    <w:name w:val="Table Grid"/>
    <w:basedOn w:val="TableNormal"/>
    <w:rsid w:val="007A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A6F42"/>
    <w:rPr>
      <w:rFonts w:ascii="Calibri" w:hAnsi="Calibri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552B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52B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52B6B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2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2B6B"/>
    <w:rPr>
      <w:rFonts w:ascii="Calibri" w:hAnsi="Calibr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f6017a4-693d-4860-b49b-2adecdc6c27d">DPM</DPM_x0020_Author>
    <DPM_x0020_File_x0020_name xmlns="bf6017a4-693d-4860-b49b-2adecdc6c27d">S22-PP-C-0068!A16!MSW-F</DPM_x0020_File_x0020_name>
    <DPM_x0020_Version xmlns="bf6017a4-693d-4860-b49b-2adecdc6c27d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f6017a4-693d-4860-b49b-2adecdc6c27d" targetNamespace="http://schemas.microsoft.com/office/2006/metadata/properties" ma:root="true" ma:fieldsID="d41af5c836d734370eb92e7ee5f83852" ns2:_="" ns3:_="">
    <xsd:import namespace="996b2e75-67fd-4955-a3b0-5ab9934cb50b"/>
    <xsd:import namespace="bf6017a4-693d-4860-b49b-2adecdc6c27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017a4-693d-4860-b49b-2adecdc6c27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0497E-F952-4737-8648-6A1E4B429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f6017a4-693d-4860-b49b-2adecdc6c27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f6017a4-693d-4860-b49b-2adecdc6c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S22-PP-C-0068!A16!MSW-F</vt:lpstr>
      <vt:lpstr>S22-PP-C-0068!A16!MSW-F</vt:lpstr>
    </vt:vector>
  </TitlesOfParts>
  <Manager/>
  <Company/>
  <LinksUpToDate>false</LinksUpToDate>
  <CharactersWithSpaces>5578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S22-PP-C-0068!A16!MSW-F</dc:title>
  <dc:subject>Plenipotentiary Conference (PP-18)</dc:subject>
  <dc:creator>Documents Proposals Manager (DPM)</dc:creator>
  <cp:keywords>DPM_v2022.8.31.2_prod</cp:keywords>
  <dc:description/>
  <cp:lastModifiedBy>Arnould, Carine</cp:lastModifiedBy>
  <cp:revision>5</cp:revision>
  <dcterms:created xsi:type="dcterms:W3CDTF">2022-09-15T05:34:00Z</dcterms:created>
  <dcterms:modified xsi:type="dcterms:W3CDTF">2022-09-19T12:33:00Z</dcterms:modified>
  <cp:category>Conference document</cp:category>
</cp:coreProperties>
</file>