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D3252" w14:paraId="74F57B9A" w14:textId="77777777" w:rsidTr="00682B62">
        <w:trPr>
          <w:cantSplit/>
        </w:trPr>
        <w:tc>
          <w:tcPr>
            <w:tcW w:w="6911" w:type="dxa"/>
          </w:tcPr>
          <w:p w14:paraId="60E9C599" w14:textId="77777777" w:rsidR="00255FA1" w:rsidRPr="000D3252" w:rsidRDefault="00255FA1" w:rsidP="009D1BE0">
            <w:pPr>
              <w:rPr>
                <w:b/>
                <w:bCs/>
                <w:szCs w:val="22"/>
              </w:rPr>
            </w:pPr>
            <w:bookmarkStart w:id="0" w:name="dbreak"/>
            <w:bookmarkStart w:id="1" w:name="dpp"/>
            <w:bookmarkEnd w:id="0"/>
            <w:bookmarkEnd w:id="1"/>
            <w:r w:rsidRPr="000D3252">
              <w:rPr>
                <w:rStyle w:val="PageNumber"/>
                <w:rFonts w:cs="Times"/>
                <w:b/>
                <w:sz w:val="30"/>
                <w:szCs w:val="30"/>
              </w:rPr>
              <w:t>Conferencia de Plenipotenciarios (PP-</w:t>
            </w:r>
            <w:r w:rsidR="009D1BE0" w:rsidRPr="000D3252">
              <w:rPr>
                <w:rStyle w:val="PageNumber"/>
                <w:rFonts w:cs="Times"/>
                <w:b/>
                <w:sz w:val="30"/>
                <w:szCs w:val="30"/>
              </w:rPr>
              <w:t>22</w:t>
            </w:r>
            <w:r w:rsidRPr="000D3252">
              <w:rPr>
                <w:rStyle w:val="PageNumber"/>
                <w:rFonts w:cs="Times"/>
                <w:b/>
                <w:sz w:val="30"/>
                <w:szCs w:val="30"/>
              </w:rPr>
              <w:t>)</w:t>
            </w:r>
            <w:r w:rsidRPr="000D3252">
              <w:rPr>
                <w:rStyle w:val="PageNumber"/>
                <w:rFonts w:cs="Times"/>
                <w:sz w:val="26"/>
                <w:szCs w:val="26"/>
              </w:rPr>
              <w:br/>
            </w:r>
            <w:r w:rsidR="009D1BE0" w:rsidRPr="000D3252">
              <w:rPr>
                <w:b/>
                <w:bCs/>
                <w:szCs w:val="24"/>
              </w:rPr>
              <w:t>Bucarest</w:t>
            </w:r>
            <w:r w:rsidRPr="000D3252">
              <w:rPr>
                <w:rStyle w:val="PageNumber"/>
                <w:b/>
                <w:bCs/>
                <w:szCs w:val="24"/>
              </w:rPr>
              <w:t xml:space="preserve">, </w:t>
            </w:r>
            <w:r w:rsidRPr="000D3252">
              <w:rPr>
                <w:rStyle w:val="PageNumber"/>
                <w:b/>
                <w:szCs w:val="24"/>
              </w:rPr>
              <w:t>2</w:t>
            </w:r>
            <w:r w:rsidR="009D1BE0" w:rsidRPr="000D3252">
              <w:rPr>
                <w:rStyle w:val="PageNumber"/>
                <w:b/>
                <w:szCs w:val="24"/>
              </w:rPr>
              <w:t>6</w:t>
            </w:r>
            <w:r w:rsidRPr="000D3252">
              <w:rPr>
                <w:rStyle w:val="PageNumber"/>
                <w:b/>
                <w:szCs w:val="24"/>
              </w:rPr>
              <w:t xml:space="preserve"> de </w:t>
            </w:r>
            <w:r w:rsidR="009D1BE0" w:rsidRPr="000D3252">
              <w:rPr>
                <w:rStyle w:val="PageNumber"/>
                <w:b/>
                <w:szCs w:val="24"/>
              </w:rPr>
              <w:t>septiembre</w:t>
            </w:r>
            <w:r w:rsidRPr="000D3252">
              <w:rPr>
                <w:rStyle w:val="PageNumber"/>
                <w:b/>
                <w:szCs w:val="24"/>
              </w:rPr>
              <w:t xml:space="preserve"> </w:t>
            </w:r>
            <w:r w:rsidR="00491A25" w:rsidRPr="000D3252">
              <w:rPr>
                <w:rStyle w:val="PageNumber"/>
                <w:b/>
                <w:szCs w:val="24"/>
              </w:rPr>
              <w:t>–</w:t>
            </w:r>
            <w:r w:rsidRPr="000D3252">
              <w:rPr>
                <w:rStyle w:val="PageNumber"/>
                <w:b/>
                <w:szCs w:val="24"/>
              </w:rPr>
              <w:t xml:space="preserve"> </w:t>
            </w:r>
            <w:r w:rsidR="00C43474" w:rsidRPr="000D3252">
              <w:rPr>
                <w:rStyle w:val="PageNumber"/>
                <w:b/>
                <w:szCs w:val="24"/>
              </w:rPr>
              <w:t>1</w:t>
            </w:r>
            <w:r w:rsidR="009D1BE0" w:rsidRPr="000D3252">
              <w:rPr>
                <w:rStyle w:val="PageNumber"/>
                <w:b/>
                <w:szCs w:val="24"/>
              </w:rPr>
              <w:t>4</w:t>
            </w:r>
            <w:r w:rsidRPr="000D3252">
              <w:rPr>
                <w:rStyle w:val="PageNumber"/>
                <w:b/>
                <w:szCs w:val="24"/>
              </w:rPr>
              <w:t xml:space="preserve"> de </w:t>
            </w:r>
            <w:r w:rsidR="009D1BE0" w:rsidRPr="000D3252">
              <w:rPr>
                <w:rStyle w:val="PageNumber"/>
                <w:b/>
                <w:szCs w:val="24"/>
              </w:rPr>
              <w:t>octubre</w:t>
            </w:r>
            <w:r w:rsidRPr="000D3252">
              <w:rPr>
                <w:rStyle w:val="PageNumber"/>
                <w:b/>
                <w:szCs w:val="24"/>
              </w:rPr>
              <w:t xml:space="preserve"> de 2</w:t>
            </w:r>
            <w:r w:rsidR="009D1BE0" w:rsidRPr="000D3252">
              <w:rPr>
                <w:rStyle w:val="PageNumber"/>
                <w:b/>
                <w:szCs w:val="24"/>
              </w:rPr>
              <w:t>022</w:t>
            </w:r>
          </w:p>
        </w:tc>
        <w:tc>
          <w:tcPr>
            <w:tcW w:w="3120" w:type="dxa"/>
          </w:tcPr>
          <w:p w14:paraId="034E7BF1" w14:textId="77777777" w:rsidR="00255FA1" w:rsidRPr="000D3252" w:rsidRDefault="009D1BE0" w:rsidP="00682B62">
            <w:pPr>
              <w:spacing w:before="0" w:line="240" w:lineRule="atLeast"/>
              <w:rPr>
                <w:rFonts w:cstheme="minorHAnsi"/>
              </w:rPr>
            </w:pPr>
            <w:bookmarkStart w:id="2" w:name="ditulogo"/>
            <w:bookmarkEnd w:id="2"/>
            <w:r w:rsidRPr="000D3252">
              <w:rPr>
                <w:noProof/>
                <w:lang w:eastAsia="es-ES"/>
              </w:rPr>
              <w:drawing>
                <wp:inline distT="0" distB="0" distL="0" distR="0" wp14:anchorId="3820866D" wp14:editId="52D1D37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0D3252" w14:paraId="059F3013" w14:textId="77777777" w:rsidTr="00682B62">
        <w:trPr>
          <w:cantSplit/>
        </w:trPr>
        <w:tc>
          <w:tcPr>
            <w:tcW w:w="6911" w:type="dxa"/>
            <w:tcBorders>
              <w:bottom w:val="single" w:sz="12" w:space="0" w:color="auto"/>
            </w:tcBorders>
          </w:tcPr>
          <w:p w14:paraId="0893C5DA" w14:textId="77777777" w:rsidR="00255FA1" w:rsidRPr="000D3252"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2819ECD3" w14:textId="77777777" w:rsidR="00255FA1" w:rsidRPr="000D3252" w:rsidRDefault="00255FA1" w:rsidP="00930E84">
            <w:pPr>
              <w:spacing w:before="0" w:after="48" w:line="240" w:lineRule="atLeast"/>
              <w:rPr>
                <w:rFonts w:cstheme="minorHAnsi"/>
                <w:b/>
                <w:smallCaps/>
                <w:szCs w:val="24"/>
              </w:rPr>
            </w:pPr>
          </w:p>
        </w:tc>
      </w:tr>
      <w:tr w:rsidR="00255FA1" w:rsidRPr="000D3252" w14:paraId="3C8F3619" w14:textId="77777777" w:rsidTr="00682B62">
        <w:trPr>
          <w:cantSplit/>
        </w:trPr>
        <w:tc>
          <w:tcPr>
            <w:tcW w:w="6911" w:type="dxa"/>
            <w:tcBorders>
              <w:top w:val="single" w:sz="12" w:space="0" w:color="auto"/>
            </w:tcBorders>
          </w:tcPr>
          <w:p w14:paraId="4703FF13" w14:textId="77777777" w:rsidR="00255FA1" w:rsidRPr="000D3252" w:rsidRDefault="00255FA1" w:rsidP="004F4BB1">
            <w:pPr>
              <w:spacing w:before="0"/>
              <w:ind w:firstLine="720"/>
              <w:rPr>
                <w:rFonts w:cstheme="minorHAnsi"/>
                <w:b/>
                <w:smallCaps/>
                <w:szCs w:val="24"/>
              </w:rPr>
            </w:pPr>
          </w:p>
        </w:tc>
        <w:tc>
          <w:tcPr>
            <w:tcW w:w="3120" w:type="dxa"/>
            <w:tcBorders>
              <w:top w:val="single" w:sz="12" w:space="0" w:color="auto"/>
            </w:tcBorders>
          </w:tcPr>
          <w:p w14:paraId="7F5D6240" w14:textId="77777777" w:rsidR="00255FA1" w:rsidRPr="000D3252" w:rsidRDefault="00255FA1" w:rsidP="004F4BB1">
            <w:pPr>
              <w:spacing w:before="0"/>
              <w:rPr>
                <w:rFonts w:cstheme="minorHAnsi"/>
                <w:szCs w:val="24"/>
              </w:rPr>
            </w:pPr>
          </w:p>
        </w:tc>
      </w:tr>
      <w:tr w:rsidR="00255FA1" w:rsidRPr="000D3252" w14:paraId="50F9A954" w14:textId="77777777" w:rsidTr="00682B62">
        <w:trPr>
          <w:cantSplit/>
        </w:trPr>
        <w:tc>
          <w:tcPr>
            <w:tcW w:w="6911" w:type="dxa"/>
          </w:tcPr>
          <w:p w14:paraId="5D1B38DE" w14:textId="77777777" w:rsidR="00255FA1" w:rsidRPr="000D3252" w:rsidRDefault="009A443B" w:rsidP="004F4BB1">
            <w:pPr>
              <w:pStyle w:val="Committee"/>
              <w:framePr w:hSpace="0" w:wrap="auto" w:hAnchor="text" w:yAlign="inline"/>
              <w:spacing w:after="0" w:line="240" w:lineRule="auto"/>
              <w:rPr>
                <w:lang w:val="es-ES_tradnl"/>
              </w:rPr>
            </w:pPr>
            <w:r w:rsidRPr="000D3252">
              <w:rPr>
                <w:lang w:val="es-ES_tradnl"/>
              </w:rPr>
              <w:t>SESIÓN PLENARIA</w:t>
            </w:r>
          </w:p>
        </w:tc>
        <w:tc>
          <w:tcPr>
            <w:tcW w:w="3120" w:type="dxa"/>
          </w:tcPr>
          <w:p w14:paraId="78618A0A" w14:textId="7CB00942" w:rsidR="00255FA1" w:rsidRPr="000D3252" w:rsidRDefault="003F250B" w:rsidP="004F4BB1">
            <w:pPr>
              <w:spacing w:before="0"/>
              <w:rPr>
                <w:rFonts w:cstheme="minorHAnsi"/>
                <w:szCs w:val="24"/>
              </w:rPr>
            </w:pPr>
            <w:r w:rsidRPr="003F250B">
              <w:rPr>
                <w:rFonts w:cstheme="minorHAnsi"/>
                <w:b/>
                <w:szCs w:val="24"/>
              </w:rPr>
              <w:t>Revisión 1 al</w:t>
            </w:r>
            <w:r>
              <w:rPr>
                <w:rFonts w:cstheme="minorHAnsi"/>
                <w:b/>
                <w:szCs w:val="24"/>
              </w:rPr>
              <w:br/>
            </w:r>
            <w:r w:rsidR="009A443B" w:rsidRPr="000D3252">
              <w:rPr>
                <w:rFonts w:cstheme="minorHAnsi"/>
                <w:b/>
                <w:szCs w:val="24"/>
              </w:rPr>
              <w:t xml:space="preserve">Documento </w:t>
            </w:r>
            <w:r w:rsidR="00C97616" w:rsidRPr="000D3252">
              <w:rPr>
                <w:rFonts w:cstheme="minorHAnsi"/>
                <w:b/>
                <w:szCs w:val="24"/>
              </w:rPr>
              <w:t>68</w:t>
            </w:r>
            <w:r w:rsidR="009A443B" w:rsidRPr="000D3252">
              <w:rPr>
                <w:rFonts w:cstheme="minorHAnsi"/>
                <w:b/>
                <w:szCs w:val="24"/>
              </w:rPr>
              <w:t>-S</w:t>
            </w:r>
          </w:p>
        </w:tc>
      </w:tr>
      <w:tr w:rsidR="00255FA1" w:rsidRPr="000D3252" w14:paraId="14F452F3" w14:textId="77777777" w:rsidTr="00682B62">
        <w:trPr>
          <w:cantSplit/>
        </w:trPr>
        <w:tc>
          <w:tcPr>
            <w:tcW w:w="6911" w:type="dxa"/>
          </w:tcPr>
          <w:p w14:paraId="14E1D38F" w14:textId="77777777" w:rsidR="00255FA1" w:rsidRPr="000D3252" w:rsidRDefault="00255FA1" w:rsidP="004F4BB1">
            <w:pPr>
              <w:spacing w:before="0"/>
              <w:rPr>
                <w:rFonts w:cstheme="minorHAnsi"/>
                <w:b/>
                <w:szCs w:val="24"/>
              </w:rPr>
            </w:pPr>
          </w:p>
        </w:tc>
        <w:tc>
          <w:tcPr>
            <w:tcW w:w="3120" w:type="dxa"/>
          </w:tcPr>
          <w:p w14:paraId="367DD8D6" w14:textId="188933E4" w:rsidR="00255FA1" w:rsidRPr="000D3252" w:rsidRDefault="003F250B" w:rsidP="004F4BB1">
            <w:pPr>
              <w:spacing w:before="0"/>
              <w:rPr>
                <w:rFonts w:cstheme="minorHAnsi"/>
                <w:b/>
                <w:szCs w:val="24"/>
              </w:rPr>
            </w:pPr>
            <w:r>
              <w:rPr>
                <w:rStyle w:val="PageNumber"/>
                <w:b/>
                <w:szCs w:val="24"/>
              </w:rPr>
              <w:t>24</w:t>
            </w:r>
            <w:r w:rsidR="009A443B" w:rsidRPr="000D3252">
              <w:rPr>
                <w:rStyle w:val="PageNumber"/>
                <w:b/>
                <w:szCs w:val="24"/>
              </w:rPr>
              <w:t xml:space="preserve"> de </w:t>
            </w:r>
            <w:r w:rsidR="00C97616" w:rsidRPr="000D3252">
              <w:rPr>
                <w:rStyle w:val="PageNumber"/>
                <w:b/>
                <w:szCs w:val="24"/>
              </w:rPr>
              <w:t>septiembre</w:t>
            </w:r>
            <w:r w:rsidR="009A443B" w:rsidRPr="000D3252">
              <w:rPr>
                <w:rStyle w:val="PageNumber"/>
                <w:b/>
                <w:szCs w:val="24"/>
              </w:rPr>
              <w:t xml:space="preserve"> </w:t>
            </w:r>
            <w:r w:rsidR="009A443B" w:rsidRPr="000D3252">
              <w:rPr>
                <w:rFonts w:cstheme="minorHAnsi"/>
                <w:b/>
                <w:szCs w:val="24"/>
              </w:rPr>
              <w:t>de 202</w:t>
            </w:r>
            <w:r w:rsidR="00C97616" w:rsidRPr="000D3252">
              <w:rPr>
                <w:rFonts w:cstheme="minorHAnsi"/>
                <w:b/>
                <w:szCs w:val="24"/>
              </w:rPr>
              <w:t>2</w:t>
            </w:r>
          </w:p>
        </w:tc>
      </w:tr>
      <w:tr w:rsidR="00255FA1" w:rsidRPr="000D3252" w14:paraId="60610892" w14:textId="77777777" w:rsidTr="00682B62">
        <w:trPr>
          <w:cantSplit/>
        </w:trPr>
        <w:tc>
          <w:tcPr>
            <w:tcW w:w="6911" w:type="dxa"/>
          </w:tcPr>
          <w:p w14:paraId="7C1EF982" w14:textId="77777777" w:rsidR="00255FA1" w:rsidRPr="000D3252" w:rsidRDefault="00255FA1" w:rsidP="004F4BB1">
            <w:pPr>
              <w:spacing w:before="0"/>
              <w:rPr>
                <w:rFonts w:cstheme="minorHAnsi"/>
                <w:b/>
                <w:smallCaps/>
                <w:szCs w:val="24"/>
              </w:rPr>
            </w:pPr>
          </w:p>
        </w:tc>
        <w:tc>
          <w:tcPr>
            <w:tcW w:w="3120" w:type="dxa"/>
          </w:tcPr>
          <w:p w14:paraId="4B56EA22" w14:textId="3B5F3982" w:rsidR="00255FA1" w:rsidRPr="000D3252" w:rsidRDefault="009A443B" w:rsidP="004F4BB1">
            <w:pPr>
              <w:spacing w:before="0"/>
              <w:rPr>
                <w:rFonts w:cstheme="minorHAnsi"/>
                <w:b/>
                <w:szCs w:val="24"/>
              </w:rPr>
            </w:pPr>
            <w:r w:rsidRPr="000D3252">
              <w:rPr>
                <w:rFonts w:cstheme="minorHAnsi"/>
                <w:b/>
                <w:szCs w:val="24"/>
              </w:rPr>
              <w:t xml:space="preserve">Original: </w:t>
            </w:r>
            <w:r w:rsidR="00C97616" w:rsidRPr="000D3252">
              <w:rPr>
                <w:rFonts w:cstheme="minorHAnsi"/>
                <w:b/>
                <w:szCs w:val="24"/>
              </w:rPr>
              <w:t>ruso</w:t>
            </w:r>
          </w:p>
        </w:tc>
      </w:tr>
      <w:tr w:rsidR="00255FA1" w:rsidRPr="000D3252" w14:paraId="669BF69B" w14:textId="77777777" w:rsidTr="00682B62">
        <w:trPr>
          <w:cantSplit/>
        </w:trPr>
        <w:tc>
          <w:tcPr>
            <w:tcW w:w="10031" w:type="dxa"/>
            <w:gridSpan w:val="2"/>
          </w:tcPr>
          <w:p w14:paraId="0592AA4D" w14:textId="77777777" w:rsidR="00255FA1" w:rsidRPr="000D3252" w:rsidRDefault="00255FA1" w:rsidP="00682B62">
            <w:pPr>
              <w:spacing w:before="0" w:line="240" w:lineRule="atLeast"/>
              <w:rPr>
                <w:rFonts w:cstheme="minorHAnsi"/>
                <w:b/>
                <w:szCs w:val="24"/>
              </w:rPr>
            </w:pPr>
          </w:p>
        </w:tc>
      </w:tr>
      <w:tr w:rsidR="009C175F" w:rsidRPr="000D3252" w14:paraId="13403612" w14:textId="77777777" w:rsidTr="00682B62">
        <w:trPr>
          <w:cantSplit/>
        </w:trPr>
        <w:tc>
          <w:tcPr>
            <w:tcW w:w="10031" w:type="dxa"/>
            <w:gridSpan w:val="2"/>
          </w:tcPr>
          <w:p w14:paraId="08507FB7" w14:textId="7BCAD5F1" w:rsidR="009C175F" w:rsidRPr="000D3252" w:rsidRDefault="009C175F" w:rsidP="009C175F">
            <w:pPr>
              <w:pStyle w:val="Source"/>
              <w:spacing w:line="360" w:lineRule="auto"/>
            </w:pPr>
            <w:bookmarkStart w:id="4" w:name="dsource" w:colFirst="0" w:colLast="0"/>
            <w:bookmarkEnd w:id="3"/>
            <w:r w:rsidRPr="000D3252">
              <w:t xml:space="preserve">Estados Miembros de la UIT, miembros de la </w:t>
            </w:r>
            <w:r w:rsidRPr="000D3252">
              <w:br/>
              <w:t>Comunidad Regional de Comunicaciones (CRC)</w:t>
            </w:r>
          </w:p>
        </w:tc>
      </w:tr>
      <w:tr w:rsidR="009C175F" w:rsidRPr="000D3252" w14:paraId="0B33DB0C" w14:textId="77777777" w:rsidTr="00682B62">
        <w:trPr>
          <w:cantSplit/>
        </w:trPr>
        <w:tc>
          <w:tcPr>
            <w:tcW w:w="10031" w:type="dxa"/>
            <w:gridSpan w:val="2"/>
          </w:tcPr>
          <w:p w14:paraId="216718EC" w14:textId="22392ACB" w:rsidR="009C175F" w:rsidRPr="000D3252" w:rsidRDefault="009C175F" w:rsidP="009C175F">
            <w:pPr>
              <w:pStyle w:val="Title1"/>
              <w:spacing w:line="360" w:lineRule="auto"/>
            </w:pPr>
            <w:bookmarkStart w:id="5" w:name="dtitle1" w:colFirst="0" w:colLast="0"/>
            <w:bookmarkEnd w:id="4"/>
            <w:r w:rsidRPr="000D3252">
              <w:t>PROPUESTAS COMUNES DE LA CRC PARA LOS TRABAJOS DE LA CONFERENCIA</w:t>
            </w:r>
          </w:p>
        </w:tc>
      </w:tr>
      <w:tr w:rsidR="004D6354" w:rsidRPr="000D3252" w14:paraId="0FCAD841" w14:textId="77777777" w:rsidTr="00682B62">
        <w:trPr>
          <w:cantSplit/>
        </w:trPr>
        <w:tc>
          <w:tcPr>
            <w:tcW w:w="10031" w:type="dxa"/>
            <w:gridSpan w:val="2"/>
          </w:tcPr>
          <w:p w14:paraId="5F670F82" w14:textId="24B6D597" w:rsidR="004D6354" w:rsidRPr="000D3252" w:rsidRDefault="004D6354" w:rsidP="004D6354">
            <w:pPr>
              <w:pStyle w:val="Title2"/>
            </w:pPr>
            <w:bookmarkStart w:id="6" w:name="dtitle2" w:colFirst="0" w:colLast="0"/>
            <w:bookmarkEnd w:id="5"/>
          </w:p>
        </w:tc>
      </w:tr>
      <w:bookmarkEnd w:id="6"/>
    </w:tbl>
    <w:p w14:paraId="7FCC51A7" w14:textId="77777777" w:rsidR="009C175F" w:rsidRPr="000D3252" w:rsidRDefault="009C175F" w:rsidP="004C5E94">
      <w:pPr>
        <w:tabs>
          <w:tab w:val="clear" w:pos="567"/>
          <w:tab w:val="clear" w:pos="1134"/>
          <w:tab w:val="clear" w:pos="1701"/>
          <w:tab w:val="clear" w:pos="2268"/>
          <w:tab w:val="clear" w:pos="2835"/>
        </w:tabs>
        <w:overflowPunct/>
        <w:autoSpaceDE/>
        <w:autoSpaceDN/>
        <w:adjustRightInd/>
        <w:spacing w:before="0"/>
        <w:textAlignment w:val="auto"/>
        <w:rPr>
          <w:b/>
          <w:rPrChange w:id="7" w:author="Spanish" w:date="2022-09-23T09:38:00Z">
            <w:rPr>
              <w:b/>
              <w:lang w:val="en-GB"/>
            </w:rPr>
          </w:rPrChange>
        </w:rPr>
      </w:pPr>
    </w:p>
    <w:p w14:paraId="0517620B" w14:textId="25C743A8" w:rsidR="008334B3" w:rsidRPr="004C5E94" w:rsidRDefault="008334B3" w:rsidP="008334B3">
      <w:pPr>
        <w:rPr>
          <w:szCs w:val="24"/>
        </w:rPr>
      </w:pPr>
      <w:r w:rsidRPr="004C5E94">
        <w:rPr>
          <w:szCs w:val="24"/>
        </w:rPr>
        <w:t>Con el objetivo de fortalecer la cooperación internacional en el ámbito de las telecomunicaciones, las administraciones miembros de la CRC han elaborado las siguientes propuestas, al considerar que una política equilibrada y acordada para el desarrollo, la implementación y la utilización de modernas instalaciones de telecomunicaciones y TIC, para reducir la brecha de la tecnología digital en ámbitos que incluyen el acceso de banda ancha, el desarrollo de la inteligencia artificial y la seguridad, y para establecer un entorno propicio y desarrollar las capacidades en el ámbito de las</w:t>
      </w:r>
      <w:r w:rsidR="004C5E94">
        <w:rPr>
          <w:szCs w:val="24"/>
        </w:rPr>
        <w:t> </w:t>
      </w:r>
      <w:r w:rsidRPr="004C5E94">
        <w:rPr>
          <w:szCs w:val="24"/>
        </w:rPr>
        <w:t>TIC, permitirá a los países de nuestra región progresar con éxito hacia una sociedad digital orientada al desarrollo futuro, en la que se otorgue una importancia primordial a los intereses de la gente.</w:t>
      </w:r>
    </w:p>
    <w:p w14:paraId="6D18E7EE" w14:textId="77777777" w:rsidR="008334B3" w:rsidRPr="004C5E94" w:rsidRDefault="008334B3" w:rsidP="008334B3">
      <w:pPr>
        <w:rPr>
          <w:szCs w:val="24"/>
        </w:rPr>
      </w:pPr>
      <w:r w:rsidRPr="004C5E94">
        <w:rPr>
          <w:szCs w:val="24"/>
        </w:rPr>
        <w:t>Las propuestas específicas figuran en los addenda al presente documento.</w:t>
      </w:r>
    </w:p>
    <w:p w14:paraId="6F868E8B" w14:textId="0B2344B6" w:rsidR="008334B3" w:rsidRPr="000D3252" w:rsidRDefault="008334B3" w:rsidP="008334B3">
      <w:pPr>
        <w:rPr>
          <w:szCs w:val="24"/>
        </w:rPr>
      </w:pPr>
      <w:r w:rsidRPr="004C5E94">
        <w:rPr>
          <w:szCs w:val="24"/>
        </w:rPr>
        <w:t>Se adjunta en el Anexo un cuadro con la lista de las administraciones de la Comunidad Regional de Comunicaciones (CRC) que apoyan las citadas propuestas.</w:t>
      </w:r>
    </w:p>
    <w:p w14:paraId="66DB51BC" w14:textId="687B5181" w:rsidR="004D6354" w:rsidRDefault="009C175F" w:rsidP="006B26E0">
      <w:pPr>
        <w:spacing w:before="1680"/>
        <w:rPr>
          <w:i/>
          <w:iCs/>
        </w:rPr>
      </w:pPr>
      <w:r w:rsidRPr="000D3252">
        <w:rPr>
          <w:i/>
          <w:iCs/>
        </w:rPr>
        <w:t>véase el Anexo</w:t>
      </w:r>
    </w:p>
    <w:p w14:paraId="5DF2BB05" w14:textId="77777777" w:rsidR="004C5E94" w:rsidRPr="000D3252" w:rsidRDefault="004C5E94" w:rsidP="004D6354"/>
    <w:p w14:paraId="06DB8D11" w14:textId="77777777" w:rsidR="004D6354" w:rsidRPr="000D3252" w:rsidRDefault="004D6354" w:rsidP="004D6354">
      <w:pPr>
        <w:sectPr w:rsidR="004D6354" w:rsidRPr="000D3252" w:rsidSect="004D6354">
          <w:headerReference w:type="even" r:id="rId7"/>
          <w:headerReference w:type="default" r:id="rId8"/>
          <w:footerReference w:type="even" r:id="rId9"/>
          <w:footerReference w:type="default" r:id="rId10"/>
          <w:headerReference w:type="first" r:id="rId11"/>
          <w:footerReference w:type="first" r:id="rId12"/>
          <w:type w:val="continuous"/>
          <w:pgSz w:w="11913" w:h="16834" w:code="9"/>
          <w:pgMar w:top="1418" w:right="1134" w:bottom="1418" w:left="1134" w:header="720" w:footer="720" w:gutter="0"/>
          <w:cols w:space="720"/>
          <w:titlePg/>
          <w:docGrid w:linePitch="326"/>
        </w:sectPr>
      </w:pPr>
    </w:p>
    <w:p w14:paraId="60BAA68A" w14:textId="787F9206" w:rsidR="003171E2" w:rsidRPr="000D3252" w:rsidRDefault="003171E2" w:rsidP="003171E2">
      <w:pPr>
        <w:pStyle w:val="Annextitle"/>
        <w:rPr>
          <w:rFonts w:eastAsia="Calibri"/>
        </w:rPr>
      </w:pPr>
      <w:r w:rsidRPr="000D3252">
        <w:rPr>
          <w:rFonts w:eastAsia="Calibri"/>
        </w:rPr>
        <w:lastRenderedPageBreak/>
        <w:t xml:space="preserve">Lista de </w:t>
      </w:r>
      <w:r w:rsidRPr="00F37581">
        <w:rPr>
          <w:rFonts w:eastAsia="Calibri"/>
        </w:rPr>
        <w:t xml:space="preserve">administraciones miembros de la </w:t>
      </w:r>
      <w:r w:rsidRPr="00F37581">
        <w:rPr>
          <w:szCs w:val="24"/>
        </w:rPr>
        <w:t xml:space="preserve">Comunidad Regional de Comunicaciones (CRC) </w:t>
      </w:r>
      <w:r w:rsidRPr="00F37581">
        <w:rPr>
          <w:szCs w:val="24"/>
        </w:rPr>
        <w:br/>
        <w:t xml:space="preserve">cosignatarias </w:t>
      </w:r>
      <w:r w:rsidR="00D67CF4" w:rsidRPr="00F37581">
        <w:rPr>
          <w:szCs w:val="24"/>
        </w:rPr>
        <w:t xml:space="preserve">de </w:t>
      </w:r>
      <w:r w:rsidRPr="00F37581">
        <w:rPr>
          <w:szCs w:val="24"/>
        </w:rPr>
        <w:t>las propuestas comunes</w:t>
      </w:r>
      <w:r w:rsidRPr="000D3252">
        <w:rPr>
          <w:szCs w:val="24"/>
        </w:rPr>
        <w:t xml:space="preserve"> de la CRC</w:t>
      </w:r>
    </w:p>
    <w:tbl>
      <w:tblPr>
        <w:tblStyle w:val="TableGrid"/>
        <w:tblW w:w="14737" w:type="dxa"/>
        <w:tblLayout w:type="fixed"/>
        <w:tblLook w:val="04A0" w:firstRow="1" w:lastRow="0" w:firstColumn="1" w:lastColumn="0" w:noHBand="0" w:noVBand="1"/>
      </w:tblPr>
      <w:tblGrid>
        <w:gridCol w:w="1271"/>
        <w:gridCol w:w="6379"/>
        <w:gridCol w:w="708"/>
        <w:gridCol w:w="709"/>
        <w:gridCol w:w="709"/>
        <w:gridCol w:w="708"/>
        <w:gridCol w:w="709"/>
        <w:gridCol w:w="709"/>
        <w:gridCol w:w="708"/>
        <w:gridCol w:w="709"/>
        <w:gridCol w:w="709"/>
        <w:gridCol w:w="709"/>
      </w:tblGrid>
      <w:tr w:rsidR="004D6354" w:rsidRPr="000D3252" w14:paraId="442E3A70" w14:textId="77777777" w:rsidTr="00EE6EF8">
        <w:trPr>
          <w:cantSplit/>
          <w:trHeight w:val="1588"/>
          <w:tblHeader/>
        </w:trPr>
        <w:tc>
          <w:tcPr>
            <w:tcW w:w="1271" w:type="dxa"/>
            <w:tcBorders>
              <w:bottom w:val="single" w:sz="4" w:space="0" w:color="auto"/>
            </w:tcBorders>
            <w:shd w:val="clear" w:color="auto" w:fill="C2D69B" w:themeFill="accent3" w:themeFillTint="99"/>
            <w:vAlign w:val="center"/>
          </w:tcPr>
          <w:p w14:paraId="5D6AE886" w14:textId="6FA78BF3" w:rsidR="004D6354" w:rsidRPr="00D7536E" w:rsidRDefault="00CE309C" w:rsidP="008334B3">
            <w:pPr>
              <w:pStyle w:val="Tablehead"/>
              <w:rPr>
                <w:highlight w:val="green"/>
                <w:lang w:val="nl-NL"/>
              </w:rPr>
            </w:pPr>
            <w:r w:rsidRPr="00D7536E">
              <w:rPr>
                <w:lang w:val="nl-NL"/>
              </w:rPr>
              <w:t>CRC</w:t>
            </w:r>
            <w:r w:rsidR="004D6354" w:rsidRPr="00D7536E">
              <w:rPr>
                <w:lang w:val="nl-NL"/>
              </w:rPr>
              <w:t xml:space="preserve"> XX</w:t>
            </w:r>
          </w:p>
          <w:p w14:paraId="69673970" w14:textId="130EF56C" w:rsidR="004D6354" w:rsidRPr="000D3252" w:rsidRDefault="00CE309C" w:rsidP="008334B3">
            <w:pPr>
              <w:pStyle w:val="Tablehead"/>
              <w:rPr>
                <w:highlight w:val="yellow"/>
              </w:rPr>
            </w:pPr>
            <w:r w:rsidRPr="00D7536E">
              <w:rPr>
                <w:lang w:val="nl-NL"/>
              </w:rPr>
              <w:t>Addéndum Nº</w:t>
            </w:r>
          </w:p>
        </w:tc>
        <w:tc>
          <w:tcPr>
            <w:tcW w:w="6379" w:type="dxa"/>
            <w:tcBorders>
              <w:bottom w:val="single" w:sz="4" w:space="0" w:color="auto"/>
            </w:tcBorders>
            <w:shd w:val="clear" w:color="auto" w:fill="C2D69B" w:themeFill="accent3" w:themeFillTint="99"/>
            <w:vAlign w:val="center"/>
          </w:tcPr>
          <w:p w14:paraId="381378F2" w14:textId="393C94D8" w:rsidR="004D6354" w:rsidRPr="000D3252" w:rsidRDefault="00B7396B" w:rsidP="008334B3">
            <w:pPr>
              <w:pStyle w:val="Tablehead"/>
              <w:rPr>
                <w:highlight w:val="yellow"/>
              </w:rPr>
            </w:pPr>
            <w:r w:rsidRPr="000D3252">
              <w:t>Título de la propuesta de la CRC</w:t>
            </w:r>
          </w:p>
        </w:tc>
        <w:tc>
          <w:tcPr>
            <w:tcW w:w="708" w:type="dxa"/>
            <w:tcBorders>
              <w:bottom w:val="single" w:sz="4" w:space="0" w:color="auto"/>
            </w:tcBorders>
            <w:shd w:val="clear" w:color="auto" w:fill="C2D69B" w:themeFill="accent3" w:themeFillTint="99"/>
            <w:textDirection w:val="btLr"/>
            <w:vAlign w:val="center"/>
          </w:tcPr>
          <w:p w14:paraId="5E13AE09" w14:textId="7B36862D" w:rsidR="004D6354" w:rsidRPr="000D3252" w:rsidRDefault="00B7396B" w:rsidP="008334B3">
            <w:pPr>
              <w:pStyle w:val="Tablehead"/>
            </w:pPr>
            <w:r w:rsidRPr="000D3252">
              <w:t>Azerbaiyán</w:t>
            </w:r>
          </w:p>
        </w:tc>
        <w:tc>
          <w:tcPr>
            <w:tcW w:w="709" w:type="dxa"/>
            <w:tcBorders>
              <w:bottom w:val="single" w:sz="4" w:space="0" w:color="auto"/>
            </w:tcBorders>
            <w:shd w:val="clear" w:color="auto" w:fill="C2D69B" w:themeFill="accent3" w:themeFillTint="99"/>
            <w:textDirection w:val="btLr"/>
            <w:vAlign w:val="center"/>
          </w:tcPr>
          <w:p w14:paraId="34086C1B" w14:textId="352FE331" w:rsidR="004D6354" w:rsidRPr="000D3252" w:rsidRDefault="00B7396B" w:rsidP="008334B3">
            <w:pPr>
              <w:pStyle w:val="Tablehead"/>
            </w:pPr>
            <w:r w:rsidRPr="000D3252">
              <w:t>Armenia</w:t>
            </w:r>
          </w:p>
        </w:tc>
        <w:tc>
          <w:tcPr>
            <w:tcW w:w="709" w:type="dxa"/>
            <w:tcBorders>
              <w:bottom w:val="single" w:sz="4" w:space="0" w:color="auto"/>
            </w:tcBorders>
            <w:shd w:val="clear" w:color="auto" w:fill="C2D69B" w:themeFill="accent3" w:themeFillTint="99"/>
            <w:textDirection w:val="btLr"/>
            <w:vAlign w:val="center"/>
          </w:tcPr>
          <w:p w14:paraId="422823AC" w14:textId="6F487BFB" w:rsidR="004D6354" w:rsidRPr="000D3252" w:rsidRDefault="00B7396B" w:rsidP="008334B3">
            <w:pPr>
              <w:pStyle w:val="Tablehead"/>
            </w:pPr>
            <w:r w:rsidRPr="000D3252">
              <w:t>Belarús</w:t>
            </w:r>
          </w:p>
        </w:tc>
        <w:tc>
          <w:tcPr>
            <w:tcW w:w="708" w:type="dxa"/>
            <w:tcBorders>
              <w:bottom w:val="single" w:sz="4" w:space="0" w:color="auto"/>
            </w:tcBorders>
            <w:shd w:val="clear" w:color="auto" w:fill="C2D69B" w:themeFill="accent3" w:themeFillTint="99"/>
            <w:textDirection w:val="btLr"/>
            <w:vAlign w:val="center"/>
          </w:tcPr>
          <w:p w14:paraId="18ED4B7D" w14:textId="17B7EC1F" w:rsidR="004D6354" w:rsidRPr="000D3252" w:rsidRDefault="00B7396B" w:rsidP="008334B3">
            <w:pPr>
              <w:pStyle w:val="Tablehead"/>
            </w:pPr>
            <w:r w:rsidRPr="000D3252">
              <w:t>Kazajstán</w:t>
            </w:r>
          </w:p>
        </w:tc>
        <w:tc>
          <w:tcPr>
            <w:tcW w:w="709" w:type="dxa"/>
            <w:tcBorders>
              <w:bottom w:val="single" w:sz="4" w:space="0" w:color="auto"/>
            </w:tcBorders>
            <w:shd w:val="clear" w:color="auto" w:fill="C2D69B" w:themeFill="accent3" w:themeFillTint="99"/>
            <w:textDirection w:val="btLr"/>
            <w:vAlign w:val="center"/>
          </w:tcPr>
          <w:p w14:paraId="6275B142" w14:textId="1F2AB442" w:rsidR="004D6354" w:rsidRPr="000D3252" w:rsidRDefault="00B7396B" w:rsidP="008334B3">
            <w:pPr>
              <w:pStyle w:val="Tablehead"/>
            </w:pPr>
            <w:r w:rsidRPr="000D3252">
              <w:t>Kirguistán</w:t>
            </w:r>
          </w:p>
        </w:tc>
        <w:tc>
          <w:tcPr>
            <w:tcW w:w="709" w:type="dxa"/>
            <w:tcBorders>
              <w:bottom w:val="single" w:sz="4" w:space="0" w:color="auto"/>
            </w:tcBorders>
            <w:shd w:val="clear" w:color="auto" w:fill="C2D69B" w:themeFill="accent3" w:themeFillTint="99"/>
            <w:textDirection w:val="btLr"/>
            <w:vAlign w:val="center"/>
          </w:tcPr>
          <w:p w14:paraId="581E0951" w14:textId="77777777" w:rsidR="004D6354" w:rsidRPr="000D3252" w:rsidRDefault="004D6354" w:rsidP="008334B3">
            <w:pPr>
              <w:pStyle w:val="Tablehead"/>
            </w:pPr>
            <w:r w:rsidRPr="000D3252">
              <w:t>Mongolia</w:t>
            </w:r>
          </w:p>
        </w:tc>
        <w:tc>
          <w:tcPr>
            <w:tcW w:w="708" w:type="dxa"/>
            <w:tcBorders>
              <w:bottom w:val="single" w:sz="4" w:space="0" w:color="auto"/>
            </w:tcBorders>
            <w:shd w:val="clear" w:color="auto" w:fill="C2D69B" w:themeFill="accent3" w:themeFillTint="99"/>
            <w:textDirection w:val="btLr"/>
            <w:vAlign w:val="center"/>
          </w:tcPr>
          <w:p w14:paraId="13584830" w14:textId="4E0646AC" w:rsidR="004D6354" w:rsidRPr="000D3252" w:rsidRDefault="00B7396B" w:rsidP="008334B3">
            <w:pPr>
              <w:pStyle w:val="Tablehead"/>
              <w:rPr>
                <w:highlight w:val="green"/>
              </w:rPr>
            </w:pPr>
            <w:r w:rsidRPr="000D3252">
              <w:t>Rusia</w:t>
            </w:r>
          </w:p>
        </w:tc>
        <w:tc>
          <w:tcPr>
            <w:tcW w:w="709" w:type="dxa"/>
            <w:tcBorders>
              <w:bottom w:val="single" w:sz="4" w:space="0" w:color="auto"/>
            </w:tcBorders>
            <w:shd w:val="clear" w:color="auto" w:fill="C2D69B" w:themeFill="accent3" w:themeFillTint="99"/>
            <w:textDirection w:val="btLr"/>
            <w:vAlign w:val="center"/>
          </w:tcPr>
          <w:p w14:paraId="3CD61229" w14:textId="36E6B497" w:rsidR="004D6354" w:rsidRPr="000D3252" w:rsidRDefault="00BD4DC8" w:rsidP="008334B3">
            <w:pPr>
              <w:pStyle w:val="Tablehead"/>
            </w:pPr>
            <w:r w:rsidRPr="000D3252">
              <w:t>Tayikistán</w:t>
            </w:r>
          </w:p>
        </w:tc>
        <w:tc>
          <w:tcPr>
            <w:tcW w:w="709" w:type="dxa"/>
            <w:tcBorders>
              <w:bottom w:val="single" w:sz="4" w:space="0" w:color="auto"/>
            </w:tcBorders>
            <w:shd w:val="clear" w:color="auto" w:fill="C2D69B" w:themeFill="accent3" w:themeFillTint="99"/>
            <w:textDirection w:val="btLr"/>
            <w:vAlign w:val="center"/>
          </w:tcPr>
          <w:p w14:paraId="7B8375A0" w14:textId="3A40F9E0" w:rsidR="004D6354" w:rsidRPr="000D3252" w:rsidRDefault="00BD4DC8" w:rsidP="008334B3">
            <w:pPr>
              <w:pStyle w:val="Tablehead"/>
            </w:pPr>
            <w:r w:rsidRPr="000D3252">
              <w:t>Turkmenistán</w:t>
            </w:r>
          </w:p>
        </w:tc>
        <w:tc>
          <w:tcPr>
            <w:tcW w:w="709" w:type="dxa"/>
            <w:tcBorders>
              <w:bottom w:val="single" w:sz="4" w:space="0" w:color="auto"/>
            </w:tcBorders>
            <w:shd w:val="clear" w:color="auto" w:fill="C2D69B" w:themeFill="accent3" w:themeFillTint="99"/>
            <w:textDirection w:val="btLr"/>
            <w:vAlign w:val="center"/>
          </w:tcPr>
          <w:p w14:paraId="7D4466F2" w14:textId="0D025CC4" w:rsidR="004D6354" w:rsidRPr="000D3252" w:rsidRDefault="00BD4DC8" w:rsidP="008334B3">
            <w:pPr>
              <w:pStyle w:val="Tablehead"/>
            </w:pPr>
            <w:r w:rsidRPr="000D3252">
              <w:t>Uzbekistán</w:t>
            </w:r>
          </w:p>
        </w:tc>
      </w:tr>
      <w:tr w:rsidR="008A500E" w:rsidRPr="000D3252" w14:paraId="7A2B84F7" w14:textId="77777777" w:rsidTr="00A71928">
        <w:trPr>
          <w:trHeight w:val="563"/>
        </w:trPr>
        <w:tc>
          <w:tcPr>
            <w:tcW w:w="1271" w:type="dxa"/>
            <w:shd w:val="clear" w:color="auto" w:fill="auto"/>
          </w:tcPr>
          <w:p w14:paraId="3C84C383" w14:textId="77777777" w:rsidR="008A500E" w:rsidRPr="000D3252" w:rsidRDefault="008A500E" w:rsidP="008A500E">
            <w:pPr>
              <w:pStyle w:val="Tabletext"/>
              <w:jc w:val="center"/>
            </w:pPr>
            <w:r w:rsidRPr="000D3252">
              <w:t>1</w:t>
            </w:r>
          </w:p>
        </w:tc>
        <w:tc>
          <w:tcPr>
            <w:tcW w:w="6379" w:type="dxa"/>
          </w:tcPr>
          <w:p w14:paraId="4C4D56D9" w14:textId="0E4DBEDA" w:rsidR="008A500E" w:rsidRPr="000D3252" w:rsidRDefault="008A500E" w:rsidP="008A500E">
            <w:pPr>
              <w:pStyle w:val="Tabletext"/>
            </w:pPr>
            <w:r w:rsidRPr="000D3252">
              <w:t>Proyecto de Revisión de la Decisión 5 (Rev. Dubái, 2018) ‒ Ingresos y gastos de la Unión para el periodo 2020-2023</w:t>
            </w:r>
          </w:p>
        </w:tc>
        <w:tc>
          <w:tcPr>
            <w:tcW w:w="708" w:type="dxa"/>
            <w:tcBorders>
              <w:top w:val="single" w:sz="4" w:space="0" w:color="auto"/>
              <w:left w:val="single" w:sz="4" w:space="0" w:color="auto"/>
              <w:bottom w:val="single" w:sz="4" w:space="0" w:color="auto"/>
              <w:right w:val="single" w:sz="4" w:space="0" w:color="auto"/>
            </w:tcBorders>
            <w:vAlign w:val="center"/>
          </w:tcPr>
          <w:p w14:paraId="4E09B001"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4B1E2CA" w14:textId="3EC66373"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75643B7" w14:textId="0AB75350"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63707F45" w14:textId="3603EC5F"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DCF7851" w14:textId="5766A7D4"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B47BE1A"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A54BCE5" w14:textId="1E19ACF2"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FDF61AD" w14:textId="5A0C7FC0"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7B3046F"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9BE0751" w14:textId="04FE7FB1" w:rsidR="008A500E" w:rsidRPr="000D3252" w:rsidRDefault="008A500E" w:rsidP="008A500E">
            <w:pPr>
              <w:pStyle w:val="Tabletext"/>
              <w:jc w:val="center"/>
            </w:pPr>
            <w:r>
              <w:rPr>
                <w:szCs w:val="20"/>
                <w:shd w:val="clear" w:color="auto" w:fill="FFFFFF"/>
                <w:lang w:val="ru-RU"/>
              </w:rPr>
              <w:sym w:font="Wingdings" w:char="F0FC"/>
            </w:r>
          </w:p>
        </w:tc>
      </w:tr>
      <w:tr w:rsidR="008A500E" w:rsidRPr="000D3252" w14:paraId="697DF5B9" w14:textId="77777777" w:rsidTr="00A71928">
        <w:tc>
          <w:tcPr>
            <w:tcW w:w="1271" w:type="dxa"/>
            <w:shd w:val="clear" w:color="auto" w:fill="auto"/>
          </w:tcPr>
          <w:p w14:paraId="7298F010" w14:textId="77777777" w:rsidR="008A500E" w:rsidRPr="000D3252" w:rsidRDefault="008A500E" w:rsidP="008A500E">
            <w:pPr>
              <w:pStyle w:val="Tabletext"/>
              <w:jc w:val="center"/>
            </w:pPr>
            <w:r w:rsidRPr="000D3252">
              <w:t>2</w:t>
            </w:r>
          </w:p>
        </w:tc>
        <w:tc>
          <w:tcPr>
            <w:tcW w:w="6379" w:type="dxa"/>
          </w:tcPr>
          <w:p w14:paraId="703E8B39" w14:textId="3ADD67CA" w:rsidR="008A500E" w:rsidRPr="000D3252" w:rsidRDefault="008A500E" w:rsidP="008A500E">
            <w:pPr>
              <w:pStyle w:val="Tabletext"/>
              <w:rPr>
                <w:rFonts w:cs="Calibri"/>
                <w:color w:val="800000"/>
              </w:rPr>
            </w:pPr>
            <w:r w:rsidRPr="000D3252">
              <w:t>Proyecto de Revisión de la Decisión 11 (Rev. Dubái, 2018) ‒ Creación y gestión de los Grupos de Trabajo del Consejo</w:t>
            </w:r>
          </w:p>
        </w:tc>
        <w:tc>
          <w:tcPr>
            <w:tcW w:w="708" w:type="dxa"/>
            <w:tcBorders>
              <w:top w:val="single" w:sz="4" w:space="0" w:color="auto"/>
              <w:left w:val="single" w:sz="4" w:space="0" w:color="auto"/>
              <w:bottom w:val="single" w:sz="4" w:space="0" w:color="auto"/>
              <w:right w:val="single" w:sz="4" w:space="0" w:color="auto"/>
            </w:tcBorders>
            <w:vAlign w:val="center"/>
          </w:tcPr>
          <w:p w14:paraId="2A6FFBD3"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51C99B5" w14:textId="59CA3A59"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541763E" w14:textId="6B168F38"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4B61F8EC" w14:textId="5B815825"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8974BC1" w14:textId="2BAED4CB"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F41F2AC"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00775DF" w14:textId="6EF92726"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941A722" w14:textId="675FC03C"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6B582E4"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C6B3FDD" w14:textId="5F5E9922"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40300393" w14:textId="77777777" w:rsidTr="00A71928">
        <w:tc>
          <w:tcPr>
            <w:tcW w:w="1271" w:type="dxa"/>
            <w:shd w:val="clear" w:color="auto" w:fill="auto"/>
          </w:tcPr>
          <w:p w14:paraId="20489E8A" w14:textId="77777777" w:rsidR="008A500E" w:rsidRPr="000D3252" w:rsidRDefault="008A500E" w:rsidP="008A500E">
            <w:pPr>
              <w:pStyle w:val="Tabletext"/>
              <w:jc w:val="center"/>
            </w:pPr>
            <w:r w:rsidRPr="000D3252">
              <w:t>3</w:t>
            </w:r>
          </w:p>
        </w:tc>
        <w:tc>
          <w:tcPr>
            <w:tcW w:w="6379" w:type="dxa"/>
          </w:tcPr>
          <w:p w14:paraId="1CF6CFEE" w14:textId="3828F597" w:rsidR="008A500E" w:rsidRPr="000D3252" w:rsidRDefault="008A500E" w:rsidP="008A500E">
            <w:pPr>
              <w:pStyle w:val="Tabletext"/>
            </w:pPr>
            <w:r w:rsidRPr="000D3252">
              <w:t>Proyecto de Revisión de la Resolución 25 (Rev. Dubái, 2018) ‒ Fortalecimiento de la presencia regional</w:t>
            </w:r>
          </w:p>
        </w:tc>
        <w:tc>
          <w:tcPr>
            <w:tcW w:w="708" w:type="dxa"/>
            <w:tcBorders>
              <w:top w:val="single" w:sz="4" w:space="0" w:color="auto"/>
              <w:left w:val="single" w:sz="4" w:space="0" w:color="auto"/>
              <w:bottom w:val="single" w:sz="4" w:space="0" w:color="auto"/>
              <w:right w:val="single" w:sz="4" w:space="0" w:color="auto"/>
            </w:tcBorders>
            <w:vAlign w:val="center"/>
          </w:tcPr>
          <w:p w14:paraId="43938EFD"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EE15C3A" w14:textId="4B25974D"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69BC827" w14:textId="7ACCCDD6"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515A6B04" w14:textId="1E018328"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4C85332" w14:textId="20952A20"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42C575D"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4207F74" w14:textId="17B2EE19"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DC63180" w14:textId="4664F825"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765C35A"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6045B52" w14:textId="2A906CB9"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5E63D091" w14:textId="77777777" w:rsidTr="00A71928">
        <w:tc>
          <w:tcPr>
            <w:tcW w:w="1271" w:type="dxa"/>
            <w:shd w:val="clear" w:color="auto" w:fill="auto"/>
          </w:tcPr>
          <w:p w14:paraId="0D05ED61" w14:textId="77777777" w:rsidR="008A500E" w:rsidRPr="000D3252" w:rsidRDefault="008A500E" w:rsidP="008A500E">
            <w:pPr>
              <w:pStyle w:val="Tabletext"/>
              <w:jc w:val="center"/>
            </w:pPr>
            <w:r w:rsidRPr="000D3252">
              <w:t>4</w:t>
            </w:r>
          </w:p>
        </w:tc>
        <w:tc>
          <w:tcPr>
            <w:tcW w:w="6379" w:type="dxa"/>
          </w:tcPr>
          <w:p w14:paraId="377066F3" w14:textId="5A3EBBBC" w:rsidR="008A500E" w:rsidRPr="000D3252" w:rsidRDefault="008A500E" w:rsidP="008A500E">
            <w:pPr>
              <w:pStyle w:val="Tabletext"/>
            </w:pPr>
            <w:r w:rsidRPr="000D3252">
              <w:t xml:space="preserve">Proyecto de Revisión de la Resolución 48 (Rev. Dubái, 2018) ‒ </w:t>
            </w:r>
            <w:bookmarkStart w:id="8" w:name="_Toc406754143"/>
            <w:r w:rsidRPr="000D3252">
              <w:t>Gestión y desarrollo de los recursos humanos</w:t>
            </w:r>
            <w:bookmarkEnd w:id="8"/>
          </w:p>
        </w:tc>
        <w:tc>
          <w:tcPr>
            <w:tcW w:w="708" w:type="dxa"/>
            <w:tcBorders>
              <w:top w:val="single" w:sz="4" w:space="0" w:color="auto"/>
              <w:left w:val="single" w:sz="4" w:space="0" w:color="auto"/>
              <w:bottom w:val="single" w:sz="4" w:space="0" w:color="auto"/>
              <w:right w:val="single" w:sz="4" w:space="0" w:color="auto"/>
            </w:tcBorders>
            <w:vAlign w:val="center"/>
          </w:tcPr>
          <w:p w14:paraId="6E2A4168"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61C1768"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EBAEEE2" w14:textId="1BB3A892"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446B48D7" w14:textId="5656B132"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2D639CB" w14:textId="51824A73"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F740AD8"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31D0E21A" w14:textId="510A467C"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57ECCEC" w14:textId="123EE86E"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C884C87"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3ECCC3A" w14:textId="12676E39"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39F6802E" w14:textId="77777777" w:rsidTr="00A71928">
        <w:tc>
          <w:tcPr>
            <w:tcW w:w="1271" w:type="dxa"/>
            <w:shd w:val="clear" w:color="auto" w:fill="auto"/>
          </w:tcPr>
          <w:p w14:paraId="3645427D" w14:textId="77777777" w:rsidR="008A500E" w:rsidRPr="000D3252" w:rsidRDefault="008A500E" w:rsidP="008A500E">
            <w:pPr>
              <w:pStyle w:val="Tabletext"/>
              <w:jc w:val="center"/>
            </w:pPr>
            <w:r w:rsidRPr="000D3252">
              <w:t>5</w:t>
            </w:r>
          </w:p>
        </w:tc>
        <w:tc>
          <w:tcPr>
            <w:tcW w:w="6379" w:type="dxa"/>
          </w:tcPr>
          <w:p w14:paraId="1A1479E6" w14:textId="77777777" w:rsidR="008A500E" w:rsidRPr="000D3252" w:rsidRDefault="008A500E" w:rsidP="008A500E">
            <w:pPr>
              <w:pStyle w:val="Tabletext"/>
            </w:pPr>
            <w:r w:rsidRPr="000D3252">
              <w:t xml:space="preserve">Proyecto de Revisión de la Resolución 130 (Rev. Dubái, 2018) ‒ </w:t>
            </w:r>
            <w:bookmarkStart w:id="9" w:name="_Toc406754232"/>
            <w:r w:rsidRPr="000D3252">
              <w:t>Fortalecimiento del papel de la UIT en la creación de confianza y seguridad en la utilización de las tecnologías de la información y la comunicación</w:t>
            </w:r>
            <w:bookmarkEnd w:id="9"/>
          </w:p>
        </w:tc>
        <w:tc>
          <w:tcPr>
            <w:tcW w:w="708" w:type="dxa"/>
            <w:tcBorders>
              <w:top w:val="single" w:sz="4" w:space="0" w:color="auto"/>
              <w:left w:val="single" w:sz="4" w:space="0" w:color="auto"/>
              <w:bottom w:val="single" w:sz="4" w:space="0" w:color="auto"/>
              <w:right w:val="single" w:sz="4" w:space="0" w:color="auto"/>
            </w:tcBorders>
            <w:vAlign w:val="center"/>
          </w:tcPr>
          <w:p w14:paraId="1E9520C8"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A176349" w14:textId="24FC4545"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E48BE10" w14:textId="232787D9"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57B03DC8" w14:textId="3E9366D3"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F3F16EC" w14:textId="2176C914"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25F1979"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25612A93" w14:textId="35D1D019"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BAB074C" w14:textId="4D292ACB"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B43A370"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CE1B556" w14:textId="3F5B942C"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39247936" w14:textId="77777777" w:rsidTr="00A71928">
        <w:tc>
          <w:tcPr>
            <w:tcW w:w="1271" w:type="dxa"/>
            <w:shd w:val="clear" w:color="auto" w:fill="auto"/>
          </w:tcPr>
          <w:p w14:paraId="40A039AE" w14:textId="77777777" w:rsidR="008A500E" w:rsidRPr="000D3252" w:rsidRDefault="008A500E" w:rsidP="008A500E">
            <w:pPr>
              <w:pStyle w:val="Tabletext"/>
              <w:jc w:val="center"/>
            </w:pPr>
            <w:r w:rsidRPr="000D3252">
              <w:t>6</w:t>
            </w:r>
          </w:p>
        </w:tc>
        <w:tc>
          <w:tcPr>
            <w:tcW w:w="6379" w:type="dxa"/>
          </w:tcPr>
          <w:p w14:paraId="5DD1A14D" w14:textId="4FDBCD7E" w:rsidR="008A500E" w:rsidRPr="000D3252" w:rsidRDefault="008A500E" w:rsidP="008A500E">
            <w:pPr>
              <w:pStyle w:val="Tabletext"/>
            </w:pPr>
            <w:r w:rsidRPr="000D3252">
              <w:t xml:space="preserve">Proyecto de Revisión de la Resolución 131 (Rev. Dubái, 2018) ‒ </w:t>
            </w:r>
            <w:bookmarkStart w:id="10" w:name="_Toc406754234"/>
            <w:r w:rsidRPr="000D3252">
              <w:t>Medición de las tecnologías de la información y la comunicación</w:t>
            </w:r>
            <w:r w:rsidRPr="000D3252">
              <w:br/>
              <w:t>para la construcción de una sociedad de la información</w:t>
            </w:r>
            <w:r w:rsidRPr="000D3252">
              <w:br/>
              <w:t>integradora e inclusiva</w:t>
            </w:r>
            <w:bookmarkEnd w:id="10"/>
          </w:p>
        </w:tc>
        <w:tc>
          <w:tcPr>
            <w:tcW w:w="708" w:type="dxa"/>
            <w:tcBorders>
              <w:top w:val="single" w:sz="4" w:space="0" w:color="auto"/>
              <w:left w:val="single" w:sz="4" w:space="0" w:color="auto"/>
              <w:bottom w:val="single" w:sz="4" w:space="0" w:color="auto"/>
              <w:right w:val="single" w:sz="4" w:space="0" w:color="auto"/>
            </w:tcBorders>
            <w:vAlign w:val="center"/>
          </w:tcPr>
          <w:p w14:paraId="4E25DFB0"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E033F2D" w14:textId="37504170"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D9B6BD3" w14:textId="079AB399"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4E846C9F" w14:textId="54E8B026"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947EA0D" w14:textId="78793FD7"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6EAC9D7"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584E2421" w14:textId="4B2147BE"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8CCFCD3" w14:textId="56CA128C"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B0C07A3"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78DE204" w14:textId="21366C7D"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682B9B58" w14:textId="77777777" w:rsidTr="00A71928">
        <w:tc>
          <w:tcPr>
            <w:tcW w:w="1271" w:type="dxa"/>
            <w:shd w:val="clear" w:color="auto" w:fill="auto"/>
          </w:tcPr>
          <w:p w14:paraId="474AEA94" w14:textId="77777777" w:rsidR="008A500E" w:rsidRPr="000D3252" w:rsidRDefault="008A500E" w:rsidP="008A500E">
            <w:pPr>
              <w:pStyle w:val="Tabletext"/>
              <w:keepNext/>
              <w:keepLines/>
              <w:jc w:val="center"/>
            </w:pPr>
            <w:r w:rsidRPr="000D3252">
              <w:lastRenderedPageBreak/>
              <w:t>7</w:t>
            </w:r>
          </w:p>
        </w:tc>
        <w:tc>
          <w:tcPr>
            <w:tcW w:w="6379" w:type="dxa"/>
          </w:tcPr>
          <w:p w14:paraId="20160111" w14:textId="1419451F" w:rsidR="008A500E" w:rsidRPr="000D3252" w:rsidRDefault="008A500E" w:rsidP="008A500E">
            <w:pPr>
              <w:pStyle w:val="Tabletext"/>
              <w:keepNext/>
              <w:keepLines/>
            </w:pPr>
            <w:r w:rsidRPr="000D3252">
              <w:t xml:space="preserve">Proyecto de Revisión de la Resolución 140 (Rev. Dubái, 2018) ‒ </w:t>
            </w:r>
            <w:bookmarkStart w:id="11" w:name="_Toc406754246"/>
            <w:r w:rsidRPr="000D3252">
              <w:t>Función de la UIT en la aplicación de los resultados de la Cumbre Mundial sobre la Sociedad de la Información y de la Agenda 2030 para el Desarrollo Sostenible, así como en sus procesos de seguimiento y revisión</w:t>
            </w:r>
            <w:bookmarkEnd w:id="11"/>
          </w:p>
        </w:tc>
        <w:tc>
          <w:tcPr>
            <w:tcW w:w="708" w:type="dxa"/>
            <w:tcBorders>
              <w:top w:val="single" w:sz="4" w:space="0" w:color="auto"/>
              <w:left w:val="single" w:sz="4" w:space="0" w:color="auto"/>
              <w:bottom w:val="single" w:sz="4" w:space="0" w:color="auto"/>
              <w:right w:val="single" w:sz="4" w:space="0" w:color="auto"/>
            </w:tcBorders>
            <w:vAlign w:val="center"/>
          </w:tcPr>
          <w:p w14:paraId="07339FBA" w14:textId="77777777" w:rsidR="008A500E" w:rsidRPr="000D3252" w:rsidRDefault="008A500E" w:rsidP="008A500E">
            <w:pPr>
              <w:pStyle w:val="Tabletext"/>
              <w:keepNext/>
              <w:keepLines/>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2835F09" w14:textId="3FECB2E7" w:rsidR="008A500E" w:rsidRPr="000D3252" w:rsidRDefault="008A500E" w:rsidP="008A500E">
            <w:pPr>
              <w:pStyle w:val="Tabletext"/>
              <w:keepNext/>
              <w:keepLines/>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4E1CC83" w14:textId="469B9268" w:rsidR="008A500E" w:rsidRPr="000D3252" w:rsidRDefault="008A500E" w:rsidP="008A500E">
            <w:pPr>
              <w:pStyle w:val="Tabletext"/>
              <w:keepNext/>
              <w:keepLines/>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456F9B2D" w14:textId="594C6FBB" w:rsidR="008A500E" w:rsidRPr="000D3252" w:rsidRDefault="008A500E" w:rsidP="008A500E">
            <w:pPr>
              <w:pStyle w:val="Tabletext"/>
              <w:keepNext/>
              <w:keepLines/>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5A0E22A" w14:textId="64FCD425" w:rsidR="008A500E" w:rsidRPr="000D3252" w:rsidRDefault="008A500E" w:rsidP="008A500E">
            <w:pPr>
              <w:pStyle w:val="Tabletext"/>
              <w:keepNext/>
              <w:keepLines/>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81156C6" w14:textId="77777777" w:rsidR="008A500E" w:rsidRPr="000D3252" w:rsidRDefault="008A500E" w:rsidP="008A500E">
            <w:pPr>
              <w:pStyle w:val="Tabletext"/>
              <w:keepNext/>
              <w:keepLines/>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C3ACAE2" w14:textId="4D2385CC" w:rsidR="008A500E" w:rsidRPr="000D3252" w:rsidRDefault="008A500E" w:rsidP="008A500E">
            <w:pPr>
              <w:pStyle w:val="Tabletext"/>
              <w:keepNext/>
              <w:keepLines/>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68641F3" w14:textId="66D0D18D" w:rsidR="008A500E" w:rsidRPr="000D3252" w:rsidRDefault="008A500E" w:rsidP="008A500E">
            <w:pPr>
              <w:pStyle w:val="Tabletext"/>
              <w:keepNext/>
              <w:keepLines/>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79CFF3E" w14:textId="77777777" w:rsidR="008A500E" w:rsidRPr="000D3252" w:rsidRDefault="008A500E" w:rsidP="008A500E">
            <w:pPr>
              <w:pStyle w:val="Tabletext"/>
              <w:keepNext/>
              <w:keepLines/>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CF899A7" w14:textId="74040462" w:rsidR="008A500E" w:rsidRPr="000D3252" w:rsidRDefault="008A500E" w:rsidP="008A500E">
            <w:pPr>
              <w:pStyle w:val="Tabletext"/>
              <w:keepNext/>
              <w:keepLines/>
              <w:jc w:val="center"/>
            </w:pPr>
            <w:r>
              <w:rPr>
                <w:color w:val="202124"/>
                <w:shd w:val="clear" w:color="auto" w:fill="FFFFFF"/>
                <w:lang w:val="ru-RU"/>
              </w:rPr>
              <w:sym w:font="Wingdings" w:char="F0FC"/>
            </w:r>
          </w:p>
        </w:tc>
      </w:tr>
      <w:tr w:rsidR="008A500E" w:rsidRPr="000D3252" w14:paraId="3C099A21" w14:textId="77777777" w:rsidTr="00A71928">
        <w:tc>
          <w:tcPr>
            <w:tcW w:w="1271" w:type="dxa"/>
            <w:shd w:val="clear" w:color="auto" w:fill="auto"/>
          </w:tcPr>
          <w:p w14:paraId="6BF36C96" w14:textId="77777777" w:rsidR="008A500E" w:rsidRPr="000D3252" w:rsidRDefault="008A500E" w:rsidP="008A500E">
            <w:pPr>
              <w:pStyle w:val="Tabletext"/>
              <w:jc w:val="center"/>
            </w:pPr>
            <w:r w:rsidRPr="000D3252">
              <w:t>8</w:t>
            </w:r>
          </w:p>
        </w:tc>
        <w:tc>
          <w:tcPr>
            <w:tcW w:w="6379" w:type="dxa"/>
          </w:tcPr>
          <w:p w14:paraId="7499ACBA" w14:textId="6146AA38" w:rsidR="008A500E" w:rsidRPr="000D3252" w:rsidRDefault="008A500E" w:rsidP="008A500E">
            <w:pPr>
              <w:pStyle w:val="Tabletext"/>
            </w:pPr>
            <w:r w:rsidRPr="000D3252">
              <w:t>Proyecto de Revisión de la Resolución 148 (Antalya, 2006) ‒ Tareas y funciones del Vicesecretario General</w:t>
            </w:r>
          </w:p>
        </w:tc>
        <w:tc>
          <w:tcPr>
            <w:tcW w:w="708" w:type="dxa"/>
            <w:tcBorders>
              <w:top w:val="single" w:sz="4" w:space="0" w:color="auto"/>
              <w:left w:val="single" w:sz="4" w:space="0" w:color="auto"/>
              <w:bottom w:val="single" w:sz="4" w:space="0" w:color="auto"/>
              <w:right w:val="single" w:sz="4" w:space="0" w:color="auto"/>
            </w:tcBorders>
            <w:vAlign w:val="center"/>
          </w:tcPr>
          <w:p w14:paraId="46844DB0"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CA524FD"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688E5C3" w14:textId="1721EC1C"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0CE33A3E" w14:textId="0B6BB090"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43E0C2F" w14:textId="55445673"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B660844"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4580472" w14:textId="00047BA8"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FAF9142" w14:textId="47088611"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D6476F4"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23450B9" w14:textId="2D0C1032"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3BBFA8B7" w14:textId="77777777" w:rsidTr="00A71928">
        <w:tc>
          <w:tcPr>
            <w:tcW w:w="1271" w:type="dxa"/>
            <w:shd w:val="clear" w:color="auto" w:fill="auto"/>
          </w:tcPr>
          <w:p w14:paraId="576AC46B" w14:textId="77777777" w:rsidR="008A500E" w:rsidRPr="000D3252" w:rsidRDefault="008A500E" w:rsidP="008A500E">
            <w:pPr>
              <w:pStyle w:val="Tabletext"/>
              <w:jc w:val="center"/>
            </w:pPr>
            <w:r w:rsidRPr="000D3252">
              <w:t>9</w:t>
            </w:r>
          </w:p>
        </w:tc>
        <w:tc>
          <w:tcPr>
            <w:tcW w:w="6379" w:type="dxa"/>
          </w:tcPr>
          <w:p w14:paraId="35FE344F" w14:textId="0A811FF8" w:rsidR="008A500E" w:rsidRPr="000D3252" w:rsidRDefault="008A500E" w:rsidP="008A500E">
            <w:pPr>
              <w:pStyle w:val="Tabletext"/>
            </w:pPr>
            <w:r w:rsidRPr="000D3252">
              <w:t xml:space="preserve">Proyecto de Revisión de la Resolución 151 (Rev. Dubái, 2018) – </w:t>
            </w:r>
            <w:bookmarkStart w:id="12" w:name="_Toc406754254"/>
            <w:r w:rsidRPr="000D3252">
              <w:t>Mejora de la gestión basada en los resultados en la UIT</w:t>
            </w:r>
            <w:bookmarkEnd w:id="12"/>
          </w:p>
        </w:tc>
        <w:tc>
          <w:tcPr>
            <w:tcW w:w="708" w:type="dxa"/>
            <w:tcBorders>
              <w:top w:val="single" w:sz="4" w:space="0" w:color="auto"/>
              <w:left w:val="single" w:sz="4" w:space="0" w:color="auto"/>
              <w:bottom w:val="single" w:sz="4" w:space="0" w:color="auto"/>
              <w:right w:val="single" w:sz="4" w:space="0" w:color="auto"/>
            </w:tcBorders>
            <w:vAlign w:val="center"/>
          </w:tcPr>
          <w:p w14:paraId="742982B4"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7882295" w14:textId="42D62395"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CA39D40" w14:textId="5F074B1C"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6BD4621C" w14:textId="35D94FA8"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DC4BF69" w14:textId="451C4E73"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FF00713"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064C14E9" w14:textId="48BFC9E5"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FCADA2E" w14:textId="00B138E0"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420DEA5"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C0A21CE" w14:textId="29DFA552"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33AB3807" w14:textId="77777777" w:rsidTr="00A71928">
        <w:tc>
          <w:tcPr>
            <w:tcW w:w="1271" w:type="dxa"/>
            <w:shd w:val="clear" w:color="auto" w:fill="auto"/>
          </w:tcPr>
          <w:p w14:paraId="42B835E5" w14:textId="77777777" w:rsidR="008A500E" w:rsidRPr="000D3252" w:rsidRDefault="008A500E" w:rsidP="008A500E">
            <w:pPr>
              <w:pStyle w:val="Tabletext"/>
              <w:jc w:val="center"/>
            </w:pPr>
            <w:r w:rsidRPr="000D3252">
              <w:t>10</w:t>
            </w:r>
          </w:p>
        </w:tc>
        <w:tc>
          <w:tcPr>
            <w:tcW w:w="6379" w:type="dxa"/>
          </w:tcPr>
          <w:p w14:paraId="2FF85B9F" w14:textId="2F07FEC5" w:rsidR="008A500E" w:rsidRPr="000D3252" w:rsidRDefault="008A500E" w:rsidP="008A500E">
            <w:pPr>
              <w:pStyle w:val="Tabletext"/>
            </w:pPr>
            <w:r w:rsidRPr="00AF142F">
              <w:t xml:space="preserve">Proyecto de Revisión de la Resolución 154 (Rev. Dubái, 2018) ‒ </w:t>
            </w:r>
            <w:bookmarkStart w:id="13" w:name="_Toc406754258"/>
            <w:r w:rsidRPr="00AF142F">
              <w:t>Utilización de los seis idiomas oficiales de la Unión en igualdad de condiciones</w:t>
            </w:r>
            <w:bookmarkEnd w:id="13"/>
          </w:p>
        </w:tc>
        <w:tc>
          <w:tcPr>
            <w:tcW w:w="708" w:type="dxa"/>
            <w:tcBorders>
              <w:top w:val="single" w:sz="4" w:space="0" w:color="auto"/>
              <w:left w:val="single" w:sz="4" w:space="0" w:color="auto"/>
              <w:bottom w:val="single" w:sz="4" w:space="0" w:color="auto"/>
              <w:right w:val="single" w:sz="4" w:space="0" w:color="auto"/>
            </w:tcBorders>
            <w:vAlign w:val="center"/>
          </w:tcPr>
          <w:p w14:paraId="65DFBCE6"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35EB119" w14:textId="03D5FA42"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2BCFB59" w14:textId="502C3EEB"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57037B6B" w14:textId="4C76A1A0"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BA29BE7" w14:textId="2C19A313"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843B333"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083E93E8" w14:textId="6F116C12"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3BCDFBB" w14:textId="0A6BEE25"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FDFE877"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BE60DC6" w14:textId="699BC1CD"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7F3E3FD9" w14:textId="77777777" w:rsidTr="00A71928">
        <w:tc>
          <w:tcPr>
            <w:tcW w:w="1271" w:type="dxa"/>
            <w:shd w:val="clear" w:color="auto" w:fill="auto"/>
          </w:tcPr>
          <w:p w14:paraId="4A9128E1" w14:textId="77777777" w:rsidR="008A500E" w:rsidRPr="000D3252" w:rsidRDefault="008A500E" w:rsidP="008A500E">
            <w:pPr>
              <w:pStyle w:val="Tabletext"/>
              <w:jc w:val="center"/>
            </w:pPr>
            <w:r w:rsidRPr="000D3252">
              <w:t>11</w:t>
            </w:r>
          </w:p>
        </w:tc>
        <w:tc>
          <w:tcPr>
            <w:tcW w:w="6379" w:type="dxa"/>
            <w:shd w:val="clear" w:color="auto" w:fill="auto"/>
          </w:tcPr>
          <w:p w14:paraId="3DDA0C64" w14:textId="04842BE3" w:rsidR="008A500E" w:rsidRPr="000D3252" w:rsidRDefault="008A500E" w:rsidP="008A500E">
            <w:pPr>
              <w:pStyle w:val="Tabletext"/>
            </w:pPr>
            <w:r w:rsidRPr="000D3252">
              <w:t xml:space="preserve">Proyecto de Revisión de la Resolución 157 (Rev. Dubái, 2018) ‒ </w:t>
            </w:r>
            <w:bookmarkStart w:id="14" w:name="_Toc406754260"/>
            <w:r w:rsidRPr="000D3252">
              <w:t>Fortalecimiento de las funciones de ejecución y de supervisión de proyectos en la UIT</w:t>
            </w:r>
            <w:bookmarkEnd w:id="14"/>
          </w:p>
        </w:tc>
        <w:tc>
          <w:tcPr>
            <w:tcW w:w="708" w:type="dxa"/>
            <w:tcBorders>
              <w:top w:val="single" w:sz="4" w:space="0" w:color="auto"/>
              <w:left w:val="single" w:sz="4" w:space="0" w:color="auto"/>
              <w:bottom w:val="single" w:sz="4" w:space="0" w:color="auto"/>
              <w:right w:val="single" w:sz="4" w:space="0" w:color="auto"/>
            </w:tcBorders>
            <w:vAlign w:val="center"/>
          </w:tcPr>
          <w:p w14:paraId="711A2B32"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3F81953" w14:textId="1766D6CD"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FF037E1" w14:textId="64863F10"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2D9C8B74" w14:textId="0D2E4306"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99EBD60" w14:textId="730EBDC2"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9D3FCB8"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2492E774" w14:textId="72BB3971"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2C600FE" w14:textId="13979532"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120DE6C"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501C063" w14:textId="39435D6E"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1A15CFFA" w14:textId="77777777" w:rsidTr="00A71928">
        <w:trPr>
          <w:trHeight w:val="569"/>
        </w:trPr>
        <w:tc>
          <w:tcPr>
            <w:tcW w:w="1271" w:type="dxa"/>
            <w:shd w:val="clear" w:color="auto" w:fill="auto"/>
          </w:tcPr>
          <w:p w14:paraId="12245648" w14:textId="77777777" w:rsidR="008A500E" w:rsidRPr="000D3252" w:rsidRDefault="008A500E" w:rsidP="008A500E">
            <w:pPr>
              <w:pStyle w:val="Tabletext"/>
              <w:jc w:val="center"/>
            </w:pPr>
            <w:r w:rsidRPr="000D3252">
              <w:t>12</w:t>
            </w:r>
          </w:p>
        </w:tc>
        <w:tc>
          <w:tcPr>
            <w:tcW w:w="6379" w:type="dxa"/>
            <w:shd w:val="clear" w:color="auto" w:fill="auto"/>
          </w:tcPr>
          <w:p w14:paraId="170EB1BF" w14:textId="574C1F68" w:rsidR="008A500E" w:rsidRPr="000D3252" w:rsidRDefault="008A500E" w:rsidP="008A500E">
            <w:pPr>
              <w:pStyle w:val="Tabletext"/>
            </w:pPr>
            <w:r w:rsidRPr="000D3252">
              <w:t xml:space="preserve">Proyecto de Revisión de la Resolución 174 (Rev. Busán, 2014) ‒ </w:t>
            </w:r>
            <w:bookmarkStart w:id="15" w:name="_Toc406754285"/>
            <w:r w:rsidRPr="000D3252">
              <w:t>Función de la</w:t>
            </w:r>
            <w:r w:rsidRPr="000D3252">
              <w:rPr>
                <w:b/>
              </w:rPr>
              <w:t xml:space="preserve"> </w:t>
            </w:r>
            <w:r w:rsidRPr="000D3252">
              <w:rPr>
                <w:bCs/>
              </w:rPr>
              <w:t>UIT respecto a los problemas de política pública internacional asociados al riesgo de utilización ilícita de las tecnologías de la información y la comunicación</w:t>
            </w:r>
            <w:bookmarkEnd w:id="15"/>
          </w:p>
        </w:tc>
        <w:tc>
          <w:tcPr>
            <w:tcW w:w="708" w:type="dxa"/>
            <w:tcBorders>
              <w:top w:val="single" w:sz="4" w:space="0" w:color="auto"/>
              <w:left w:val="single" w:sz="4" w:space="0" w:color="auto"/>
              <w:bottom w:val="single" w:sz="4" w:space="0" w:color="auto"/>
              <w:right w:val="single" w:sz="4" w:space="0" w:color="auto"/>
            </w:tcBorders>
            <w:vAlign w:val="center"/>
          </w:tcPr>
          <w:p w14:paraId="29C59899"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C7BDF81" w14:textId="68641CA0"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73A1AFF" w14:textId="35271601"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6B2A9F3F" w14:textId="3783E7BA"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D2C2254" w14:textId="516B7081"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12DE6D5"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58FD2596" w14:textId="0A616075"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297CBC8" w14:textId="54BE1336"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4715FE5"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C789C6C" w14:textId="1AF3ECFD"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7D6A5613" w14:textId="77777777" w:rsidTr="00A71928">
        <w:tc>
          <w:tcPr>
            <w:tcW w:w="1271" w:type="dxa"/>
            <w:shd w:val="clear" w:color="auto" w:fill="auto"/>
          </w:tcPr>
          <w:p w14:paraId="51D85D25" w14:textId="77777777" w:rsidR="008A500E" w:rsidRPr="000D3252" w:rsidRDefault="008A500E" w:rsidP="008A500E">
            <w:pPr>
              <w:pStyle w:val="Tabletext"/>
              <w:jc w:val="center"/>
            </w:pPr>
            <w:r w:rsidRPr="000D3252">
              <w:t>13</w:t>
            </w:r>
          </w:p>
        </w:tc>
        <w:tc>
          <w:tcPr>
            <w:tcW w:w="6379" w:type="dxa"/>
            <w:shd w:val="clear" w:color="auto" w:fill="auto"/>
          </w:tcPr>
          <w:p w14:paraId="747A3E89" w14:textId="494F61B2" w:rsidR="008A500E" w:rsidRPr="000D3252" w:rsidRDefault="008A500E" w:rsidP="008A500E">
            <w:pPr>
              <w:pStyle w:val="Tabletext"/>
            </w:pPr>
            <w:r w:rsidRPr="000D3252">
              <w:t xml:space="preserve">Proyecto de Revisión de la Resolución 191 (Rev. Dubái, 2018) ‒ </w:t>
            </w:r>
            <w:bookmarkStart w:id="16" w:name="_Toc406754313"/>
            <w:r w:rsidRPr="000D3252">
              <w:t>Estrategia de coordinación de los trabajos de los tres Sectores de la Unión</w:t>
            </w:r>
            <w:bookmarkEnd w:id="16"/>
          </w:p>
        </w:tc>
        <w:tc>
          <w:tcPr>
            <w:tcW w:w="708" w:type="dxa"/>
            <w:tcBorders>
              <w:top w:val="single" w:sz="4" w:space="0" w:color="auto"/>
              <w:left w:val="single" w:sz="4" w:space="0" w:color="auto"/>
              <w:bottom w:val="single" w:sz="4" w:space="0" w:color="auto"/>
              <w:right w:val="single" w:sz="4" w:space="0" w:color="auto"/>
            </w:tcBorders>
            <w:vAlign w:val="center"/>
          </w:tcPr>
          <w:p w14:paraId="10BE15C5"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755CDC0" w14:textId="1AD76EBE"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1C33EE0" w14:textId="4A28B571"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1A500872" w14:textId="16C59C53"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B60B491" w14:textId="5A80E5FE"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7FBC62A"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30EE0888" w14:textId="1F23929D"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6CA29FD" w14:textId="32BC5811"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4B9ADEC"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251F67F" w14:textId="7E8B6581"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69BFA59F" w14:textId="77777777" w:rsidTr="00A71928">
        <w:trPr>
          <w:trHeight w:val="629"/>
        </w:trPr>
        <w:tc>
          <w:tcPr>
            <w:tcW w:w="1271" w:type="dxa"/>
            <w:shd w:val="clear" w:color="auto" w:fill="auto"/>
          </w:tcPr>
          <w:p w14:paraId="73752557" w14:textId="77777777" w:rsidR="008A500E" w:rsidRPr="000D3252" w:rsidRDefault="008A500E" w:rsidP="008A500E">
            <w:pPr>
              <w:pStyle w:val="Tabletext"/>
              <w:jc w:val="center"/>
            </w:pPr>
            <w:r w:rsidRPr="000D3252">
              <w:lastRenderedPageBreak/>
              <w:t>14</w:t>
            </w:r>
          </w:p>
        </w:tc>
        <w:tc>
          <w:tcPr>
            <w:tcW w:w="6379" w:type="dxa"/>
          </w:tcPr>
          <w:p w14:paraId="70265FFB" w14:textId="67EC3232" w:rsidR="008A500E" w:rsidRPr="00AF142F" w:rsidRDefault="008A500E" w:rsidP="008A500E">
            <w:pPr>
              <w:pStyle w:val="Tabletext"/>
              <w:rPr>
                <w:rFonts w:cs="Calibri"/>
              </w:rPr>
            </w:pPr>
            <w:r w:rsidRPr="00AF142F">
              <w:t>Proyecto de Revisión de la Resolución 208 (Dubái, 2018) ‒ Nombramiento y duración máxima del mandato de los presidentes y vicepresidentes de los Grupos Asesores, Comisiones de Estudio y otros grupos de los Sectores</w:t>
            </w:r>
          </w:p>
        </w:tc>
        <w:tc>
          <w:tcPr>
            <w:tcW w:w="708" w:type="dxa"/>
            <w:tcBorders>
              <w:top w:val="single" w:sz="4" w:space="0" w:color="auto"/>
              <w:left w:val="single" w:sz="4" w:space="0" w:color="auto"/>
              <w:bottom w:val="single" w:sz="4" w:space="0" w:color="auto"/>
              <w:right w:val="single" w:sz="4" w:space="0" w:color="auto"/>
            </w:tcBorders>
            <w:vAlign w:val="center"/>
          </w:tcPr>
          <w:p w14:paraId="0B3D1740"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1B1977D"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50D7AD0" w14:textId="6227AF3B"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012D66B1" w14:textId="277A45B3"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5C941B5" w14:textId="16AFB1C3"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4EA9971"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470D5D71" w14:textId="464E31DB"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6C68646" w14:textId="40DB892F"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91A1D8B"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9EC4FD7" w14:textId="412A95C2"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70EEE93F" w14:textId="77777777" w:rsidTr="00A71928">
        <w:trPr>
          <w:trHeight w:val="667"/>
        </w:trPr>
        <w:tc>
          <w:tcPr>
            <w:tcW w:w="1271" w:type="dxa"/>
            <w:shd w:val="clear" w:color="auto" w:fill="auto"/>
          </w:tcPr>
          <w:p w14:paraId="7841BFA4" w14:textId="77777777" w:rsidR="008A500E" w:rsidRPr="000D3252" w:rsidRDefault="008A500E" w:rsidP="008A500E">
            <w:pPr>
              <w:pStyle w:val="Tabletext"/>
              <w:jc w:val="center"/>
            </w:pPr>
            <w:bookmarkStart w:id="17" w:name="_Hlk114813068"/>
            <w:r w:rsidRPr="000D3252">
              <w:t>15</w:t>
            </w:r>
          </w:p>
        </w:tc>
        <w:tc>
          <w:tcPr>
            <w:tcW w:w="6379" w:type="dxa"/>
            <w:shd w:val="clear" w:color="auto" w:fill="auto"/>
          </w:tcPr>
          <w:p w14:paraId="0D61F296" w14:textId="6C92CE85" w:rsidR="008A500E" w:rsidRPr="00AF142F" w:rsidRDefault="008A500E" w:rsidP="008A500E">
            <w:pPr>
              <w:pStyle w:val="Tabletext"/>
              <w:rPr>
                <w:rFonts w:cs="Calibri"/>
              </w:rPr>
            </w:pPr>
            <w:r w:rsidRPr="00AF142F">
              <w:t>Proyecto de nueva Resolución [Artículo 48 de la Constitución] (Bucarest, 2022) [CRC-1] ‒ Utilización de asignaciones de frecuencias para instalaciones radioeléctricas militares</w:t>
            </w:r>
          </w:p>
        </w:tc>
        <w:tc>
          <w:tcPr>
            <w:tcW w:w="708" w:type="dxa"/>
            <w:tcBorders>
              <w:top w:val="single" w:sz="4" w:space="0" w:color="auto"/>
              <w:left w:val="single" w:sz="4" w:space="0" w:color="auto"/>
              <w:bottom w:val="single" w:sz="4" w:space="0" w:color="auto"/>
              <w:right w:val="single" w:sz="4" w:space="0" w:color="auto"/>
            </w:tcBorders>
            <w:vAlign w:val="center"/>
          </w:tcPr>
          <w:p w14:paraId="01A42FA6"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2C4ADE7"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E502C0C" w14:textId="775E7302"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04B67F06" w14:textId="7D6F169F"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833BCEA" w14:textId="5A3DACC0"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3E35A41"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640A275C" w14:textId="5DF95961"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494D3A7" w14:textId="41E6C08B"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C88A8B4"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1BCBEC1" w14:textId="4C757A53" w:rsidR="008A500E" w:rsidRPr="000D3252" w:rsidRDefault="008A500E" w:rsidP="008A500E">
            <w:pPr>
              <w:pStyle w:val="Tabletext"/>
              <w:jc w:val="center"/>
            </w:pPr>
            <w:r>
              <w:rPr>
                <w:color w:val="202124"/>
                <w:shd w:val="clear" w:color="auto" w:fill="FFFFFF"/>
                <w:lang w:val="ru-RU"/>
              </w:rPr>
              <w:sym w:font="Wingdings" w:char="F0FC"/>
            </w:r>
          </w:p>
        </w:tc>
      </w:tr>
      <w:bookmarkEnd w:id="17"/>
      <w:tr w:rsidR="008A500E" w:rsidRPr="000D3252" w14:paraId="3C787254" w14:textId="77777777" w:rsidTr="00A71928">
        <w:tc>
          <w:tcPr>
            <w:tcW w:w="1271" w:type="dxa"/>
            <w:shd w:val="clear" w:color="auto" w:fill="auto"/>
          </w:tcPr>
          <w:p w14:paraId="18770EE6" w14:textId="77777777" w:rsidR="008A500E" w:rsidRPr="000D3252" w:rsidRDefault="008A500E" w:rsidP="008A500E">
            <w:pPr>
              <w:pStyle w:val="Tabletext"/>
              <w:jc w:val="center"/>
            </w:pPr>
            <w:r w:rsidRPr="000D3252">
              <w:t>16</w:t>
            </w:r>
          </w:p>
        </w:tc>
        <w:tc>
          <w:tcPr>
            <w:tcW w:w="6379" w:type="dxa"/>
          </w:tcPr>
          <w:p w14:paraId="2A834E85" w14:textId="7A0DC235" w:rsidR="008A500E" w:rsidRPr="00AF142F" w:rsidRDefault="008A500E" w:rsidP="008A500E">
            <w:pPr>
              <w:pStyle w:val="Tabletext"/>
              <w:rPr>
                <w:rFonts w:cs="Calibri"/>
              </w:rPr>
            </w:pPr>
            <w:r w:rsidRPr="00AF142F">
              <w:t>Proyecto de nueva Resolución [ХХ] (Bucarest, 2022) [CRC-2] ‒ Mandato de los funcionarios de elección de la Unión</w:t>
            </w:r>
          </w:p>
        </w:tc>
        <w:tc>
          <w:tcPr>
            <w:tcW w:w="708" w:type="dxa"/>
            <w:tcBorders>
              <w:top w:val="single" w:sz="4" w:space="0" w:color="auto"/>
              <w:left w:val="single" w:sz="4" w:space="0" w:color="auto"/>
              <w:bottom w:val="single" w:sz="4" w:space="0" w:color="auto"/>
              <w:right w:val="single" w:sz="4" w:space="0" w:color="auto"/>
            </w:tcBorders>
            <w:vAlign w:val="center"/>
          </w:tcPr>
          <w:p w14:paraId="0A680A4E"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45FF879" w14:textId="51E29639"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0CC2542" w14:textId="1B3FB3BA"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32BE0CA6" w14:textId="75DE97F2"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FF81492" w14:textId="5496C782"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B3A0955"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6C84CD67" w14:textId="75830BD0"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DC8EC38" w14:textId="3F691B08"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01AE74D"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3284F57" w14:textId="3E3ECE1C" w:rsidR="008A500E" w:rsidRPr="000D3252" w:rsidRDefault="008A500E" w:rsidP="008A500E">
            <w:pPr>
              <w:pStyle w:val="Tabletext"/>
              <w:jc w:val="center"/>
            </w:pPr>
            <w:r>
              <w:rPr>
                <w:color w:val="202124"/>
                <w:shd w:val="clear" w:color="auto" w:fill="FFFFFF"/>
                <w:lang w:val="ru-RU"/>
              </w:rPr>
              <w:sym w:font="Wingdings" w:char="F0FC"/>
            </w:r>
          </w:p>
        </w:tc>
      </w:tr>
      <w:tr w:rsidR="008A500E" w:rsidRPr="000D3252" w14:paraId="1D075E20" w14:textId="77777777" w:rsidTr="00A71928">
        <w:tc>
          <w:tcPr>
            <w:tcW w:w="1271" w:type="dxa"/>
            <w:shd w:val="clear" w:color="auto" w:fill="auto"/>
          </w:tcPr>
          <w:p w14:paraId="73C6E36C" w14:textId="77777777" w:rsidR="008A500E" w:rsidRPr="000D3252" w:rsidRDefault="008A500E" w:rsidP="008A500E">
            <w:pPr>
              <w:pStyle w:val="Tabletext"/>
              <w:jc w:val="center"/>
            </w:pPr>
            <w:r w:rsidRPr="000D3252">
              <w:t>17</w:t>
            </w:r>
          </w:p>
        </w:tc>
        <w:tc>
          <w:tcPr>
            <w:tcW w:w="6379" w:type="dxa"/>
          </w:tcPr>
          <w:p w14:paraId="300F8E16" w14:textId="1EEF88CE" w:rsidR="008A500E" w:rsidRPr="00AF142F" w:rsidRDefault="008A500E" w:rsidP="008A500E">
            <w:pPr>
              <w:pStyle w:val="Tabletext"/>
              <w:rPr>
                <w:rFonts w:cs="Calibri"/>
              </w:rPr>
            </w:pPr>
            <w:r w:rsidRPr="00AF142F">
              <w:t>Proyecto de nueva Decisión [ELECT-IMPROV] (Rev. Dubái, 2018) [CRC-1] ‒ Realización de campañas electorales y procedimientos de elección del Secretario General, el Vicesecretario General, los Directores de las Oficinas de los Sectores y los miembros de la Junta del Reglamento de Radiocomunicaciones</w:t>
            </w:r>
          </w:p>
        </w:tc>
        <w:tc>
          <w:tcPr>
            <w:tcW w:w="708" w:type="dxa"/>
            <w:tcBorders>
              <w:top w:val="single" w:sz="4" w:space="0" w:color="auto"/>
              <w:left w:val="single" w:sz="4" w:space="0" w:color="auto"/>
              <w:bottom w:val="single" w:sz="4" w:space="0" w:color="auto"/>
              <w:right w:val="single" w:sz="4" w:space="0" w:color="auto"/>
            </w:tcBorders>
            <w:vAlign w:val="center"/>
          </w:tcPr>
          <w:p w14:paraId="5FCAB28A"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E303C15"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B7DFDAC" w14:textId="65DCD0BC" w:rsidR="008A500E" w:rsidRPr="000D3252" w:rsidRDefault="008A500E" w:rsidP="008A500E">
            <w:pPr>
              <w:pStyle w:val="Tabletext"/>
              <w:jc w:val="cente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4B7975B1" w14:textId="6340B96D"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DA4E8B6" w14:textId="090C17DC"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A8046B1" w14:textId="77777777" w:rsidR="008A500E" w:rsidRPr="000D3252" w:rsidRDefault="008A500E" w:rsidP="008A500E">
            <w:pPr>
              <w:pStyle w:val="Tabletex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624AD18" w14:textId="74433511"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81165C8" w14:textId="5157C057" w:rsidR="008A500E" w:rsidRPr="000D3252" w:rsidRDefault="008A500E" w:rsidP="008A500E">
            <w:pPr>
              <w:pStyle w:val="Tabletext"/>
              <w:jc w:val="cente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E7A916E" w14:textId="77777777" w:rsidR="008A500E" w:rsidRPr="000D3252" w:rsidRDefault="008A500E" w:rsidP="008A500E">
            <w:pPr>
              <w:pStyle w:val="Tabletex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F2A18D4" w14:textId="2E7AAA7D" w:rsidR="008A500E" w:rsidRPr="000D3252" w:rsidRDefault="008A500E" w:rsidP="008A500E">
            <w:pPr>
              <w:pStyle w:val="Tabletext"/>
              <w:jc w:val="center"/>
            </w:pPr>
            <w:r>
              <w:rPr>
                <w:color w:val="202124"/>
                <w:shd w:val="clear" w:color="auto" w:fill="FFFFFF"/>
                <w:lang w:val="ru-RU"/>
              </w:rPr>
              <w:sym w:font="Wingdings" w:char="F0FC"/>
            </w:r>
          </w:p>
        </w:tc>
      </w:tr>
    </w:tbl>
    <w:p w14:paraId="3EB2B4B0" w14:textId="77777777" w:rsidR="004D6354" w:rsidRPr="000D3252" w:rsidRDefault="004D6354" w:rsidP="00FE2414">
      <w:pPr>
        <w:pStyle w:val="Reasons"/>
      </w:pPr>
    </w:p>
    <w:p w14:paraId="68CA8D37" w14:textId="04B0AB2C" w:rsidR="004D6354" w:rsidRPr="000D3252" w:rsidRDefault="004D6354" w:rsidP="004D6354">
      <w:pPr>
        <w:spacing w:before="0"/>
        <w:jc w:val="center"/>
      </w:pPr>
      <w:r w:rsidRPr="000D3252">
        <w:t>______________</w:t>
      </w:r>
    </w:p>
    <w:sectPr w:rsidR="004D6354" w:rsidRPr="000D3252" w:rsidSect="004D6354">
      <w:headerReference w:type="default" r:id="rId13"/>
      <w:headerReference w:type="first" r:id="rId14"/>
      <w:footerReference w:type="first" r:id="rId15"/>
      <w:pgSz w:w="16834" w:h="11913" w:orient="landscape"/>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7348" w14:textId="77777777" w:rsidR="004D6354" w:rsidRDefault="004D6354">
      <w:r>
        <w:separator/>
      </w:r>
    </w:p>
  </w:endnote>
  <w:endnote w:type="continuationSeparator" w:id="0">
    <w:p w14:paraId="6DE4E4C0" w14:textId="77777777" w:rsidR="004D6354" w:rsidRDefault="004D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640" w14:textId="77777777" w:rsidR="00D81DAB" w:rsidRDefault="00D81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56C7" w14:textId="0F44EAD0" w:rsidR="004D6354" w:rsidRPr="004D6354" w:rsidRDefault="004D6354" w:rsidP="008334B3">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B4C7" w14:textId="6D0881F7" w:rsidR="004D6354" w:rsidRPr="00225923" w:rsidRDefault="004D635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010F19">
        <w:rPr>
          <w:rStyle w:val="Hyperlink"/>
          <w:sz w:val="22"/>
          <w:szCs w:val="22"/>
          <w:lang w:val="en-GB"/>
        </w:rPr>
        <w:t>www.itu.int/plenipotentiary/</w:t>
      </w:r>
    </w:hyperlink>
    <w:r w:rsidRPr="00010F19">
      <w:rPr>
        <w:color w:val="0000FF"/>
        <w:sz w:val="22"/>
        <w:szCs w:val="22"/>
        <w:u w:val="single"/>
        <w:lang w:val="en-GB"/>
      </w:rPr>
      <w:t xml:space="preserve"> </w:t>
    </w:r>
    <w:r>
      <w:rPr>
        <w:rFonts w:ascii="Symbol" w:hAnsi="Symbol"/>
        <w:sz w:val="22"/>
        <w:szCs w:val="20"/>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9BDF" w14:textId="37C53DAD" w:rsidR="004C5E94" w:rsidRPr="00255FA1" w:rsidRDefault="004C5E94" w:rsidP="004C5E9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948F" w14:textId="77777777" w:rsidR="004D6354" w:rsidRDefault="004D6354">
      <w:r>
        <w:t>____________________</w:t>
      </w:r>
    </w:p>
  </w:footnote>
  <w:footnote w:type="continuationSeparator" w:id="0">
    <w:p w14:paraId="75F063D1" w14:textId="77777777" w:rsidR="004D6354" w:rsidRDefault="004D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EBE8" w14:textId="77777777" w:rsidR="00D81DAB" w:rsidRDefault="00D81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3E8B" w14:textId="749829BF" w:rsidR="004D6354" w:rsidRDefault="004D6354" w:rsidP="00CE1B90">
    <w:pPr>
      <w:pStyle w:val="Header"/>
    </w:pPr>
    <w:r>
      <w:fldChar w:fldCharType="begin"/>
    </w:r>
    <w:r>
      <w:instrText xml:space="preserve"> PAGE   \* MERGEFORMAT </w:instrText>
    </w:r>
    <w:r>
      <w:fldChar w:fldCharType="separate"/>
    </w:r>
    <w:r w:rsidR="009C175F">
      <w:rPr>
        <w:noProof/>
      </w:rPr>
      <w:t>2</w:t>
    </w:r>
    <w:r>
      <w:fldChar w:fldCharType="end"/>
    </w:r>
  </w:p>
  <w:p w14:paraId="6F373FB9" w14:textId="77777777" w:rsidR="004D6354" w:rsidRDefault="004D6354" w:rsidP="004F7925">
    <w:pPr>
      <w:pStyle w:val="Header"/>
    </w:pPr>
    <w:r>
      <w:t>PP22/68-E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8FCA" w14:textId="77777777" w:rsidR="00D81DAB" w:rsidRDefault="00D81D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3BCE" w14:textId="51648128" w:rsidR="00255FA1" w:rsidRDefault="00255FA1" w:rsidP="00255FA1">
    <w:pPr>
      <w:pStyle w:val="Header"/>
    </w:pPr>
    <w:r>
      <w:fldChar w:fldCharType="begin"/>
    </w:r>
    <w:r>
      <w:instrText xml:space="preserve"> PAGE </w:instrText>
    </w:r>
    <w:r>
      <w:fldChar w:fldCharType="separate"/>
    </w:r>
    <w:r w:rsidR="00547ACE">
      <w:rPr>
        <w:noProof/>
      </w:rPr>
      <w:t>4</w:t>
    </w:r>
    <w:r>
      <w:fldChar w:fldCharType="end"/>
    </w:r>
  </w:p>
  <w:p w14:paraId="4E2615EB" w14:textId="7892EE19" w:rsidR="00255FA1" w:rsidRDefault="00255FA1" w:rsidP="00C43474">
    <w:pPr>
      <w:pStyle w:val="Header"/>
    </w:pPr>
    <w:r>
      <w:rPr>
        <w:lang w:val="en-US"/>
      </w:rPr>
      <w:t>PP</w:t>
    </w:r>
    <w:r w:rsidR="009D1BE0">
      <w:rPr>
        <w:lang w:val="en-US"/>
      </w:rPr>
      <w:t>22</w:t>
    </w:r>
    <w:r>
      <w:t>/</w:t>
    </w:r>
    <w:r w:rsidR="00A43414">
      <w:t>68</w:t>
    </w:r>
    <w:r w:rsidR="00D81DAB">
      <w:t>(Rev.1)</w:t>
    </w:r>
    <w:r w:rsidR="009A443B">
      <w:t>-S</w:t>
    </w:r>
  </w:p>
  <w:p w14:paraId="362B2B70" w14:textId="77777777" w:rsidR="001E112C" w:rsidRDefault="001E11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797251"/>
      <w:docPartObj>
        <w:docPartGallery w:val="Page Numbers (Top of Page)"/>
        <w:docPartUnique/>
      </w:docPartObj>
    </w:sdtPr>
    <w:sdtEndPr>
      <w:rPr>
        <w:noProof/>
      </w:rPr>
    </w:sdtEndPr>
    <w:sdtContent>
      <w:p w14:paraId="55C7E094" w14:textId="77777777" w:rsidR="00D81DAB" w:rsidRDefault="00D81DAB" w:rsidP="00D81DAB">
        <w:pPr>
          <w:pStyle w:val="Header"/>
        </w:pPr>
        <w:r>
          <w:fldChar w:fldCharType="begin"/>
        </w:r>
        <w:r>
          <w:instrText xml:space="preserve"> PAGE </w:instrText>
        </w:r>
        <w:r>
          <w:fldChar w:fldCharType="separate"/>
        </w:r>
        <w:r>
          <w:t>3</w:t>
        </w:r>
        <w:r>
          <w:fldChar w:fldCharType="end"/>
        </w:r>
      </w:p>
      <w:p w14:paraId="681C639E" w14:textId="6FFF7AEF" w:rsidR="00225923" w:rsidRDefault="00D81DAB" w:rsidP="00D81DAB">
        <w:pPr>
          <w:pStyle w:val="Header"/>
        </w:pPr>
        <w:r>
          <w:rPr>
            <w:lang w:val="en-US"/>
          </w:rPr>
          <w:t>PP22</w:t>
        </w:r>
        <w:r>
          <w:t>/68(Rev.1)-S</w:t>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06038"/>
    <w:rsid w:val="000507CA"/>
    <w:rsid w:val="000863AB"/>
    <w:rsid w:val="000A1523"/>
    <w:rsid w:val="000B1752"/>
    <w:rsid w:val="000D3252"/>
    <w:rsid w:val="0010546D"/>
    <w:rsid w:val="00123298"/>
    <w:rsid w:val="00135F93"/>
    <w:rsid w:val="001632E3"/>
    <w:rsid w:val="001D4983"/>
    <w:rsid w:val="001D6EC3"/>
    <w:rsid w:val="001D787B"/>
    <w:rsid w:val="001E112C"/>
    <w:rsid w:val="001E3D06"/>
    <w:rsid w:val="00225923"/>
    <w:rsid w:val="00225F6B"/>
    <w:rsid w:val="00237C17"/>
    <w:rsid w:val="00237DEE"/>
    <w:rsid w:val="00242376"/>
    <w:rsid w:val="00255FA1"/>
    <w:rsid w:val="00262FF4"/>
    <w:rsid w:val="002750C1"/>
    <w:rsid w:val="002C6527"/>
    <w:rsid w:val="002E44FC"/>
    <w:rsid w:val="003171E2"/>
    <w:rsid w:val="0033725B"/>
    <w:rsid w:val="003707E5"/>
    <w:rsid w:val="00375610"/>
    <w:rsid w:val="00391611"/>
    <w:rsid w:val="0039335B"/>
    <w:rsid w:val="003D0027"/>
    <w:rsid w:val="003E6E73"/>
    <w:rsid w:val="003F250B"/>
    <w:rsid w:val="004575B1"/>
    <w:rsid w:val="00471A6B"/>
    <w:rsid w:val="00471A7E"/>
    <w:rsid w:val="00484B72"/>
    <w:rsid w:val="0049140C"/>
    <w:rsid w:val="00491A25"/>
    <w:rsid w:val="004A346E"/>
    <w:rsid w:val="004A63A9"/>
    <w:rsid w:val="004B07DB"/>
    <w:rsid w:val="004B09D4"/>
    <w:rsid w:val="004B0BCB"/>
    <w:rsid w:val="004C27F5"/>
    <w:rsid w:val="004C39C6"/>
    <w:rsid w:val="004C5E94"/>
    <w:rsid w:val="004D23BA"/>
    <w:rsid w:val="004D6354"/>
    <w:rsid w:val="004E00D8"/>
    <w:rsid w:val="004E069C"/>
    <w:rsid w:val="004E08E0"/>
    <w:rsid w:val="004E28FB"/>
    <w:rsid w:val="004F4BB1"/>
    <w:rsid w:val="00504FD4"/>
    <w:rsid w:val="00507662"/>
    <w:rsid w:val="00523448"/>
    <w:rsid w:val="005359B6"/>
    <w:rsid w:val="005470E8"/>
    <w:rsid w:val="00547ACE"/>
    <w:rsid w:val="00550FCF"/>
    <w:rsid w:val="00556958"/>
    <w:rsid w:val="00567ED5"/>
    <w:rsid w:val="005D1164"/>
    <w:rsid w:val="005D6488"/>
    <w:rsid w:val="005F6278"/>
    <w:rsid w:val="00601280"/>
    <w:rsid w:val="00641DBD"/>
    <w:rsid w:val="006426C0"/>
    <w:rsid w:val="006455D2"/>
    <w:rsid w:val="00651093"/>
    <w:rsid w:val="006537F3"/>
    <w:rsid w:val="006B26E0"/>
    <w:rsid w:val="006B5512"/>
    <w:rsid w:val="006C190D"/>
    <w:rsid w:val="00720686"/>
    <w:rsid w:val="00737EFF"/>
    <w:rsid w:val="00750806"/>
    <w:rsid w:val="007875D2"/>
    <w:rsid w:val="007D61E2"/>
    <w:rsid w:val="007F6EBC"/>
    <w:rsid w:val="008334B3"/>
    <w:rsid w:val="008628F0"/>
    <w:rsid w:val="00882773"/>
    <w:rsid w:val="00886C24"/>
    <w:rsid w:val="008A500E"/>
    <w:rsid w:val="008B4706"/>
    <w:rsid w:val="008B6676"/>
    <w:rsid w:val="008C3FA8"/>
    <w:rsid w:val="008E51C5"/>
    <w:rsid w:val="008F7109"/>
    <w:rsid w:val="009107B0"/>
    <w:rsid w:val="009220DE"/>
    <w:rsid w:val="00930E84"/>
    <w:rsid w:val="0099270D"/>
    <w:rsid w:val="0099551E"/>
    <w:rsid w:val="009A1A86"/>
    <w:rsid w:val="009A443B"/>
    <w:rsid w:val="009C175F"/>
    <w:rsid w:val="009D1BE0"/>
    <w:rsid w:val="009E0C42"/>
    <w:rsid w:val="009F6068"/>
    <w:rsid w:val="00A13A94"/>
    <w:rsid w:val="00A43414"/>
    <w:rsid w:val="00A70E95"/>
    <w:rsid w:val="00AA1F73"/>
    <w:rsid w:val="00AB34CA"/>
    <w:rsid w:val="00AD400E"/>
    <w:rsid w:val="00AE4656"/>
    <w:rsid w:val="00AF0DC5"/>
    <w:rsid w:val="00AF142F"/>
    <w:rsid w:val="00B012B7"/>
    <w:rsid w:val="00B30C52"/>
    <w:rsid w:val="00B501AB"/>
    <w:rsid w:val="00B554AE"/>
    <w:rsid w:val="00B7396B"/>
    <w:rsid w:val="00B73978"/>
    <w:rsid w:val="00B77C4D"/>
    <w:rsid w:val="00BB13FE"/>
    <w:rsid w:val="00BC7EE2"/>
    <w:rsid w:val="00BD4DC8"/>
    <w:rsid w:val="00BF5475"/>
    <w:rsid w:val="00C20ED7"/>
    <w:rsid w:val="00C42D2D"/>
    <w:rsid w:val="00C43474"/>
    <w:rsid w:val="00C61A48"/>
    <w:rsid w:val="00C80F8F"/>
    <w:rsid w:val="00C84355"/>
    <w:rsid w:val="00C84A65"/>
    <w:rsid w:val="00C97616"/>
    <w:rsid w:val="00CA3051"/>
    <w:rsid w:val="00CD20D9"/>
    <w:rsid w:val="00CD701A"/>
    <w:rsid w:val="00CE309C"/>
    <w:rsid w:val="00D05AAE"/>
    <w:rsid w:val="00D05E6B"/>
    <w:rsid w:val="00D22BE2"/>
    <w:rsid w:val="00D254A6"/>
    <w:rsid w:val="00D42B55"/>
    <w:rsid w:val="00D47FC0"/>
    <w:rsid w:val="00D57D70"/>
    <w:rsid w:val="00D67CF4"/>
    <w:rsid w:val="00D7536E"/>
    <w:rsid w:val="00D81DAB"/>
    <w:rsid w:val="00DD3F50"/>
    <w:rsid w:val="00E05D81"/>
    <w:rsid w:val="00E271AF"/>
    <w:rsid w:val="00E53DFC"/>
    <w:rsid w:val="00E66FC3"/>
    <w:rsid w:val="00E677DD"/>
    <w:rsid w:val="00E77F17"/>
    <w:rsid w:val="00E809D8"/>
    <w:rsid w:val="00E921EC"/>
    <w:rsid w:val="00EB23D0"/>
    <w:rsid w:val="00EC395A"/>
    <w:rsid w:val="00F01632"/>
    <w:rsid w:val="00F04858"/>
    <w:rsid w:val="00F13AA4"/>
    <w:rsid w:val="00F31672"/>
    <w:rsid w:val="00F3510D"/>
    <w:rsid w:val="00F37581"/>
    <w:rsid w:val="00F43C07"/>
    <w:rsid w:val="00F43D44"/>
    <w:rsid w:val="00F80E6E"/>
    <w:rsid w:val="00FA7B11"/>
    <w:rsid w:val="00FD7A16"/>
    <w:rsid w:val="00FE2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113FD"/>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uiPriority w:val="59"/>
    <w:rsid w:val="004D6354"/>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D6354"/>
    <w:rPr>
      <w:sz w:val="16"/>
      <w:szCs w:val="16"/>
    </w:rPr>
  </w:style>
  <w:style w:type="paragraph" w:styleId="CommentText">
    <w:name w:val="annotation text"/>
    <w:basedOn w:val="Normal"/>
    <w:link w:val="CommentTextChar"/>
    <w:unhideWhenUsed/>
    <w:rsid w:val="004D6354"/>
    <w:rPr>
      <w:sz w:val="20"/>
      <w:lang w:val="en-GB"/>
    </w:rPr>
  </w:style>
  <w:style w:type="character" w:customStyle="1" w:styleId="CommentTextChar">
    <w:name w:val="Comment Text Char"/>
    <w:basedOn w:val="DefaultParagraphFont"/>
    <w:link w:val="CommentText"/>
    <w:rsid w:val="004D6354"/>
    <w:rPr>
      <w:rFonts w:ascii="Calibri" w:hAnsi="Calibri"/>
      <w:lang w:val="en-GB" w:eastAsia="en-US"/>
    </w:rPr>
  </w:style>
  <w:style w:type="character" w:styleId="FollowedHyperlink">
    <w:name w:val="FollowedHyperlink"/>
    <w:basedOn w:val="DefaultParagraphFont"/>
    <w:semiHidden/>
    <w:unhideWhenUsed/>
    <w:rsid w:val="00C976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8D12153F-B90A-41FE-A721-D6955685C604}"/>
</file>

<file path=customXml/itemProps2.xml><?xml version="1.0" encoding="utf-8"?>
<ds:datastoreItem xmlns:ds="http://schemas.openxmlformats.org/officeDocument/2006/customXml" ds:itemID="{6E19097A-C9D5-4EE4-AAD9-7BAD313AEC72}"/>
</file>

<file path=customXml/itemProps3.xml><?xml version="1.0" encoding="utf-8"?>
<ds:datastoreItem xmlns:ds="http://schemas.openxmlformats.org/officeDocument/2006/customXml" ds:itemID="{8C737609-51A1-4E8C-A7E6-F179F9674CCF}"/>
</file>

<file path=docProps/app.xml><?xml version="1.0" encoding="utf-8"?>
<Properties xmlns="http://schemas.openxmlformats.org/officeDocument/2006/extended-properties" xmlns:vt="http://schemas.openxmlformats.org/officeDocument/2006/docPropsVTypes">
  <Template>Normal.dotm</Template>
  <TotalTime>2</TotalTime>
  <Pages>4</Pages>
  <Words>841</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(PP-18)</dc:subject>
  <dc:creator>Quilez Romano, Eva</dc:creator>
  <cp:keywords/>
  <dc:description/>
  <cp:lastModifiedBy>Xue, Kun</cp:lastModifiedBy>
  <cp:revision>6</cp:revision>
  <dcterms:created xsi:type="dcterms:W3CDTF">2022-09-24T07:45:00Z</dcterms:created>
  <dcterms:modified xsi:type="dcterms:W3CDTF">2022-09-24T07:47:00Z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