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294E35" w14:paraId="6C0A085A" w14:textId="77777777" w:rsidTr="00AB2D04">
        <w:trPr>
          <w:cantSplit/>
        </w:trPr>
        <w:tc>
          <w:tcPr>
            <w:tcW w:w="6629" w:type="dxa"/>
          </w:tcPr>
          <w:p w14:paraId="60F09AC5" w14:textId="3F80AC54" w:rsidR="001A16ED" w:rsidRPr="00294E35" w:rsidRDefault="00666B63" w:rsidP="004F7925">
            <w:pPr>
              <w:spacing w:before="240" w:after="48" w:line="240" w:lineRule="atLeast"/>
              <w:rPr>
                <w:rFonts w:cstheme="minorHAnsi"/>
                <w:b/>
                <w:bCs/>
                <w:position w:val="6"/>
                <w:szCs w:val="24"/>
                <w:lang w:val="es-ES_tradnl"/>
              </w:rPr>
            </w:pPr>
            <w:bookmarkStart w:id="0" w:name="dbreak"/>
            <w:bookmarkStart w:id="1" w:name="dpp"/>
            <w:bookmarkEnd w:id="0"/>
            <w:bookmarkEnd w:id="1"/>
            <w:r w:rsidRPr="00294E35">
              <w:rPr>
                <w:rFonts w:cs="Times"/>
                <w:b/>
                <w:position w:val="6"/>
                <w:sz w:val="30"/>
                <w:szCs w:val="30"/>
                <w:lang w:val="es-ES_tradnl"/>
              </w:rPr>
              <w:t>Conferencia de Plenipotenciarios (PP-22)</w:t>
            </w:r>
            <w:r w:rsidRPr="00294E35">
              <w:rPr>
                <w:rFonts w:cs="Times"/>
                <w:b/>
                <w:position w:val="6"/>
                <w:sz w:val="30"/>
                <w:szCs w:val="30"/>
                <w:lang w:val="es-ES_tradnl"/>
              </w:rPr>
              <w:br/>
            </w:r>
            <w:r w:rsidRPr="00294E35">
              <w:rPr>
                <w:rFonts w:cs="Times"/>
                <w:b/>
                <w:bCs/>
                <w:position w:val="6"/>
                <w:szCs w:val="24"/>
                <w:lang w:val="es-ES_tradnl"/>
              </w:rPr>
              <w:t xml:space="preserve">Bucarest, </w:t>
            </w:r>
            <w:r w:rsidRPr="00294E35">
              <w:rPr>
                <w:rFonts w:cs="Times"/>
                <w:b/>
                <w:position w:val="6"/>
                <w:szCs w:val="24"/>
                <w:lang w:val="es-ES_tradnl"/>
              </w:rPr>
              <w:t>26 de septiembre – 14 de octubre de 2022</w:t>
            </w:r>
          </w:p>
        </w:tc>
        <w:tc>
          <w:tcPr>
            <w:tcW w:w="3402" w:type="dxa"/>
          </w:tcPr>
          <w:p w14:paraId="096E6AF6" w14:textId="492384C9" w:rsidR="001A16ED" w:rsidRPr="00294E35" w:rsidRDefault="00666B63" w:rsidP="006A046E">
            <w:pPr>
              <w:spacing w:line="240" w:lineRule="atLeast"/>
              <w:rPr>
                <w:rFonts w:cstheme="minorHAnsi"/>
                <w:lang w:val="es-ES_tradnl"/>
              </w:rPr>
            </w:pPr>
            <w:bookmarkStart w:id="2" w:name="ditulogo"/>
            <w:bookmarkEnd w:id="2"/>
            <w:r w:rsidRPr="00294E35">
              <w:rPr>
                <w:noProof/>
                <w:lang w:val="es-ES_tradnl" w:eastAsia="es-ES"/>
              </w:rPr>
              <w:drawing>
                <wp:inline distT="0" distB="0" distL="0" distR="0" wp14:anchorId="72A9E80F" wp14:editId="7B388D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A16ED" w:rsidRPr="00294E35" w14:paraId="2B6A3D2D" w14:textId="77777777" w:rsidTr="00AB2D04">
        <w:trPr>
          <w:cantSplit/>
        </w:trPr>
        <w:tc>
          <w:tcPr>
            <w:tcW w:w="6629" w:type="dxa"/>
            <w:tcBorders>
              <w:bottom w:val="single" w:sz="12" w:space="0" w:color="auto"/>
            </w:tcBorders>
          </w:tcPr>
          <w:p w14:paraId="57EF4C3F" w14:textId="77777777" w:rsidR="001A16ED" w:rsidRPr="00294E35" w:rsidRDefault="001A16ED" w:rsidP="003740BC">
            <w:pPr>
              <w:spacing w:before="0"/>
              <w:rPr>
                <w:rFonts w:cstheme="minorHAnsi"/>
                <w:b/>
                <w:smallCaps/>
                <w:szCs w:val="24"/>
                <w:lang w:val="es-ES_tradnl"/>
              </w:rPr>
            </w:pPr>
            <w:bookmarkStart w:id="3" w:name="dhead"/>
          </w:p>
        </w:tc>
        <w:tc>
          <w:tcPr>
            <w:tcW w:w="3402" w:type="dxa"/>
            <w:tcBorders>
              <w:bottom w:val="single" w:sz="12" w:space="0" w:color="auto"/>
            </w:tcBorders>
          </w:tcPr>
          <w:p w14:paraId="124CE7ED" w14:textId="77777777" w:rsidR="001A16ED" w:rsidRPr="00294E35" w:rsidRDefault="001A16ED" w:rsidP="003740BC">
            <w:pPr>
              <w:spacing w:before="0"/>
              <w:rPr>
                <w:rFonts w:cstheme="minorHAnsi"/>
                <w:szCs w:val="24"/>
                <w:lang w:val="es-ES_tradnl"/>
              </w:rPr>
            </w:pPr>
          </w:p>
        </w:tc>
      </w:tr>
      <w:tr w:rsidR="001A16ED" w:rsidRPr="00294E35" w14:paraId="103EF875" w14:textId="77777777" w:rsidTr="00AB2D04">
        <w:trPr>
          <w:cantSplit/>
        </w:trPr>
        <w:tc>
          <w:tcPr>
            <w:tcW w:w="6629" w:type="dxa"/>
            <w:tcBorders>
              <w:top w:val="single" w:sz="12" w:space="0" w:color="auto"/>
            </w:tcBorders>
          </w:tcPr>
          <w:p w14:paraId="25B9A52A" w14:textId="77777777" w:rsidR="001A16ED" w:rsidRPr="00294E35" w:rsidRDefault="001A16ED" w:rsidP="003740BC">
            <w:pPr>
              <w:spacing w:before="0"/>
              <w:rPr>
                <w:rFonts w:cstheme="minorHAnsi"/>
                <w:b/>
                <w:smallCaps/>
                <w:sz w:val="20"/>
                <w:lang w:val="es-ES_tradnl"/>
              </w:rPr>
            </w:pPr>
          </w:p>
        </w:tc>
        <w:tc>
          <w:tcPr>
            <w:tcW w:w="3402" w:type="dxa"/>
            <w:tcBorders>
              <w:top w:val="single" w:sz="12" w:space="0" w:color="auto"/>
            </w:tcBorders>
          </w:tcPr>
          <w:p w14:paraId="5E02107A" w14:textId="77777777" w:rsidR="001A16ED" w:rsidRPr="00294E35" w:rsidRDefault="001A16ED" w:rsidP="003740BC">
            <w:pPr>
              <w:spacing w:before="0"/>
              <w:rPr>
                <w:rFonts w:cstheme="minorHAnsi"/>
                <w:sz w:val="20"/>
                <w:lang w:val="es-ES_tradnl"/>
              </w:rPr>
            </w:pPr>
          </w:p>
        </w:tc>
      </w:tr>
      <w:tr w:rsidR="001A16ED" w:rsidRPr="00294E35" w14:paraId="6D6D4F6E" w14:textId="77777777" w:rsidTr="00AB2D04">
        <w:trPr>
          <w:cantSplit/>
          <w:trHeight w:val="23"/>
        </w:trPr>
        <w:tc>
          <w:tcPr>
            <w:tcW w:w="6629" w:type="dxa"/>
            <w:shd w:val="clear" w:color="auto" w:fill="auto"/>
          </w:tcPr>
          <w:p w14:paraId="5ACE55B4" w14:textId="5065D049" w:rsidR="001A16ED" w:rsidRPr="00294E35" w:rsidRDefault="006E431C" w:rsidP="002E77F4">
            <w:pPr>
              <w:pStyle w:val="Committee"/>
              <w:spacing w:after="0"/>
              <w:rPr>
                <w:lang w:val="es-ES_tradnl"/>
              </w:rPr>
            </w:pPr>
            <w:bookmarkStart w:id="4" w:name="dnum" w:colFirst="1" w:colLast="1"/>
            <w:bookmarkStart w:id="5" w:name="dmeeting" w:colFirst="0" w:colLast="0"/>
            <w:bookmarkEnd w:id="3"/>
            <w:r w:rsidRPr="00294E35">
              <w:rPr>
                <w:lang w:val="es-ES_tradnl"/>
              </w:rPr>
              <w:t>SESIÓN PLENARIA</w:t>
            </w:r>
          </w:p>
        </w:tc>
        <w:tc>
          <w:tcPr>
            <w:tcW w:w="3402" w:type="dxa"/>
          </w:tcPr>
          <w:p w14:paraId="38BAB2E2" w14:textId="508F420A" w:rsidR="001A16ED" w:rsidRPr="00294E35" w:rsidRDefault="001A16ED" w:rsidP="002445E8">
            <w:pPr>
              <w:tabs>
                <w:tab w:val="left" w:pos="851"/>
              </w:tabs>
              <w:spacing w:before="0"/>
              <w:rPr>
                <w:rFonts w:cstheme="minorHAnsi"/>
                <w:b/>
                <w:szCs w:val="24"/>
                <w:lang w:val="es-ES_tradnl"/>
              </w:rPr>
            </w:pPr>
            <w:r w:rsidRPr="00294E35">
              <w:rPr>
                <w:rFonts w:cstheme="minorHAnsi"/>
                <w:b/>
                <w:szCs w:val="24"/>
                <w:lang w:val="es-ES_tradnl"/>
              </w:rPr>
              <w:t>Document</w:t>
            </w:r>
            <w:r w:rsidR="006E431C" w:rsidRPr="00294E35">
              <w:rPr>
                <w:rFonts w:cstheme="minorHAnsi"/>
                <w:b/>
                <w:szCs w:val="24"/>
                <w:lang w:val="es-ES_tradnl"/>
              </w:rPr>
              <w:t>o</w:t>
            </w:r>
            <w:r w:rsidRPr="00294E35">
              <w:rPr>
                <w:rFonts w:cstheme="minorHAnsi"/>
                <w:b/>
                <w:szCs w:val="24"/>
                <w:lang w:val="es-ES_tradnl"/>
              </w:rPr>
              <w:t xml:space="preserve"> </w:t>
            </w:r>
            <w:r w:rsidR="002445E8" w:rsidRPr="00294E35">
              <w:rPr>
                <w:rFonts w:cstheme="minorHAnsi"/>
                <w:b/>
                <w:szCs w:val="24"/>
                <w:lang w:val="es-ES_tradnl"/>
              </w:rPr>
              <w:t>71</w:t>
            </w:r>
            <w:r w:rsidR="00F44B1A" w:rsidRPr="00294E35">
              <w:rPr>
                <w:rFonts w:cstheme="minorHAnsi"/>
                <w:b/>
                <w:szCs w:val="24"/>
                <w:lang w:val="es-ES_tradnl"/>
              </w:rPr>
              <w:t>-</w:t>
            </w:r>
            <w:r w:rsidR="006E431C" w:rsidRPr="00294E35">
              <w:rPr>
                <w:rFonts w:cstheme="minorHAnsi"/>
                <w:b/>
                <w:szCs w:val="24"/>
                <w:lang w:val="es-ES_tradnl"/>
              </w:rPr>
              <w:t>S</w:t>
            </w:r>
          </w:p>
        </w:tc>
      </w:tr>
      <w:tr w:rsidR="001A16ED" w:rsidRPr="00294E35" w14:paraId="44D8EB18" w14:textId="77777777" w:rsidTr="00AB2D04">
        <w:trPr>
          <w:cantSplit/>
          <w:trHeight w:val="23"/>
        </w:trPr>
        <w:tc>
          <w:tcPr>
            <w:tcW w:w="6629" w:type="dxa"/>
            <w:shd w:val="clear" w:color="auto" w:fill="auto"/>
          </w:tcPr>
          <w:p w14:paraId="158D2C2B" w14:textId="77777777" w:rsidR="001A16ED" w:rsidRPr="00294E35" w:rsidRDefault="001A16ED" w:rsidP="003740BC">
            <w:pPr>
              <w:tabs>
                <w:tab w:val="left" w:pos="851"/>
              </w:tabs>
              <w:spacing w:before="0"/>
              <w:rPr>
                <w:rFonts w:asciiTheme="minorHAnsi" w:hAnsiTheme="minorHAnsi" w:cstheme="minorHAnsi"/>
                <w:b/>
                <w:szCs w:val="24"/>
                <w:lang w:val="es-ES_tradnl"/>
              </w:rPr>
            </w:pPr>
            <w:bookmarkStart w:id="6" w:name="ddate" w:colFirst="1" w:colLast="1"/>
            <w:bookmarkStart w:id="7" w:name="dblank" w:colFirst="0" w:colLast="0"/>
            <w:bookmarkEnd w:id="4"/>
            <w:bookmarkEnd w:id="5"/>
          </w:p>
        </w:tc>
        <w:tc>
          <w:tcPr>
            <w:tcW w:w="3402" w:type="dxa"/>
          </w:tcPr>
          <w:p w14:paraId="63E4352D" w14:textId="20000BA4" w:rsidR="001A16ED" w:rsidRPr="00294E35" w:rsidRDefault="002445E8" w:rsidP="003740BC">
            <w:pPr>
              <w:spacing w:before="0"/>
              <w:rPr>
                <w:rFonts w:cstheme="minorHAnsi"/>
                <w:szCs w:val="24"/>
                <w:lang w:val="es-ES_tradnl"/>
              </w:rPr>
            </w:pPr>
            <w:r w:rsidRPr="00294E35">
              <w:rPr>
                <w:rFonts w:cstheme="minorHAnsi"/>
                <w:b/>
                <w:szCs w:val="24"/>
                <w:lang w:val="es-ES_tradnl"/>
              </w:rPr>
              <w:t>24 de agosto</w:t>
            </w:r>
            <w:r w:rsidR="006E431C" w:rsidRPr="00294E35">
              <w:rPr>
                <w:rFonts w:cstheme="minorHAnsi"/>
                <w:b/>
                <w:szCs w:val="24"/>
                <w:lang w:val="es-ES_tradnl"/>
              </w:rPr>
              <w:t xml:space="preserve"> de</w:t>
            </w:r>
            <w:r w:rsidR="001A16ED" w:rsidRPr="00294E35">
              <w:rPr>
                <w:rFonts w:cstheme="minorHAnsi"/>
                <w:b/>
                <w:szCs w:val="24"/>
                <w:lang w:val="es-ES_tradnl"/>
              </w:rPr>
              <w:t xml:space="preserve"> 2022</w:t>
            </w:r>
          </w:p>
        </w:tc>
      </w:tr>
      <w:tr w:rsidR="001A16ED" w:rsidRPr="00294E35" w14:paraId="6EE5D9FF" w14:textId="77777777" w:rsidTr="00AB2D04">
        <w:trPr>
          <w:cantSplit/>
          <w:trHeight w:val="23"/>
        </w:trPr>
        <w:tc>
          <w:tcPr>
            <w:tcW w:w="6629" w:type="dxa"/>
            <w:shd w:val="clear" w:color="auto" w:fill="auto"/>
          </w:tcPr>
          <w:p w14:paraId="50BFD933" w14:textId="77777777" w:rsidR="001A16ED" w:rsidRPr="00294E35" w:rsidRDefault="001A16ED" w:rsidP="003740BC">
            <w:pPr>
              <w:tabs>
                <w:tab w:val="left" w:pos="851"/>
              </w:tabs>
              <w:spacing w:before="0"/>
              <w:rPr>
                <w:rFonts w:cstheme="minorHAnsi"/>
                <w:szCs w:val="24"/>
                <w:lang w:val="es-ES_tradnl"/>
              </w:rPr>
            </w:pPr>
            <w:bookmarkStart w:id="8" w:name="dbluepink" w:colFirst="0" w:colLast="0"/>
            <w:bookmarkStart w:id="9" w:name="dorlang" w:colFirst="1" w:colLast="1"/>
            <w:bookmarkEnd w:id="6"/>
            <w:bookmarkEnd w:id="7"/>
          </w:p>
        </w:tc>
        <w:tc>
          <w:tcPr>
            <w:tcW w:w="3402" w:type="dxa"/>
          </w:tcPr>
          <w:p w14:paraId="6AFC5F6D" w14:textId="477415B6" w:rsidR="001A16ED" w:rsidRPr="00294E35" w:rsidRDefault="001A16ED" w:rsidP="003740BC">
            <w:pPr>
              <w:tabs>
                <w:tab w:val="left" w:pos="993"/>
              </w:tabs>
              <w:spacing w:before="0"/>
              <w:rPr>
                <w:rFonts w:cstheme="minorHAnsi"/>
                <w:b/>
                <w:szCs w:val="24"/>
                <w:lang w:val="es-ES_tradnl"/>
              </w:rPr>
            </w:pPr>
            <w:r w:rsidRPr="00294E35">
              <w:rPr>
                <w:rFonts w:cstheme="minorHAnsi"/>
                <w:b/>
                <w:szCs w:val="24"/>
                <w:lang w:val="es-ES_tradnl"/>
              </w:rPr>
              <w:t xml:space="preserve">Original: </w:t>
            </w:r>
            <w:r w:rsidR="006E431C" w:rsidRPr="00294E35">
              <w:rPr>
                <w:rFonts w:cstheme="minorHAnsi"/>
                <w:b/>
                <w:szCs w:val="24"/>
                <w:lang w:val="es-ES_tradnl"/>
              </w:rPr>
              <w:t>inglés</w:t>
            </w:r>
          </w:p>
        </w:tc>
      </w:tr>
      <w:tr w:rsidR="001A16ED" w:rsidRPr="00294E35" w14:paraId="3FB79D07" w14:textId="77777777" w:rsidTr="006A046E">
        <w:trPr>
          <w:cantSplit/>
          <w:trHeight w:val="23"/>
        </w:trPr>
        <w:tc>
          <w:tcPr>
            <w:tcW w:w="10031" w:type="dxa"/>
            <w:gridSpan w:val="2"/>
            <w:shd w:val="clear" w:color="auto" w:fill="auto"/>
          </w:tcPr>
          <w:p w14:paraId="02E90027" w14:textId="77777777" w:rsidR="001A16ED" w:rsidRPr="00294E35" w:rsidRDefault="001A16ED" w:rsidP="006A046E">
            <w:pPr>
              <w:tabs>
                <w:tab w:val="left" w:pos="993"/>
              </w:tabs>
              <w:rPr>
                <w:rFonts w:ascii="Verdana" w:hAnsi="Verdana"/>
                <w:b/>
                <w:szCs w:val="24"/>
                <w:lang w:val="es-ES_tradnl"/>
              </w:rPr>
            </w:pPr>
          </w:p>
        </w:tc>
      </w:tr>
      <w:tr w:rsidR="001A16ED" w:rsidRPr="00294E35" w14:paraId="37F51010" w14:textId="77777777" w:rsidTr="006A046E">
        <w:trPr>
          <w:cantSplit/>
          <w:trHeight w:val="23"/>
        </w:trPr>
        <w:tc>
          <w:tcPr>
            <w:tcW w:w="10031" w:type="dxa"/>
            <w:gridSpan w:val="2"/>
            <w:shd w:val="clear" w:color="auto" w:fill="auto"/>
          </w:tcPr>
          <w:p w14:paraId="020FEC9E" w14:textId="431C978F" w:rsidR="001A16ED" w:rsidRPr="00294E35" w:rsidRDefault="006E431C" w:rsidP="00665296">
            <w:pPr>
              <w:pStyle w:val="Source"/>
              <w:framePr w:hSpace="0" w:wrap="auto" w:hAnchor="text" w:yAlign="inline"/>
              <w:rPr>
                <w:lang w:val="es-ES_tradnl"/>
              </w:rPr>
            </w:pPr>
            <w:r w:rsidRPr="00294E35">
              <w:rPr>
                <w:lang w:val="es-ES_tradnl"/>
              </w:rPr>
              <w:t xml:space="preserve">Secretaría </w:t>
            </w:r>
            <w:r w:rsidR="001A16ED" w:rsidRPr="00294E35">
              <w:rPr>
                <w:lang w:val="es-ES_tradnl"/>
              </w:rPr>
              <w:t>General</w:t>
            </w:r>
          </w:p>
        </w:tc>
      </w:tr>
      <w:tr w:rsidR="001A16ED" w:rsidRPr="00BE3A0C" w14:paraId="7DB0F472" w14:textId="77777777" w:rsidTr="006A046E">
        <w:trPr>
          <w:cantSplit/>
          <w:trHeight w:val="23"/>
        </w:trPr>
        <w:tc>
          <w:tcPr>
            <w:tcW w:w="10031" w:type="dxa"/>
            <w:gridSpan w:val="2"/>
            <w:shd w:val="clear" w:color="auto" w:fill="auto"/>
          </w:tcPr>
          <w:p w14:paraId="4F76052A" w14:textId="6D39A283" w:rsidR="001A16ED" w:rsidRPr="00294E35" w:rsidRDefault="002445E8" w:rsidP="00527212">
            <w:pPr>
              <w:pStyle w:val="Title1"/>
              <w:framePr w:hSpace="0" w:wrap="auto" w:hAnchor="text" w:yAlign="inline"/>
              <w:rPr>
                <w:lang w:val="es-ES_tradnl"/>
              </w:rPr>
            </w:pPr>
            <w:r w:rsidRPr="00294E35">
              <w:rPr>
                <w:lang w:val="es-ES_tradnl"/>
              </w:rPr>
              <w:t>Extracto de las Actas de la AMNT-20</w:t>
            </w:r>
          </w:p>
        </w:tc>
      </w:tr>
      <w:tr w:rsidR="001A16ED" w:rsidRPr="00BE3A0C" w14:paraId="4B1021E8" w14:textId="77777777" w:rsidTr="006A046E">
        <w:trPr>
          <w:cantSplit/>
          <w:trHeight w:val="23"/>
        </w:trPr>
        <w:tc>
          <w:tcPr>
            <w:tcW w:w="10031" w:type="dxa"/>
            <w:gridSpan w:val="2"/>
            <w:shd w:val="clear" w:color="auto" w:fill="auto"/>
          </w:tcPr>
          <w:p w14:paraId="089EB19A" w14:textId="1908AB3E" w:rsidR="001A16ED" w:rsidRPr="00294E35" w:rsidRDefault="002445E8" w:rsidP="00665296">
            <w:pPr>
              <w:pStyle w:val="Title2"/>
              <w:framePr w:hSpace="0" w:wrap="auto" w:hAnchor="text" w:yAlign="inline"/>
              <w:rPr>
                <w:lang w:val="es-ES_tradnl"/>
              </w:rPr>
            </w:pPr>
            <w:r w:rsidRPr="00294E35">
              <w:rPr>
                <w:lang w:val="es-ES_tradnl"/>
              </w:rPr>
              <w:t>Uso de las instancias presenciales y virtuales en las actividades</w:t>
            </w:r>
            <w:r w:rsidR="004F4364" w:rsidRPr="00294E35">
              <w:rPr>
                <w:lang w:val="es-ES_tradnl"/>
              </w:rPr>
              <w:br/>
            </w:r>
            <w:r w:rsidRPr="00294E35">
              <w:rPr>
                <w:lang w:val="es-ES_tradnl"/>
              </w:rPr>
              <w:t>del Sector de Normalización de las Telecomunicaciones de la UIT</w:t>
            </w:r>
            <w:r w:rsidR="004F4364" w:rsidRPr="00294E35">
              <w:rPr>
                <w:lang w:val="es-ES_tradnl"/>
              </w:rPr>
              <w:br/>
            </w:r>
            <w:r w:rsidRPr="00294E35">
              <w:rPr>
                <w:lang w:val="es-ES_tradnl"/>
              </w:rPr>
              <w:t>en igualdad de condiciones</w:t>
            </w:r>
          </w:p>
        </w:tc>
      </w:tr>
      <w:tr w:rsidR="001A16ED" w:rsidRPr="00BE3A0C" w14:paraId="069EC5FE" w14:textId="77777777" w:rsidTr="006A046E">
        <w:trPr>
          <w:cantSplit/>
          <w:trHeight w:val="23"/>
        </w:trPr>
        <w:tc>
          <w:tcPr>
            <w:tcW w:w="10031" w:type="dxa"/>
            <w:gridSpan w:val="2"/>
            <w:shd w:val="clear" w:color="auto" w:fill="auto"/>
          </w:tcPr>
          <w:p w14:paraId="44F1ADA1" w14:textId="77777777" w:rsidR="001A16ED" w:rsidRPr="00294E35" w:rsidRDefault="001A16ED" w:rsidP="00872F7D">
            <w:pPr>
              <w:pStyle w:val="Agendaitem"/>
              <w:spacing w:before="120" w:after="0" w:line="240" w:lineRule="auto"/>
            </w:pPr>
          </w:p>
        </w:tc>
      </w:tr>
      <w:bookmarkEnd w:id="8"/>
      <w:bookmarkEnd w:id="9"/>
    </w:tbl>
    <w:p w14:paraId="3A597892" w14:textId="77777777" w:rsidR="00350B6C" w:rsidRPr="00294E35" w:rsidRDefault="00350B6C" w:rsidP="00350B6C">
      <w:pPr>
        <w:tabs>
          <w:tab w:val="clear" w:pos="567"/>
          <w:tab w:val="clear" w:pos="1134"/>
          <w:tab w:val="clear" w:pos="1701"/>
          <w:tab w:val="clear" w:pos="2268"/>
          <w:tab w:val="clear" w:pos="2835"/>
        </w:tabs>
        <w:overflowPunct/>
        <w:autoSpaceDE/>
        <w:autoSpaceDN/>
        <w:adjustRightInd/>
        <w:spacing w:before="0"/>
        <w:textAlignment w:val="auto"/>
        <w:rPr>
          <w:rFonts w:eastAsia="SimSun"/>
          <w:lang w:val="es-ES_tradnl"/>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50B6C" w:rsidRPr="00BE3A0C" w14:paraId="08137A16" w14:textId="77777777" w:rsidTr="0081608D">
        <w:trPr>
          <w:trHeight w:val="3372"/>
        </w:trPr>
        <w:tc>
          <w:tcPr>
            <w:tcW w:w="8080" w:type="dxa"/>
            <w:tcBorders>
              <w:top w:val="single" w:sz="12" w:space="0" w:color="auto"/>
              <w:left w:val="single" w:sz="12" w:space="0" w:color="auto"/>
              <w:bottom w:val="single" w:sz="12" w:space="0" w:color="auto"/>
              <w:right w:val="single" w:sz="12" w:space="0" w:color="auto"/>
            </w:tcBorders>
          </w:tcPr>
          <w:p w14:paraId="15734851" w14:textId="1E559DB2" w:rsidR="00350B6C" w:rsidRPr="00294E35" w:rsidRDefault="006E431C" w:rsidP="0081608D">
            <w:pPr>
              <w:keepNext/>
              <w:keepLines/>
              <w:spacing w:after="120"/>
              <w:ind w:left="567" w:hanging="567"/>
              <w:outlineLvl w:val="0"/>
              <w:rPr>
                <w:rFonts w:asciiTheme="minorHAnsi" w:eastAsia="SimSun" w:hAnsiTheme="minorHAnsi"/>
                <w:b/>
                <w:szCs w:val="24"/>
                <w:lang w:val="es-ES_tradnl"/>
              </w:rPr>
            </w:pPr>
            <w:bookmarkStart w:id="10" w:name="_Toc305764050"/>
            <w:r w:rsidRPr="00294E35">
              <w:rPr>
                <w:rFonts w:asciiTheme="minorHAnsi" w:eastAsia="SimSun" w:hAnsiTheme="minorHAnsi"/>
                <w:b/>
                <w:szCs w:val="24"/>
                <w:lang w:val="es-ES_tradnl"/>
              </w:rPr>
              <w:t>Resumen</w:t>
            </w:r>
            <w:bookmarkEnd w:id="10"/>
          </w:p>
          <w:p w14:paraId="02AA05A6" w14:textId="14A0B3B4" w:rsidR="00350B6C" w:rsidRPr="00294E35" w:rsidRDefault="006E431C" w:rsidP="004F4364">
            <w:pPr>
              <w:rPr>
                <w:rFonts w:eastAsia="SimSun"/>
                <w:lang w:val="es-ES_tradnl"/>
              </w:rPr>
            </w:pPr>
            <w:r w:rsidRPr="00294E35">
              <w:rPr>
                <w:rFonts w:eastAsia="SimSun"/>
                <w:lang w:val="es-ES_tradnl"/>
              </w:rPr>
              <w:t>La Asamblea Mundial de Normalización de las Telecomunicaciones</w:t>
            </w:r>
            <w:r w:rsidR="00350B6C" w:rsidRPr="00294E35">
              <w:rPr>
                <w:rFonts w:eastAsia="SimSun"/>
                <w:lang w:val="es-ES_tradnl"/>
              </w:rPr>
              <w:t xml:space="preserve"> (</w:t>
            </w:r>
            <w:r w:rsidRPr="00294E35">
              <w:rPr>
                <w:rFonts w:eastAsia="SimSun"/>
                <w:lang w:val="es-ES_tradnl"/>
              </w:rPr>
              <w:t>AMNT</w:t>
            </w:r>
            <w:r w:rsidR="00350B6C" w:rsidRPr="00294E35">
              <w:rPr>
                <w:rFonts w:eastAsia="SimSun"/>
                <w:lang w:val="es-ES_tradnl"/>
              </w:rPr>
              <w:t>-20, G</w:t>
            </w:r>
            <w:r w:rsidRPr="00294E35">
              <w:rPr>
                <w:rFonts w:eastAsia="SimSun"/>
                <w:lang w:val="es-ES_tradnl"/>
              </w:rPr>
              <w:t>inebra</w:t>
            </w:r>
            <w:r w:rsidR="00350B6C" w:rsidRPr="00294E35">
              <w:rPr>
                <w:rFonts w:eastAsia="SimSun"/>
                <w:lang w:val="es-ES_tradnl"/>
              </w:rPr>
              <w:t xml:space="preserve"> 2022) </w:t>
            </w:r>
            <w:r w:rsidR="00B74CBC" w:rsidRPr="00294E35">
              <w:rPr>
                <w:rFonts w:eastAsia="SimSun"/>
                <w:lang w:val="es-ES_tradnl"/>
              </w:rPr>
              <w:t>debatió</w:t>
            </w:r>
            <w:r w:rsidRPr="00294E35">
              <w:rPr>
                <w:rFonts w:eastAsia="SimSun"/>
                <w:lang w:val="es-ES_tradnl"/>
              </w:rPr>
              <w:t xml:space="preserve"> </w:t>
            </w:r>
            <w:r w:rsidR="00B74CBC" w:rsidRPr="00294E35">
              <w:rPr>
                <w:rFonts w:eastAsia="SimSun"/>
                <w:lang w:val="es-ES_tradnl"/>
              </w:rPr>
              <w:t>la</w:t>
            </w:r>
            <w:r w:rsidR="002445E8" w:rsidRPr="00294E35">
              <w:rPr>
                <w:rFonts w:eastAsia="SimSun"/>
                <w:lang w:val="es-ES_tradnl"/>
              </w:rPr>
              <w:t xml:space="preserve"> contribución de una </w:t>
            </w:r>
            <w:r w:rsidR="00B74CBC" w:rsidRPr="00294E35">
              <w:rPr>
                <w:rFonts w:eastAsia="SimSun"/>
                <w:lang w:val="es-ES_tradnl"/>
              </w:rPr>
              <w:t>r</w:t>
            </w:r>
            <w:r w:rsidR="002445E8" w:rsidRPr="00294E35">
              <w:rPr>
                <w:rFonts w:eastAsia="SimSun"/>
                <w:lang w:val="es-ES_tradnl"/>
              </w:rPr>
              <w:t>egión</w:t>
            </w:r>
            <w:r w:rsidRPr="00294E35">
              <w:rPr>
                <w:rFonts w:eastAsia="SimSun"/>
                <w:lang w:val="es-ES_tradnl"/>
              </w:rPr>
              <w:t xml:space="preserve"> relativa </w:t>
            </w:r>
            <w:r w:rsidR="002445E8" w:rsidRPr="00294E35">
              <w:rPr>
                <w:rFonts w:eastAsia="SimSun"/>
                <w:lang w:val="es-ES_tradnl"/>
              </w:rPr>
              <w:t>al</w:t>
            </w:r>
            <w:r w:rsidRPr="00294E35">
              <w:rPr>
                <w:rFonts w:eastAsia="SimSun"/>
                <w:lang w:val="es-ES_tradnl"/>
              </w:rPr>
              <w:t xml:space="preserve"> </w:t>
            </w:r>
            <w:r w:rsidR="002445E8" w:rsidRPr="00294E35">
              <w:rPr>
                <w:rFonts w:eastAsia="SimSun"/>
                <w:lang w:val="es-ES_tradnl"/>
              </w:rPr>
              <w:t>uso de las instancias presenciales y virtuales en las actividades del Sector de Normalización de las Telecomunicaciones de la UIT en igualdad de condiciones</w:t>
            </w:r>
            <w:r w:rsidR="00350B6C" w:rsidRPr="00294E35">
              <w:rPr>
                <w:rFonts w:eastAsia="SimSun"/>
                <w:lang w:val="es-ES_tradnl"/>
              </w:rPr>
              <w:t>.</w:t>
            </w:r>
          </w:p>
          <w:p w14:paraId="097AB67D" w14:textId="273A888E" w:rsidR="002445E8" w:rsidRPr="00294E35" w:rsidRDefault="002445E8" w:rsidP="004F4364">
            <w:pPr>
              <w:rPr>
                <w:rFonts w:eastAsia="SimSun"/>
                <w:lang w:val="es-ES_tradnl"/>
              </w:rPr>
            </w:pPr>
            <w:r w:rsidRPr="00294E35">
              <w:rPr>
                <w:rFonts w:eastAsia="SimSun"/>
                <w:lang w:val="es-ES_tradnl"/>
              </w:rPr>
              <w:t xml:space="preserve">El presente documento contiene </w:t>
            </w:r>
            <w:r w:rsidR="00527212" w:rsidRPr="00294E35">
              <w:rPr>
                <w:rFonts w:eastAsia="SimSun"/>
                <w:lang w:val="es-ES_tradnl"/>
              </w:rPr>
              <w:t>un extracto</w:t>
            </w:r>
            <w:r w:rsidRPr="00294E35">
              <w:rPr>
                <w:rFonts w:eastAsia="SimSun"/>
                <w:lang w:val="es-ES_tradnl"/>
              </w:rPr>
              <w:t xml:space="preserve"> de las Actas de la</w:t>
            </w:r>
            <w:r w:rsidR="003C61DD" w:rsidRPr="00294E35">
              <w:rPr>
                <w:rFonts w:eastAsia="SimSun"/>
                <w:lang w:val="es-ES_tradnl"/>
              </w:rPr>
              <w:t xml:space="preserve"> AMNT</w:t>
            </w:r>
            <w:r w:rsidR="00350B6C" w:rsidRPr="00294E35">
              <w:rPr>
                <w:rFonts w:eastAsia="SimSun"/>
                <w:lang w:val="es-ES_tradnl"/>
              </w:rPr>
              <w:t>-20</w:t>
            </w:r>
            <w:r w:rsidRPr="00294E35">
              <w:rPr>
                <w:rFonts w:eastAsia="SimSun"/>
                <w:lang w:val="es-ES_tradnl"/>
              </w:rPr>
              <w:t xml:space="preserve">, así como la propuesta que </w:t>
            </w:r>
            <w:r w:rsidR="00527212" w:rsidRPr="00294E35">
              <w:rPr>
                <w:rFonts w:eastAsia="SimSun"/>
                <w:lang w:val="es-ES_tradnl"/>
              </w:rPr>
              <w:t>debe someter</w:t>
            </w:r>
            <w:r w:rsidRPr="00294E35">
              <w:rPr>
                <w:rFonts w:eastAsia="SimSun"/>
                <w:lang w:val="es-ES_tradnl"/>
              </w:rPr>
              <w:t xml:space="preserve"> el Director de la TSB a la consideración de la Conferencia de Plenipotenciarios.</w:t>
            </w:r>
          </w:p>
          <w:p w14:paraId="47DCF75D" w14:textId="11D6068B" w:rsidR="00350B6C" w:rsidRPr="00294E35" w:rsidRDefault="00350B6C" w:rsidP="0081608D">
            <w:pPr>
              <w:keepNext/>
              <w:keepLines/>
              <w:spacing w:after="120"/>
              <w:ind w:left="567" w:hanging="567"/>
              <w:outlineLvl w:val="0"/>
              <w:rPr>
                <w:rFonts w:asciiTheme="minorHAnsi" w:eastAsia="SimSun" w:hAnsiTheme="minorHAnsi"/>
                <w:b/>
                <w:szCs w:val="24"/>
                <w:lang w:val="es-ES_tradnl"/>
              </w:rPr>
            </w:pPr>
            <w:bookmarkStart w:id="11" w:name="_Toc305764051"/>
            <w:r w:rsidRPr="00294E35">
              <w:rPr>
                <w:rFonts w:asciiTheme="minorHAnsi" w:eastAsia="SimSun" w:hAnsiTheme="minorHAnsi"/>
                <w:b/>
                <w:szCs w:val="24"/>
                <w:lang w:val="es-ES_tradnl"/>
              </w:rPr>
              <w:t>Ac</w:t>
            </w:r>
            <w:r w:rsidR="003C61DD" w:rsidRPr="00294E35">
              <w:rPr>
                <w:rFonts w:asciiTheme="minorHAnsi" w:eastAsia="SimSun" w:hAnsiTheme="minorHAnsi"/>
                <w:b/>
                <w:szCs w:val="24"/>
                <w:lang w:val="es-ES_tradnl"/>
              </w:rPr>
              <w:t>ción solicitada</w:t>
            </w:r>
            <w:bookmarkEnd w:id="11"/>
          </w:p>
          <w:p w14:paraId="030A89CC" w14:textId="57E7BD27" w:rsidR="00350B6C" w:rsidRPr="00294E35" w:rsidRDefault="003C61DD" w:rsidP="004F4364">
            <w:pPr>
              <w:rPr>
                <w:rFonts w:asciiTheme="minorHAnsi" w:eastAsia="SimSun" w:hAnsiTheme="minorHAnsi" w:cs="Calibri"/>
                <w:szCs w:val="24"/>
                <w:lang w:val="es-ES_tradnl"/>
              </w:rPr>
            </w:pPr>
            <w:r w:rsidRPr="00294E35">
              <w:rPr>
                <w:rFonts w:eastAsia="SimSun"/>
                <w:lang w:val="es-ES_tradnl"/>
              </w:rPr>
              <w:t>Se invita a la Conferencia de Plenipotenciarios a</w:t>
            </w:r>
            <w:r w:rsidR="00350B6C" w:rsidRPr="00294E35">
              <w:rPr>
                <w:rFonts w:eastAsia="SimSun"/>
                <w:b/>
                <w:bCs/>
                <w:lang w:val="es-ES_tradnl"/>
              </w:rPr>
              <w:t xml:space="preserve"> consider</w:t>
            </w:r>
            <w:r w:rsidRPr="00294E35">
              <w:rPr>
                <w:rFonts w:eastAsia="SimSun"/>
                <w:b/>
                <w:bCs/>
                <w:lang w:val="es-ES_tradnl"/>
              </w:rPr>
              <w:t>ar</w:t>
            </w:r>
            <w:r w:rsidR="00350B6C" w:rsidRPr="00294E35">
              <w:rPr>
                <w:rFonts w:eastAsia="SimSun"/>
                <w:lang w:val="es-ES_tradnl"/>
              </w:rPr>
              <w:t xml:space="preserve"> </w:t>
            </w:r>
            <w:r w:rsidR="00527212" w:rsidRPr="00294E35">
              <w:rPr>
                <w:rFonts w:eastAsia="SimSun"/>
                <w:lang w:val="es-ES_tradnl"/>
              </w:rPr>
              <w:t>el extracto</w:t>
            </w:r>
            <w:r w:rsidR="002445E8" w:rsidRPr="00294E35">
              <w:rPr>
                <w:rFonts w:eastAsia="SimSun"/>
                <w:lang w:val="es-ES_tradnl"/>
              </w:rPr>
              <w:t xml:space="preserve"> de las Actas de la AMNT-20 y la propuesta </w:t>
            </w:r>
            <w:r w:rsidR="00B74CBC" w:rsidRPr="00294E35">
              <w:rPr>
                <w:rFonts w:eastAsia="SimSun"/>
                <w:lang w:val="es-ES_tradnl"/>
              </w:rPr>
              <w:t>d</w:t>
            </w:r>
            <w:r w:rsidRPr="00294E35">
              <w:rPr>
                <w:rFonts w:eastAsia="SimSun"/>
                <w:lang w:val="es-ES_tradnl"/>
              </w:rPr>
              <w:t>el</w:t>
            </w:r>
            <w:r w:rsidR="00350B6C" w:rsidRPr="00294E35">
              <w:rPr>
                <w:rFonts w:eastAsia="SimSun"/>
                <w:lang w:val="es-ES_tradnl"/>
              </w:rPr>
              <w:t xml:space="preserve"> Anex</w:t>
            </w:r>
            <w:r w:rsidRPr="00294E35">
              <w:rPr>
                <w:rFonts w:eastAsia="SimSun"/>
                <w:lang w:val="es-ES_tradnl"/>
              </w:rPr>
              <w:t>o</w:t>
            </w:r>
            <w:r w:rsidR="00350B6C" w:rsidRPr="00294E35">
              <w:rPr>
                <w:rFonts w:eastAsia="SimSun"/>
                <w:lang w:val="es-ES_tradnl"/>
              </w:rPr>
              <w:t xml:space="preserve"> 1 </w:t>
            </w:r>
            <w:r w:rsidRPr="00294E35">
              <w:rPr>
                <w:rFonts w:eastAsia="SimSun"/>
                <w:lang w:val="es-ES_tradnl"/>
              </w:rPr>
              <w:t>y a</w:t>
            </w:r>
            <w:r w:rsidR="00350B6C" w:rsidRPr="00294E35">
              <w:rPr>
                <w:rFonts w:eastAsia="SimSun"/>
                <w:lang w:val="es-ES_tradnl"/>
              </w:rPr>
              <w:t xml:space="preserve"> </w:t>
            </w:r>
            <w:r w:rsidR="00350B6C" w:rsidRPr="00294E35">
              <w:rPr>
                <w:rFonts w:eastAsia="SimSun"/>
                <w:b/>
                <w:bCs/>
                <w:lang w:val="es-ES_tradnl"/>
              </w:rPr>
              <w:t>to</w:t>
            </w:r>
            <w:r w:rsidRPr="00294E35">
              <w:rPr>
                <w:rFonts w:eastAsia="SimSun"/>
                <w:b/>
                <w:bCs/>
                <w:lang w:val="es-ES_tradnl"/>
              </w:rPr>
              <w:t>mar las medidas que considere</w:t>
            </w:r>
            <w:r w:rsidR="0063710A" w:rsidRPr="00294E35">
              <w:rPr>
                <w:rFonts w:eastAsia="SimSun"/>
                <w:b/>
                <w:bCs/>
                <w:lang w:val="es-ES_tradnl"/>
              </w:rPr>
              <w:t xml:space="preserve"> necesarias</w:t>
            </w:r>
            <w:r w:rsidR="00B74CBC" w:rsidRPr="00294E35">
              <w:rPr>
                <w:rFonts w:eastAsia="SimSun"/>
                <w:b/>
                <w:bCs/>
                <w:lang w:val="es-ES_tradnl"/>
              </w:rPr>
              <w:t xml:space="preserve"> </w:t>
            </w:r>
            <w:r w:rsidR="00B74CBC" w:rsidRPr="00294E35">
              <w:rPr>
                <w:rFonts w:eastAsia="SimSun"/>
                <w:bCs/>
                <w:lang w:val="es-ES_tradnl"/>
              </w:rPr>
              <w:t>sobre este asunto</w:t>
            </w:r>
            <w:r w:rsidR="00350B6C" w:rsidRPr="00294E35">
              <w:rPr>
                <w:rFonts w:asciiTheme="minorHAnsi" w:eastAsia="SimSun" w:hAnsiTheme="minorHAnsi"/>
                <w:szCs w:val="24"/>
                <w:lang w:val="es-ES_tradnl"/>
              </w:rPr>
              <w:t>.</w:t>
            </w:r>
          </w:p>
          <w:p w14:paraId="465516E0" w14:textId="77777777" w:rsidR="00350B6C" w:rsidRPr="00294E35" w:rsidRDefault="00350B6C" w:rsidP="0081608D">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asciiTheme="minorHAnsi" w:hAnsiTheme="minorHAnsi"/>
                <w:szCs w:val="24"/>
                <w:lang w:val="es-ES_tradnl"/>
              </w:rPr>
            </w:pPr>
            <w:r w:rsidRPr="00294E35">
              <w:rPr>
                <w:rFonts w:asciiTheme="minorHAnsi" w:hAnsiTheme="minorHAnsi"/>
                <w:szCs w:val="24"/>
                <w:lang w:val="es-ES_tradnl"/>
              </w:rPr>
              <w:t>____________</w:t>
            </w:r>
          </w:p>
          <w:p w14:paraId="495B58F5" w14:textId="06BA66A6" w:rsidR="00350B6C" w:rsidRPr="00294E35" w:rsidRDefault="00350B6C" w:rsidP="0081608D">
            <w:pPr>
              <w:keepNext/>
              <w:keepLines/>
              <w:spacing w:after="120"/>
              <w:ind w:left="567" w:hanging="567"/>
              <w:outlineLvl w:val="0"/>
              <w:rPr>
                <w:rFonts w:asciiTheme="minorHAnsi" w:eastAsia="SimSun" w:hAnsiTheme="minorHAnsi"/>
                <w:b/>
                <w:szCs w:val="24"/>
                <w:lang w:val="es-ES_tradnl"/>
              </w:rPr>
            </w:pPr>
            <w:bookmarkStart w:id="12" w:name="_Toc305764052"/>
            <w:r w:rsidRPr="00294E35">
              <w:rPr>
                <w:rFonts w:asciiTheme="minorHAnsi" w:eastAsia="SimSun" w:hAnsiTheme="minorHAnsi"/>
                <w:b/>
                <w:szCs w:val="24"/>
                <w:lang w:val="es-ES_tradnl"/>
              </w:rPr>
              <w:t>Referenc</w:t>
            </w:r>
            <w:r w:rsidR="0063710A" w:rsidRPr="00294E35">
              <w:rPr>
                <w:rFonts w:asciiTheme="minorHAnsi" w:eastAsia="SimSun" w:hAnsiTheme="minorHAnsi"/>
                <w:b/>
                <w:szCs w:val="24"/>
                <w:lang w:val="es-ES_tradnl"/>
              </w:rPr>
              <w:t>ia</w:t>
            </w:r>
            <w:r w:rsidRPr="00294E35">
              <w:rPr>
                <w:rFonts w:asciiTheme="minorHAnsi" w:eastAsia="SimSun" w:hAnsiTheme="minorHAnsi"/>
                <w:b/>
                <w:szCs w:val="24"/>
                <w:lang w:val="es-ES_tradnl"/>
              </w:rPr>
              <w:t>s</w:t>
            </w:r>
            <w:bookmarkEnd w:id="12"/>
          </w:p>
          <w:p w14:paraId="507087B8" w14:textId="7186FDAB" w:rsidR="00350B6C" w:rsidRPr="00294E35" w:rsidRDefault="00BE3A0C" w:rsidP="0081608D">
            <w:pPr>
              <w:spacing w:after="120"/>
              <w:jc w:val="both"/>
              <w:rPr>
                <w:rFonts w:eastAsia="SimSun" w:cstheme="minorHAnsi"/>
                <w:bCs/>
                <w:i/>
                <w:iCs/>
                <w:lang w:val="es-ES_tradnl"/>
              </w:rPr>
            </w:pPr>
            <w:hyperlink r:id="rId11" w:history="1">
              <w:r w:rsidR="0063710A" w:rsidRPr="00294E35">
                <w:rPr>
                  <w:rFonts w:eastAsia="SimSun" w:cstheme="minorHAnsi"/>
                  <w:bCs/>
                  <w:i/>
                  <w:iCs/>
                  <w:color w:val="0000FF"/>
                  <w:u w:val="single"/>
                  <w:lang w:val="es-ES_tradnl"/>
                </w:rPr>
                <w:t>Actas de la AMNT</w:t>
              </w:r>
              <w:r w:rsidR="00350B6C" w:rsidRPr="00294E35">
                <w:rPr>
                  <w:rFonts w:eastAsia="SimSun" w:cstheme="minorHAnsi"/>
                  <w:bCs/>
                  <w:i/>
                  <w:iCs/>
                  <w:color w:val="0000FF"/>
                  <w:u w:val="single"/>
                  <w:lang w:val="es-ES_tradnl"/>
                </w:rPr>
                <w:t>-20</w:t>
              </w:r>
            </w:hyperlink>
          </w:p>
        </w:tc>
      </w:tr>
    </w:tbl>
    <w:p w14:paraId="1113C9F9" w14:textId="77777777" w:rsidR="00665296" w:rsidRPr="00294E35" w:rsidRDefault="00665296" w:rsidP="00665296">
      <w:pPr>
        <w:rPr>
          <w:rFonts w:eastAsia="SimSun"/>
          <w:lang w:val="es-ES_tradnl"/>
        </w:rPr>
      </w:pPr>
    </w:p>
    <w:p w14:paraId="3F35AC87" w14:textId="5503E277" w:rsidR="00665296" w:rsidRPr="00294E35" w:rsidRDefault="00350B6C" w:rsidP="0063710A">
      <w:pPr>
        <w:tabs>
          <w:tab w:val="clear" w:pos="567"/>
          <w:tab w:val="clear" w:pos="1134"/>
          <w:tab w:val="clear" w:pos="1701"/>
          <w:tab w:val="clear" w:pos="2268"/>
          <w:tab w:val="clear" w:pos="2835"/>
          <w:tab w:val="center" w:pos="6804"/>
        </w:tabs>
        <w:ind w:left="6480"/>
        <w:rPr>
          <w:rFonts w:asciiTheme="minorHAnsi" w:eastAsia="SimSun" w:hAnsiTheme="minorHAnsi" w:cstheme="minorHAnsi"/>
          <w:lang w:val="es-ES_tradnl"/>
        </w:rPr>
      </w:pPr>
      <w:r w:rsidRPr="00294E35">
        <w:rPr>
          <w:rFonts w:asciiTheme="minorHAnsi" w:eastAsia="SimSun" w:hAnsiTheme="minorHAnsi" w:cstheme="minorHAnsi"/>
          <w:lang w:val="es-ES_tradnl"/>
        </w:rPr>
        <w:t>Houlin ZHAO</w:t>
      </w:r>
      <w:r w:rsidRPr="00294E35">
        <w:rPr>
          <w:rFonts w:asciiTheme="minorHAnsi" w:eastAsia="SimSun" w:hAnsiTheme="minorHAnsi" w:cstheme="minorHAnsi"/>
          <w:lang w:val="es-ES_tradnl"/>
        </w:rPr>
        <w:br/>
      </w:r>
      <w:r w:rsidRPr="00294E35">
        <w:rPr>
          <w:rFonts w:asciiTheme="minorHAnsi" w:eastAsia="SimSun" w:hAnsiTheme="minorHAnsi" w:cstheme="minorHAnsi"/>
          <w:lang w:val="es-ES_tradnl"/>
        </w:rPr>
        <w:tab/>
        <w:t>Secretar</w:t>
      </w:r>
      <w:r w:rsidR="0063710A" w:rsidRPr="00294E35">
        <w:rPr>
          <w:rFonts w:asciiTheme="minorHAnsi" w:eastAsia="SimSun" w:hAnsiTheme="minorHAnsi" w:cstheme="minorHAnsi"/>
          <w:lang w:val="es-ES_tradnl"/>
        </w:rPr>
        <w:t xml:space="preserve">io </w:t>
      </w:r>
      <w:r w:rsidRPr="00294E35">
        <w:rPr>
          <w:rFonts w:asciiTheme="minorHAnsi" w:eastAsia="SimSun" w:hAnsiTheme="minorHAnsi" w:cstheme="minorHAnsi"/>
          <w:lang w:val="es-ES_tradnl"/>
        </w:rPr>
        <w:t>General</w:t>
      </w:r>
    </w:p>
    <w:p w14:paraId="6D43DD49" w14:textId="3A3FDE08" w:rsidR="001A16ED" w:rsidRPr="00294E35" w:rsidRDefault="001A16ED" w:rsidP="00665296">
      <w:pPr>
        <w:rPr>
          <w:lang w:val="es-ES_tradnl"/>
        </w:rPr>
      </w:pPr>
      <w:r w:rsidRPr="00294E35">
        <w:rPr>
          <w:lang w:val="es-ES_tradnl"/>
        </w:rPr>
        <w:br w:type="page"/>
      </w:r>
    </w:p>
    <w:p w14:paraId="20D9F019" w14:textId="199C7B4D" w:rsidR="00B74CBC" w:rsidRPr="00294E35" w:rsidRDefault="00390D71" w:rsidP="008B466E">
      <w:pPr>
        <w:pStyle w:val="Headingb"/>
        <w:rPr>
          <w:rFonts w:eastAsia="SimSun"/>
          <w:lang w:val="es-ES_tradnl"/>
        </w:rPr>
      </w:pPr>
      <w:r w:rsidRPr="00294E35">
        <w:rPr>
          <w:rFonts w:eastAsia="SimSun"/>
          <w:lang w:val="es-ES_tradnl"/>
        </w:rPr>
        <w:lastRenderedPageBreak/>
        <w:t>Introducción</w:t>
      </w:r>
    </w:p>
    <w:p w14:paraId="74B9FE3A" w14:textId="69E97940" w:rsidR="00B74CBC" w:rsidRPr="00294E35" w:rsidRDefault="00B74CBC" w:rsidP="004F4364">
      <w:pPr>
        <w:rPr>
          <w:rFonts w:eastAsia="SimSun"/>
          <w:lang w:val="es-ES_tradnl"/>
        </w:rPr>
      </w:pPr>
      <w:r w:rsidRPr="00294E35">
        <w:rPr>
          <w:rFonts w:eastAsia="SimSun"/>
          <w:lang w:val="es-ES_tradnl"/>
        </w:rPr>
        <w:t>La Asamblea Mundial de Normalización de las Telecomunicaciones (AMNT-20, Ginebra 2022) debatió la contribución de una región que proponía una Resolución de la AMNT-20 sobre el uso de las instancias presenciales y virtuales en las actividades del Sector de Normalización de las Telecomunicaciones de la UIT en igualdad de condiciones.</w:t>
      </w:r>
    </w:p>
    <w:p w14:paraId="2357CDFC" w14:textId="4DB3FCFA" w:rsidR="00B74CBC" w:rsidRPr="00294E35" w:rsidRDefault="00527212" w:rsidP="004F4364">
      <w:pPr>
        <w:rPr>
          <w:rFonts w:eastAsia="SimSun"/>
          <w:lang w:val="es-ES_tradnl"/>
        </w:rPr>
      </w:pPr>
      <w:r w:rsidRPr="00294E35">
        <w:rPr>
          <w:rFonts w:eastAsia="SimSun"/>
          <w:lang w:val="es-ES_tradnl"/>
        </w:rPr>
        <w:t>El extracto siguiente</w:t>
      </w:r>
      <w:r w:rsidR="00B74CBC" w:rsidRPr="00294E35">
        <w:rPr>
          <w:rFonts w:eastAsia="SimSun"/>
          <w:lang w:val="es-ES_tradnl"/>
        </w:rPr>
        <w:t xml:space="preserve"> de las Actas de la AMNT-20 refleja los debates relativos a dicha contribución: </w:t>
      </w:r>
    </w:p>
    <w:p w14:paraId="7A85FC4F" w14:textId="7012D859" w:rsidR="00B74CBC" w:rsidRPr="00294E35" w:rsidRDefault="00B74CBC" w:rsidP="00B74CBC">
      <w:pPr>
        <w:rPr>
          <w:rFonts w:eastAsia="SimSun"/>
          <w:i/>
          <w:iCs/>
          <w:lang w:val="es-ES_tradnl"/>
        </w:rPr>
      </w:pPr>
      <w:r w:rsidRPr="00294E35">
        <w:rPr>
          <w:rFonts w:eastAsia="SimSun"/>
          <w:i/>
          <w:iCs/>
          <w:lang w:val="es-ES_tradnl"/>
        </w:rPr>
        <w:t>6 Propuesta de nueva Resolución [IAP-3], Uso de las instancias presenciales y virtuales en las actividades del Sector de Normalización de las Telecomunicaciones de la UIT en igualdad de condiciones.</w:t>
      </w:r>
    </w:p>
    <w:p w14:paraId="21CE680E" w14:textId="448F77A5" w:rsidR="00B74CBC" w:rsidRPr="00294E35" w:rsidRDefault="00B74CBC" w:rsidP="00B74CBC">
      <w:pPr>
        <w:rPr>
          <w:rFonts w:eastAsia="SimSun"/>
          <w:i/>
          <w:iCs/>
          <w:lang w:val="es-ES_tradnl"/>
        </w:rPr>
      </w:pPr>
      <w:r w:rsidRPr="00294E35">
        <w:rPr>
          <w:rFonts w:eastAsia="SimSun"/>
          <w:i/>
          <w:iCs/>
          <w:lang w:val="es-ES_tradnl"/>
        </w:rPr>
        <w:t>Un representante del Uruguay, en nombre de la CITEL, presentó el Documento C39 Add.23 (ref.</w:t>
      </w:r>
      <w:r w:rsidR="004F4364" w:rsidRPr="00294E35">
        <w:rPr>
          <w:rFonts w:eastAsia="SimSun"/>
          <w:i/>
          <w:iCs/>
          <w:lang w:val="es-ES_tradnl"/>
        </w:rPr>
        <w:t> </w:t>
      </w:r>
      <w:r w:rsidRPr="00294E35">
        <w:rPr>
          <w:rFonts w:eastAsia="SimSun"/>
          <w:i/>
          <w:iCs/>
          <w:lang w:val="es-ES_tradnl"/>
        </w:rPr>
        <w:t>IAP/39A32/1), que contiene un proyecto de nueva Resolución [IAP-3] sobre el uso de las instancias presenciales y virtuales en las actividades del Sector de Normalización de las Telecomunicaciones de la UIT en igualdad de condiciones.</w:t>
      </w:r>
    </w:p>
    <w:p w14:paraId="0B909DF0" w14:textId="670ED9E5" w:rsidR="00B74CBC" w:rsidRPr="00294E35" w:rsidRDefault="00B74CBC" w:rsidP="00B74CBC">
      <w:pPr>
        <w:rPr>
          <w:rFonts w:eastAsia="SimSun"/>
          <w:i/>
          <w:iCs/>
          <w:lang w:val="es-ES_tradnl"/>
        </w:rPr>
      </w:pPr>
      <w:r w:rsidRPr="00294E35">
        <w:rPr>
          <w:rFonts w:eastAsia="SimSun"/>
          <w:i/>
          <w:iCs/>
          <w:lang w:val="es-ES_tradnl"/>
        </w:rPr>
        <w:t>La Plenaria era consciente de que los aspectos técnicos relativos a los métodos de trabajo (electrónicos) se abordarían en la Comisión 3 y en el Grupo de Trabajo 3A, relativo a la Resolución</w:t>
      </w:r>
      <w:r w:rsidR="004F4364" w:rsidRPr="00294E35">
        <w:rPr>
          <w:rFonts w:eastAsia="SimSun"/>
          <w:i/>
          <w:iCs/>
          <w:lang w:val="es-ES_tradnl"/>
        </w:rPr>
        <w:t> </w:t>
      </w:r>
      <w:r w:rsidRPr="00294E35">
        <w:rPr>
          <w:rFonts w:eastAsia="SimSun"/>
          <w:i/>
          <w:iCs/>
          <w:lang w:val="es-ES_tradnl"/>
        </w:rPr>
        <w:t>32 de la AMNT.</w:t>
      </w:r>
    </w:p>
    <w:p w14:paraId="546ED34C" w14:textId="77777777" w:rsidR="00B74CBC" w:rsidRPr="00294E35" w:rsidRDefault="00B74CBC" w:rsidP="00B74CBC">
      <w:pPr>
        <w:rPr>
          <w:rFonts w:eastAsia="SimSun"/>
          <w:i/>
          <w:iCs/>
          <w:lang w:val="es-ES_tradnl"/>
        </w:rPr>
      </w:pPr>
      <w:r w:rsidRPr="00294E35">
        <w:rPr>
          <w:rFonts w:eastAsia="SimSun"/>
          <w:i/>
          <w:iCs/>
          <w:lang w:val="es-ES_tradnl"/>
        </w:rPr>
        <w:t>La Plenaria también se dijo consciente de los trabajos conexos que estaba llevando a cabo el Grupo ad hoc del GANT sobre gobernanza y gestión de las reuniones por medios electrónicos (GAH-GRE del GANT), así como de las eventuales repercusiones de orden financiero, operativo y jurídico que entraban dentro del ámbito de competencia del Consejo y la Conferencia de Plenipotenciarios, dadas las modificaciones que podría ser necesario introducir en el Reglamento general como resultado de esta propuesta concreta.</w:t>
      </w:r>
    </w:p>
    <w:p w14:paraId="3A96855C" w14:textId="3AACF708" w:rsidR="00B74CBC" w:rsidRPr="00294E35" w:rsidRDefault="00B74CBC" w:rsidP="00B74CBC">
      <w:pPr>
        <w:rPr>
          <w:rFonts w:eastAsia="SimSun"/>
          <w:i/>
          <w:iCs/>
          <w:lang w:val="es-ES_tradnl"/>
        </w:rPr>
      </w:pPr>
      <w:r w:rsidRPr="00294E35">
        <w:rPr>
          <w:rFonts w:eastAsia="SimSun"/>
          <w:i/>
          <w:iCs/>
          <w:lang w:val="es-ES_tradnl"/>
        </w:rPr>
        <w:t>La Plenaria pidió al Director de la TSB que pusiera esta propuesta en conocimiento del Grupo ad hoc del GANT sobre gobernanza y gestión de las reuniones por medios electrónicos, del Consejo y de la Conferencia de Plenipotenciarios.</w:t>
      </w:r>
    </w:p>
    <w:p w14:paraId="3B86DBD6" w14:textId="3CD3A314" w:rsidR="00B74CBC" w:rsidRPr="00294E35" w:rsidRDefault="00532DA0" w:rsidP="008B466E">
      <w:pPr>
        <w:rPr>
          <w:lang w:val="es-ES_tradnl"/>
        </w:rPr>
      </w:pPr>
      <w:r w:rsidRPr="00294E35">
        <w:rPr>
          <w:lang w:val="es-ES_tradnl"/>
        </w:rPr>
        <w:t xml:space="preserve">En el Anexo 1, a continuación, </w:t>
      </w:r>
      <w:r w:rsidR="00595759" w:rsidRPr="00294E35">
        <w:rPr>
          <w:lang w:val="es-ES_tradnl"/>
        </w:rPr>
        <w:t xml:space="preserve">puede verse </w:t>
      </w:r>
      <w:r w:rsidRPr="00294E35">
        <w:rPr>
          <w:lang w:val="es-ES_tradnl"/>
        </w:rPr>
        <w:t xml:space="preserve">la propuesta. </w:t>
      </w:r>
    </w:p>
    <w:p w14:paraId="3FAC6A2C" w14:textId="77777777" w:rsidR="00B74CBC" w:rsidRPr="00294E35" w:rsidRDefault="00B74CBC" w:rsidP="00B74CBC">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94E35">
        <w:rPr>
          <w:lang w:val="es-ES_tradnl"/>
        </w:rPr>
        <w:br w:type="page"/>
      </w:r>
    </w:p>
    <w:p w14:paraId="32AF36CF" w14:textId="4DEF1FE0" w:rsidR="00B74CBC" w:rsidRPr="00294E35" w:rsidRDefault="00B74CBC" w:rsidP="008B466E">
      <w:pPr>
        <w:pStyle w:val="AnnexNo"/>
        <w:rPr>
          <w:rFonts w:eastAsia="SimSun"/>
          <w:lang w:val="es-ES_tradnl"/>
        </w:rPr>
      </w:pPr>
      <w:r w:rsidRPr="00294E35">
        <w:rPr>
          <w:rFonts w:eastAsia="SimSun"/>
          <w:lang w:val="es-ES_tradnl"/>
        </w:rPr>
        <w:lastRenderedPageBreak/>
        <w:t>An</w:t>
      </w:r>
      <w:r w:rsidR="00532DA0" w:rsidRPr="00294E35">
        <w:rPr>
          <w:rFonts w:eastAsia="SimSun"/>
          <w:lang w:val="es-ES_tradnl"/>
        </w:rPr>
        <w:t>EXO</w:t>
      </w:r>
      <w:r w:rsidRPr="00294E35">
        <w:rPr>
          <w:rFonts w:eastAsia="SimSun"/>
          <w:lang w:val="es-ES_tradnl"/>
        </w:rPr>
        <w:t xml:space="preserve"> 1</w:t>
      </w:r>
    </w:p>
    <w:p w14:paraId="4930A0FA" w14:textId="086373D8" w:rsidR="00532DA0" w:rsidRPr="00294E35" w:rsidRDefault="00532DA0" w:rsidP="00532DA0">
      <w:pPr>
        <w:pStyle w:val="Proposal"/>
        <w:rPr>
          <w:lang w:val="es-ES_tradnl"/>
        </w:rPr>
      </w:pPr>
      <w:r w:rsidRPr="00294E35">
        <w:rPr>
          <w:lang w:val="es-ES_tradnl"/>
        </w:rPr>
        <w:t>ADD</w:t>
      </w:r>
      <w:r w:rsidRPr="00294E35">
        <w:rPr>
          <w:lang w:val="es-ES_tradnl"/>
        </w:rPr>
        <w:tab/>
        <w:t>GS/71/1</w:t>
      </w:r>
    </w:p>
    <w:p w14:paraId="699C6604" w14:textId="0AE09052" w:rsidR="00532DA0" w:rsidRPr="00294E35" w:rsidRDefault="00532DA0" w:rsidP="00532DA0">
      <w:pPr>
        <w:pStyle w:val="ResNo"/>
        <w:rPr>
          <w:lang w:val="es-ES_tradnl"/>
        </w:rPr>
      </w:pPr>
      <w:r w:rsidRPr="00294E35">
        <w:rPr>
          <w:lang w:val="es-ES_tradnl"/>
        </w:rPr>
        <w:t xml:space="preserve">PROYECTO DE NUEVA RESOLUCIÓN [GS-2] </w:t>
      </w:r>
    </w:p>
    <w:p w14:paraId="3002A76F" w14:textId="77777777" w:rsidR="00532DA0" w:rsidRPr="00294E35" w:rsidRDefault="00532DA0" w:rsidP="00532DA0">
      <w:pPr>
        <w:pStyle w:val="Restitle"/>
        <w:rPr>
          <w:lang w:val="es-ES_tradnl"/>
        </w:rPr>
      </w:pPr>
      <w:r w:rsidRPr="00294E35">
        <w:rPr>
          <w:lang w:val="es-ES_tradnl"/>
        </w:rPr>
        <w:t>Uso de las instancias presenciales y virtuales en las actividades del sector de normalización de las telecomunicaciones de la UIT en igualdad de condiciones</w:t>
      </w:r>
    </w:p>
    <w:p w14:paraId="70DE0A17" w14:textId="77777777" w:rsidR="00532DA0" w:rsidRPr="00294E35" w:rsidRDefault="00532DA0" w:rsidP="00532DA0">
      <w:pPr>
        <w:pStyle w:val="Resref"/>
      </w:pPr>
      <w:r w:rsidRPr="00294E35">
        <w:t>(Ginebra, 2022)</w:t>
      </w:r>
    </w:p>
    <w:p w14:paraId="1135FA1C" w14:textId="77777777" w:rsidR="00532DA0" w:rsidRPr="00294E35" w:rsidRDefault="00532DA0" w:rsidP="00532DA0">
      <w:pPr>
        <w:pStyle w:val="Normalaftertitle"/>
        <w:rPr>
          <w:lang w:val="es-ES_tradnl"/>
        </w:rPr>
      </w:pPr>
      <w:r w:rsidRPr="00294E35">
        <w:rPr>
          <w:lang w:val="es-ES_tradnl"/>
        </w:rPr>
        <w:t>La Asamblea Mundial de Normalización de las Telecomunicaciones (Ginebra, 2022),</w:t>
      </w:r>
    </w:p>
    <w:p w14:paraId="5EC8D16C" w14:textId="77777777" w:rsidR="00532DA0" w:rsidRPr="00294E35" w:rsidRDefault="00532DA0" w:rsidP="00532DA0">
      <w:pPr>
        <w:pStyle w:val="Call"/>
        <w:rPr>
          <w:lang w:val="es-ES_tradnl"/>
        </w:rPr>
      </w:pPr>
      <w:r w:rsidRPr="00294E35">
        <w:rPr>
          <w:lang w:val="es-ES_tradnl"/>
        </w:rPr>
        <w:t>considerando</w:t>
      </w:r>
    </w:p>
    <w:p w14:paraId="5917007D" w14:textId="77777777" w:rsidR="00532DA0" w:rsidRPr="00294E35" w:rsidRDefault="00532DA0" w:rsidP="00532DA0">
      <w:pPr>
        <w:rPr>
          <w:lang w:val="es-ES_tradnl"/>
        </w:rPr>
      </w:pPr>
      <w:r w:rsidRPr="00294E35">
        <w:rPr>
          <w:i/>
          <w:iCs/>
          <w:lang w:val="es-ES_tradnl"/>
        </w:rPr>
        <w:t>a)</w:t>
      </w:r>
      <w:r w:rsidRPr="00294E35">
        <w:rPr>
          <w:lang w:val="es-ES_tradnl"/>
        </w:rPr>
        <w:tab/>
        <w:t>las dificultades que plantea para muchos países, aún en situaciones de normalidad sanitaria, la participación activa en las reuniones presenciales del Sector de Normalización de las Telecomunicaciones de la UIT (UIT-T);</w:t>
      </w:r>
    </w:p>
    <w:p w14:paraId="627A9699" w14:textId="77777777" w:rsidR="00532DA0" w:rsidRPr="00294E35" w:rsidRDefault="00532DA0" w:rsidP="00532DA0">
      <w:pPr>
        <w:rPr>
          <w:lang w:val="es-ES_tradnl"/>
        </w:rPr>
      </w:pPr>
      <w:r w:rsidRPr="00294E35">
        <w:rPr>
          <w:i/>
          <w:iCs/>
          <w:lang w:val="es-ES_tradnl"/>
        </w:rPr>
        <w:t>b)</w:t>
      </w:r>
      <w:r w:rsidRPr="00294E35">
        <w:rPr>
          <w:lang w:val="es-ES_tradnl"/>
        </w:rPr>
        <w:tab/>
        <w:t>que dichas dificultades afectan con mayor rigor, a los países en desarrollo</w:t>
      </w:r>
      <w:r w:rsidRPr="00294E35">
        <w:rPr>
          <w:rStyle w:val="FootnoteReference"/>
          <w:lang w:val="es-ES_tradnl"/>
        </w:rPr>
        <w:footnoteReference w:customMarkFollows="1" w:id="1"/>
        <w:t>1</w:t>
      </w:r>
      <w:r w:rsidRPr="00294E35">
        <w:rPr>
          <w:lang w:val="es-ES_tradnl"/>
        </w:rPr>
        <w:t>; limitándolos a participar en las diferentes reuniones de forma presencial;</w:t>
      </w:r>
    </w:p>
    <w:p w14:paraId="13F04799" w14:textId="77777777" w:rsidR="00532DA0" w:rsidRPr="00294E35" w:rsidRDefault="00532DA0" w:rsidP="00532DA0">
      <w:pPr>
        <w:rPr>
          <w:lang w:val="es-ES_tradnl"/>
        </w:rPr>
      </w:pPr>
      <w:r w:rsidRPr="00294E35">
        <w:rPr>
          <w:i/>
          <w:iCs/>
          <w:lang w:val="es-ES_tradnl"/>
        </w:rPr>
        <w:t>c)</w:t>
      </w:r>
      <w:r w:rsidRPr="00294E35">
        <w:rPr>
          <w:lang w:val="es-ES_tradnl"/>
        </w:rPr>
        <w:tab/>
        <w:t>la Resolución 64 (Rev. Dubái, 2018) sobre 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p w14:paraId="03F76E29" w14:textId="77777777" w:rsidR="00532DA0" w:rsidRPr="00294E35" w:rsidRDefault="00532DA0" w:rsidP="00532DA0">
      <w:pPr>
        <w:rPr>
          <w:lang w:val="es-ES_tradnl"/>
        </w:rPr>
      </w:pPr>
      <w:r w:rsidRPr="00294E35">
        <w:rPr>
          <w:i/>
          <w:iCs/>
          <w:lang w:val="es-ES_tradnl"/>
        </w:rPr>
        <w:t>d)</w:t>
      </w:r>
      <w:r w:rsidRPr="00294E35">
        <w:rPr>
          <w:lang w:val="es-ES_tradnl"/>
        </w:rPr>
        <w:tab/>
        <w:t>la Resolución 123 (Rev. Dubái, 2018) sobre la reducción de la brecha de normalización entre los países en desarrollo y los desarrollados;</w:t>
      </w:r>
    </w:p>
    <w:p w14:paraId="4649C980" w14:textId="77777777" w:rsidR="00532DA0" w:rsidRPr="00294E35" w:rsidRDefault="00532DA0" w:rsidP="00532DA0">
      <w:pPr>
        <w:rPr>
          <w:lang w:val="es-ES_tradnl"/>
        </w:rPr>
      </w:pPr>
      <w:r w:rsidRPr="00294E35">
        <w:rPr>
          <w:i/>
          <w:iCs/>
          <w:lang w:val="es-ES_tradnl"/>
        </w:rPr>
        <w:t>e)</w:t>
      </w:r>
      <w:r w:rsidRPr="00294E35">
        <w:rPr>
          <w:lang w:val="es-ES_tradnl"/>
        </w:rPr>
        <w:tab/>
        <w:t>la Resolución 167 (Rev. Dubái, 2018) sobre el fortalecimiento y fomento de las capacidades de la UIT para celebrar reuniones electrónicas y medios para avanzar la labor de la Unión,</w:t>
      </w:r>
    </w:p>
    <w:p w14:paraId="17C40C98" w14:textId="77777777" w:rsidR="00532DA0" w:rsidRPr="00294E35" w:rsidRDefault="00532DA0" w:rsidP="00532DA0">
      <w:pPr>
        <w:pStyle w:val="Call"/>
        <w:rPr>
          <w:lang w:val="es-ES_tradnl"/>
        </w:rPr>
      </w:pPr>
      <w:r w:rsidRPr="00294E35">
        <w:rPr>
          <w:lang w:val="es-ES_tradnl"/>
        </w:rPr>
        <w:t>observando</w:t>
      </w:r>
    </w:p>
    <w:p w14:paraId="5723D592" w14:textId="77777777" w:rsidR="00532DA0" w:rsidRPr="00294E35" w:rsidRDefault="00532DA0" w:rsidP="00532DA0">
      <w:pPr>
        <w:rPr>
          <w:lang w:val="es-ES_tradnl"/>
        </w:rPr>
      </w:pPr>
      <w:r w:rsidRPr="00294E35">
        <w:rPr>
          <w:i/>
          <w:iCs/>
          <w:lang w:val="es-ES_tradnl"/>
        </w:rPr>
        <w:t>a)</w:t>
      </w:r>
      <w:r w:rsidRPr="00294E35">
        <w:rPr>
          <w:lang w:val="es-ES_tradnl"/>
        </w:rPr>
        <w:tab/>
        <w:t xml:space="preserve">que se ha producido una transformación y fortalecimiento de los métodos actuales de trabajo electrónicos (EWM, </w:t>
      </w:r>
      <w:r w:rsidRPr="00294E35">
        <w:rPr>
          <w:i/>
          <w:iCs/>
          <w:lang w:val="es-ES_tradnl"/>
        </w:rPr>
        <w:t>electronic working methods</w:t>
      </w:r>
      <w:r w:rsidRPr="00294E35">
        <w:rPr>
          <w:lang w:val="es-ES_tradnl"/>
        </w:rPr>
        <w:t>) de la UIT a raíz de la pandemia generada por el COVID 19;</w:t>
      </w:r>
    </w:p>
    <w:p w14:paraId="14C51E47" w14:textId="77777777" w:rsidR="00532DA0" w:rsidRPr="00294E35" w:rsidRDefault="00532DA0" w:rsidP="00532DA0">
      <w:pPr>
        <w:rPr>
          <w:lang w:val="es-ES_tradnl" w:eastAsia="es-ES"/>
        </w:rPr>
      </w:pPr>
      <w:r w:rsidRPr="00294E35">
        <w:rPr>
          <w:i/>
          <w:iCs/>
          <w:lang w:val="es-ES_tradnl" w:eastAsia="es-ES"/>
        </w:rPr>
        <w:t>b)</w:t>
      </w:r>
      <w:r w:rsidRPr="00294E35">
        <w:rPr>
          <w:lang w:val="es-ES_tradnl" w:eastAsia="es-ES"/>
        </w:rPr>
        <w:tab/>
        <w:t>que la situación de emergencia sanitaria mundial ha propiciado el uso de los EWM con las plataformas tecnológicas existentes y que éstas han demostrado cumplir con los resultados esperados;</w:t>
      </w:r>
    </w:p>
    <w:p w14:paraId="69275445" w14:textId="77777777" w:rsidR="00532DA0" w:rsidRPr="00294E35" w:rsidRDefault="00532DA0" w:rsidP="00532DA0">
      <w:pPr>
        <w:rPr>
          <w:lang w:val="es-ES_tradnl"/>
        </w:rPr>
      </w:pPr>
      <w:r w:rsidRPr="00294E35">
        <w:rPr>
          <w:i/>
          <w:szCs w:val="22"/>
          <w:lang w:val="es-ES_tradnl"/>
        </w:rPr>
        <w:t>c)</w:t>
      </w:r>
      <w:r w:rsidRPr="00294E35">
        <w:rPr>
          <w:iCs/>
          <w:szCs w:val="22"/>
          <w:lang w:val="es-ES_tradnl"/>
        </w:rPr>
        <w:tab/>
        <w:t xml:space="preserve">que en tiempos de normalidad, se debe optimizar el aprovechamiento de las herramientas implementadas por la UIT en las reuniones de las diferentes Comisiones de Estudio y actividades del Sector; </w:t>
      </w:r>
    </w:p>
    <w:p w14:paraId="24D8CA0A" w14:textId="77777777" w:rsidR="00532DA0" w:rsidRPr="00294E35" w:rsidRDefault="00532DA0" w:rsidP="00532DA0">
      <w:pPr>
        <w:rPr>
          <w:lang w:val="es-ES_tradnl"/>
        </w:rPr>
      </w:pPr>
      <w:r w:rsidRPr="00294E35">
        <w:rPr>
          <w:i/>
          <w:iCs/>
          <w:lang w:val="es-ES_tradnl"/>
        </w:rPr>
        <w:lastRenderedPageBreak/>
        <w:t>d)</w:t>
      </w:r>
      <w:r w:rsidRPr="00294E35">
        <w:rPr>
          <w:lang w:val="es-ES_tradnl"/>
        </w:rPr>
        <w:tab/>
        <w:t>que la facilidad de acceso virtual representa para los Miembros la oportunidad de incremento de su participación electrónica en la elaboración y aprobación de las Recomendaciones, en particular la de aquellos que tienen dificultades para participar en las reuniones presenciales de las Comisiones de Estudio y otras actividades del Sector,</w:t>
      </w:r>
    </w:p>
    <w:p w14:paraId="2BCB957C" w14:textId="77777777" w:rsidR="00532DA0" w:rsidRPr="00294E35" w:rsidRDefault="00532DA0" w:rsidP="00532DA0">
      <w:pPr>
        <w:pStyle w:val="Call"/>
        <w:rPr>
          <w:lang w:val="es-ES_tradnl"/>
        </w:rPr>
      </w:pPr>
      <w:r w:rsidRPr="00294E35">
        <w:rPr>
          <w:lang w:val="es-ES_tradnl"/>
        </w:rPr>
        <w:t>considerando además</w:t>
      </w:r>
    </w:p>
    <w:p w14:paraId="3C328433" w14:textId="77777777" w:rsidR="00532DA0" w:rsidRPr="00294E35" w:rsidRDefault="00532DA0" w:rsidP="00532DA0">
      <w:pPr>
        <w:rPr>
          <w:lang w:val="es-ES_tradnl" w:eastAsia="es-ES"/>
        </w:rPr>
      </w:pPr>
      <w:r w:rsidRPr="00294E35">
        <w:rPr>
          <w:lang w:val="es-ES_tradnl"/>
        </w:rPr>
        <w:t>que independientemente, de llevarse a cabo una reunión virtual o presencial, la herramienta debería de mantenerse siempre disponible y actualizada para todas las instancias, en cada una de las reuniones que se realicen,</w:t>
      </w:r>
    </w:p>
    <w:p w14:paraId="79065D4F" w14:textId="77777777" w:rsidR="00532DA0" w:rsidRPr="00294E35" w:rsidRDefault="00532DA0" w:rsidP="00532DA0">
      <w:pPr>
        <w:pStyle w:val="Call"/>
        <w:rPr>
          <w:lang w:val="es-ES_tradnl"/>
        </w:rPr>
      </w:pPr>
      <w:r w:rsidRPr="00294E35">
        <w:rPr>
          <w:lang w:val="es-ES_tradnl"/>
        </w:rPr>
        <w:t>resuelve</w:t>
      </w:r>
    </w:p>
    <w:p w14:paraId="0436962A" w14:textId="77777777" w:rsidR="00532DA0" w:rsidRPr="00294E35" w:rsidRDefault="00532DA0" w:rsidP="00532DA0">
      <w:pPr>
        <w:rPr>
          <w:iCs/>
          <w:szCs w:val="22"/>
          <w:lang w:val="es-ES_tradnl"/>
        </w:rPr>
      </w:pPr>
      <w:r w:rsidRPr="00294E35">
        <w:rPr>
          <w:lang w:val="es-ES_tradnl"/>
        </w:rPr>
        <w:t>1</w:t>
      </w:r>
      <w:r w:rsidRPr="00294E35">
        <w:rPr>
          <w:lang w:val="es-ES_tradnl"/>
        </w:rPr>
        <w:tab/>
        <w:t xml:space="preserve">que se adopten las medidas necesarias, en materia </w:t>
      </w:r>
      <w:r w:rsidRPr="00294E35">
        <w:rPr>
          <w:iCs/>
          <w:szCs w:val="22"/>
          <w:lang w:val="es-ES_tradnl"/>
        </w:rPr>
        <w:t xml:space="preserve">de métodos de trabajo electrónicos, </w:t>
      </w:r>
      <w:r w:rsidRPr="00294E35">
        <w:rPr>
          <w:lang w:val="es-ES_tradnl"/>
        </w:rPr>
        <w:t xml:space="preserve">para que el acceso de manera virtual/remota de los miembros del UIT-T a todas las instancias de trabajo, sea en igualdad de condiciones con respecto a la participación de forma presencial, incluyendo </w:t>
      </w:r>
      <w:r w:rsidRPr="00294E35">
        <w:rPr>
          <w:iCs/>
          <w:szCs w:val="22"/>
          <w:lang w:val="es-ES_tradnl"/>
        </w:rPr>
        <w:t xml:space="preserve">(bajo solicitud y en la medida de lo posible) la interpretación a los 6 idiomas oficiales de la UIT; </w:t>
      </w:r>
    </w:p>
    <w:p w14:paraId="3D2B837A" w14:textId="77777777" w:rsidR="00532DA0" w:rsidRPr="00294E35" w:rsidRDefault="00532DA0" w:rsidP="00532DA0">
      <w:pPr>
        <w:rPr>
          <w:lang w:val="es-ES_tradnl"/>
        </w:rPr>
      </w:pPr>
      <w:r w:rsidRPr="00294E35">
        <w:rPr>
          <w:lang w:val="es-ES_tradnl"/>
        </w:rPr>
        <w:t>2</w:t>
      </w:r>
      <w:r w:rsidRPr="00294E35">
        <w:rPr>
          <w:lang w:val="es-ES_tradnl"/>
        </w:rPr>
        <w:tab/>
        <w:t>que las instancias de trabajo a través de medios electrónicos sean consideradas igualitarias, simultáneas e integradas totalmente a los métodos de trabajo presenciales implementados por el UIT</w:t>
      </w:r>
      <w:r w:rsidRPr="00294E35">
        <w:rPr>
          <w:lang w:val="es-ES_tradnl"/>
        </w:rPr>
        <w:noBreakHyphen/>
        <w:t>T,</w:t>
      </w:r>
    </w:p>
    <w:p w14:paraId="495FBE54" w14:textId="77777777" w:rsidR="00532DA0" w:rsidRPr="00294E35" w:rsidRDefault="00532DA0" w:rsidP="00532DA0">
      <w:pPr>
        <w:pStyle w:val="Call"/>
        <w:rPr>
          <w:lang w:val="es-ES_tradnl"/>
        </w:rPr>
      </w:pPr>
      <w:r w:rsidRPr="00294E35">
        <w:rPr>
          <w:lang w:val="es-ES_tradnl"/>
        </w:rPr>
        <w:t>encarga</w:t>
      </w:r>
    </w:p>
    <w:p w14:paraId="791582A4" w14:textId="77777777" w:rsidR="00532DA0" w:rsidRPr="00294E35" w:rsidRDefault="00532DA0" w:rsidP="00532DA0">
      <w:pPr>
        <w:rPr>
          <w:lang w:val="es-ES_tradnl"/>
        </w:rPr>
      </w:pPr>
      <w:r w:rsidRPr="00294E35">
        <w:rPr>
          <w:lang w:val="es-ES_tradnl"/>
        </w:rPr>
        <w:t>1</w:t>
      </w:r>
      <w:r w:rsidRPr="00294E35">
        <w:rPr>
          <w:lang w:val="es-ES_tradnl"/>
        </w:rPr>
        <w:tab/>
        <w:t>al Director de la Oficina de Normalización de las Telecomunicaciones (TSB):</w:t>
      </w:r>
    </w:p>
    <w:p w14:paraId="4941BD85" w14:textId="77777777" w:rsidR="00532DA0" w:rsidRPr="00294E35" w:rsidRDefault="00532DA0" w:rsidP="00532DA0">
      <w:pPr>
        <w:pStyle w:val="enumlev1"/>
        <w:rPr>
          <w:lang w:val="es-ES_tradnl"/>
        </w:rPr>
      </w:pPr>
      <w:r w:rsidRPr="00294E35">
        <w:rPr>
          <w:lang w:val="es-ES_tradnl"/>
        </w:rPr>
        <w:t>•</w:t>
      </w:r>
      <w:r w:rsidRPr="00294E35">
        <w:rPr>
          <w:lang w:val="es-ES_tradnl"/>
        </w:rPr>
        <w:tab/>
        <w:t>generar, en el menor plazo posible, las condiciones para llevar a cabo la presente resolución y realizar el seguimiento especialmente, en orden a reducir la brecha de la normalización (BSG, Bridging the Standardization Gap);</w:t>
      </w:r>
    </w:p>
    <w:p w14:paraId="7A107F8A" w14:textId="77777777" w:rsidR="00532DA0" w:rsidRPr="00294E35" w:rsidRDefault="00532DA0" w:rsidP="00532DA0">
      <w:pPr>
        <w:pStyle w:val="enumlev1"/>
        <w:rPr>
          <w:lang w:val="es-ES_tradnl"/>
        </w:rPr>
      </w:pPr>
      <w:r w:rsidRPr="00294E35">
        <w:rPr>
          <w:lang w:val="es-ES_tradnl"/>
        </w:rPr>
        <w:t>•</w:t>
      </w:r>
      <w:r w:rsidRPr="00294E35">
        <w:rPr>
          <w:lang w:val="es-ES_tradnl"/>
        </w:rPr>
        <w:tab/>
        <w:t>analizar, en colaboración con los Directores de las Oficinas de Radiocomunicaciones y de Desarrollo a la posibilidad de extender esta propuesta a las actividades del resto de los Sectores de la UIT;</w:t>
      </w:r>
    </w:p>
    <w:p w14:paraId="65F9C45F" w14:textId="77777777" w:rsidR="00532DA0" w:rsidRPr="00294E35" w:rsidRDefault="00532DA0" w:rsidP="00532DA0">
      <w:pPr>
        <w:rPr>
          <w:lang w:val="es-ES_tradnl"/>
        </w:rPr>
      </w:pPr>
      <w:r w:rsidRPr="00294E35">
        <w:rPr>
          <w:lang w:val="es-ES_tradnl"/>
        </w:rPr>
        <w:t>2</w:t>
      </w:r>
      <w:r w:rsidRPr="00294E35">
        <w:rPr>
          <w:lang w:val="es-ES_tradnl"/>
        </w:rPr>
        <w:tab/>
        <w:t>que el Grupo Asesor de Normalización de las Telecomunicaciones (GANT):</w:t>
      </w:r>
    </w:p>
    <w:p w14:paraId="39EF5870" w14:textId="77777777" w:rsidR="00532DA0" w:rsidRPr="00294E35" w:rsidRDefault="00532DA0" w:rsidP="00532DA0">
      <w:pPr>
        <w:pStyle w:val="enumlev1"/>
        <w:rPr>
          <w:lang w:val="es-ES_tradnl"/>
        </w:rPr>
      </w:pPr>
      <w:r w:rsidRPr="00294E35">
        <w:rPr>
          <w:lang w:val="es-ES_tradnl"/>
        </w:rPr>
        <w:t>•</w:t>
      </w:r>
      <w:r w:rsidRPr="00294E35">
        <w:rPr>
          <w:lang w:val="es-ES_tradnl"/>
        </w:rPr>
        <w:tab/>
        <w:t>solicite a los Presidentes de las Comisiones de Estudio que identifiquen cualquier otro uso posible de los EWM que ayuden a impulsar la mayor participación de todas las partes interesadas;</w:t>
      </w:r>
    </w:p>
    <w:p w14:paraId="2E20980E" w14:textId="77777777" w:rsidR="00532DA0" w:rsidRPr="00294E35" w:rsidRDefault="00532DA0" w:rsidP="00532DA0">
      <w:pPr>
        <w:pStyle w:val="enumlev1"/>
        <w:rPr>
          <w:lang w:val="es-ES_tradnl"/>
        </w:rPr>
      </w:pPr>
      <w:r w:rsidRPr="00294E35">
        <w:rPr>
          <w:lang w:val="es-ES_tradnl"/>
        </w:rPr>
        <w:t>•</w:t>
      </w:r>
      <w:r w:rsidRPr="00294E35">
        <w:rPr>
          <w:lang w:val="es-ES_tradnl"/>
        </w:rPr>
        <w:tab/>
        <w:t>identifique, contemplando la experiencia recogida y relevando las opiniones que estime necesarias para el trabajo a futuro, las necesidades de los usuarios en cuanto a mejoras en la interacción simultanean de los EWM y la actividad presencial;</w:t>
      </w:r>
    </w:p>
    <w:p w14:paraId="337622FC" w14:textId="77777777" w:rsidR="00532DA0" w:rsidRPr="00294E35" w:rsidRDefault="00532DA0" w:rsidP="00532DA0">
      <w:pPr>
        <w:pStyle w:val="enumlev1"/>
        <w:rPr>
          <w:lang w:val="es-ES_tradnl"/>
        </w:rPr>
      </w:pPr>
      <w:r w:rsidRPr="00294E35">
        <w:rPr>
          <w:lang w:val="es-ES_tradnl"/>
        </w:rPr>
        <w:t>•</w:t>
      </w:r>
      <w:r w:rsidRPr="00294E35">
        <w:rPr>
          <w:lang w:val="es-ES_tradnl"/>
        </w:rPr>
        <w:tab/>
        <w:t>que realice un seguimiento de los resultados de la interacción por la participación tanto física como virtual en el alcance de los objetivos del Sector, mediante presentación de formularios de cumplimiento de la participación y seguimientos realizados,</w:t>
      </w:r>
    </w:p>
    <w:p w14:paraId="5628E57A" w14:textId="77777777" w:rsidR="00532DA0" w:rsidRPr="00294E35" w:rsidRDefault="00532DA0" w:rsidP="00532DA0">
      <w:pPr>
        <w:pStyle w:val="Call"/>
        <w:rPr>
          <w:b/>
          <w:lang w:val="es-ES_tradnl"/>
        </w:rPr>
      </w:pPr>
      <w:r w:rsidRPr="00294E35">
        <w:rPr>
          <w:lang w:val="es-ES_tradnl"/>
        </w:rPr>
        <w:t>invita</w:t>
      </w:r>
    </w:p>
    <w:p w14:paraId="79F8618B" w14:textId="305C3707" w:rsidR="00532DA0" w:rsidRPr="00294E35" w:rsidRDefault="00532DA0" w:rsidP="00532DA0">
      <w:pPr>
        <w:rPr>
          <w:lang w:val="es-ES_tradnl"/>
        </w:rPr>
      </w:pPr>
      <w:r w:rsidRPr="00294E35">
        <w:rPr>
          <w:lang w:val="es-ES_tradnl"/>
        </w:rPr>
        <w:t>al Consejo de la UIT a que evalúe y recomiende sobre la potencialidad de las herramientas virtuales para favorecer las actividades de la UIT y el cumplimiento de sus objetivos en términos de participación.</w:t>
      </w:r>
    </w:p>
    <w:p w14:paraId="5CB7E234" w14:textId="77777777" w:rsidR="0034661F" w:rsidRPr="00294E35" w:rsidRDefault="0034661F" w:rsidP="0034661F">
      <w:pPr>
        <w:pStyle w:val="Reasons"/>
        <w:rPr>
          <w:lang w:val="es-ES_tradnl"/>
        </w:rPr>
      </w:pPr>
    </w:p>
    <w:p w14:paraId="3886C87A" w14:textId="39FD8FDA" w:rsidR="00595759" w:rsidRPr="00294E35" w:rsidRDefault="00595759" w:rsidP="008B466E">
      <w:pPr>
        <w:spacing w:before="0"/>
        <w:jc w:val="center"/>
        <w:rPr>
          <w:lang w:val="es-ES_tradnl"/>
        </w:rPr>
      </w:pPr>
      <w:r w:rsidRPr="00294E35">
        <w:rPr>
          <w:lang w:val="es-ES_tradnl"/>
        </w:rPr>
        <w:t>_____________</w:t>
      </w:r>
    </w:p>
    <w:sectPr w:rsidR="00595759" w:rsidRPr="00294E35" w:rsidSect="00361097">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D965" w14:textId="77777777" w:rsidR="00FC5117" w:rsidRDefault="00FC5117">
      <w:r>
        <w:separator/>
      </w:r>
    </w:p>
  </w:endnote>
  <w:endnote w:type="continuationSeparator" w:id="0">
    <w:p w14:paraId="2BB35A05"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66CB" w14:textId="0B592011" w:rsidR="00B31BC2" w:rsidRPr="00A516BB" w:rsidRDefault="00294E35" w:rsidP="00B31BC2">
    <w:pPr>
      <w:pStyle w:val="Footer"/>
    </w:pPr>
    <w:r w:rsidRPr="00BE3A0C">
      <w:rPr>
        <w:color w:val="F2F2F2" w:themeColor="background1" w:themeShade="F2"/>
      </w:rPr>
      <w:fldChar w:fldCharType="begin"/>
    </w:r>
    <w:r w:rsidRPr="00BE3A0C">
      <w:rPr>
        <w:color w:val="F2F2F2" w:themeColor="background1" w:themeShade="F2"/>
      </w:rPr>
      <w:instrText xml:space="preserve"> FILENAME  \p  \* MERGEFORMAT </w:instrText>
    </w:r>
    <w:r w:rsidRPr="00BE3A0C">
      <w:rPr>
        <w:color w:val="F2F2F2" w:themeColor="background1" w:themeShade="F2"/>
      </w:rPr>
      <w:fldChar w:fldCharType="separate"/>
    </w:r>
    <w:r w:rsidR="004F4364" w:rsidRPr="00BE3A0C">
      <w:rPr>
        <w:color w:val="F2F2F2" w:themeColor="background1" w:themeShade="F2"/>
      </w:rPr>
      <w:t>P:\ESP\SG\CONF-SG\PP22\000\071S.docx</w:t>
    </w:r>
    <w:r w:rsidRPr="00BE3A0C">
      <w:rPr>
        <w:color w:val="F2F2F2" w:themeColor="background1" w:themeShade="F2"/>
      </w:rPr>
      <w:fldChar w:fldCharType="end"/>
    </w:r>
    <w:r w:rsidR="004F4364" w:rsidRPr="00BE3A0C">
      <w:rPr>
        <w:color w:val="F2F2F2" w:themeColor="background1" w:themeShade="F2"/>
      </w:rPr>
      <w:t xml:space="preserve"> (510898)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B95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A9DD" w14:textId="77777777" w:rsidR="00FC5117" w:rsidRDefault="00FC5117">
      <w:r>
        <w:t>____________________</w:t>
      </w:r>
    </w:p>
  </w:footnote>
  <w:footnote w:type="continuationSeparator" w:id="0">
    <w:p w14:paraId="30B3DE8A" w14:textId="77777777" w:rsidR="00FC5117" w:rsidRDefault="00FC5117">
      <w:r>
        <w:continuationSeparator/>
      </w:r>
    </w:p>
  </w:footnote>
  <w:footnote w:id="1">
    <w:p w14:paraId="290BCA13" w14:textId="77777777" w:rsidR="00532DA0" w:rsidRPr="00AF67DD" w:rsidRDefault="00532DA0" w:rsidP="00532DA0">
      <w:pPr>
        <w:pStyle w:val="FootnoteText"/>
        <w:rPr>
          <w:lang w:val="es-ES"/>
        </w:rPr>
      </w:pPr>
      <w:r w:rsidRPr="00532DA0">
        <w:rPr>
          <w:rStyle w:val="FootnoteReference"/>
          <w:lang w:val="es-ES"/>
        </w:rPr>
        <w:t>1</w:t>
      </w:r>
      <w:r w:rsidRPr="00532DA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386B" w14:textId="5FA42C86" w:rsidR="000507C1" w:rsidRDefault="000507C1" w:rsidP="00CE1B90">
    <w:pPr>
      <w:pStyle w:val="Header"/>
    </w:pPr>
    <w:r>
      <w:fldChar w:fldCharType="begin"/>
    </w:r>
    <w:r>
      <w:instrText xml:space="preserve"> PAGE   \* MERGEFORMAT </w:instrText>
    </w:r>
    <w:r>
      <w:fldChar w:fldCharType="separate"/>
    </w:r>
    <w:r w:rsidR="00234015">
      <w:rPr>
        <w:noProof/>
      </w:rPr>
      <w:t>2</w:t>
    </w:r>
    <w:r>
      <w:fldChar w:fldCharType="end"/>
    </w:r>
  </w:p>
  <w:p w14:paraId="203C316C" w14:textId="3EDA4DD2" w:rsidR="00CE1B90" w:rsidRDefault="00CE1B90" w:rsidP="004F7925">
    <w:pPr>
      <w:pStyle w:val="Header"/>
    </w:pPr>
    <w:r>
      <w:t>PP</w:t>
    </w:r>
    <w:r w:rsidR="000235EC">
      <w:t>22</w:t>
    </w:r>
    <w:r>
      <w:t>/</w:t>
    </w:r>
    <w:r w:rsidR="00532DA0">
      <w:t>71</w:t>
    </w:r>
    <w:r>
      <w:t>-</w:t>
    </w:r>
    <w:r w:rsidR="00B36F67">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0083"/>
    <w:rsid w:val="00041924"/>
    <w:rsid w:val="000507C1"/>
    <w:rsid w:val="00053B97"/>
    <w:rsid w:val="00082EB9"/>
    <w:rsid w:val="000842DF"/>
    <w:rsid w:val="0008540E"/>
    <w:rsid w:val="00094B4F"/>
    <w:rsid w:val="000A1015"/>
    <w:rsid w:val="000A7023"/>
    <w:rsid w:val="000B03F9"/>
    <w:rsid w:val="000B0A77"/>
    <w:rsid w:val="000B0D6C"/>
    <w:rsid w:val="000B5BB9"/>
    <w:rsid w:val="000B7152"/>
    <w:rsid w:val="000C4701"/>
    <w:rsid w:val="000D5F7F"/>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0C80"/>
    <w:rsid w:val="001D3322"/>
    <w:rsid w:val="001E01A5"/>
    <w:rsid w:val="001E18AB"/>
    <w:rsid w:val="001E1C8F"/>
    <w:rsid w:val="002115E0"/>
    <w:rsid w:val="00215F12"/>
    <w:rsid w:val="00232B31"/>
    <w:rsid w:val="00234015"/>
    <w:rsid w:val="00235A3B"/>
    <w:rsid w:val="00243BE4"/>
    <w:rsid w:val="002445E8"/>
    <w:rsid w:val="00257188"/>
    <w:rsid w:val="002578B4"/>
    <w:rsid w:val="00267D12"/>
    <w:rsid w:val="00281792"/>
    <w:rsid w:val="0028799E"/>
    <w:rsid w:val="00294E35"/>
    <w:rsid w:val="002962A8"/>
    <w:rsid w:val="002A56C0"/>
    <w:rsid w:val="002E77F4"/>
    <w:rsid w:val="002F36B9"/>
    <w:rsid w:val="002F5FA2"/>
    <w:rsid w:val="003126B0"/>
    <w:rsid w:val="00314127"/>
    <w:rsid w:val="00314C12"/>
    <w:rsid w:val="003261C3"/>
    <w:rsid w:val="003453DA"/>
    <w:rsid w:val="0034661F"/>
    <w:rsid w:val="00350B6C"/>
    <w:rsid w:val="00357754"/>
    <w:rsid w:val="003578E4"/>
    <w:rsid w:val="00361097"/>
    <w:rsid w:val="00373A0D"/>
    <w:rsid w:val="003740BC"/>
    <w:rsid w:val="00375076"/>
    <w:rsid w:val="00375BBA"/>
    <w:rsid w:val="003826EA"/>
    <w:rsid w:val="00390D71"/>
    <w:rsid w:val="00395CE4"/>
    <w:rsid w:val="003A32AD"/>
    <w:rsid w:val="003A3938"/>
    <w:rsid w:val="003A4E67"/>
    <w:rsid w:val="003A5FFB"/>
    <w:rsid w:val="003A7FB6"/>
    <w:rsid w:val="003B3751"/>
    <w:rsid w:val="003C61DD"/>
    <w:rsid w:val="003F0763"/>
    <w:rsid w:val="003F2121"/>
    <w:rsid w:val="003F5771"/>
    <w:rsid w:val="004014B0"/>
    <w:rsid w:val="004059B0"/>
    <w:rsid w:val="00426AC1"/>
    <w:rsid w:val="004321DC"/>
    <w:rsid w:val="00435AA4"/>
    <w:rsid w:val="00435EA8"/>
    <w:rsid w:val="004360BB"/>
    <w:rsid w:val="0045533C"/>
    <w:rsid w:val="004606DA"/>
    <w:rsid w:val="004627C6"/>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4364"/>
    <w:rsid w:val="004F7925"/>
    <w:rsid w:val="00504FE5"/>
    <w:rsid w:val="00507348"/>
    <w:rsid w:val="00510F6F"/>
    <w:rsid w:val="00522C97"/>
    <w:rsid w:val="00527212"/>
    <w:rsid w:val="00532DA0"/>
    <w:rsid w:val="005356FD"/>
    <w:rsid w:val="005466B8"/>
    <w:rsid w:val="00547D75"/>
    <w:rsid w:val="00551C8B"/>
    <w:rsid w:val="00554E24"/>
    <w:rsid w:val="00555A0F"/>
    <w:rsid w:val="00567130"/>
    <w:rsid w:val="0057034B"/>
    <w:rsid w:val="00581E8F"/>
    <w:rsid w:val="00586A98"/>
    <w:rsid w:val="00591C15"/>
    <w:rsid w:val="005927A4"/>
    <w:rsid w:val="00595759"/>
    <w:rsid w:val="00596B48"/>
    <w:rsid w:val="005B10E8"/>
    <w:rsid w:val="005B5026"/>
    <w:rsid w:val="005B661F"/>
    <w:rsid w:val="005C3315"/>
    <w:rsid w:val="005E1CC3"/>
    <w:rsid w:val="005F05C8"/>
    <w:rsid w:val="00604079"/>
    <w:rsid w:val="00617BE4"/>
    <w:rsid w:val="00620233"/>
    <w:rsid w:val="00627DF4"/>
    <w:rsid w:val="0063710A"/>
    <w:rsid w:val="006404B0"/>
    <w:rsid w:val="0066499C"/>
    <w:rsid w:val="00665296"/>
    <w:rsid w:val="00666B63"/>
    <w:rsid w:val="00676E68"/>
    <w:rsid w:val="00691FED"/>
    <w:rsid w:val="006A7108"/>
    <w:rsid w:val="006B15B0"/>
    <w:rsid w:val="006B2035"/>
    <w:rsid w:val="006B40DA"/>
    <w:rsid w:val="006C5D5D"/>
    <w:rsid w:val="006E215D"/>
    <w:rsid w:val="006E431C"/>
    <w:rsid w:val="006E57C8"/>
    <w:rsid w:val="006E70E1"/>
    <w:rsid w:val="006F565E"/>
    <w:rsid w:val="006F794B"/>
    <w:rsid w:val="00701ABB"/>
    <w:rsid w:val="007042A5"/>
    <w:rsid w:val="00711035"/>
    <w:rsid w:val="007130ED"/>
    <w:rsid w:val="007140CF"/>
    <w:rsid w:val="0071582A"/>
    <w:rsid w:val="00722595"/>
    <w:rsid w:val="0073319E"/>
    <w:rsid w:val="00733C8A"/>
    <w:rsid w:val="00737F2E"/>
    <w:rsid w:val="00745A37"/>
    <w:rsid w:val="00750829"/>
    <w:rsid w:val="00751102"/>
    <w:rsid w:val="007538C9"/>
    <w:rsid w:val="00753F63"/>
    <w:rsid w:val="007542C4"/>
    <w:rsid w:val="00754C0B"/>
    <w:rsid w:val="00755067"/>
    <w:rsid w:val="007561B6"/>
    <w:rsid w:val="007648ED"/>
    <w:rsid w:val="007649DA"/>
    <w:rsid w:val="00765553"/>
    <w:rsid w:val="00777B8B"/>
    <w:rsid w:val="007855FF"/>
    <w:rsid w:val="00794795"/>
    <w:rsid w:val="007949EA"/>
    <w:rsid w:val="00796849"/>
    <w:rsid w:val="00796DAE"/>
    <w:rsid w:val="007A59C3"/>
    <w:rsid w:val="007B0E06"/>
    <w:rsid w:val="007B30FC"/>
    <w:rsid w:val="007B5089"/>
    <w:rsid w:val="007C3643"/>
    <w:rsid w:val="007E00D2"/>
    <w:rsid w:val="007E2AD4"/>
    <w:rsid w:val="007E3469"/>
    <w:rsid w:val="007E4DBE"/>
    <w:rsid w:val="007E7B63"/>
    <w:rsid w:val="00810AD6"/>
    <w:rsid w:val="0082780C"/>
    <w:rsid w:val="008333C7"/>
    <w:rsid w:val="00833E0F"/>
    <w:rsid w:val="008404FD"/>
    <w:rsid w:val="00841AB4"/>
    <w:rsid w:val="00846DBA"/>
    <w:rsid w:val="00850AEF"/>
    <w:rsid w:val="00855DAB"/>
    <w:rsid w:val="00860C6A"/>
    <w:rsid w:val="00862891"/>
    <w:rsid w:val="00872F7D"/>
    <w:rsid w:val="00875048"/>
    <w:rsid w:val="00875BE1"/>
    <w:rsid w:val="00877715"/>
    <w:rsid w:val="00895CE3"/>
    <w:rsid w:val="0089603F"/>
    <w:rsid w:val="00897970"/>
    <w:rsid w:val="008B466E"/>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5891"/>
    <w:rsid w:val="00A87124"/>
    <w:rsid w:val="00A93B71"/>
    <w:rsid w:val="00AB0B32"/>
    <w:rsid w:val="00AB2D04"/>
    <w:rsid w:val="00AB5C39"/>
    <w:rsid w:val="00AB75A9"/>
    <w:rsid w:val="00AD1C5C"/>
    <w:rsid w:val="00AD566F"/>
    <w:rsid w:val="00B156F9"/>
    <w:rsid w:val="00B1733E"/>
    <w:rsid w:val="00B17518"/>
    <w:rsid w:val="00B25A86"/>
    <w:rsid w:val="00B304B9"/>
    <w:rsid w:val="00B31BC2"/>
    <w:rsid w:val="00B36F67"/>
    <w:rsid w:val="00B55E1A"/>
    <w:rsid w:val="00B57988"/>
    <w:rsid w:val="00B62032"/>
    <w:rsid w:val="00B65F8C"/>
    <w:rsid w:val="00B7263B"/>
    <w:rsid w:val="00B73F47"/>
    <w:rsid w:val="00B74CBC"/>
    <w:rsid w:val="00B7638A"/>
    <w:rsid w:val="00B80DF9"/>
    <w:rsid w:val="00B840D8"/>
    <w:rsid w:val="00B96467"/>
    <w:rsid w:val="00BA154E"/>
    <w:rsid w:val="00BA37CE"/>
    <w:rsid w:val="00BA4692"/>
    <w:rsid w:val="00BC6FDB"/>
    <w:rsid w:val="00BC7DE8"/>
    <w:rsid w:val="00BE0966"/>
    <w:rsid w:val="00BE3A0C"/>
    <w:rsid w:val="00BF43BA"/>
    <w:rsid w:val="00BF5722"/>
    <w:rsid w:val="00BF6268"/>
    <w:rsid w:val="00BF720B"/>
    <w:rsid w:val="00BF78E2"/>
    <w:rsid w:val="00C04511"/>
    <w:rsid w:val="00C112A3"/>
    <w:rsid w:val="00C16846"/>
    <w:rsid w:val="00C34851"/>
    <w:rsid w:val="00C42A5B"/>
    <w:rsid w:val="00C5419D"/>
    <w:rsid w:val="00C56038"/>
    <w:rsid w:val="00C6729F"/>
    <w:rsid w:val="00C72664"/>
    <w:rsid w:val="00C86F24"/>
    <w:rsid w:val="00C93E19"/>
    <w:rsid w:val="00CA38C9"/>
    <w:rsid w:val="00CB4984"/>
    <w:rsid w:val="00CB5DD7"/>
    <w:rsid w:val="00CB7795"/>
    <w:rsid w:val="00CB77D5"/>
    <w:rsid w:val="00CC14F0"/>
    <w:rsid w:val="00CC1E5E"/>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1911"/>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244A"/>
    <w:rsid w:val="00E6599B"/>
    <w:rsid w:val="00E70A4D"/>
    <w:rsid w:val="00E726DE"/>
    <w:rsid w:val="00E844D5"/>
    <w:rsid w:val="00E86536"/>
    <w:rsid w:val="00E871C2"/>
    <w:rsid w:val="00EA1BAA"/>
    <w:rsid w:val="00ED401C"/>
    <w:rsid w:val="00EE333B"/>
    <w:rsid w:val="00EF2642"/>
    <w:rsid w:val="00EF3681"/>
    <w:rsid w:val="00F01CA5"/>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6765F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665296"/>
    <w:pPr>
      <w:framePr w:hSpace="180" w:wrap="around" w:hAnchor="margin" w:y="-675"/>
      <w:spacing w:before="60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ResNoChar">
    <w:name w:val="Res_No Char"/>
    <w:link w:val="ResNo"/>
    <w:locked/>
    <w:rsid w:val="0063710A"/>
    <w:rPr>
      <w:rFonts w:ascii="Calibri" w:hAnsi="Calibri"/>
      <w:caps/>
      <w:sz w:val="28"/>
      <w:lang w:val="en-GB" w:eastAsia="en-US"/>
    </w:rPr>
  </w:style>
  <w:style w:type="paragraph" w:customStyle="1" w:styleId="Resref">
    <w:name w:val="Res_ref"/>
    <w:basedOn w:val="Normal"/>
    <w:next w:val="Normal"/>
    <w:rsid w:val="0063710A"/>
    <w:pPr>
      <w:keepNext/>
      <w:keepLines/>
      <w:tabs>
        <w:tab w:val="clear" w:pos="567"/>
        <w:tab w:val="clear" w:pos="1134"/>
        <w:tab w:val="clear" w:pos="1701"/>
        <w:tab w:val="clear" w:pos="2268"/>
        <w:tab w:val="clear" w:pos="2835"/>
        <w:tab w:val="left" w:pos="794"/>
        <w:tab w:val="left" w:pos="1191"/>
        <w:tab w:val="left" w:pos="1588"/>
        <w:tab w:val="left" w:pos="1985"/>
      </w:tabs>
      <w:jc w:val="center"/>
      <w:textAlignment w:val="auto"/>
    </w:pPr>
    <w:rPr>
      <w:rFonts w:ascii="Times New Roman" w:hAnsi="Times New Roman" w:cs="Times New Roman Bold"/>
      <w:bCs/>
      <w:i/>
      <w:lang w:val="es-ES_tradnl"/>
    </w:rPr>
  </w:style>
  <w:style w:type="paragraph" w:styleId="Revision">
    <w:name w:val="Revision"/>
    <w:hidden/>
    <w:uiPriority w:val="99"/>
    <w:semiHidden/>
    <w:rsid w:val="0063710A"/>
    <w:rPr>
      <w:rFonts w:ascii="Calibri" w:hAnsi="Calibri"/>
      <w:sz w:val="24"/>
      <w:lang w:val="en-GB" w:eastAsia="en-US"/>
    </w:rPr>
  </w:style>
  <w:style w:type="character" w:customStyle="1" w:styleId="FootnoteTextChar">
    <w:name w:val="Footnote Text Char"/>
    <w:basedOn w:val="DefaultParagraphFont"/>
    <w:link w:val="FootnoteText"/>
    <w:rsid w:val="00B74CBC"/>
    <w:rPr>
      <w:rFonts w:ascii="Calibri" w:hAnsi="Calibri"/>
      <w:sz w:val="24"/>
      <w:lang w:val="en-GB" w:eastAsia="en-US"/>
    </w:rPr>
  </w:style>
  <w:style w:type="character" w:customStyle="1" w:styleId="enumlev1Char">
    <w:name w:val="enumlev1 Char"/>
    <w:link w:val="enumlev1"/>
    <w:locked/>
    <w:rsid w:val="00532DA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7942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en/ITU-T/wtsa20/Documents/2000V2E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5fac98a-7a6e-4a3c-b703-8417e9b25af5">DPM</DPM_x0020_Author>
    <DPM_x0020_File_x0020_name xmlns="15fac98a-7a6e-4a3c-b703-8417e9b25af5">S22-PP-C-0043!!MSW-E</DPM_x0020_File_x0020_name>
    <DPM_x0020_Version xmlns="15fac98a-7a6e-4a3c-b703-8417e9b25af5">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fac98a-7a6e-4a3c-b703-8417e9b25af5" targetNamespace="http://schemas.microsoft.com/office/2006/metadata/properties" ma:root="true" ma:fieldsID="d41af5c836d734370eb92e7ee5f83852" ns2:_="" ns3:_="">
    <xsd:import namespace="996b2e75-67fd-4955-a3b0-5ab9934cb50b"/>
    <xsd:import namespace="15fac98a-7a6e-4a3c-b703-8417e9b25a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fac98a-7a6e-4a3c-b703-8417e9b25a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dcmitype/"/>
    <ds:schemaRef ds:uri="http://www.w3.org/XML/1998/namespace"/>
    <ds:schemaRef ds:uri="996b2e75-67fd-4955-a3b0-5ab9934cb50b"/>
    <ds:schemaRef ds:uri="http://schemas.microsoft.com/office/2006/documentManagement/types"/>
    <ds:schemaRef ds:uri="http://purl.org/dc/terms/"/>
    <ds:schemaRef ds:uri="http://schemas.microsoft.com/office/infopath/2007/PartnerControls"/>
    <ds:schemaRef ds:uri="15fac98a-7a6e-4a3c-b703-8417e9b25af5"/>
    <ds:schemaRef ds:uri="http://purl.org/dc/elements/1.1/"/>
  </ds:schemaRefs>
</ds:datastoreItem>
</file>

<file path=customXml/itemProps2.xml><?xml version="1.0" encoding="utf-8"?>
<ds:datastoreItem xmlns:ds="http://schemas.openxmlformats.org/officeDocument/2006/customXml" ds:itemID="{F963F8F9-36DC-463A-8F41-4CBDA42D48BB}">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fac98a-7a6e-4a3c-b703-8417e9b2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6701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S22-PP-C-0043!!MSW-E</vt:lpstr>
    </vt:vector>
  </TitlesOfParts>
  <Manager/>
  <Company/>
  <LinksUpToDate>false</LinksUpToDate>
  <CharactersWithSpaces>7879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S22-PP-C-0043!!MSW-E</dc:title>
  <dc:subject>Plenipotentiary Conference (PP-22)</dc:subject>
  <dc:creator>Documents Proposals Manager (DPM)</dc:creator>
  <cp:keywords>DPM_v2022.6.11.1_prod</cp:keywords>
  <cp:lastModifiedBy>Xue, Kun</cp:lastModifiedBy>
  <cp:revision>2</cp:revision>
  <dcterms:created xsi:type="dcterms:W3CDTF">2022-09-03T15:22:00Z</dcterms:created>
  <dcterms:modified xsi:type="dcterms:W3CDTF">2022-09-03T15:22:00Z</dcterms:modified>
  <cp:category>Conference document</cp:category>
</cp:coreProperties>
</file>