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C62497" w14:paraId="5B80E5F3" w14:textId="77777777" w:rsidTr="006A046E">
        <w:trPr>
          <w:cantSplit/>
        </w:trPr>
        <w:tc>
          <w:tcPr>
            <w:tcW w:w="6911" w:type="dxa"/>
          </w:tcPr>
          <w:p w14:paraId="1FE4A294" w14:textId="75535F5E" w:rsidR="00BD1614" w:rsidRPr="00C62497" w:rsidRDefault="00BD1614" w:rsidP="005A0897">
            <w:pPr>
              <w:rPr>
                <w:b/>
                <w:bCs/>
                <w:position w:val="6"/>
                <w:szCs w:val="24"/>
              </w:rPr>
            </w:pPr>
            <w:bookmarkStart w:id="0" w:name="dbreak"/>
            <w:bookmarkStart w:id="1" w:name="dpp"/>
            <w:bookmarkEnd w:id="0"/>
            <w:bookmarkEnd w:id="1"/>
            <w:r w:rsidRPr="00C62497">
              <w:rPr>
                <w:rFonts w:cs="Times"/>
                <w:b/>
                <w:sz w:val="30"/>
                <w:szCs w:val="30"/>
              </w:rPr>
              <w:t>Conférence de plénipotentiaires</w:t>
            </w:r>
            <w:r w:rsidRPr="00C62497">
              <w:rPr>
                <w:b/>
                <w:smallCaps/>
                <w:sz w:val="30"/>
                <w:szCs w:val="30"/>
              </w:rPr>
              <w:t xml:space="preserve"> (PP-</w:t>
            </w:r>
            <w:r w:rsidR="002A7A1D" w:rsidRPr="00C62497">
              <w:rPr>
                <w:b/>
                <w:smallCaps/>
                <w:sz w:val="30"/>
                <w:szCs w:val="30"/>
              </w:rPr>
              <w:t>22</w:t>
            </w:r>
            <w:r w:rsidRPr="00C62497">
              <w:rPr>
                <w:b/>
                <w:smallCaps/>
                <w:sz w:val="30"/>
                <w:szCs w:val="30"/>
              </w:rPr>
              <w:t>)</w:t>
            </w:r>
            <w:r w:rsidRPr="00C62497">
              <w:rPr>
                <w:b/>
                <w:smallCaps/>
                <w:sz w:val="36"/>
              </w:rPr>
              <w:br/>
            </w:r>
            <w:r w:rsidR="002A7A1D" w:rsidRPr="00C62497">
              <w:rPr>
                <w:rFonts w:cs="Times New Roman Bold"/>
                <w:b/>
                <w:bCs/>
                <w:szCs w:val="24"/>
              </w:rPr>
              <w:t>Bucarest</w:t>
            </w:r>
            <w:r w:rsidRPr="00C62497">
              <w:rPr>
                <w:rFonts w:cs="Times New Roman Bold"/>
                <w:b/>
                <w:bCs/>
                <w:szCs w:val="24"/>
              </w:rPr>
              <w:t>, 2</w:t>
            </w:r>
            <w:r w:rsidR="002A7A1D" w:rsidRPr="00C62497">
              <w:rPr>
                <w:rFonts w:cs="Times New Roman Bold"/>
                <w:b/>
                <w:bCs/>
                <w:szCs w:val="24"/>
              </w:rPr>
              <w:t>6</w:t>
            </w:r>
            <w:r w:rsidRPr="00C62497">
              <w:rPr>
                <w:rFonts w:cs="Times New Roman Bold"/>
                <w:b/>
                <w:bCs/>
                <w:szCs w:val="24"/>
              </w:rPr>
              <w:t xml:space="preserve"> </w:t>
            </w:r>
            <w:r w:rsidR="002A7A1D" w:rsidRPr="00C62497">
              <w:rPr>
                <w:rFonts w:cs="Times New Roman Bold"/>
                <w:b/>
                <w:bCs/>
                <w:szCs w:val="24"/>
              </w:rPr>
              <w:t>septembre</w:t>
            </w:r>
            <w:r w:rsidRPr="00C62497">
              <w:rPr>
                <w:rFonts w:cs="Times New Roman Bold"/>
                <w:b/>
                <w:bCs/>
                <w:szCs w:val="24"/>
              </w:rPr>
              <w:t xml:space="preserve"> </w:t>
            </w:r>
            <w:r w:rsidR="00433CC9" w:rsidRPr="00C62497">
              <w:rPr>
                <w:rFonts w:cs="Times New Roman Bold"/>
                <w:b/>
                <w:bCs/>
                <w:szCs w:val="24"/>
              </w:rPr>
              <w:t>–</w:t>
            </w:r>
            <w:r w:rsidRPr="00C62497">
              <w:rPr>
                <w:rFonts w:cs="Times New Roman Bold"/>
                <w:b/>
                <w:bCs/>
                <w:szCs w:val="24"/>
              </w:rPr>
              <w:t xml:space="preserve"> </w:t>
            </w:r>
            <w:r w:rsidR="001E2226" w:rsidRPr="00C62497">
              <w:rPr>
                <w:rFonts w:cs="Times New Roman Bold"/>
                <w:b/>
                <w:bCs/>
                <w:szCs w:val="24"/>
              </w:rPr>
              <w:t>1</w:t>
            </w:r>
            <w:r w:rsidR="002A7A1D" w:rsidRPr="00C62497">
              <w:rPr>
                <w:rFonts w:cs="Times New Roman Bold"/>
                <w:b/>
                <w:bCs/>
                <w:szCs w:val="24"/>
              </w:rPr>
              <w:t>4</w:t>
            </w:r>
            <w:r w:rsidRPr="00C62497">
              <w:rPr>
                <w:rFonts w:cs="Times New Roman Bold"/>
                <w:b/>
                <w:bCs/>
                <w:szCs w:val="24"/>
              </w:rPr>
              <w:t xml:space="preserve"> </w:t>
            </w:r>
            <w:r w:rsidR="002A7A1D" w:rsidRPr="00C62497">
              <w:rPr>
                <w:rFonts w:cs="Times New Roman Bold"/>
                <w:b/>
                <w:bCs/>
                <w:szCs w:val="24"/>
              </w:rPr>
              <w:t>octobre</w:t>
            </w:r>
            <w:r w:rsidRPr="00C62497">
              <w:rPr>
                <w:rFonts w:cs="Times New Roman Bold"/>
                <w:b/>
                <w:bCs/>
                <w:szCs w:val="24"/>
              </w:rPr>
              <w:t xml:space="preserve"> 20</w:t>
            </w:r>
            <w:r w:rsidR="002A7A1D" w:rsidRPr="00C62497">
              <w:rPr>
                <w:rFonts w:cs="Times New Roman Bold"/>
                <w:b/>
                <w:bCs/>
                <w:szCs w:val="24"/>
              </w:rPr>
              <w:t>22</w:t>
            </w:r>
          </w:p>
        </w:tc>
        <w:tc>
          <w:tcPr>
            <w:tcW w:w="3120" w:type="dxa"/>
          </w:tcPr>
          <w:p w14:paraId="213DD0D3" w14:textId="77777777" w:rsidR="00BD1614" w:rsidRPr="00C62497" w:rsidRDefault="002A7A1D" w:rsidP="005A0897">
            <w:pPr>
              <w:spacing w:before="0"/>
              <w:rPr>
                <w:rFonts w:cstheme="minorHAnsi"/>
              </w:rPr>
            </w:pPr>
            <w:bookmarkStart w:id="2" w:name="ditulogo"/>
            <w:bookmarkEnd w:id="2"/>
            <w:r w:rsidRPr="00C62497">
              <w:rPr>
                <w:noProof/>
                <w:lang w:val="en-US"/>
              </w:rPr>
              <w:drawing>
                <wp:inline distT="0" distB="0" distL="0" distR="0" wp14:anchorId="4355C2F2" wp14:editId="4C249BCC">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C62497" w14:paraId="65C26895" w14:textId="77777777" w:rsidTr="006A046E">
        <w:trPr>
          <w:cantSplit/>
        </w:trPr>
        <w:tc>
          <w:tcPr>
            <w:tcW w:w="6911" w:type="dxa"/>
            <w:tcBorders>
              <w:bottom w:val="single" w:sz="12" w:space="0" w:color="auto"/>
            </w:tcBorders>
          </w:tcPr>
          <w:p w14:paraId="7B027710" w14:textId="77777777" w:rsidR="00BD1614" w:rsidRPr="00C62497" w:rsidRDefault="00BD1614" w:rsidP="005A0897">
            <w:pPr>
              <w:spacing w:before="0" w:after="48"/>
              <w:rPr>
                <w:rFonts w:cstheme="minorHAnsi"/>
                <w:b/>
                <w:smallCaps/>
                <w:szCs w:val="24"/>
              </w:rPr>
            </w:pPr>
            <w:bookmarkStart w:id="3" w:name="dhead"/>
          </w:p>
        </w:tc>
        <w:tc>
          <w:tcPr>
            <w:tcW w:w="3120" w:type="dxa"/>
            <w:tcBorders>
              <w:bottom w:val="single" w:sz="12" w:space="0" w:color="auto"/>
            </w:tcBorders>
          </w:tcPr>
          <w:p w14:paraId="289E8E36" w14:textId="77777777" w:rsidR="00BD1614" w:rsidRPr="00C62497" w:rsidRDefault="00BD1614" w:rsidP="005A0897">
            <w:pPr>
              <w:spacing w:before="0" w:after="48"/>
              <w:rPr>
                <w:rFonts w:cstheme="minorHAnsi"/>
                <w:b/>
                <w:smallCaps/>
                <w:szCs w:val="24"/>
              </w:rPr>
            </w:pPr>
          </w:p>
        </w:tc>
      </w:tr>
      <w:tr w:rsidR="00BD1614" w:rsidRPr="00C62497" w14:paraId="1F6B356C" w14:textId="77777777" w:rsidTr="006A046E">
        <w:trPr>
          <w:cantSplit/>
        </w:trPr>
        <w:tc>
          <w:tcPr>
            <w:tcW w:w="6911" w:type="dxa"/>
            <w:tcBorders>
              <w:top w:val="single" w:sz="12" w:space="0" w:color="auto"/>
            </w:tcBorders>
          </w:tcPr>
          <w:p w14:paraId="6E331A75" w14:textId="77777777" w:rsidR="00BD1614" w:rsidRPr="00C62497" w:rsidRDefault="00BD1614" w:rsidP="005A0897">
            <w:pPr>
              <w:spacing w:before="0"/>
              <w:rPr>
                <w:rFonts w:cstheme="minorHAnsi"/>
                <w:b/>
                <w:smallCaps/>
                <w:szCs w:val="24"/>
              </w:rPr>
            </w:pPr>
          </w:p>
        </w:tc>
        <w:tc>
          <w:tcPr>
            <w:tcW w:w="3120" w:type="dxa"/>
            <w:tcBorders>
              <w:top w:val="single" w:sz="12" w:space="0" w:color="auto"/>
            </w:tcBorders>
          </w:tcPr>
          <w:p w14:paraId="398ADDC9" w14:textId="77777777" w:rsidR="00BD1614" w:rsidRPr="00C62497" w:rsidRDefault="00BD1614" w:rsidP="005A0897">
            <w:pPr>
              <w:spacing w:before="0"/>
              <w:rPr>
                <w:rFonts w:cstheme="minorHAnsi"/>
                <w:szCs w:val="24"/>
              </w:rPr>
            </w:pPr>
          </w:p>
        </w:tc>
      </w:tr>
      <w:tr w:rsidR="00BD1614" w:rsidRPr="00C62497" w14:paraId="33916350" w14:textId="77777777" w:rsidTr="006A046E">
        <w:trPr>
          <w:cantSplit/>
        </w:trPr>
        <w:tc>
          <w:tcPr>
            <w:tcW w:w="6911" w:type="dxa"/>
          </w:tcPr>
          <w:p w14:paraId="6EED3C0F" w14:textId="77777777" w:rsidR="00BD1614" w:rsidRPr="00C62497" w:rsidRDefault="00BD1614" w:rsidP="005A0897">
            <w:pPr>
              <w:pStyle w:val="Committee"/>
              <w:framePr w:hSpace="0" w:wrap="auto" w:hAnchor="text" w:yAlign="inline"/>
              <w:spacing w:after="0" w:line="240" w:lineRule="auto"/>
              <w:rPr>
                <w:lang w:val="fr-FR"/>
              </w:rPr>
            </w:pPr>
            <w:r w:rsidRPr="00C62497">
              <w:rPr>
                <w:lang w:val="fr-FR"/>
              </w:rPr>
              <w:t>SÉANCE PLÉNIÈRE</w:t>
            </w:r>
          </w:p>
        </w:tc>
        <w:tc>
          <w:tcPr>
            <w:tcW w:w="3120" w:type="dxa"/>
          </w:tcPr>
          <w:p w14:paraId="1E2604C3" w14:textId="77777777" w:rsidR="00BD1614" w:rsidRPr="00C62497" w:rsidRDefault="00BD1614" w:rsidP="005A0897">
            <w:pPr>
              <w:spacing w:before="0"/>
              <w:rPr>
                <w:rFonts w:cstheme="minorHAnsi"/>
                <w:szCs w:val="24"/>
              </w:rPr>
            </w:pPr>
            <w:r w:rsidRPr="00C62497">
              <w:rPr>
                <w:rFonts w:cstheme="minorHAnsi"/>
                <w:b/>
                <w:szCs w:val="24"/>
              </w:rPr>
              <w:t>Addendum 4 au</w:t>
            </w:r>
            <w:r w:rsidRPr="00C62497">
              <w:rPr>
                <w:rFonts w:cstheme="minorHAnsi"/>
                <w:b/>
                <w:szCs w:val="24"/>
              </w:rPr>
              <w:br/>
              <w:t>Document 76</w:t>
            </w:r>
            <w:r w:rsidR="005F63BD" w:rsidRPr="00C62497">
              <w:rPr>
                <w:rFonts w:cstheme="minorHAnsi"/>
                <w:b/>
                <w:szCs w:val="24"/>
              </w:rPr>
              <w:t>-F</w:t>
            </w:r>
          </w:p>
        </w:tc>
      </w:tr>
      <w:tr w:rsidR="00BD1614" w:rsidRPr="00C62497" w14:paraId="1DF2ED5F" w14:textId="77777777" w:rsidTr="006A046E">
        <w:trPr>
          <w:cantSplit/>
        </w:trPr>
        <w:tc>
          <w:tcPr>
            <w:tcW w:w="6911" w:type="dxa"/>
          </w:tcPr>
          <w:p w14:paraId="6B9BCFEC" w14:textId="77777777" w:rsidR="00BD1614" w:rsidRPr="00C62497" w:rsidRDefault="00BD1614" w:rsidP="005A0897">
            <w:pPr>
              <w:spacing w:before="0"/>
              <w:rPr>
                <w:rFonts w:cstheme="minorHAnsi"/>
                <w:b/>
                <w:szCs w:val="24"/>
              </w:rPr>
            </w:pPr>
          </w:p>
        </w:tc>
        <w:tc>
          <w:tcPr>
            <w:tcW w:w="3120" w:type="dxa"/>
          </w:tcPr>
          <w:p w14:paraId="53848519" w14:textId="39A5B68F" w:rsidR="00BD1614" w:rsidRPr="00C62497" w:rsidRDefault="00BD1614" w:rsidP="005A0897">
            <w:pPr>
              <w:spacing w:before="0"/>
              <w:rPr>
                <w:rFonts w:cstheme="minorHAnsi"/>
                <w:b/>
                <w:szCs w:val="24"/>
              </w:rPr>
            </w:pPr>
            <w:r w:rsidRPr="00C62497">
              <w:rPr>
                <w:rFonts w:cstheme="minorHAnsi"/>
                <w:b/>
                <w:szCs w:val="24"/>
              </w:rPr>
              <w:t>1</w:t>
            </w:r>
            <w:r w:rsidR="005E6B63" w:rsidRPr="00C62497">
              <w:rPr>
                <w:rFonts w:cstheme="minorHAnsi"/>
                <w:b/>
                <w:szCs w:val="24"/>
              </w:rPr>
              <w:t>er</w:t>
            </w:r>
            <w:r w:rsidRPr="00C62497">
              <w:rPr>
                <w:rFonts w:cstheme="minorHAnsi"/>
                <w:b/>
                <w:szCs w:val="24"/>
              </w:rPr>
              <w:t xml:space="preserve"> septembre 2022</w:t>
            </w:r>
          </w:p>
        </w:tc>
      </w:tr>
      <w:tr w:rsidR="00BD1614" w:rsidRPr="00C62497" w14:paraId="27E6968A" w14:textId="77777777" w:rsidTr="006A046E">
        <w:trPr>
          <w:cantSplit/>
        </w:trPr>
        <w:tc>
          <w:tcPr>
            <w:tcW w:w="6911" w:type="dxa"/>
          </w:tcPr>
          <w:p w14:paraId="0B890E76" w14:textId="77777777" w:rsidR="00BD1614" w:rsidRPr="00C62497" w:rsidRDefault="00BD1614" w:rsidP="005A0897">
            <w:pPr>
              <w:spacing w:before="0"/>
              <w:rPr>
                <w:rFonts w:cstheme="minorHAnsi"/>
                <w:b/>
                <w:smallCaps/>
                <w:szCs w:val="24"/>
              </w:rPr>
            </w:pPr>
          </w:p>
        </w:tc>
        <w:tc>
          <w:tcPr>
            <w:tcW w:w="3120" w:type="dxa"/>
          </w:tcPr>
          <w:p w14:paraId="23FC7A25" w14:textId="77777777" w:rsidR="00BD1614" w:rsidRPr="00C62497" w:rsidRDefault="00BD1614" w:rsidP="005A0897">
            <w:pPr>
              <w:spacing w:before="0"/>
              <w:rPr>
                <w:rFonts w:cstheme="minorHAnsi"/>
                <w:b/>
                <w:szCs w:val="24"/>
              </w:rPr>
            </w:pPr>
            <w:r w:rsidRPr="00C62497">
              <w:rPr>
                <w:rFonts w:cstheme="minorHAnsi"/>
                <w:b/>
                <w:szCs w:val="24"/>
              </w:rPr>
              <w:t>Original: anglais</w:t>
            </w:r>
          </w:p>
        </w:tc>
      </w:tr>
      <w:tr w:rsidR="00BD1614" w:rsidRPr="00C62497" w14:paraId="67CFDA2F" w14:textId="77777777" w:rsidTr="006A046E">
        <w:trPr>
          <w:cantSplit/>
        </w:trPr>
        <w:tc>
          <w:tcPr>
            <w:tcW w:w="10031" w:type="dxa"/>
            <w:gridSpan w:val="2"/>
          </w:tcPr>
          <w:p w14:paraId="5429EF58" w14:textId="77777777" w:rsidR="00BD1614" w:rsidRPr="00C62497" w:rsidRDefault="00BD1614" w:rsidP="005A0897">
            <w:pPr>
              <w:spacing w:before="0"/>
              <w:rPr>
                <w:rFonts w:cstheme="minorHAnsi"/>
                <w:b/>
                <w:szCs w:val="24"/>
              </w:rPr>
            </w:pPr>
          </w:p>
        </w:tc>
      </w:tr>
      <w:tr w:rsidR="00BD1614" w:rsidRPr="00C62497" w14:paraId="03DE443B" w14:textId="77777777" w:rsidTr="006A046E">
        <w:trPr>
          <w:cantSplit/>
        </w:trPr>
        <w:tc>
          <w:tcPr>
            <w:tcW w:w="10031" w:type="dxa"/>
            <w:gridSpan w:val="2"/>
          </w:tcPr>
          <w:p w14:paraId="2BF22766" w14:textId="7F934B75" w:rsidR="00BD1614" w:rsidRPr="00C62497" w:rsidRDefault="00BD1614" w:rsidP="005A0897">
            <w:pPr>
              <w:pStyle w:val="Source"/>
            </w:pPr>
            <w:bookmarkStart w:id="4" w:name="dsource" w:colFirst="0" w:colLast="0"/>
            <w:bookmarkEnd w:id="3"/>
            <w:r w:rsidRPr="00C62497">
              <w:t>États Membres de la Commission interaméricaine des télécommunications (CITEL</w:t>
            </w:r>
            <w:r w:rsidR="00433CC9" w:rsidRPr="00C62497">
              <w:t>)</w:t>
            </w:r>
          </w:p>
        </w:tc>
      </w:tr>
      <w:tr w:rsidR="00BD1614" w:rsidRPr="00C62497" w14:paraId="04416AC8" w14:textId="77777777" w:rsidTr="006A046E">
        <w:trPr>
          <w:cantSplit/>
        </w:trPr>
        <w:tc>
          <w:tcPr>
            <w:tcW w:w="10031" w:type="dxa"/>
            <w:gridSpan w:val="2"/>
          </w:tcPr>
          <w:p w14:paraId="00EC4C8D" w14:textId="547DCC5E" w:rsidR="00BD1614" w:rsidRPr="00C62497" w:rsidRDefault="00BD1614" w:rsidP="005A0897">
            <w:pPr>
              <w:pStyle w:val="Title1"/>
            </w:pPr>
            <w:bookmarkStart w:id="5" w:name="dtitle1" w:colFirst="0" w:colLast="0"/>
            <w:bookmarkEnd w:id="4"/>
            <w:r w:rsidRPr="00C62497">
              <w:t xml:space="preserve">IAP 04 </w:t>
            </w:r>
            <w:r w:rsidR="00433CC9" w:rsidRPr="00C62497">
              <w:t>–</w:t>
            </w:r>
            <w:r w:rsidRPr="00C62497">
              <w:t xml:space="preserve"> </w:t>
            </w:r>
            <w:r w:rsidR="005E6B63" w:rsidRPr="00C62497">
              <w:t>Proposition de nouvelle résolution</w:t>
            </w:r>
            <w:r w:rsidRPr="00C62497">
              <w:t xml:space="preserve"> [IAP-1]:</w:t>
            </w:r>
          </w:p>
        </w:tc>
      </w:tr>
      <w:tr w:rsidR="00BD1614" w:rsidRPr="00C62497" w14:paraId="0A3C8E8E" w14:textId="77777777" w:rsidTr="006A046E">
        <w:trPr>
          <w:cantSplit/>
        </w:trPr>
        <w:tc>
          <w:tcPr>
            <w:tcW w:w="10031" w:type="dxa"/>
            <w:gridSpan w:val="2"/>
          </w:tcPr>
          <w:p w14:paraId="5CAA3EEA" w14:textId="6138825C" w:rsidR="00BD1614" w:rsidRPr="00C62497" w:rsidRDefault="005E6B63" w:rsidP="005A0897">
            <w:pPr>
              <w:pStyle w:val="Title2"/>
            </w:pPr>
            <w:bookmarkStart w:id="6" w:name="dtitle2" w:colFirst="0" w:colLast="0"/>
            <w:bookmarkEnd w:id="5"/>
            <w:r w:rsidRPr="00C62497">
              <w:t>Utilisation des assignations de fréquence par les installations radi</w:t>
            </w:r>
            <w:r w:rsidR="003F050A" w:rsidRPr="00C62497">
              <w:t>o</w:t>
            </w:r>
            <w:r w:rsidRPr="00C62497">
              <w:t>électriques militaires pour les services</w:t>
            </w:r>
            <w:r w:rsidR="00C54712" w:rsidRPr="00C62497">
              <w:br/>
            </w:r>
            <w:r w:rsidRPr="00C62497">
              <w:t>de défense nationale</w:t>
            </w:r>
          </w:p>
        </w:tc>
      </w:tr>
    </w:tbl>
    <w:bookmarkEnd w:id="6"/>
    <w:p w14:paraId="01DA05A4" w14:textId="1A326F62" w:rsidR="00433CC9" w:rsidRPr="00C62497" w:rsidRDefault="005E6B63" w:rsidP="005A0897">
      <w:pPr>
        <w:pStyle w:val="Headingb"/>
      </w:pPr>
      <w:r w:rsidRPr="00C62497">
        <w:t>Résumé</w:t>
      </w:r>
    </w:p>
    <w:p w14:paraId="241726E4" w14:textId="2D5FEF1E" w:rsidR="00433CC9" w:rsidRPr="00C62497" w:rsidRDefault="005E6B63" w:rsidP="005A0897">
      <w:r w:rsidRPr="00C62497">
        <w:t xml:space="preserve">La proposition reproduite dans la présente contribution vise à fournir les éléments nécessaires pour </w:t>
      </w:r>
      <w:r w:rsidR="00545EC2" w:rsidRPr="00C62497">
        <w:t>permettre à</w:t>
      </w:r>
      <w:r w:rsidRPr="00C62497">
        <w:t xml:space="preserve"> une Conférence mondiale des radiocommunications</w:t>
      </w:r>
      <w:r w:rsidR="00545EC2" w:rsidRPr="00C62497">
        <w:t xml:space="preserve"> d</w:t>
      </w:r>
      <w:r w:rsidR="00C54712" w:rsidRPr="00C62497">
        <w:t>'</w:t>
      </w:r>
      <w:r w:rsidR="00545EC2" w:rsidRPr="00C62497">
        <w:t xml:space="preserve">identifier éventuellement les </w:t>
      </w:r>
      <w:r w:rsidRPr="00C62497">
        <w:t xml:space="preserve">dispositions ou mécanismes réglementaires pertinents </w:t>
      </w:r>
      <w:r w:rsidR="00545EC2" w:rsidRPr="00C62497">
        <w:t>à l</w:t>
      </w:r>
      <w:r w:rsidR="00C54712" w:rsidRPr="00C62497">
        <w:t>'</w:t>
      </w:r>
      <w:r w:rsidR="00545EC2" w:rsidRPr="00C62497">
        <w:t>appui de</w:t>
      </w:r>
      <w:r w:rsidRPr="00C62497">
        <w:t xml:space="preserve"> l'invocation de l'article 48 de la Constitution de l'UIT en ce qui concerne l'application du Règlement des radiocommunications.</w:t>
      </w:r>
    </w:p>
    <w:p w14:paraId="06536C51" w14:textId="3E152767" w:rsidR="000D15FB" w:rsidRPr="00C62497" w:rsidRDefault="00545EC2" w:rsidP="005A0897">
      <w:r w:rsidRPr="00C62497">
        <w:t xml:space="preserve">On trouvera dans la </w:t>
      </w:r>
      <w:r w:rsidR="005E6B63" w:rsidRPr="00C62497">
        <w:t xml:space="preserve">présente contribution une proposition visant à adopter une nouvelle Résolution de la </w:t>
      </w:r>
      <w:r w:rsidR="005E6B63" w:rsidRPr="00C62497">
        <w:rPr>
          <w:szCs w:val="24"/>
        </w:rPr>
        <w:t xml:space="preserve">Conférence de plénipotentiaires </w:t>
      </w:r>
      <w:r w:rsidR="00FA7427" w:rsidRPr="00C62497">
        <w:rPr>
          <w:szCs w:val="24"/>
        </w:rPr>
        <w:t>sur</w:t>
      </w:r>
      <w:r w:rsidR="005E6B63" w:rsidRPr="00C62497">
        <w:rPr>
          <w:szCs w:val="24"/>
        </w:rPr>
        <w:t xml:space="preserve"> l'u</w:t>
      </w:r>
      <w:r w:rsidR="005E6B63" w:rsidRPr="00C62497">
        <w:t>tilisation des assignations de fréquence par les installations radi</w:t>
      </w:r>
      <w:r w:rsidR="003F050A" w:rsidRPr="00C62497">
        <w:t>o</w:t>
      </w:r>
      <w:r w:rsidR="005E6B63" w:rsidRPr="00C62497">
        <w:t>électriques militaires pour les services de défense nationale</w:t>
      </w:r>
      <w:r w:rsidR="005E6B63" w:rsidRPr="00C62497">
        <w:rPr>
          <w:szCs w:val="24"/>
        </w:rPr>
        <w:t xml:space="preserve"> </w:t>
      </w:r>
      <w:r w:rsidR="0068134E" w:rsidRPr="00C62497">
        <w:rPr>
          <w:szCs w:val="24"/>
        </w:rPr>
        <w:t>et sur</w:t>
      </w:r>
      <w:r w:rsidR="005E6B63" w:rsidRPr="00C62497">
        <w:rPr>
          <w:szCs w:val="24"/>
        </w:rPr>
        <w:t xml:space="preserve"> </w:t>
      </w:r>
      <w:r w:rsidR="00FA7427" w:rsidRPr="00C62497">
        <w:rPr>
          <w:szCs w:val="24"/>
        </w:rPr>
        <w:t>l'invocation de l'article 48 de la Constitution de l'UIT</w:t>
      </w:r>
      <w:r w:rsidR="00457BD2" w:rsidRPr="00C62497">
        <w:rPr>
          <w:szCs w:val="24"/>
        </w:rPr>
        <w:t xml:space="preserve"> pour remédier aux problèmes</w:t>
      </w:r>
      <w:r w:rsidR="00FA7427" w:rsidRPr="00C62497">
        <w:rPr>
          <w:szCs w:val="24"/>
        </w:rPr>
        <w:t xml:space="preserve"> soulevés par le Comité du Règlement des radiocommunications et la CMR-19.</w:t>
      </w:r>
    </w:p>
    <w:p w14:paraId="404B981F" w14:textId="72F1F584" w:rsidR="00433CC9" w:rsidRPr="00C62497" w:rsidRDefault="00433CC9" w:rsidP="005A0897">
      <w:pPr>
        <w:pStyle w:val="Headingb"/>
      </w:pPr>
      <w:r w:rsidRPr="00C62497">
        <w:t>Introduction</w:t>
      </w:r>
    </w:p>
    <w:p w14:paraId="4764C03D" w14:textId="45349676" w:rsidR="00433CC9" w:rsidRPr="00C62497" w:rsidRDefault="00623DCB" w:rsidP="005A0897">
      <w:r w:rsidRPr="00C62497">
        <w:t>Dans son rapport</w:t>
      </w:r>
      <w:r w:rsidR="00D46DFA" w:rsidRPr="00C62497">
        <w:t xml:space="preserve"> au titre de la Résolution 80 (Rév. CMR-07)</w:t>
      </w:r>
      <w:r w:rsidRPr="00C62497">
        <w:t xml:space="preserve"> à l'intention de la Conférence mondiale des radiocommunications de 2019 (CMR-19)</w:t>
      </w:r>
      <w:r w:rsidR="00457BD2" w:rsidRPr="00C62497">
        <w:t>, qui traite des</w:t>
      </w:r>
      <w:r w:rsidRPr="00C62497">
        <w:t xml:space="preserve"> questions ayant une incidence sur le respect des principes énoncés dans l'article 44 de la Constitution de l'UIT</w:t>
      </w:r>
      <w:r w:rsidR="00D46DFA" w:rsidRPr="00C62497">
        <w:t xml:space="preserve"> ainsi qu'au numéro 0.3 du Préambule du Règlement des radiocommunications (RR)</w:t>
      </w:r>
      <w:r w:rsidRPr="00C62497">
        <w:t xml:space="preserve">, le Comité du Règlement des radiocommunications (dénommé ci-après "le Comité") a examiné les problèmes </w:t>
      </w:r>
      <w:r w:rsidR="00457BD2" w:rsidRPr="00C62497">
        <w:t>que soulève</w:t>
      </w:r>
      <w:r w:rsidRPr="00C62497">
        <w:t xml:space="preserve"> l'application par certaines administrations de l'article 48 de la Constitution. Ces problèmes avaient trait à l'invocation de l'article 48 </w:t>
      </w:r>
      <w:r w:rsidR="00D46DFA" w:rsidRPr="00C62497">
        <w:t xml:space="preserve">de la Constitution </w:t>
      </w:r>
      <w:r w:rsidRPr="00C62497">
        <w:t xml:space="preserve">à la suite </w:t>
      </w:r>
      <w:r w:rsidR="007F6F96" w:rsidRPr="00C62497">
        <w:t>de l</w:t>
      </w:r>
      <w:r w:rsidR="00C54712" w:rsidRPr="00C62497">
        <w:t>'</w:t>
      </w:r>
      <w:r w:rsidR="007F6F96" w:rsidRPr="00C62497">
        <w:t xml:space="preserve">examen effectué </w:t>
      </w:r>
      <w:r w:rsidRPr="00C62497">
        <w:t xml:space="preserve">par le Bureau des radiocommunications (BR) </w:t>
      </w:r>
      <w:r w:rsidR="007F6F96" w:rsidRPr="00C62497">
        <w:t xml:space="preserve">au titre </w:t>
      </w:r>
      <w:r w:rsidRPr="00C62497">
        <w:t>de</w:t>
      </w:r>
      <w:r w:rsidR="00115E42">
        <w:t xml:space="preserve"> certaines dispositions de l'A</w:t>
      </w:r>
      <w:r w:rsidR="00D46DFA" w:rsidRPr="00C62497">
        <w:t>rticle</w:t>
      </w:r>
      <w:r w:rsidR="00C54712" w:rsidRPr="00C62497">
        <w:t> </w:t>
      </w:r>
      <w:r w:rsidR="00D46DFA" w:rsidRPr="00C62497">
        <w:t>13 du RR</w:t>
      </w:r>
      <w:bookmarkStart w:id="7" w:name="_Hlk113348761"/>
      <w:r w:rsidR="00D46DFA" w:rsidRPr="00C62497">
        <w:t xml:space="preserve"> portant sur la tenue à jour du Fichier </w:t>
      </w:r>
      <w:r w:rsidR="007F6F96" w:rsidRPr="00C62497">
        <w:t xml:space="preserve">de référence </w:t>
      </w:r>
      <w:r w:rsidR="00D46DFA" w:rsidRPr="00C62497">
        <w:t xml:space="preserve">international des fréquences. </w:t>
      </w:r>
      <w:r w:rsidR="007F6F96" w:rsidRPr="00C62497">
        <w:t xml:space="preserve">Suite à ce </w:t>
      </w:r>
      <w:r w:rsidRPr="00C62497">
        <w:t>rapport du Comité</w:t>
      </w:r>
      <w:r w:rsidR="007F6F96" w:rsidRPr="00C62497">
        <w:t xml:space="preserve">, </w:t>
      </w:r>
      <w:r w:rsidR="002A44DE" w:rsidRPr="00C62497">
        <w:t>ainsi qu'aux commentaires</w:t>
      </w:r>
      <w:r w:rsidR="007F6F96" w:rsidRPr="00C62497">
        <w:t xml:space="preserve"> </w:t>
      </w:r>
      <w:r w:rsidR="002A44DE" w:rsidRPr="00C62497">
        <w:t>et</w:t>
      </w:r>
      <w:r w:rsidR="0025203C" w:rsidRPr="00C62497">
        <w:t xml:space="preserve"> aux</w:t>
      </w:r>
      <w:r w:rsidR="002A44DE" w:rsidRPr="00C62497">
        <w:t xml:space="preserve"> discussions</w:t>
      </w:r>
      <w:r w:rsidR="007F6F96" w:rsidRPr="00C62497">
        <w:t xml:space="preserve"> connexes</w:t>
      </w:r>
      <w:r w:rsidR="00115E42">
        <w:t xml:space="preserve"> de la </w:t>
      </w:r>
      <w:r w:rsidR="00B145D5" w:rsidRPr="00C62497">
        <w:t>CMR</w:t>
      </w:r>
      <w:r w:rsidR="00C54712" w:rsidRPr="00C62497">
        <w:noBreakHyphen/>
      </w:r>
      <w:r w:rsidR="00B145D5" w:rsidRPr="00C62497">
        <w:t>19</w:t>
      </w:r>
      <w:r w:rsidRPr="00C62497">
        <w:t>,</w:t>
      </w:r>
      <w:r w:rsidR="00B145D5" w:rsidRPr="00C62497">
        <w:t xml:space="preserve"> </w:t>
      </w:r>
      <w:r w:rsidR="007F6F96" w:rsidRPr="00C62497">
        <w:t>cette dernière</w:t>
      </w:r>
      <w:r w:rsidR="00B145D5" w:rsidRPr="00C62497">
        <w:t xml:space="preserve">, </w:t>
      </w:r>
      <w:r w:rsidR="007F6F96" w:rsidRPr="00C62497">
        <w:t xml:space="preserve">conformément à </w:t>
      </w:r>
      <w:r w:rsidR="00B145D5" w:rsidRPr="00C62497">
        <w:t xml:space="preserve">l'article 21 de la Convention de l'UIT, a invité la </w:t>
      </w:r>
      <w:r w:rsidR="00B145D5" w:rsidRPr="00C62497">
        <w:rPr>
          <w:szCs w:val="24"/>
        </w:rPr>
        <w:t xml:space="preserve">Conférence de plénipotentiaires </w:t>
      </w:r>
      <w:r w:rsidR="00B145D5" w:rsidRPr="00C62497">
        <w:t>de 2022 (PP-22) à examiner la question</w:t>
      </w:r>
      <w:r w:rsidR="00E75637" w:rsidRPr="00C62497">
        <w:t xml:space="preserve"> </w:t>
      </w:r>
      <w:r w:rsidR="0025203C" w:rsidRPr="00C62497">
        <w:t>de</w:t>
      </w:r>
      <w:r w:rsidR="00B145D5" w:rsidRPr="00C62497">
        <w:t xml:space="preserve"> l'invocation de l'article</w:t>
      </w:r>
      <w:r w:rsidR="00C54712" w:rsidRPr="00C62497">
        <w:t> </w:t>
      </w:r>
      <w:r w:rsidR="00B145D5" w:rsidRPr="00C62497">
        <w:t>48 de la Constitution en ce qui concerne le Règlement des radiocommunications et à prendre les mesures nécessaires, selon qu'il convient.</w:t>
      </w:r>
    </w:p>
    <w:p w14:paraId="41E542A3" w14:textId="65CB4B2E" w:rsidR="00623DCB" w:rsidRPr="00C62497" w:rsidRDefault="00E75637" w:rsidP="005A0897">
      <w:r w:rsidRPr="00C62497">
        <w:lastRenderedPageBreak/>
        <w:t xml:space="preserve">On trouvera dans la </w:t>
      </w:r>
      <w:r w:rsidR="00B145D5" w:rsidRPr="00C62497">
        <w:t>présente contribution de la CITEL une proposition de nouvelle Résolution,</w:t>
      </w:r>
      <w:r w:rsidRPr="00C62497">
        <w:t xml:space="preserve"> </w:t>
      </w:r>
      <w:r w:rsidR="00B145D5" w:rsidRPr="00C62497">
        <w:t xml:space="preserve">pour examen </w:t>
      </w:r>
      <w:r w:rsidRPr="00C62497">
        <w:t xml:space="preserve">par </w:t>
      </w:r>
      <w:r w:rsidR="00B145D5" w:rsidRPr="00C62497">
        <w:t xml:space="preserve">la PP-22, </w:t>
      </w:r>
      <w:r w:rsidRPr="00C62497">
        <w:t>visant à donner suite</w:t>
      </w:r>
      <w:r w:rsidR="00B145D5" w:rsidRPr="00C62497">
        <w:t xml:space="preserve"> à la demande de la CMR-19.</w:t>
      </w:r>
      <w:bookmarkEnd w:id="7"/>
    </w:p>
    <w:p w14:paraId="01F03A4E" w14:textId="17DA591F" w:rsidR="00623DCB" w:rsidRPr="00C62497" w:rsidRDefault="00B145D5" w:rsidP="005A0897">
      <w:pPr>
        <w:pStyle w:val="Headingb"/>
      </w:pPr>
      <w:r w:rsidRPr="00C62497">
        <w:t>Considérations générales et examen</w:t>
      </w:r>
    </w:p>
    <w:p w14:paraId="5747E1E7" w14:textId="4C0E9086" w:rsidR="00623DCB" w:rsidRPr="00C62497" w:rsidRDefault="00623DCB" w:rsidP="005A0897">
      <w:r w:rsidRPr="00C62497">
        <w:t xml:space="preserve">Dans son rapport à la CMR-19 </w:t>
      </w:r>
      <w:r w:rsidR="00134F45" w:rsidRPr="00C62497">
        <w:t>au titre de</w:t>
      </w:r>
      <w:r w:rsidRPr="00C62497">
        <w:t xml:space="preserve"> la Résolution 80 (Rév.</w:t>
      </w:r>
      <w:r w:rsidR="00134F45" w:rsidRPr="00C62497">
        <w:t xml:space="preserve"> </w:t>
      </w:r>
      <w:r w:rsidRPr="00C62497">
        <w:t xml:space="preserve">CMR-07), le </w:t>
      </w:r>
      <w:r w:rsidR="00134F45" w:rsidRPr="00C62497">
        <w:rPr>
          <w:szCs w:val="24"/>
        </w:rPr>
        <w:t xml:space="preserve">Comité du Règlement des radiocommunications </w:t>
      </w:r>
      <w:r w:rsidR="00134F45" w:rsidRPr="00C62497">
        <w:t>(RRB)</w:t>
      </w:r>
      <w:r w:rsidRPr="00C62497">
        <w:t xml:space="preserve"> </w:t>
      </w:r>
      <w:r w:rsidR="00E75637" w:rsidRPr="00C62497">
        <w:t>évoque les préoccupations exprimées par</w:t>
      </w:r>
      <w:r w:rsidRPr="00C62497">
        <w:t xml:space="preserve"> certaines administrations</w:t>
      </w:r>
      <w:r w:rsidR="00E75637" w:rsidRPr="00C62497">
        <w:t xml:space="preserve"> quant à la pertinence de</w:t>
      </w:r>
      <w:r w:rsidRPr="00C62497">
        <w:t xml:space="preserve"> l'application</w:t>
      </w:r>
      <w:r w:rsidR="00E75637" w:rsidRPr="00C62497">
        <w:t>,</w:t>
      </w:r>
      <w:r w:rsidRPr="00C62497">
        <w:t xml:space="preserve"> par d'autres administrations</w:t>
      </w:r>
      <w:r w:rsidR="00E75637" w:rsidRPr="00C62497">
        <w:t>,</w:t>
      </w:r>
      <w:r w:rsidRPr="00C62497">
        <w:t xml:space="preserve"> de l'article 48 de la Constitution de l'UIT.</w:t>
      </w:r>
    </w:p>
    <w:p w14:paraId="395A8E57" w14:textId="67758CB4" w:rsidR="00623DCB" w:rsidRPr="00C62497" w:rsidRDefault="00623DCB" w:rsidP="005A0897">
      <w:r w:rsidRPr="00C62497">
        <w:t xml:space="preserve">Ces préoccupations </w:t>
      </w:r>
      <w:r w:rsidR="00E75637" w:rsidRPr="00C62497">
        <w:t>sont de deux ordres:</w:t>
      </w:r>
    </w:p>
    <w:p w14:paraId="62137625" w14:textId="77777777" w:rsidR="00623DCB" w:rsidRPr="00C62497" w:rsidRDefault="00623DCB" w:rsidP="005A0897">
      <w:pPr>
        <w:pStyle w:val="enumlev1"/>
      </w:pPr>
      <w:r w:rsidRPr="00C62497">
        <w:t>–</w:t>
      </w:r>
      <w:r w:rsidRPr="00C62497">
        <w:tab/>
        <w:t>l'article 48 de la Constitution a été invoqué après que le Bureau a entrepris un examen au titre du numéro 13.6 du RR, en vue de maintenir l'inscription pour les assignations de fréquence dans le Fichier de référence international des fréquences et de conserver les droits associés, sans fournir les précisions demandées par le Bureau; et</w:t>
      </w:r>
    </w:p>
    <w:p w14:paraId="640A7F6F" w14:textId="1FA861C7" w:rsidR="00623DCB" w:rsidRPr="00C62497" w:rsidRDefault="00623DCB" w:rsidP="005A0897">
      <w:pPr>
        <w:pStyle w:val="enumlev1"/>
      </w:pPr>
      <w:r w:rsidRPr="00C62497">
        <w:t>–</w:t>
      </w:r>
      <w:r w:rsidRPr="00C62497">
        <w:tab/>
        <w:t>l'article 48 de la Constitution est invoqué pour des assignations de fréquence qui ne sont pas utilisées à des fins militaires.</w:t>
      </w:r>
    </w:p>
    <w:p w14:paraId="3A25BF48" w14:textId="6CB809A3" w:rsidR="00134F45" w:rsidRPr="00C62497" w:rsidRDefault="00C622BA" w:rsidP="005A0897">
      <w:r w:rsidRPr="00C62497">
        <w:t>Dernièrement</w:t>
      </w:r>
      <w:r w:rsidR="00134F45" w:rsidRPr="00C62497">
        <w:t xml:space="preserve">, l'article 48 de la Constitution a été invoqué dans le contexte de l'application de la procédure de coordination, </w:t>
      </w:r>
      <w:r w:rsidR="00587E9D" w:rsidRPr="00C62497">
        <w:t>empêchant ainsi d'obtenir les renseignements pertinents nécessaires pour faciliter les discussions techniques en vue de trouver des moyens</w:t>
      </w:r>
      <w:r w:rsidRPr="00C62497">
        <w:t xml:space="preserve"> d</w:t>
      </w:r>
      <w:r w:rsidR="00C54712" w:rsidRPr="00C62497">
        <w:t>'</w:t>
      </w:r>
      <w:r w:rsidRPr="00C62497">
        <w:t xml:space="preserve">éviter </w:t>
      </w:r>
      <w:r w:rsidR="00587E9D" w:rsidRPr="00C62497">
        <w:t>les risques de brouillage.</w:t>
      </w:r>
    </w:p>
    <w:p w14:paraId="3654C29D" w14:textId="2B85727D" w:rsidR="003A0272" w:rsidRPr="00C62497" w:rsidRDefault="003A0272" w:rsidP="005A0897">
      <w:r w:rsidRPr="00C62497">
        <w:t xml:space="preserve">Dans les deux </w:t>
      </w:r>
      <w:r w:rsidR="0027370D" w:rsidRPr="00C62497">
        <w:t>cas</w:t>
      </w:r>
      <w:r w:rsidRPr="00C62497">
        <w:t xml:space="preserve">, </w:t>
      </w:r>
      <w:r w:rsidR="00C622BA" w:rsidRPr="00C62497">
        <w:t xml:space="preserve">et </w:t>
      </w:r>
      <w:r w:rsidRPr="00C62497">
        <w:t xml:space="preserve">malgré les demandes formulées par </w:t>
      </w:r>
      <w:r w:rsidR="00C622BA" w:rsidRPr="00C62497">
        <w:t xml:space="preserve">certaines </w:t>
      </w:r>
      <w:r w:rsidRPr="00C62497">
        <w:t>administrations, ni le BR ni le</w:t>
      </w:r>
      <w:r w:rsidR="00C54712" w:rsidRPr="00C62497">
        <w:t> </w:t>
      </w:r>
      <w:r w:rsidRPr="00C62497">
        <w:t xml:space="preserve">RRB n'ont été en mesure de </w:t>
      </w:r>
      <w:r w:rsidR="00B45FEA" w:rsidRPr="00C62497">
        <w:t xml:space="preserve">remédier aux </w:t>
      </w:r>
      <w:r w:rsidRPr="00C62497">
        <w:t>problèmes</w:t>
      </w:r>
      <w:r w:rsidR="00C622BA" w:rsidRPr="00C62497">
        <w:t>, étant donné qu</w:t>
      </w:r>
      <w:r w:rsidR="00C54712" w:rsidRPr="00C62497">
        <w:t>'</w:t>
      </w:r>
      <w:r w:rsidR="00C622BA" w:rsidRPr="00C62497">
        <w:t>il n</w:t>
      </w:r>
      <w:r w:rsidR="00C54712" w:rsidRPr="00C62497">
        <w:t>'</w:t>
      </w:r>
      <w:r w:rsidR="00C622BA" w:rsidRPr="00C62497">
        <w:t>existe</w:t>
      </w:r>
      <w:r w:rsidRPr="00C62497">
        <w:t xml:space="preserve"> dans le Règlement des radiocommunications </w:t>
      </w:r>
      <w:r w:rsidR="00C622BA" w:rsidRPr="00C62497">
        <w:t xml:space="preserve">aucune procédure </w:t>
      </w:r>
      <w:r w:rsidR="00B45FEA" w:rsidRPr="00C62497">
        <w:t>spécifique</w:t>
      </w:r>
      <w:r w:rsidR="00C622BA" w:rsidRPr="00C62497">
        <w:t xml:space="preserve"> </w:t>
      </w:r>
      <w:r w:rsidRPr="00C62497">
        <w:t>permettant d'invoquer l'article</w:t>
      </w:r>
      <w:r w:rsidR="00C54712" w:rsidRPr="00C62497">
        <w:t> </w:t>
      </w:r>
      <w:r w:rsidRPr="00C62497">
        <w:t>48 de la Constitution sans contrevenir aux droits des administrations.</w:t>
      </w:r>
    </w:p>
    <w:p w14:paraId="1FF4F80A" w14:textId="47EFBBFD" w:rsidR="003A0272" w:rsidRPr="00C62497" w:rsidRDefault="003A0272" w:rsidP="005A0897">
      <w:r w:rsidRPr="00C62497">
        <w:t>Le RRB a soumis à la PP-</w:t>
      </w:r>
      <w:r w:rsidRPr="00946338">
        <w:t>22 (</w:t>
      </w:r>
      <w:r w:rsidR="00115E42" w:rsidRPr="00946338">
        <w:t>D</w:t>
      </w:r>
      <w:r w:rsidRPr="00946338">
        <w:t xml:space="preserve">ocument </w:t>
      </w:r>
      <w:hyperlink r:id="rId12" w:history="1">
        <w:r w:rsidRPr="00946338">
          <w:rPr>
            <w:rStyle w:val="Hyperlink"/>
          </w:rPr>
          <w:t>PP-22/63</w:t>
        </w:r>
      </w:hyperlink>
      <w:r w:rsidRPr="00946338">
        <w:t xml:space="preserve">) </w:t>
      </w:r>
      <w:r w:rsidR="00B45FEA" w:rsidRPr="00946338">
        <w:t>une</w:t>
      </w:r>
      <w:r w:rsidR="00B45FEA" w:rsidRPr="00C62497">
        <w:t xml:space="preserve"> contribution </w:t>
      </w:r>
      <w:r w:rsidRPr="00C62497">
        <w:t>décrivant les cas</w:t>
      </w:r>
      <w:r w:rsidR="00356B0D" w:rsidRPr="00C62497">
        <w:t xml:space="preserve"> </w:t>
      </w:r>
      <w:r w:rsidR="00B45FEA" w:rsidRPr="00C62497">
        <w:t>considérés comme se rapportant à</w:t>
      </w:r>
      <w:r w:rsidR="00356B0D" w:rsidRPr="00C62497">
        <w:t xml:space="preserve"> l'article 48 de la Constitution et </w:t>
      </w:r>
      <w:r w:rsidR="00A14068" w:rsidRPr="00C62497">
        <w:t xml:space="preserve">faisant état de la nécessité </w:t>
      </w:r>
      <w:r w:rsidR="00356B0D" w:rsidRPr="00C62497">
        <w:t xml:space="preserve">de clarifier l'invocation </w:t>
      </w:r>
      <w:r w:rsidR="00A14068" w:rsidRPr="00C62497">
        <w:t>dudit</w:t>
      </w:r>
      <w:r w:rsidR="00356B0D" w:rsidRPr="00C62497">
        <w:t xml:space="preserve"> article </w:t>
      </w:r>
      <w:r w:rsidR="00A14068" w:rsidRPr="00C62497">
        <w:t>en ce qui concerne le</w:t>
      </w:r>
      <w:r w:rsidR="00A14068" w:rsidRPr="00C62497" w:rsidDel="00A14068">
        <w:t xml:space="preserve"> </w:t>
      </w:r>
      <w:r w:rsidR="00356B0D" w:rsidRPr="00C62497">
        <w:t>Règlement des radiocommunications</w:t>
      </w:r>
      <w:r w:rsidR="00A14068" w:rsidRPr="00C62497">
        <w:t>,</w:t>
      </w:r>
      <w:r w:rsidR="00356B0D" w:rsidRPr="00C62497">
        <w:t xml:space="preserve"> pour éviter </w:t>
      </w:r>
      <w:r w:rsidR="00A14068" w:rsidRPr="00C62497">
        <w:t xml:space="preserve">tout recours abusif à son application </w:t>
      </w:r>
      <w:r w:rsidR="00356B0D" w:rsidRPr="00C62497">
        <w:t xml:space="preserve">abusive. Dans sa contribution, le RRB invite la PP-22 à fournir des orientations </w:t>
      </w:r>
      <w:r w:rsidR="00A14068" w:rsidRPr="00C62497">
        <w:t>précises susceptibles d</w:t>
      </w:r>
      <w:r w:rsidR="00C54712" w:rsidRPr="00C62497">
        <w:t>'</w:t>
      </w:r>
      <w:r w:rsidR="00356B0D" w:rsidRPr="00C62497">
        <w:t>être utilisées pour traiter les cas relevant de l'article 48 de la Constitution.</w:t>
      </w:r>
    </w:p>
    <w:p w14:paraId="7856EF2E" w14:textId="465BF5E2" w:rsidR="001A042F" w:rsidRPr="00C62497" w:rsidRDefault="00356B0D" w:rsidP="005A0897">
      <w:pPr>
        <w:pStyle w:val="Headingb"/>
      </w:pPr>
      <w:r w:rsidRPr="00C62497">
        <w:t>Proposition</w:t>
      </w:r>
    </w:p>
    <w:p w14:paraId="1CADF849" w14:textId="6971C4F8" w:rsidR="00264061" w:rsidRPr="00C62497" w:rsidRDefault="00264061" w:rsidP="005A0897">
      <w:r w:rsidRPr="00C62497">
        <w:t xml:space="preserve">La CITEL propose d'adopter une nouvelle Résolution de la </w:t>
      </w:r>
      <w:r w:rsidR="00A14068" w:rsidRPr="00C62497">
        <w:rPr>
          <w:szCs w:val="24"/>
        </w:rPr>
        <w:t>PP-22</w:t>
      </w:r>
      <w:r w:rsidRPr="00C62497">
        <w:t xml:space="preserve"> concernant l'invocation de l'article</w:t>
      </w:r>
      <w:r w:rsidR="00C54712" w:rsidRPr="00C62497">
        <w:t> </w:t>
      </w:r>
      <w:r w:rsidRPr="00C62497">
        <w:t>48 de la Constitution</w:t>
      </w:r>
      <w:r w:rsidR="00A14068" w:rsidRPr="00C62497">
        <w:t>,</w:t>
      </w:r>
      <w:r w:rsidRPr="00C62497">
        <w:t xml:space="preserve"> pour </w:t>
      </w:r>
      <w:r w:rsidR="007A6EE1" w:rsidRPr="00C62497">
        <w:t>remédier aux difficultés soulevées</w:t>
      </w:r>
      <w:r w:rsidR="003526AB" w:rsidRPr="00C62497">
        <w:t xml:space="preserve"> par la CMR-19 et le RRB,</w:t>
      </w:r>
      <w:r w:rsidR="007A6EE1" w:rsidRPr="00C62497">
        <w:t xml:space="preserve"> et portant sur</w:t>
      </w:r>
      <w:r w:rsidR="003526AB" w:rsidRPr="00C62497">
        <w:t>:</w:t>
      </w:r>
    </w:p>
    <w:p w14:paraId="451DFF9B" w14:textId="5093894D" w:rsidR="003526AB" w:rsidRPr="00C62497" w:rsidRDefault="001A042F" w:rsidP="005A0897">
      <w:pPr>
        <w:pStyle w:val="enumlev1"/>
      </w:pPr>
      <w:r w:rsidRPr="00C62497">
        <w:t>–</w:t>
      </w:r>
      <w:r w:rsidRPr="00C62497">
        <w:tab/>
      </w:r>
      <w:r w:rsidR="00517E48" w:rsidRPr="00C62497">
        <w:t>les incidences, du point de vue du Règlement des radiocommunications, de l'invocation de l'article 48 de la Constitution;</w:t>
      </w:r>
    </w:p>
    <w:p w14:paraId="74EB634B" w14:textId="66D771C6" w:rsidR="00517E48" w:rsidRPr="00C62497" w:rsidRDefault="001A042F" w:rsidP="005A0897">
      <w:pPr>
        <w:pStyle w:val="enumlev1"/>
      </w:pPr>
      <w:r w:rsidRPr="00C62497">
        <w:t>–</w:t>
      </w:r>
      <w:r w:rsidRPr="00C62497">
        <w:tab/>
      </w:r>
      <w:r w:rsidR="00517E48" w:rsidRPr="00C62497">
        <w:t>la possibilité</w:t>
      </w:r>
      <w:r w:rsidR="007A6EE1" w:rsidRPr="00C62497">
        <w:t>,</w:t>
      </w:r>
      <w:r w:rsidR="00517E48" w:rsidRPr="00C62497">
        <w:t xml:space="preserve"> pour le RRB et le BR</w:t>
      </w:r>
      <w:r w:rsidR="007A6EE1" w:rsidRPr="00C62497">
        <w:t>,</w:t>
      </w:r>
      <w:r w:rsidR="00517E48" w:rsidRPr="00C62497">
        <w:t xml:space="preserve"> de demander des</w:t>
      </w:r>
      <w:r w:rsidR="007A6EE1" w:rsidRPr="00C62497">
        <w:t xml:space="preserve"> précisions</w:t>
      </w:r>
      <w:r w:rsidR="00517E48" w:rsidRPr="00C62497">
        <w:t xml:space="preserve"> aux administrations ayant invoqué l'article 48 de la Constitution</w:t>
      </w:r>
      <w:r w:rsidR="007A6EE1" w:rsidRPr="00C62497">
        <w:t>, lorsqu</w:t>
      </w:r>
      <w:r w:rsidR="00C54712" w:rsidRPr="00C62497">
        <w:t>'</w:t>
      </w:r>
      <w:r w:rsidR="007A6EE1" w:rsidRPr="00C62497">
        <w:t>il existe des</w:t>
      </w:r>
      <w:r w:rsidR="00517E48" w:rsidRPr="00C62497">
        <w:t xml:space="preserve"> renseignements fiables</w:t>
      </w:r>
      <w:r w:rsidR="007A6EE1" w:rsidRPr="00C62497">
        <w:t xml:space="preserve"> sur </w:t>
      </w:r>
      <w:r w:rsidR="00517E48" w:rsidRPr="00C62497">
        <w:t xml:space="preserve">l'utilisation </w:t>
      </w:r>
      <w:r w:rsidR="007A6EE1" w:rsidRPr="00C62497">
        <w:t xml:space="preserve">des </w:t>
      </w:r>
      <w:r w:rsidR="00517E48" w:rsidRPr="00C62497">
        <w:t xml:space="preserve">assignations de fréquence par des stations ne faisant pas partie des installations </w:t>
      </w:r>
      <w:r w:rsidR="007A6EE1" w:rsidRPr="00C62497">
        <w:t>des</w:t>
      </w:r>
      <w:r w:rsidR="00517E48" w:rsidRPr="00C62497">
        <w:t xml:space="preserve"> services de défense nationale; et</w:t>
      </w:r>
    </w:p>
    <w:p w14:paraId="496F1C44" w14:textId="2AE47F74" w:rsidR="00BD1614" w:rsidRPr="00C62497" w:rsidRDefault="001A042F" w:rsidP="00C62497">
      <w:pPr>
        <w:pStyle w:val="enumlev1"/>
      </w:pPr>
      <w:r w:rsidRPr="00C62497">
        <w:t>–</w:t>
      </w:r>
      <w:r w:rsidRPr="00C62497">
        <w:tab/>
      </w:r>
      <w:r w:rsidR="00C12194" w:rsidRPr="00C62497">
        <w:t xml:space="preserve">la mise </w:t>
      </w:r>
      <w:r w:rsidR="007A4E99" w:rsidRPr="00C62497">
        <w:t>en place</w:t>
      </w:r>
      <w:r w:rsidR="00C12194" w:rsidRPr="00C62497">
        <w:t xml:space="preserve"> d'un mécanisme </w:t>
      </w:r>
      <w:r w:rsidR="007A4E99" w:rsidRPr="00C62497">
        <w:t xml:space="preserve">permettant à </w:t>
      </w:r>
      <w:r w:rsidR="00C12194" w:rsidRPr="00C62497">
        <w:t>la Conférence mondiale des radiocommunications de 2023</w:t>
      </w:r>
      <w:r w:rsidR="007A4E99" w:rsidRPr="00C62497">
        <w:t xml:space="preserve"> de définir</w:t>
      </w:r>
      <w:r w:rsidR="00C12194" w:rsidRPr="00C62497">
        <w:t xml:space="preserve"> et d'élaborer </w:t>
      </w:r>
      <w:r w:rsidR="00A14068" w:rsidRPr="00C62497">
        <w:t>les modifications</w:t>
      </w:r>
      <w:r w:rsidR="00C12194" w:rsidRPr="00C62497">
        <w:t xml:space="preserve"> qu'il faudrait </w:t>
      </w:r>
      <w:r w:rsidR="00A14068" w:rsidRPr="00C62497">
        <w:t xml:space="preserve">éventuellement </w:t>
      </w:r>
      <w:r w:rsidR="00C12194" w:rsidRPr="00C62497">
        <w:t xml:space="preserve">apporter au Règlement des radiocommunications </w:t>
      </w:r>
      <w:r w:rsidR="00737E8A" w:rsidRPr="00C62497">
        <w:t>par suite</w:t>
      </w:r>
      <w:r w:rsidR="003E438E" w:rsidRPr="00C62497">
        <w:t xml:space="preserve"> de la mise en œuvre de la nouvelle </w:t>
      </w:r>
      <w:r w:rsidR="00A14068" w:rsidRPr="00C62497">
        <w:t xml:space="preserve">Résolution </w:t>
      </w:r>
      <w:r w:rsidR="003E438E" w:rsidRPr="00C62497">
        <w:t>proposée.</w:t>
      </w:r>
      <w:r w:rsidR="00BD1614" w:rsidRPr="00C62497">
        <w:br w:type="page"/>
      </w:r>
    </w:p>
    <w:p w14:paraId="74B9A393" w14:textId="77777777" w:rsidR="002A2671" w:rsidRPr="00C62497" w:rsidRDefault="00134468" w:rsidP="005A0897">
      <w:pPr>
        <w:pStyle w:val="Proposal"/>
      </w:pPr>
      <w:r w:rsidRPr="00C62497">
        <w:lastRenderedPageBreak/>
        <w:t>ADD</w:t>
      </w:r>
      <w:r w:rsidRPr="00C62497">
        <w:tab/>
        <w:t>IAP/76A4/1</w:t>
      </w:r>
    </w:p>
    <w:p w14:paraId="10C53B76" w14:textId="17C5D540" w:rsidR="002A2671" w:rsidRPr="00C62497" w:rsidRDefault="00134468" w:rsidP="005A0897">
      <w:pPr>
        <w:pStyle w:val="ResNo"/>
      </w:pPr>
      <w:r w:rsidRPr="00C62497">
        <w:t>Projet de nouvelle Résolution [IAP-</w:t>
      </w:r>
      <w:r w:rsidR="001A042F" w:rsidRPr="00C62497">
        <w:t>1</w:t>
      </w:r>
      <w:r w:rsidRPr="00C62497">
        <w:t>]</w:t>
      </w:r>
    </w:p>
    <w:p w14:paraId="7986D77C" w14:textId="04E6B337" w:rsidR="002A2671" w:rsidRPr="00C62497" w:rsidRDefault="00191D9D" w:rsidP="005A0897">
      <w:pPr>
        <w:pStyle w:val="Restitle"/>
      </w:pPr>
      <w:r w:rsidRPr="00C62497">
        <w:t>Utilisation des assignations de fréquence par les installations</w:t>
      </w:r>
      <w:r w:rsidR="00C54712" w:rsidRPr="00C62497">
        <w:t xml:space="preserve"> </w:t>
      </w:r>
      <w:r w:rsidRPr="00C62497">
        <w:t>radioélectriques militaires pour les services de défense nationale</w:t>
      </w:r>
    </w:p>
    <w:p w14:paraId="798FB707" w14:textId="45311908" w:rsidR="00AD2A65" w:rsidRPr="00C62497" w:rsidRDefault="00AD2A65" w:rsidP="005A0897">
      <w:pPr>
        <w:pStyle w:val="Normalaftertitle"/>
      </w:pPr>
      <w:r w:rsidRPr="00C62497">
        <w:t>La Conférence de plénipotentiaires de l'Union internationale des télécommunications (Bucarest,</w:t>
      </w:r>
      <w:r w:rsidR="00C54712" w:rsidRPr="00C62497">
        <w:t> </w:t>
      </w:r>
      <w:r w:rsidRPr="00C62497">
        <w:t>2022),</w:t>
      </w:r>
    </w:p>
    <w:p w14:paraId="067FBA81" w14:textId="28D6A758" w:rsidR="00AD2A65" w:rsidRPr="00C62497" w:rsidRDefault="00D454E6" w:rsidP="005A0897">
      <w:pPr>
        <w:pStyle w:val="Call"/>
      </w:pPr>
      <w:r w:rsidRPr="00C62497">
        <w:t>considérant</w:t>
      </w:r>
    </w:p>
    <w:p w14:paraId="781BAB6F" w14:textId="079A1589" w:rsidR="007F115B" w:rsidRPr="00C62497" w:rsidRDefault="00AD2A65" w:rsidP="005A0897">
      <w:pPr>
        <w:rPr>
          <w:iCs/>
        </w:rPr>
      </w:pPr>
      <w:r w:rsidRPr="00C62497">
        <w:rPr>
          <w:i/>
          <w:iCs/>
        </w:rPr>
        <w:t>a)</w:t>
      </w:r>
      <w:r w:rsidRPr="00C62497">
        <w:rPr>
          <w:i/>
          <w:iCs/>
        </w:rPr>
        <w:tab/>
      </w:r>
      <w:r w:rsidR="007F115B" w:rsidRPr="00C62497">
        <w:rPr>
          <w:iCs/>
        </w:rPr>
        <w:t xml:space="preserve">que la Conférence mondiale des radiocommunications (Charm El-Cheikh, 2019), conformément à l'article 21 de la Convention de l'UIT, a invité la présente </w:t>
      </w:r>
      <w:r w:rsidR="007F115B" w:rsidRPr="00C62497">
        <w:rPr>
          <w:iCs/>
          <w:szCs w:val="24"/>
        </w:rPr>
        <w:t xml:space="preserve">Conférence </w:t>
      </w:r>
      <w:r w:rsidR="007F115B" w:rsidRPr="00C62497">
        <w:rPr>
          <w:iCs/>
        </w:rPr>
        <w:t>à examiner la question de l'invocation de l'article 48 de la Constitution de l'UIT en ce qui concerne le Règlement des radiocommunications et à prendre les mesures nécessaires, selon qu'il convient;</w:t>
      </w:r>
    </w:p>
    <w:p w14:paraId="568CD247" w14:textId="260652DC" w:rsidR="007F115B" w:rsidRPr="00C62497" w:rsidRDefault="00D8214D" w:rsidP="005A0897">
      <w:pPr>
        <w:rPr>
          <w:iCs/>
        </w:rPr>
      </w:pPr>
      <w:r w:rsidRPr="00C62497">
        <w:rPr>
          <w:i/>
          <w:iCs/>
        </w:rPr>
        <w:t>b)</w:t>
      </w:r>
      <w:r w:rsidRPr="00C62497">
        <w:rPr>
          <w:i/>
          <w:iCs/>
        </w:rPr>
        <w:tab/>
      </w:r>
      <w:r w:rsidR="007F115B" w:rsidRPr="00C62497">
        <w:rPr>
          <w:iCs/>
        </w:rPr>
        <w:t xml:space="preserve">qu'il n'existe actuellement dans le Règlement des radiocommunications </w:t>
      </w:r>
      <w:r w:rsidR="00B25362" w:rsidRPr="00C62497">
        <w:rPr>
          <w:iCs/>
        </w:rPr>
        <w:t xml:space="preserve">aucune disposition ni aucune procédure traitant expressément de </w:t>
      </w:r>
      <w:r w:rsidR="007F115B" w:rsidRPr="00C62497">
        <w:rPr>
          <w:iCs/>
        </w:rPr>
        <w:t xml:space="preserve">l'invocation de l'article 48 de la Constitution de l'UIT pour le traitement, </w:t>
      </w:r>
      <w:r w:rsidR="00B25362" w:rsidRPr="00C62497">
        <w:rPr>
          <w:iCs/>
        </w:rPr>
        <w:t>l</w:t>
      </w:r>
      <w:r w:rsidR="00C54712" w:rsidRPr="00C62497">
        <w:rPr>
          <w:iCs/>
        </w:rPr>
        <w:t>'</w:t>
      </w:r>
      <w:r w:rsidR="00B25362" w:rsidRPr="00C62497">
        <w:rPr>
          <w:iCs/>
        </w:rPr>
        <w:t xml:space="preserve">inscription </w:t>
      </w:r>
      <w:r w:rsidR="007F115B" w:rsidRPr="00C62497">
        <w:rPr>
          <w:iCs/>
        </w:rPr>
        <w:t>et la tenue à jour</w:t>
      </w:r>
      <w:r w:rsidR="00B25362" w:rsidRPr="00C62497">
        <w:rPr>
          <w:iCs/>
        </w:rPr>
        <w:t>,</w:t>
      </w:r>
      <w:r w:rsidR="007F115B" w:rsidRPr="00C62497">
        <w:rPr>
          <w:iCs/>
        </w:rPr>
        <w:t xml:space="preserve"> dans le Fichier de référence international des fréquences</w:t>
      </w:r>
      <w:r w:rsidR="00B25362" w:rsidRPr="00C62497">
        <w:rPr>
          <w:iCs/>
        </w:rPr>
        <w:t xml:space="preserve">, </w:t>
      </w:r>
      <w:r w:rsidR="007F115B" w:rsidRPr="00C62497">
        <w:rPr>
          <w:iCs/>
        </w:rPr>
        <w:t xml:space="preserve">des assignations de fréquence aux stations faisant partie </w:t>
      </w:r>
      <w:r w:rsidR="00B25362" w:rsidRPr="00C62497">
        <w:rPr>
          <w:iCs/>
        </w:rPr>
        <w:t>d</w:t>
      </w:r>
      <w:r w:rsidR="00C54712" w:rsidRPr="00C62497">
        <w:rPr>
          <w:iCs/>
        </w:rPr>
        <w:t>'</w:t>
      </w:r>
      <w:r w:rsidR="007F115B" w:rsidRPr="00C62497">
        <w:t>installations</w:t>
      </w:r>
      <w:r w:rsidR="00B25362" w:rsidRPr="00C62497">
        <w:t xml:space="preserve"> des</w:t>
      </w:r>
      <w:r w:rsidR="007F115B" w:rsidRPr="00C62497">
        <w:t xml:space="preserve"> services de défense nationale;</w:t>
      </w:r>
    </w:p>
    <w:p w14:paraId="27B52740" w14:textId="5BA5831C" w:rsidR="007F115B" w:rsidRPr="00C62497" w:rsidRDefault="00D8214D" w:rsidP="005A0897">
      <w:pPr>
        <w:rPr>
          <w:iCs/>
        </w:rPr>
      </w:pPr>
      <w:r w:rsidRPr="00C62497">
        <w:rPr>
          <w:i/>
          <w:iCs/>
        </w:rPr>
        <w:t>c)</w:t>
      </w:r>
      <w:r w:rsidRPr="00C62497">
        <w:rPr>
          <w:i/>
          <w:iCs/>
        </w:rPr>
        <w:tab/>
      </w:r>
      <w:r w:rsidR="007F115B" w:rsidRPr="00C62497">
        <w:rPr>
          <w:iCs/>
        </w:rPr>
        <w:t xml:space="preserve">que l'utilisation </w:t>
      </w:r>
      <w:r w:rsidR="008A2949" w:rsidRPr="00C62497">
        <w:rPr>
          <w:iCs/>
        </w:rPr>
        <w:t xml:space="preserve">du spectre </w:t>
      </w:r>
      <w:r w:rsidR="00181FBD" w:rsidRPr="00C62497">
        <w:rPr>
          <w:iCs/>
        </w:rPr>
        <w:t xml:space="preserve">des fréquences </w:t>
      </w:r>
      <w:r w:rsidR="008A2949" w:rsidRPr="00C62497">
        <w:rPr>
          <w:iCs/>
        </w:rPr>
        <w:t>radioélectrique</w:t>
      </w:r>
      <w:r w:rsidR="00181FBD" w:rsidRPr="00C62497">
        <w:rPr>
          <w:iCs/>
        </w:rPr>
        <w:t>s</w:t>
      </w:r>
      <w:r w:rsidR="008A2949" w:rsidRPr="00C62497">
        <w:rPr>
          <w:iCs/>
        </w:rPr>
        <w:t xml:space="preserve"> </w:t>
      </w:r>
      <w:r w:rsidR="00181FBD" w:rsidRPr="00C62497">
        <w:rPr>
          <w:iCs/>
        </w:rPr>
        <w:t>à des fins gouvernementales</w:t>
      </w:r>
      <w:r w:rsidR="00181FBD" w:rsidRPr="00C62497" w:rsidDel="00181FBD">
        <w:rPr>
          <w:iCs/>
        </w:rPr>
        <w:t xml:space="preserve"> </w:t>
      </w:r>
      <w:r w:rsidR="00E808A6" w:rsidRPr="00C62497">
        <w:rPr>
          <w:iCs/>
        </w:rPr>
        <w:t xml:space="preserve">ne </w:t>
      </w:r>
      <w:r w:rsidR="00713EED" w:rsidRPr="00C62497">
        <w:rPr>
          <w:iCs/>
        </w:rPr>
        <w:t xml:space="preserve">signifie </w:t>
      </w:r>
      <w:r w:rsidR="00E808A6" w:rsidRPr="00C62497">
        <w:rPr>
          <w:iCs/>
        </w:rPr>
        <w:t>pas</w:t>
      </w:r>
      <w:r w:rsidR="00713EED" w:rsidRPr="00C62497">
        <w:rPr>
          <w:iCs/>
        </w:rPr>
        <w:t xml:space="preserve"> </w:t>
      </w:r>
      <w:r w:rsidR="00E808A6" w:rsidRPr="00C62497">
        <w:rPr>
          <w:iCs/>
        </w:rPr>
        <w:t xml:space="preserve">son utilisation </w:t>
      </w:r>
      <w:r w:rsidR="008A2949" w:rsidRPr="00C62497">
        <w:rPr>
          <w:iCs/>
        </w:rPr>
        <w:t>par des installations radioélectriques militaires pour les services de défense nationale,</w:t>
      </w:r>
    </w:p>
    <w:p w14:paraId="28C708E2" w14:textId="29741851" w:rsidR="00AD2A65" w:rsidRPr="00C62497" w:rsidRDefault="00AD2A65" w:rsidP="005A0897">
      <w:pPr>
        <w:pStyle w:val="Call"/>
      </w:pPr>
      <w:r w:rsidRPr="00C62497">
        <w:t>reconnaissant</w:t>
      </w:r>
    </w:p>
    <w:p w14:paraId="7435BFB1" w14:textId="27F48212" w:rsidR="0013131F" w:rsidRPr="00C62497" w:rsidRDefault="00D8214D" w:rsidP="005A0897">
      <w:pPr>
        <w:rPr>
          <w:iCs/>
        </w:rPr>
      </w:pPr>
      <w:r w:rsidRPr="00C62497">
        <w:rPr>
          <w:i/>
          <w:iCs/>
        </w:rPr>
        <w:t>a)</w:t>
      </w:r>
      <w:r w:rsidRPr="00C62497">
        <w:rPr>
          <w:i/>
          <w:iCs/>
        </w:rPr>
        <w:tab/>
      </w:r>
      <w:r w:rsidR="0013131F" w:rsidRPr="00C62497">
        <w:rPr>
          <w:iCs/>
        </w:rPr>
        <w:t xml:space="preserve">que les dispositions de la Constitution de l'UIT sont </w:t>
      </w:r>
      <w:r w:rsidR="00713EED" w:rsidRPr="00C62497">
        <w:rPr>
          <w:iCs/>
        </w:rPr>
        <w:t xml:space="preserve">de plus </w:t>
      </w:r>
      <w:r w:rsidR="0013131F" w:rsidRPr="00C62497">
        <w:rPr>
          <w:iCs/>
        </w:rPr>
        <w:t xml:space="preserve">complétées par celles des </w:t>
      </w:r>
      <w:r w:rsidR="00713EED" w:rsidRPr="00C62497">
        <w:rPr>
          <w:iCs/>
        </w:rPr>
        <w:t xml:space="preserve">Règlements </w:t>
      </w:r>
      <w:r w:rsidR="0013131F" w:rsidRPr="00C62497">
        <w:rPr>
          <w:iCs/>
        </w:rPr>
        <w:t>administratifs, notamment le Règlement des radiocommunications;</w:t>
      </w:r>
    </w:p>
    <w:p w14:paraId="6245FDBD" w14:textId="02FFC2B7" w:rsidR="00AD2A65" w:rsidRPr="00C62497" w:rsidRDefault="00D8214D" w:rsidP="005A0897">
      <w:r w:rsidRPr="00C62497">
        <w:rPr>
          <w:i/>
          <w:iCs/>
        </w:rPr>
        <w:t>b)</w:t>
      </w:r>
      <w:r w:rsidRPr="00C62497">
        <w:rPr>
          <w:i/>
          <w:iCs/>
        </w:rPr>
        <w:tab/>
      </w:r>
      <w:r w:rsidR="0013131F" w:rsidRPr="00C62497">
        <w:rPr>
          <w:iCs/>
        </w:rPr>
        <w:t>que, conformément au § 1 de l'article 48 de la Constitution de l'UIT, les</w:t>
      </w:r>
      <w:r w:rsidRPr="00C62497">
        <w:t xml:space="preserve"> </w:t>
      </w:r>
      <w:r w:rsidR="0013131F" w:rsidRPr="00C62497">
        <w:t>É</w:t>
      </w:r>
      <w:r w:rsidRPr="00C62497">
        <w:t>tats Membres conservent leur entière liberté en ce qui concerne les installati</w:t>
      </w:r>
      <w:r w:rsidR="0013131F" w:rsidRPr="00C62497">
        <w:t>ons radioélectriques militaires;</w:t>
      </w:r>
    </w:p>
    <w:p w14:paraId="2F64C9A3" w14:textId="1959A812" w:rsidR="00AD2A65" w:rsidRPr="00C62497" w:rsidRDefault="00D8214D" w:rsidP="005A0897">
      <w:r w:rsidRPr="00C62497">
        <w:rPr>
          <w:i/>
          <w:iCs/>
        </w:rPr>
        <w:t>c)</w:t>
      </w:r>
      <w:r w:rsidRPr="00C62497">
        <w:rPr>
          <w:i/>
          <w:iCs/>
        </w:rPr>
        <w:tab/>
      </w:r>
      <w:r w:rsidR="0013131F" w:rsidRPr="00C62497">
        <w:t>que, conformément au § 2 de l'article 48 de la Constitution de l'UIT</w:t>
      </w:r>
      <w:r w:rsidRPr="00C62497">
        <w:t xml:space="preserve">, ces installations doivent, autant que possible, observer les dispositions réglementaires relatives aux mesures à prendre pour empêcher </w:t>
      </w:r>
      <w:r w:rsidR="0013131F" w:rsidRPr="00C62497">
        <w:t>les brouillages préjudiciables;</w:t>
      </w:r>
    </w:p>
    <w:p w14:paraId="6BA99729" w14:textId="1A0D60CC" w:rsidR="0013131F" w:rsidRPr="00C62497" w:rsidRDefault="00D8214D" w:rsidP="005A0897">
      <w:pPr>
        <w:rPr>
          <w:iCs/>
        </w:rPr>
      </w:pPr>
      <w:r w:rsidRPr="00C62497">
        <w:rPr>
          <w:i/>
          <w:iCs/>
        </w:rPr>
        <w:t>d)</w:t>
      </w:r>
      <w:r w:rsidRPr="00C62497">
        <w:rPr>
          <w:i/>
          <w:iCs/>
        </w:rPr>
        <w:tab/>
      </w:r>
      <w:r w:rsidR="0013131F" w:rsidRPr="00C62497">
        <w:rPr>
          <w:iCs/>
        </w:rPr>
        <w:t>que les droits à une reconnaissance et à</w:t>
      </w:r>
      <w:r w:rsidR="00D71124" w:rsidRPr="00C62497">
        <w:rPr>
          <w:iCs/>
        </w:rPr>
        <w:t xml:space="preserve"> une </w:t>
      </w:r>
      <w:r w:rsidR="0013131F" w:rsidRPr="00C62497">
        <w:rPr>
          <w:iCs/>
        </w:rPr>
        <w:t>protection</w:t>
      </w:r>
      <w:r w:rsidR="00D71124" w:rsidRPr="00C62497">
        <w:rPr>
          <w:iCs/>
        </w:rPr>
        <w:t xml:space="preserve"> internationales pour </w:t>
      </w:r>
      <w:r w:rsidR="00FA1BFE" w:rsidRPr="00C62497">
        <w:rPr>
          <w:iCs/>
        </w:rPr>
        <w:t>des</w:t>
      </w:r>
      <w:r w:rsidR="0013131F" w:rsidRPr="00C62497">
        <w:rPr>
          <w:iCs/>
        </w:rPr>
        <w:t xml:space="preserve"> assignation</w:t>
      </w:r>
      <w:r w:rsidR="00FA1BFE" w:rsidRPr="00C62497">
        <w:rPr>
          <w:iCs/>
        </w:rPr>
        <w:t>s</w:t>
      </w:r>
      <w:r w:rsidR="0013131F" w:rsidRPr="00C62497">
        <w:rPr>
          <w:iCs/>
        </w:rPr>
        <w:t xml:space="preserve"> de fréquence </w:t>
      </w:r>
      <w:r w:rsidR="00FA1BFE" w:rsidRPr="00C62497">
        <w:rPr>
          <w:iCs/>
        </w:rPr>
        <w:t>dépendent de l'inscription desdites</w:t>
      </w:r>
      <w:r w:rsidR="00115E42">
        <w:rPr>
          <w:iCs/>
        </w:rPr>
        <w:t xml:space="preserve"> </w:t>
      </w:r>
      <w:r w:rsidR="0013131F" w:rsidRPr="00C62497">
        <w:rPr>
          <w:iCs/>
        </w:rPr>
        <w:t xml:space="preserve">assignations dans le Fichier de référence international des fréquences et </w:t>
      </w:r>
      <w:r w:rsidR="001D1FD1" w:rsidRPr="00C62497">
        <w:rPr>
          <w:iCs/>
        </w:rPr>
        <w:t>sont assujettis aux dispositions du Règlement des radiocommunications,</w:t>
      </w:r>
    </w:p>
    <w:p w14:paraId="072FAC1B" w14:textId="02C12009" w:rsidR="00AD2A65" w:rsidRPr="00C62497" w:rsidRDefault="001D1FD1" w:rsidP="005A0897">
      <w:pPr>
        <w:pStyle w:val="Call"/>
      </w:pPr>
      <w:r w:rsidRPr="00C62497">
        <w:t>décide</w:t>
      </w:r>
    </w:p>
    <w:p w14:paraId="7F1A6A23" w14:textId="5B440696" w:rsidR="00AD2A65" w:rsidRPr="00C62497" w:rsidRDefault="00F5245F" w:rsidP="005A0897">
      <w:r w:rsidRPr="00C62497">
        <w:t>1</w:t>
      </w:r>
      <w:r w:rsidRPr="00C62497">
        <w:tab/>
        <w:t>que le droit des administrations d'invoquer l'article 48 de la Constitution</w:t>
      </w:r>
      <w:r w:rsidR="001D1FD1" w:rsidRPr="00C62497">
        <w:t xml:space="preserve"> de l'UIT</w:t>
      </w:r>
      <w:r w:rsidRPr="00C62497">
        <w:t xml:space="preserve"> ne doit pas faire l'objet de restrictions;</w:t>
      </w:r>
    </w:p>
    <w:p w14:paraId="5D5B2C55" w14:textId="69B815A7" w:rsidR="001D1FD1" w:rsidRPr="00C62497" w:rsidRDefault="00F5245F" w:rsidP="008C2003">
      <w:r w:rsidRPr="00C62497">
        <w:t>2</w:t>
      </w:r>
      <w:r w:rsidRPr="00C62497">
        <w:tab/>
      </w:r>
      <w:r w:rsidR="001D1FD1" w:rsidRPr="00C62497">
        <w:t xml:space="preserve">que </w:t>
      </w:r>
      <w:r w:rsidR="00D71124" w:rsidRPr="00C62497">
        <w:t>l</w:t>
      </w:r>
      <w:r w:rsidR="00C54712" w:rsidRPr="00C62497">
        <w:t>'</w:t>
      </w:r>
      <w:r w:rsidR="001D1FD1" w:rsidRPr="00C62497">
        <w:t xml:space="preserve">invocation de l'article 48 de la Constitution de l'UIT par une administration doit être </w:t>
      </w:r>
      <w:r w:rsidR="00D71124" w:rsidRPr="00C62497">
        <w:t>expressément indiquée</w:t>
      </w:r>
      <w:r w:rsidR="001D1FD1" w:rsidRPr="00C62497">
        <w:t>;</w:t>
      </w:r>
    </w:p>
    <w:p w14:paraId="1CB734CC" w14:textId="1AFA5E9C" w:rsidR="001D1FD1" w:rsidRPr="00C62497" w:rsidRDefault="00F5245F" w:rsidP="008C2003">
      <w:r w:rsidRPr="00C62497">
        <w:lastRenderedPageBreak/>
        <w:t>3</w:t>
      </w:r>
      <w:r w:rsidRPr="00C62497">
        <w:tab/>
      </w:r>
      <w:r w:rsidR="001D1FD1" w:rsidRPr="00C62497">
        <w:t xml:space="preserve">que, dans le cas </w:t>
      </w:r>
      <w:r w:rsidR="00D71124" w:rsidRPr="00C62497">
        <w:t xml:space="preserve">où </w:t>
      </w:r>
      <w:r w:rsidR="001D1FD1" w:rsidRPr="00C62497">
        <w:t>l'article 48 de la Constitution de l'UIT</w:t>
      </w:r>
      <w:r w:rsidR="00D71124" w:rsidRPr="00C62497">
        <w:t xml:space="preserve"> est invoqué </w:t>
      </w:r>
      <w:r w:rsidR="001D1FD1" w:rsidRPr="00C62497">
        <w:t xml:space="preserve">pour des assignations de fréquence à des stations des services spatiaux ou de Terre, les dispositions suivantes </w:t>
      </w:r>
      <w:r w:rsidR="00C15275" w:rsidRPr="00C62497">
        <w:t>s'appliqueront:</w:t>
      </w:r>
    </w:p>
    <w:p w14:paraId="29B4F00D" w14:textId="5F6F51C5" w:rsidR="001D1FD1" w:rsidRPr="00946338" w:rsidRDefault="00F5245F" w:rsidP="005A0897">
      <w:pPr>
        <w:pStyle w:val="enumlev1"/>
      </w:pPr>
      <w:r w:rsidRPr="00946338">
        <w:t>i)</w:t>
      </w:r>
      <w:r w:rsidRPr="00946338">
        <w:tab/>
      </w:r>
      <w:r w:rsidR="001D1FD1" w:rsidRPr="00946338">
        <w:t xml:space="preserve">les assignations de fréquence pour lesquelles l'article 48 de la Constitution de l'UIT a été invoqué </w:t>
      </w:r>
      <w:r w:rsidR="00C15275" w:rsidRPr="00946338">
        <w:t>font partie d</w:t>
      </w:r>
      <w:r w:rsidR="00C54712" w:rsidRPr="00946338">
        <w:t>'</w:t>
      </w:r>
      <w:r w:rsidR="003E60C6" w:rsidRPr="00946338">
        <w:t xml:space="preserve">installations radioélectriques militaires et </w:t>
      </w:r>
      <w:r w:rsidR="00C15275" w:rsidRPr="00946338">
        <w:t>sont</w:t>
      </w:r>
      <w:r w:rsidR="005305F0" w:rsidRPr="00946338">
        <w:t xml:space="preserve"> utilisées exclusivement pour l</w:t>
      </w:r>
      <w:r w:rsidR="003E60C6" w:rsidRPr="00946338">
        <w:t>es services de défense nationale;</w:t>
      </w:r>
    </w:p>
    <w:p w14:paraId="689FB129" w14:textId="40198724" w:rsidR="003E60C6" w:rsidRPr="00C62497" w:rsidRDefault="00F5245F" w:rsidP="005A0897">
      <w:pPr>
        <w:pStyle w:val="enumlev1"/>
      </w:pPr>
      <w:r w:rsidRPr="00946338">
        <w:t>ii)</w:t>
      </w:r>
      <w:r w:rsidRPr="00946338">
        <w:tab/>
      </w:r>
      <w:r w:rsidR="003E60C6" w:rsidRPr="00946338">
        <w:t>s'il apparaît</w:t>
      </w:r>
      <w:r w:rsidR="00E04B63" w:rsidRPr="00946338">
        <w:t>,</w:t>
      </w:r>
      <w:r w:rsidR="003E60C6" w:rsidRPr="00946338">
        <w:t xml:space="preserve"> d'après </w:t>
      </w:r>
      <w:r w:rsidR="00E04B63" w:rsidRPr="00946338">
        <w:t>les</w:t>
      </w:r>
      <w:r w:rsidR="003E60C6" w:rsidRPr="00946338">
        <w:t xml:space="preserve"> renseignements fiables disponibles</w:t>
      </w:r>
      <w:r w:rsidR="00E04B63" w:rsidRPr="00946338">
        <w:t>,</w:t>
      </w:r>
      <w:r w:rsidR="003E60C6" w:rsidRPr="00946338">
        <w:t xml:space="preserve"> qu'une assignation</w:t>
      </w:r>
      <w:r w:rsidR="00C15275" w:rsidRPr="00946338">
        <w:t xml:space="preserve"> inscrite </w:t>
      </w:r>
      <w:r w:rsidR="003E60C6" w:rsidRPr="00946338">
        <w:t>pour</w:t>
      </w:r>
      <w:r w:rsidR="003E60C6" w:rsidRPr="00C62497">
        <w:t xml:space="preserve"> laquelle l'article 48 de la Constitution de l'UIT a été invoqué </w:t>
      </w:r>
      <w:r w:rsidR="00C15275" w:rsidRPr="00C62497">
        <w:t>n</w:t>
      </w:r>
      <w:r w:rsidR="00C54712" w:rsidRPr="00C62497">
        <w:t>'</w:t>
      </w:r>
      <w:r w:rsidR="00C15275" w:rsidRPr="00C62497">
        <w:t>est pas conforme à l</w:t>
      </w:r>
      <w:r w:rsidR="00C54712" w:rsidRPr="00C62497">
        <w:t>'</w:t>
      </w:r>
      <w:r w:rsidR="00C15275" w:rsidRPr="00C62497">
        <w:t xml:space="preserve">alinéa </w:t>
      </w:r>
      <w:r w:rsidR="00C15275" w:rsidRPr="00C62497">
        <w:rPr>
          <w:highlight w:val="cyan"/>
        </w:rPr>
        <w:t>i)</w:t>
      </w:r>
      <w:r w:rsidR="00C15275" w:rsidRPr="00C62497">
        <w:t xml:space="preserve"> du </w:t>
      </w:r>
      <w:r w:rsidR="003E60C6" w:rsidRPr="00C62497">
        <w:t xml:space="preserve">point 3 du </w:t>
      </w:r>
      <w:r w:rsidR="003E60C6" w:rsidRPr="00C62497">
        <w:rPr>
          <w:i/>
        </w:rPr>
        <w:t>décide</w:t>
      </w:r>
      <w:r w:rsidR="003E60C6" w:rsidRPr="00C62497">
        <w:t xml:space="preserve"> ci-</w:t>
      </w:r>
      <w:r w:rsidR="003E60C6" w:rsidRPr="00C62497">
        <w:rPr>
          <w:szCs w:val="24"/>
        </w:rPr>
        <w:t xml:space="preserve">dessus, le </w:t>
      </w:r>
      <w:r w:rsidR="003E60C6" w:rsidRPr="00C62497">
        <w:rPr>
          <w:bCs/>
          <w:szCs w:val="24"/>
        </w:rPr>
        <w:t>Bureau des radiocommunications</w:t>
      </w:r>
      <w:r w:rsidR="003E60C6" w:rsidRPr="00C62497">
        <w:rPr>
          <w:szCs w:val="24"/>
        </w:rPr>
        <w:t xml:space="preserve"> et</w:t>
      </w:r>
      <w:r w:rsidR="003E60C6" w:rsidRPr="00C62497">
        <w:t xml:space="preserve"> le </w:t>
      </w:r>
      <w:r w:rsidR="003E60C6" w:rsidRPr="00C62497">
        <w:rPr>
          <w:szCs w:val="24"/>
        </w:rPr>
        <w:t xml:space="preserve">Comité du Règlement des radiocommunications peuvent demander des </w:t>
      </w:r>
      <w:r w:rsidR="00C15275" w:rsidRPr="00C62497">
        <w:rPr>
          <w:szCs w:val="24"/>
        </w:rPr>
        <w:t xml:space="preserve">précisions </w:t>
      </w:r>
      <w:r w:rsidR="003E60C6" w:rsidRPr="00C62497">
        <w:rPr>
          <w:szCs w:val="24"/>
        </w:rPr>
        <w:t xml:space="preserve">et prendre les mesures </w:t>
      </w:r>
      <w:r w:rsidR="00C15275" w:rsidRPr="00C62497">
        <w:rPr>
          <w:szCs w:val="24"/>
        </w:rPr>
        <w:t xml:space="preserve">voulues </w:t>
      </w:r>
      <w:r w:rsidR="00342B5C">
        <w:rPr>
          <w:szCs w:val="24"/>
        </w:rPr>
        <w:t>en fonction</w:t>
      </w:r>
      <w:r w:rsidR="00030A30">
        <w:rPr>
          <w:szCs w:val="24"/>
        </w:rPr>
        <w:t xml:space="preserve"> </w:t>
      </w:r>
      <w:r w:rsidR="003E60C6" w:rsidRPr="00C62497">
        <w:rPr>
          <w:szCs w:val="24"/>
        </w:rPr>
        <w:t xml:space="preserve">des </w:t>
      </w:r>
      <w:r w:rsidR="00C15275" w:rsidRPr="00C62497">
        <w:rPr>
          <w:szCs w:val="24"/>
        </w:rPr>
        <w:t>précisions fournies</w:t>
      </w:r>
      <w:r w:rsidR="003E60C6" w:rsidRPr="00C62497">
        <w:rPr>
          <w:szCs w:val="24"/>
        </w:rPr>
        <w:t>;</w:t>
      </w:r>
    </w:p>
    <w:p w14:paraId="41F7AD8F" w14:textId="659998D4" w:rsidR="003E60C6" w:rsidRPr="00C62497" w:rsidRDefault="00F5245F" w:rsidP="008C2003">
      <w:r w:rsidRPr="00C62497">
        <w:t>4</w:t>
      </w:r>
      <w:r w:rsidRPr="00C62497">
        <w:tab/>
      </w:r>
      <w:r w:rsidR="003E60C6" w:rsidRPr="00C62497">
        <w:t>que l'invocation de l'article 48 de la Constitution de l'UIT pour des assignations de fréquence</w:t>
      </w:r>
      <w:r w:rsidR="00511D6D" w:rsidRPr="00C62497">
        <w:t xml:space="preserve"> inscrites </w:t>
      </w:r>
      <w:r w:rsidR="003E60C6" w:rsidRPr="00C62497">
        <w:t xml:space="preserve">ne </w:t>
      </w:r>
      <w:r w:rsidR="00662B32" w:rsidRPr="00C62497">
        <w:t xml:space="preserve">doit pas </w:t>
      </w:r>
      <w:r w:rsidR="003E60C6" w:rsidRPr="00C62497">
        <w:t>dispense</w:t>
      </w:r>
      <w:r w:rsidR="00662B32" w:rsidRPr="00C62497">
        <w:t>r</w:t>
      </w:r>
      <w:r w:rsidR="003E60C6" w:rsidRPr="00C62497">
        <w:t xml:space="preserve"> </w:t>
      </w:r>
      <w:r w:rsidR="00662B32" w:rsidRPr="00C62497">
        <w:t xml:space="preserve">en permanence </w:t>
      </w:r>
      <w:r w:rsidR="00511D6D" w:rsidRPr="00C62497">
        <w:t xml:space="preserve">ces assignations </w:t>
      </w:r>
      <w:r w:rsidR="00E04B63" w:rsidRPr="00C62497">
        <w:t xml:space="preserve">des obligations </w:t>
      </w:r>
      <w:r w:rsidR="00662B32" w:rsidRPr="00C62497">
        <w:t xml:space="preserve">en matière </w:t>
      </w:r>
      <w:r w:rsidR="00E04B63" w:rsidRPr="00C62497">
        <w:t>de coordination</w:t>
      </w:r>
      <w:r w:rsidR="003E60C6" w:rsidRPr="00C62497">
        <w:t>;</w:t>
      </w:r>
    </w:p>
    <w:p w14:paraId="0472CE02" w14:textId="26AEA1D9" w:rsidR="002A2671" w:rsidRPr="00C62497" w:rsidRDefault="00F5245F" w:rsidP="008C2003">
      <w:r w:rsidRPr="00C62497">
        <w:t>5</w:t>
      </w:r>
      <w:r w:rsidRPr="00C62497">
        <w:tab/>
        <w:t xml:space="preserve">que les assignations de fréquence </w:t>
      </w:r>
      <w:r w:rsidR="005305F0" w:rsidRPr="00C62497">
        <w:t>pour</w:t>
      </w:r>
      <w:r w:rsidRPr="00C62497">
        <w:t xml:space="preserve"> </w:t>
      </w:r>
      <w:r w:rsidR="00662B32" w:rsidRPr="00C62497">
        <w:t xml:space="preserve">les </w:t>
      </w:r>
      <w:r w:rsidRPr="00C62497">
        <w:t>installations radioélectriques militaires</w:t>
      </w:r>
      <w:r w:rsidR="00662B32" w:rsidRPr="00C62497">
        <w:t xml:space="preserve"> des</w:t>
      </w:r>
      <w:r w:rsidR="005305F0" w:rsidRPr="00C62497">
        <w:t xml:space="preserve"> services de défense nationale </w:t>
      </w:r>
      <w:r w:rsidR="00662B32" w:rsidRPr="00C62497">
        <w:t>n</w:t>
      </w:r>
      <w:r w:rsidR="00C54712" w:rsidRPr="00C62497">
        <w:t>'</w:t>
      </w:r>
      <w:r w:rsidR="00662B32" w:rsidRPr="00C62497">
        <w:t xml:space="preserve">auront droit à une </w:t>
      </w:r>
      <w:r w:rsidRPr="00C62497">
        <w:t>protection contre les brouillages préjudiciables que si elles sont inscrites dans le Fichier de référen</w:t>
      </w:r>
      <w:r w:rsidR="005305F0" w:rsidRPr="00C62497">
        <w:t>ce international des fréquences,</w:t>
      </w:r>
    </w:p>
    <w:p w14:paraId="13A1D8FD" w14:textId="491CFA56" w:rsidR="00F5245F" w:rsidRPr="00C62497" w:rsidRDefault="00F5245F" w:rsidP="005A0897">
      <w:pPr>
        <w:pStyle w:val="Call"/>
      </w:pPr>
      <w:r w:rsidRPr="00C62497">
        <w:t>charge le Directeur du Bureau des radiocommunications</w:t>
      </w:r>
    </w:p>
    <w:p w14:paraId="05F50577" w14:textId="414996BE" w:rsidR="005305F0" w:rsidRPr="00C62497" w:rsidRDefault="00F5245F" w:rsidP="005A0897">
      <w:r w:rsidRPr="00C62497">
        <w:t>1</w:t>
      </w:r>
      <w:r w:rsidRPr="00C62497">
        <w:tab/>
      </w:r>
      <w:r w:rsidR="000276C7" w:rsidRPr="00C62497">
        <w:t>d'informer l'administration notificatrice</w:t>
      </w:r>
      <w:r w:rsidR="00425121" w:rsidRPr="00C62497">
        <w:t>,</w:t>
      </w:r>
      <w:r w:rsidR="000276C7" w:rsidRPr="00C62497">
        <w:t xml:space="preserve"> chaque fois que l'article 48 de la Constitution de l'UIT est invoqué</w:t>
      </w:r>
      <w:r w:rsidR="00425121" w:rsidRPr="00C62497">
        <w:t>, des obligations associées à l'utilisation des assignations de fréquence concernées</w:t>
      </w:r>
      <w:r w:rsidR="000276C7" w:rsidRPr="00C62497">
        <w:t>;</w:t>
      </w:r>
    </w:p>
    <w:p w14:paraId="307CAB7E" w14:textId="361F48A3" w:rsidR="000276C7" w:rsidRPr="00C62497" w:rsidRDefault="00F5245F" w:rsidP="005A0897">
      <w:r w:rsidRPr="00C62497">
        <w:t>2</w:t>
      </w:r>
      <w:r w:rsidRPr="00C62497">
        <w:tab/>
      </w:r>
      <w:r w:rsidR="000276C7" w:rsidRPr="00C62497">
        <w:t xml:space="preserve">de prendre les mesures </w:t>
      </w:r>
      <w:r w:rsidR="00425121" w:rsidRPr="00C62497">
        <w:t>voulues aux fins de</w:t>
      </w:r>
      <w:r w:rsidR="000276C7" w:rsidRPr="00C62497">
        <w:t xml:space="preserve"> la mise en œuvre de la présente Résolution,</w:t>
      </w:r>
    </w:p>
    <w:p w14:paraId="2B2B84D0" w14:textId="225CA1AE" w:rsidR="00F5245F" w:rsidRPr="00C62497" w:rsidRDefault="000276C7" w:rsidP="005A0897">
      <w:pPr>
        <w:pStyle w:val="Call"/>
      </w:pPr>
      <w:r w:rsidRPr="00C62497">
        <w:t>demande à</w:t>
      </w:r>
      <w:r w:rsidR="00F5245F" w:rsidRPr="00C62497">
        <w:t xml:space="preserve"> la Conférence mondiale des radiocommunications de 2023</w:t>
      </w:r>
    </w:p>
    <w:p w14:paraId="4C08B94D" w14:textId="0BCD8C58" w:rsidR="00134468" w:rsidRPr="00C62497" w:rsidRDefault="00425121" w:rsidP="005A0897">
      <w:r w:rsidRPr="00C62497">
        <w:t>d</w:t>
      </w:r>
      <w:r w:rsidR="00C54712" w:rsidRPr="00C62497">
        <w:t>'</w:t>
      </w:r>
      <w:r w:rsidRPr="00C62497">
        <w:t>examiner</w:t>
      </w:r>
      <w:r w:rsidR="000276C7" w:rsidRPr="00C62497">
        <w:t xml:space="preserve">, conformément au numéro 119 de la Convention de l'UIT, les mesures réglementaires </w:t>
      </w:r>
      <w:r w:rsidR="00153FBD" w:rsidRPr="00C62497">
        <w:t xml:space="preserve">voulues </w:t>
      </w:r>
      <w:r w:rsidR="000276C7" w:rsidRPr="00C62497">
        <w:t xml:space="preserve">nécessaires </w:t>
      </w:r>
      <w:r w:rsidR="00180867" w:rsidRPr="00C62497">
        <w:t>à</w:t>
      </w:r>
      <w:r w:rsidR="000276C7" w:rsidRPr="00C62497">
        <w:t xml:space="preserve"> la mise en œuvre de la présente Résolution.</w:t>
      </w:r>
    </w:p>
    <w:p w14:paraId="0918491D" w14:textId="77777777" w:rsidR="00C54712" w:rsidRPr="00C62497" w:rsidRDefault="00C54712" w:rsidP="00C54712">
      <w:pPr>
        <w:pStyle w:val="Reasons"/>
      </w:pPr>
    </w:p>
    <w:p w14:paraId="1C783EAA" w14:textId="007195A5" w:rsidR="00134468" w:rsidRPr="00C62497" w:rsidRDefault="00134468" w:rsidP="005A0897">
      <w:pPr>
        <w:jc w:val="center"/>
      </w:pPr>
      <w:r w:rsidRPr="00C62497">
        <w:t>______________</w:t>
      </w:r>
    </w:p>
    <w:sectPr w:rsidR="00134468" w:rsidRPr="00C62497" w:rsidSect="003A0B7D">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AA04" w14:textId="77777777" w:rsidR="00E32141" w:rsidRDefault="00E32141">
      <w:r>
        <w:separator/>
      </w:r>
    </w:p>
  </w:endnote>
  <w:endnote w:type="continuationSeparator" w:id="0">
    <w:p w14:paraId="20758D13" w14:textId="77777777" w:rsidR="00E32141" w:rsidRDefault="00E3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D88B" w14:textId="297D3BF2" w:rsidR="00433CC9" w:rsidRPr="00946338" w:rsidRDefault="00153FBD" w:rsidP="00433CC9">
    <w:pPr>
      <w:pStyle w:val="Footer"/>
      <w:rPr>
        <w:color w:val="FFFFFF" w:themeColor="background1"/>
        <w:lang w:val="en-GB"/>
      </w:rPr>
    </w:pPr>
    <w:r w:rsidRPr="00946338">
      <w:rPr>
        <w:color w:val="FFFFFF" w:themeColor="background1"/>
      </w:rPr>
      <w:fldChar w:fldCharType="begin"/>
    </w:r>
    <w:r w:rsidRPr="00946338">
      <w:rPr>
        <w:color w:val="FFFFFF" w:themeColor="background1"/>
        <w:lang w:val="en-GB"/>
      </w:rPr>
      <w:instrText xml:space="preserve"> FILENAME \p  \* MERGEFORMAT </w:instrText>
    </w:r>
    <w:r w:rsidRPr="00946338">
      <w:rPr>
        <w:color w:val="FFFFFF" w:themeColor="background1"/>
      </w:rPr>
      <w:fldChar w:fldCharType="separate"/>
    </w:r>
    <w:r w:rsidR="00E110B8" w:rsidRPr="00946338">
      <w:rPr>
        <w:color w:val="FFFFFF" w:themeColor="background1"/>
        <w:lang w:val="en-GB"/>
      </w:rPr>
      <w:t>P:\FRA\SG\CONF-SG\PP22\000\076ADD04F.docx</w:t>
    </w:r>
    <w:r w:rsidRPr="00946338">
      <w:rPr>
        <w:color w:val="FFFFFF" w:themeColor="background1"/>
      </w:rPr>
      <w:fldChar w:fldCharType="end"/>
    </w:r>
    <w:r w:rsidR="00433CC9" w:rsidRPr="00946338">
      <w:rPr>
        <w:color w:val="FFFFFF" w:themeColor="background1"/>
        <w:lang w:val="en-GB"/>
      </w:rPr>
      <w:t xml:space="preserve"> (511201)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1686" w14:textId="24FACEC9" w:rsidR="000C467B" w:rsidRDefault="000D15FB" w:rsidP="00115E42">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8F4D" w14:textId="77777777" w:rsidR="00E32141" w:rsidRDefault="00E32141">
      <w:r>
        <w:t>____________________</w:t>
      </w:r>
    </w:p>
  </w:footnote>
  <w:footnote w:type="continuationSeparator" w:id="0">
    <w:p w14:paraId="1652374E" w14:textId="77777777" w:rsidR="00E32141" w:rsidRDefault="00E3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E754" w14:textId="1AFAA60D" w:rsidR="00BD1614" w:rsidRDefault="00BD1614" w:rsidP="00BD1614">
    <w:pPr>
      <w:pStyle w:val="Header"/>
    </w:pPr>
    <w:r>
      <w:fldChar w:fldCharType="begin"/>
    </w:r>
    <w:r>
      <w:instrText xml:space="preserve"> PAGE </w:instrText>
    </w:r>
    <w:r>
      <w:fldChar w:fldCharType="separate"/>
    </w:r>
    <w:r w:rsidR="00342B5C">
      <w:rPr>
        <w:noProof/>
      </w:rPr>
      <w:t>4</w:t>
    </w:r>
    <w:r>
      <w:fldChar w:fldCharType="end"/>
    </w:r>
  </w:p>
  <w:p w14:paraId="06AB6D31" w14:textId="77777777" w:rsidR="00BD1614" w:rsidRDefault="00BD1614" w:rsidP="001E2226">
    <w:pPr>
      <w:pStyle w:val="Header"/>
    </w:pPr>
    <w:r>
      <w:t>PP</w:t>
    </w:r>
    <w:r w:rsidR="002A7A1D">
      <w:t>22</w:t>
    </w:r>
    <w:r>
      <w:t>/76(Add.4)-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EE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DE9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0D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44FF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924F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1A3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DE5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28D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725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805952"/>
    <w:lvl w:ilvl="0">
      <w:start w:val="1"/>
      <w:numFmt w:val="bullet"/>
      <w:lvlText w:val=""/>
      <w:lvlJc w:val="left"/>
      <w:pPr>
        <w:tabs>
          <w:tab w:val="num" w:pos="360"/>
        </w:tabs>
        <w:ind w:left="360" w:hanging="360"/>
      </w:pPr>
      <w:rPr>
        <w:rFonts w:ascii="Symbol" w:hAnsi="Symbol" w:hint="default"/>
      </w:rPr>
    </w:lvl>
  </w:abstractNum>
  <w:num w:numId="1" w16cid:durableId="862597796">
    <w:abstractNumId w:val="9"/>
  </w:num>
  <w:num w:numId="2" w16cid:durableId="660158408">
    <w:abstractNumId w:val="7"/>
  </w:num>
  <w:num w:numId="3" w16cid:durableId="57409795">
    <w:abstractNumId w:val="6"/>
  </w:num>
  <w:num w:numId="4" w16cid:durableId="547113914">
    <w:abstractNumId w:val="5"/>
  </w:num>
  <w:num w:numId="5" w16cid:durableId="675887374">
    <w:abstractNumId w:val="4"/>
  </w:num>
  <w:num w:numId="6" w16cid:durableId="100027443">
    <w:abstractNumId w:val="8"/>
  </w:num>
  <w:num w:numId="7" w16cid:durableId="1865512006">
    <w:abstractNumId w:val="3"/>
  </w:num>
  <w:num w:numId="8" w16cid:durableId="300692538">
    <w:abstractNumId w:val="2"/>
  </w:num>
  <w:num w:numId="9" w16cid:durableId="325859587">
    <w:abstractNumId w:val="1"/>
  </w:num>
  <w:num w:numId="10" w16cid:durableId="143671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276C7"/>
    <w:rsid w:val="00030A30"/>
    <w:rsid w:val="00060D74"/>
    <w:rsid w:val="00072D5C"/>
    <w:rsid w:val="0008398C"/>
    <w:rsid w:val="00084308"/>
    <w:rsid w:val="000B14B6"/>
    <w:rsid w:val="000C467B"/>
    <w:rsid w:val="000D15FB"/>
    <w:rsid w:val="000F58F7"/>
    <w:rsid w:val="001051E4"/>
    <w:rsid w:val="00115E42"/>
    <w:rsid w:val="00124D8F"/>
    <w:rsid w:val="0013131F"/>
    <w:rsid w:val="00134468"/>
    <w:rsid w:val="00134F45"/>
    <w:rsid w:val="001354EA"/>
    <w:rsid w:val="00136FCE"/>
    <w:rsid w:val="00153BA4"/>
    <w:rsid w:val="00153FBD"/>
    <w:rsid w:val="00180867"/>
    <w:rsid w:val="00181FBD"/>
    <w:rsid w:val="00191D9D"/>
    <w:rsid w:val="001941AD"/>
    <w:rsid w:val="0019732C"/>
    <w:rsid w:val="001A042F"/>
    <w:rsid w:val="001A0682"/>
    <w:rsid w:val="001B4D8D"/>
    <w:rsid w:val="001D1FD1"/>
    <w:rsid w:val="001D31B2"/>
    <w:rsid w:val="001E1B9B"/>
    <w:rsid w:val="001E2226"/>
    <w:rsid w:val="001F6233"/>
    <w:rsid w:val="002355CD"/>
    <w:rsid w:val="0025203C"/>
    <w:rsid w:val="00264061"/>
    <w:rsid w:val="00267A3D"/>
    <w:rsid w:val="00270B2F"/>
    <w:rsid w:val="0027370D"/>
    <w:rsid w:val="002A0E1B"/>
    <w:rsid w:val="002A2671"/>
    <w:rsid w:val="002A44DE"/>
    <w:rsid w:val="002A7A1D"/>
    <w:rsid w:val="002C1059"/>
    <w:rsid w:val="002C2F9C"/>
    <w:rsid w:val="00322DEA"/>
    <w:rsid w:val="00342B5C"/>
    <w:rsid w:val="003526AB"/>
    <w:rsid w:val="00355FBD"/>
    <w:rsid w:val="00356B0D"/>
    <w:rsid w:val="00381461"/>
    <w:rsid w:val="00383AB1"/>
    <w:rsid w:val="00391C12"/>
    <w:rsid w:val="003A0272"/>
    <w:rsid w:val="003A0B7D"/>
    <w:rsid w:val="003A45C2"/>
    <w:rsid w:val="003C4BE2"/>
    <w:rsid w:val="003D147D"/>
    <w:rsid w:val="003D637A"/>
    <w:rsid w:val="003E438E"/>
    <w:rsid w:val="003E60C6"/>
    <w:rsid w:val="003F050A"/>
    <w:rsid w:val="00425121"/>
    <w:rsid w:val="00430015"/>
    <w:rsid w:val="00433CC9"/>
    <w:rsid w:val="00457BD2"/>
    <w:rsid w:val="004678D0"/>
    <w:rsid w:val="00481A89"/>
    <w:rsid w:val="00482954"/>
    <w:rsid w:val="004951C0"/>
    <w:rsid w:val="004C7646"/>
    <w:rsid w:val="00511D6D"/>
    <w:rsid w:val="00517E48"/>
    <w:rsid w:val="00524001"/>
    <w:rsid w:val="005305F0"/>
    <w:rsid w:val="00545EC2"/>
    <w:rsid w:val="00564B63"/>
    <w:rsid w:val="00575DC7"/>
    <w:rsid w:val="005836C2"/>
    <w:rsid w:val="00587E9D"/>
    <w:rsid w:val="005A0897"/>
    <w:rsid w:val="005A4EFD"/>
    <w:rsid w:val="005A5ABE"/>
    <w:rsid w:val="005C2ECC"/>
    <w:rsid w:val="005C6744"/>
    <w:rsid w:val="005E419E"/>
    <w:rsid w:val="005E6B63"/>
    <w:rsid w:val="005F63BD"/>
    <w:rsid w:val="00611CF1"/>
    <w:rsid w:val="006201D9"/>
    <w:rsid w:val="00623DCB"/>
    <w:rsid w:val="006277DB"/>
    <w:rsid w:val="00635B7B"/>
    <w:rsid w:val="00655B98"/>
    <w:rsid w:val="00662B32"/>
    <w:rsid w:val="006710E6"/>
    <w:rsid w:val="0068134E"/>
    <w:rsid w:val="006852B2"/>
    <w:rsid w:val="00686973"/>
    <w:rsid w:val="00696B2D"/>
    <w:rsid w:val="006A2656"/>
    <w:rsid w:val="006A3475"/>
    <w:rsid w:val="006A6342"/>
    <w:rsid w:val="006B6C9C"/>
    <w:rsid w:val="006C7AE3"/>
    <w:rsid w:val="006D55E8"/>
    <w:rsid w:val="006E1921"/>
    <w:rsid w:val="006F36F9"/>
    <w:rsid w:val="0070576B"/>
    <w:rsid w:val="00713335"/>
    <w:rsid w:val="00713EED"/>
    <w:rsid w:val="00727C2F"/>
    <w:rsid w:val="00735F13"/>
    <w:rsid w:val="00737E8A"/>
    <w:rsid w:val="007717F2"/>
    <w:rsid w:val="00772E3B"/>
    <w:rsid w:val="0078134C"/>
    <w:rsid w:val="007A4E99"/>
    <w:rsid w:val="007A5830"/>
    <w:rsid w:val="007A6EE1"/>
    <w:rsid w:val="007D21FB"/>
    <w:rsid w:val="007F115B"/>
    <w:rsid w:val="007F6F96"/>
    <w:rsid w:val="00801256"/>
    <w:rsid w:val="008703CB"/>
    <w:rsid w:val="00886079"/>
    <w:rsid w:val="008A2949"/>
    <w:rsid w:val="008B61AF"/>
    <w:rsid w:val="008C2003"/>
    <w:rsid w:val="008C33C2"/>
    <w:rsid w:val="008C6137"/>
    <w:rsid w:val="008E2DB4"/>
    <w:rsid w:val="00901DD5"/>
    <w:rsid w:val="0090735B"/>
    <w:rsid w:val="00912D5E"/>
    <w:rsid w:val="00934340"/>
    <w:rsid w:val="00946338"/>
    <w:rsid w:val="00956DC7"/>
    <w:rsid w:val="00966CD3"/>
    <w:rsid w:val="00967790"/>
    <w:rsid w:val="00987A20"/>
    <w:rsid w:val="009A0E15"/>
    <w:rsid w:val="009D4037"/>
    <w:rsid w:val="009F0592"/>
    <w:rsid w:val="00A14068"/>
    <w:rsid w:val="00A20E72"/>
    <w:rsid w:val="00A246DC"/>
    <w:rsid w:val="00A47BAF"/>
    <w:rsid w:val="00A542D3"/>
    <w:rsid w:val="00A5784F"/>
    <w:rsid w:val="00A8436E"/>
    <w:rsid w:val="00A95B66"/>
    <w:rsid w:val="00AD2A65"/>
    <w:rsid w:val="00AE0667"/>
    <w:rsid w:val="00B145D5"/>
    <w:rsid w:val="00B25362"/>
    <w:rsid w:val="00B41E0A"/>
    <w:rsid w:val="00B45FEA"/>
    <w:rsid w:val="00B56DE0"/>
    <w:rsid w:val="00B71F12"/>
    <w:rsid w:val="00B76FEC"/>
    <w:rsid w:val="00B96B1E"/>
    <w:rsid w:val="00BB2A6F"/>
    <w:rsid w:val="00BD1614"/>
    <w:rsid w:val="00BD382C"/>
    <w:rsid w:val="00BD5DA6"/>
    <w:rsid w:val="00BF7D25"/>
    <w:rsid w:val="00C010C0"/>
    <w:rsid w:val="00C12194"/>
    <w:rsid w:val="00C15275"/>
    <w:rsid w:val="00C40CB5"/>
    <w:rsid w:val="00C54712"/>
    <w:rsid w:val="00C54CE6"/>
    <w:rsid w:val="00C575E2"/>
    <w:rsid w:val="00C622BA"/>
    <w:rsid w:val="00C62497"/>
    <w:rsid w:val="00C7368B"/>
    <w:rsid w:val="00C92746"/>
    <w:rsid w:val="00CC4DC5"/>
    <w:rsid w:val="00CE1A7C"/>
    <w:rsid w:val="00D0464B"/>
    <w:rsid w:val="00D12C74"/>
    <w:rsid w:val="00D2263F"/>
    <w:rsid w:val="00D454E6"/>
    <w:rsid w:val="00D46DFA"/>
    <w:rsid w:val="00D56483"/>
    <w:rsid w:val="00D5658F"/>
    <w:rsid w:val="00D56AD6"/>
    <w:rsid w:val="00D70019"/>
    <w:rsid w:val="00D71124"/>
    <w:rsid w:val="00D74B58"/>
    <w:rsid w:val="00D8214D"/>
    <w:rsid w:val="00D82ABE"/>
    <w:rsid w:val="00DA4ABA"/>
    <w:rsid w:val="00DA685B"/>
    <w:rsid w:val="00DA742B"/>
    <w:rsid w:val="00DF25C1"/>
    <w:rsid w:val="00DF48F7"/>
    <w:rsid w:val="00DF4964"/>
    <w:rsid w:val="00DF4D73"/>
    <w:rsid w:val="00DF79B0"/>
    <w:rsid w:val="00E04B63"/>
    <w:rsid w:val="00E1047D"/>
    <w:rsid w:val="00E110B8"/>
    <w:rsid w:val="00E2365C"/>
    <w:rsid w:val="00E32141"/>
    <w:rsid w:val="00E443FA"/>
    <w:rsid w:val="00E54FCE"/>
    <w:rsid w:val="00E60DA1"/>
    <w:rsid w:val="00E75637"/>
    <w:rsid w:val="00E808A6"/>
    <w:rsid w:val="00E93D35"/>
    <w:rsid w:val="00EA45DB"/>
    <w:rsid w:val="00ED2CD9"/>
    <w:rsid w:val="00F07DA7"/>
    <w:rsid w:val="00F5245F"/>
    <w:rsid w:val="00F564C1"/>
    <w:rsid w:val="00F77FA2"/>
    <w:rsid w:val="00F8357A"/>
    <w:rsid w:val="00FA1B77"/>
    <w:rsid w:val="00FA1BFE"/>
    <w:rsid w:val="00FA742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744B9"/>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623DCB"/>
    <w:rPr>
      <w:color w:val="605E5C"/>
      <w:shd w:val="clear" w:color="auto" w:fill="E1DFDD"/>
    </w:rPr>
  </w:style>
  <w:style w:type="paragraph" w:styleId="Revision">
    <w:name w:val="Revision"/>
    <w:hidden/>
    <w:uiPriority w:val="99"/>
    <w:semiHidden/>
    <w:rsid w:val="001A042F"/>
    <w:rPr>
      <w:rFonts w:ascii="Calibri" w:hAnsi="Calibri"/>
      <w:sz w:val="24"/>
      <w:lang w:val="fr-FR" w:eastAsia="en-US"/>
    </w:rPr>
  </w:style>
  <w:style w:type="character" w:styleId="FollowedHyperlink">
    <w:name w:val="FollowedHyperlink"/>
    <w:basedOn w:val="DefaultParagraphFont"/>
    <w:semiHidden/>
    <w:unhideWhenUsed/>
    <w:rsid w:val="00356B0D"/>
    <w:rPr>
      <w:color w:val="800080" w:themeColor="followedHyperlink"/>
      <w:u w:val="single"/>
    </w:rPr>
  </w:style>
  <w:style w:type="character" w:styleId="CommentReference">
    <w:name w:val="annotation reference"/>
    <w:basedOn w:val="DefaultParagraphFont"/>
    <w:semiHidden/>
    <w:unhideWhenUsed/>
    <w:rsid w:val="00FA1BFE"/>
    <w:rPr>
      <w:sz w:val="16"/>
      <w:szCs w:val="16"/>
    </w:rPr>
  </w:style>
  <w:style w:type="paragraph" w:styleId="CommentText">
    <w:name w:val="annotation text"/>
    <w:basedOn w:val="Normal"/>
    <w:link w:val="CommentTextChar"/>
    <w:unhideWhenUsed/>
    <w:rsid w:val="00FA1BFE"/>
    <w:rPr>
      <w:sz w:val="20"/>
    </w:rPr>
  </w:style>
  <w:style w:type="character" w:customStyle="1" w:styleId="CommentTextChar">
    <w:name w:val="Comment Text Char"/>
    <w:basedOn w:val="DefaultParagraphFont"/>
    <w:link w:val="CommentText"/>
    <w:rsid w:val="00FA1BFE"/>
    <w:rPr>
      <w:rFonts w:ascii="Calibri" w:hAnsi="Calibri"/>
      <w:lang w:val="fr-FR" w:eastAsia="en-US"/>
    </w:rPr>
  </w:style>
  <w:style w:type="paragraph" w:styleId="CommentSubject">
    <w:name w:val="annotation subject"/>
    <w:basedOn w:val="CommentText"/>
    <w:next w:val="CommentText"/>
    <w:link w:val="CommentSubjectChar"/>
    <w:semiHidden/>
    <w:unhideWhenUsed/>
    <w:rsid w:val="00FA1BFE"/>
    <w:rPr>
      <w:b/>
      <w:bCs/>
    </w:rPr>
  </w:style>
  <w:style w:type="character" w:customStyle="1" w:styleId="CommentSubjectChar">
    <w:name w:val="Comment Subject Char"/>
    <w:basedOn w:val="CommentTextChar"/>
    <w:link w:val="CommentSubject"/>
    <w:semiHidden/>
    <w:rsid w:val="00FA1BFE"/>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itu.int/md/S22-PP-C-0063/e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633ea8-687d-4d49-bfa5-02bd86669808" targetNamespace="http://schemas.microsoft.com/office/2006/metadata/properties" ma:root="true" ma:fieldsID="d41af5c836d734370eb92e7ee5f83852" ns2:_="" ns3:_="">
    <xsd:import namespace="996b2e75-67fd-4955-a3b0-5ab9934cb50b"/>
    <xsd:import namespace="8b633ea8-687d-4d49-bfa5-02bd8666980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633ea8-687d-4d49-bfa5-02bd8666980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8b633ea8-687d-4d49-bfa5-02bd86669808">DPM</DPM_x0020_Author>
    <DPM_x0020_File_x0020_name xmlns="8b633ea8-687d-4d49-bfa5-02bd86669808">S22-PP-C-0076!A4!MSW-F</DPM_x0020_File_x0020_name>
    <DPM_x0020_Version xmlns="8b633ea8-687d-4d49-bfa5-02bd86669808">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633ea8-687d-4d49-bfa5-02bd86669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54804-827E-4FAD-9ABB-E52610134577}">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b633ea8-687d-4d49-bfa5-02bd86669808"/>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S22-PP-C-0076!A4!MSW-F</vt:lpstr>
    </vt:vector>
  </TitlesOfParts>
  <Manager/>
  <Company/>
  <LinksUpToDate>false</LinksUpToDate>
  <CharactersWithSpaces>10076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S22-PP-C-0076!A4!MSW-F</dc:title>
  <dc:subject>Plenipotentiary Conference (PP-18)</dc:subject>
  <dc:creator>Documents Proposals Manager (DPM)</dc:creator>
  <cp:keywords>DPM_v2022.8.31.2_prod</cp:keywords>
  <dc:description/>
  <cp:lastModifiedBy>Arnould, Carine</cp:lastModifiedBy>
  <cp:revision>9</cp:revision>
  <dcterms:created xsi:type="dcterms:W3CDTF">2022-09-09T05:42:00Z</dcterms:created>
  <dcterms:modified xsi:type="dcterms:W3CDTF">2022-09-15T13:39:00Z</dcterms:modified>
  <cp:category>Conference document</cp:category>
</cp:coreProperties>
</file>