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7E7B22" w14:paraId="7BDECCBB" w14:textId="77777777" w:rsidTr="00682B62">
        <w:trPr>
          <w:cantSplit/>
        </w:trPr>
        <w:tc>
          <w:tcPr>
            <w:tcW w:w="6911" w:type="dxa"/>
          </w:tcPr>
          <w:p w14:paraId="69D567FB" w14:textId="77777777" w:rsidR="00255FA1" w:rsidRPr="007E7B22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E7B22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7E7B22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E7B22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E7B22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7E7B22">
              <w:rPr>
                <w:b/>
                <w:bCs/>
                <w:szCs w:val="24"/>
              </w:rPr>
              <w:t>Bucarest</w:t>
            </w:r>
            <w:r w:rsidRPr="007E7B22">
              <w:rPr>
                <w:rStyle w:val="PageNumber"/>
                <w:b/>
                <w:bCs/>
                <w:szCs w:val="24"/>
              </w:rPr>
              <w:t xml:space="preserve">, </w:t>
            </w:r>
            <w:r w:rsidRPr="007E7B22">
              <w:rPr>
                <w:rStyle w:val="PageNumber"/>
                <w:b/>
                <w:szCs w:val="24"/>
              </w:rPr>
              <w:t>2</w:t>
            </w:r>
            <w:r w:rsidR="009D1BE0" w:rsidRPr="007E7B22">
              <w:rPr>
                <w:rStyle w:val="PageNumber"/>
                <w:b/>
                <w:szCs w:val="24"/>
              </w:rPr>
              <w:t>6</w:t>
            </w:r>
            <w:r w:rsidRPr="007E7B22">
              <w:rPr>
                <w:rStyle w:val="PageNumber"/>
                <w:b/>
                <w:szCs w:val="24"/>
              </w:rPr>
              <w:t xml:space="preserve"> de </w:t>
            </w:r>
            <w:r w:rsidR="009D1BE0" w:rsidRPr="007E7B22">
              <w:rPr>
                <w:rStyle w:val="PageNumber"/>
                <w:b/>
                <w:szCs w:val="24"/>
              </w:rPr>
              <w:t>septiembre</w:t>
            </w:r>
            <w:r w:rsidRPr="007E7B22">
              <w:rPr>
                <w:rStyle w:val="PageNumber"/>
                <w:b/>
                <w:szCs w:val="24"/>
              </w:rPr>
              <w:t xml:space="preserve"> </w:t>
            </w:r>
            <w:r w:rsidR="00491A25" w:rsidRPr="007E7B22">
              <w:rPr>
                <w:rStyle w:val="PageNumber"/>
                <w:b/>
                <w:szCs w:val="24"/>
              </w:rPr>
              <w:t>–</w:t>
            </w:r>
            <w:r w:rsidRPr="007E7B22">
              <w:rPr>
                <w:rStyle w:val="PageNumber"/>
                <w:b/>
                <w:szCs w:val="24"/>
              </w:rPr>
              <w:t xml:space="preserve"> </w:t>
            </w:r>
            <w:r w:rsidR="00C43474" w:rsidRPr="007E7B22">
              <w:rPr>
                <w:rStyle w:val="PageNumber"/>
                <w:b/>
                <w:szCs w:val="24"/>
              </w:rPr>
              <w:t>1</w:t>
            </w:r>
            <w:r w:rsidR="009D1BE0" w:rsidRPr="007E7B22">
              <w:rPr>
                <w:rStyle w:val="PageNumber"/>
                <w:b/>
                <w:szCs w:val="24"/>
              </w:rPr>
              <w:t>4</w:t>
            </w:r>
            <w:r w:rsidRPr="007E7B22">
              <w:rPr>
                <w:rStyle w:val="PageNumber"/>
                <w:b/>
                <w:szCs w:val="24"/>
              </w:rPr>
              <w:t xml:space="preserve"> de </w:t>
            </w:r>
            <w:r w:rsidR="009D1BE0" w:rsidRPr="007E7B22">
              <w:rPr>
                <w:rStyle w:val="PageNumber"/>
                <w:b/>
                <w:szCs w:val="24"/>
              </w:rPr>
              <w:t>octubre</w:t>
            </w:r>
            <w:r w:rsidRPr="007E7B22">
              <w:rPr>
                <w:rStyle w:val="PageNumber"/>
                <w:b/>
                <w:szCs w:val="24"/>
              </w:rPr>
              <w:t xml:space="preserve"> de 2</w:t>
            </w:r>
            <w:r w:rsidR="009D1BE0" w:rsidRPr="007E7B22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3B02F787" w14:textId="77777777" w:rsidR="00255FA1" w:rsidRPr="007E7B22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7E7B22">
              <w:rPr>
                <w:noProof/>
              </w:rPr>
              <w:drawing>
                <wp:inline distT="0" distB="0" distL="0" distR="0" wp14:anchorId="2958FD10" wp14:editId="55F119D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7E7B22" w14:paraId="38B0B280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D612835" w14:textId="77777777" w:rsidR="00255FA1" w:rsidRPr="007E7B22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3503FEA" w14:textId="77777777" w:rsidR="00255FA1" w:rsidRPr="007E7B22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7E7B22" w14:paraId="37F1E734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DBC9EB5" w14:textId="77777777" w:rsidR="00255FA1" w:rsidRPr="007E7B22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8217E29" w14:textId="77777777" w:rsidR="00255FA1" w:rsidRPr="007E7B22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7E7B22" w14:paraId="21F37A70" w14:textId="77777777" w:rsidTr="00682B62">
        <w:trPr>
          <w:cantSplit/>
        </w:trPr>
        <w:tc>
          <w:tcPr>
            <w:tcW w:w="6911" w:type="dxa"/>
          </w:tcPr>
          <w:p w14:paraId="563F768D" w14:textId="77777777" w:rsidR="00255FA1" w:rsidRPr="007E7B22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7E7B22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BB3F60F" w14:textId="77777777" w:rsidR="00255FA1" w:rsidRPr="007E7B22" w:rsidRDefault="00255FA1" w:rsidP="004F4BB1">
            <w:pPr>
              <w:spacing w:before="0"/>
              <w:rPr>
                <w:rFonts w:cstheme="minorHAnsi"/>
                <w:szCs w:val="24"/>
              </w:rPr>
            </w:pPr>
            <w:r w:rsidRPr="007E7B22">
              <w:rPr>
                <w:rFonts w:cstheme="minorHAnsi"/>
                <w:b/>
                <w:szCs w:val="24"/>
              </w:rPr>
              <w:t>Documento 86</w:t>
            </w:r>
            <w:r w:rsidR="00262FF4" w:rsidRPr="007E7B22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7E7B22" w14:paraId="09A38891" w14:textId="77777777" w:rsidTr="00682B62">
        <w:trPr>
          <w:cantSplit/>
        </w:trPr>
        <w:tc>
          <w:tcPr>
            <w:tcW w:w="6911" w:type="dxa"/>
          </w:tcPr>
          <w:p w14:paraId="14ACDE20" w14:textId="77777777" w:rsidR="00255FA1" w:rsidRPr="007E7B22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6D23762" w14:textId="77777777" w:rsidR="00255FA1" w:rsidRPr="007E7B22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7E7B22">
              <w:rPr>
                <w:rFonts w:cstheme="minorHAnsi"/>
                <w:b/>
                <w:szCs w:val="24"/>
              </w:rPr>
              <w:t>5 de septiembre de 2022</w:t>
            </w:r>
          </w:p>
        </w:tc>
      </w:tr>
      <w:tr w:rsidR="00255FA1" w:rsidRPr="007E7B22" w14:paraId="705F54F5" w14:textId="77777777" w:rsidTr="00682B62">
        <w:trPr>
          <w:cantSplit/>
        </w:trPr>
        <w:tc>
          <w:tcPr>
            <w:tcW w:w="6911" w:type="dxa"/>
          </w:tcPr>
          <w:p w14:paraId="61BACD9C" w14:textId="77777777" w:rsidR="00255FA1" w:rsidRPr="007E7B22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566EB695" w14:textId="77777777" w:rsidR="00255FA1" w:rsidRPr="007E7B22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7E7B22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7E7B22" w14:paraId="22C6EDA0" w14:textId="77777777" w:rsidTr="00682B62">
        <w:trPr>
          <w:cantSplit/>
        </w:trPr>
        <w:tc>
          <w:tcPr>
            <w:tcW w:w="10031" w:type="dxa"/>
            <w:gridSpan w:val="2"/>
          </w:tcPr>
          <w:p w14:paraId="144B2B40" w14:textId="77777777" w:rsidR="00255FA1" w:rsidRPr="007E7B22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7E7B22" w14:paraId="68A3E43A" w14:textId="77777777" w:rsidTr="00682B62">
        <w:trPr>
          <w:cantSplit/>
        </w:trPr>
        <w:tc>
          <w:tcPr>
            <w:tcW w:w="10031" w:type="dxa"/>
            <w:gridSpan w:val="2"/>
          </w:tcPr>
          <w:p w14:paraId="4496CF84" w14:textId="77777777" w:rsidR="00255FA1" w:rsidRPr="007E7B22" w:rsidRDefault="00255FA1" w:rsidP="00682B62">
            <w:pPr>
              <w:pStyle w:val="Source"/>
            </w:pPr>
            <w:bookmarkStart w:id="4" w:name="dsource" w:colFirst="0" w:colLast="0"/>
            <w:bookmarkEnd w:id="3"/>
            <w:r w:rsidRPr="007E7B22">
              <w:t xml:space="preserve">Brasil (República Federativa </w:t>
            </w:r>
            <w:proofErr w:type="gramStart"/>
            <w:r w:rsidRPr="007E7B22">
              <w:t>del)/</w:t>
            </w:r>
            <w:proofErr w:type="gramEnd"/>
            <w:r w:rsidRPr="007E7B22">
              <w:t>Paraguay (República del)</w:t>
            </w:r>
          </w:p>
        </w:tc>
      </w:tr>
      <w:tr w:rsidR="00255FA1" w:rsidRPr="007E7B22" w14:paraId="69AEB4BC" w14:textId="77777777" w:rsidTr="00682B62">
        <w:trPr>
          <w:cantSplit/>
        </w:trPr>
        <w:tc>
          <w:tcPr>
            <w:tcW w:w="10031" w:type="dxa"/>
            <w:gridSpan w:val="2"/>
          </w:tcPr>
          <w:p w14:paraId="727766C6" w14:textId="35607D1C" w:rsidR="00255FA1" w:rsidRPr="007E7B22" w:rsidRDefault="00295399" w:rsidP="00295399">
            <w:pPr>
              <w:pStyle w:val="Title1"/>
            </w:pPr>
            <w:bookmarkStart w:id="5" w:name="dtitle1" w:colFirst="0" w:colLast="0"/>
            <w:bookmarkEnd w:id="4"/>
            <w:r w:rsidRPr="007E7B22">
              <w:t>PROPUESTAS PARA LOS TRABAJOS DE LA CONFERENCIA –</w:t>
            </w:r>
            <w:r w:rsidR="00255FA1" w:rsidRPr="007E7B22">
              <w:t xml:space="preserve"> </w:t>
            </w:r>
            <w:r w:rsidRPr="007E7B22">
              <w:t xml:space="preserve">PROYECTO </w:t>
            </w:r>
            <w:r w:rsidR="007E7B22">
              <w:br/>
            </w:r>
            <w:r w:rsidRPr="007E7B22">
              <w:t>DE NUEVA RESOLUCIÓN</w:t>
            </w:r>
            <w:r w:rsidR="00255FA1" w:rsidRPr="007E7B22">
              <w:t>:</w:t>
            </w:r>
          </w:p>
        </w:tc>
      </w:tr>
      <w:tr w:rsidR="00255FA1" w:rsidRPr="007E7B22" w14:paraId="5502E350" w14:textId="77777777" w:rsidTr="00682B62">
        <w:trPr>
          <w:cantSplit/>
        </w:trPr>
        <w:tc>
          <w:tcPr>
            <w:tcW w:w="10031" w:type="dxa"/>
            <w:gridSpan w:val="2"/>
          </w:tcPr>
          <w:p w14:paraId="6E588568" w14:textId="65012906" w:rsidR="00255FA1" w:rsidRPr="007E7B22" w:rsidRDefault="00295399" w:rsidP="00295399">
            <w:pPr>
              <w:pStyle w:val="Title2"/>
            </w:pPr>
            <w:bookmarkStart w:id="6" w:name="dtitle2" w:colFirst="0" w:colLast="0"/>
            <w:bookmarkEnd w:id="5"/>
            <w:r w:rsidRPr="007E7B22">
              <w:t xml:space="preserve">DESARROLLO DE REDES DESAGREGADAS, ABIERTAS E INTEROPERABLES </w:t>
            </w:r>
          </w:p>
        </w:tc>
      </w:tr>
      <w:tr w:rsidR="00255FA1" w:rsidRPr="007E7B22" w14:paraId="60336FD5" w14:textId="77777777" w:rsidTr="00682B62">
        <w:trPr>
          <w:cantSplit/>
        </w:trPr>
        <w:tc>
          <w:tcPr>
            <w:tcW w:w="10031" w:type="dxa"/>
            <w:gridSpan w:val="2"/>
          </w:tcPr>
          <w:p w14:paraId="6AD749B4" w14:textId="77777777" w:rsidR="00255FA1" w:rsidRPr="007E7B22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00C0144F" w14:textId="77777777" w:rsidR="00295399" w:rsidRPr="007E7B22" w:rsidRDefault="00295399" w:rsidP="007B3741">
      <w:pPr>
        <w:pStyle w:val="Heading1"/>
      </w:pPr>
      <w:r w:rsidRPr="007E7B22">
        <w:t>Introducción</w:t>
      </w:r>
    </w:p>
    <w:p w14:paraId="30561885" w14:textId="22B53D4E" w:rsidR="00504FD4" w:rsidRPr="007E7B22" w:rsidRDefault="00295399" w:rsidP="00930E84">
      <w:r w:rsidRPr="007E7B22">
        <w:t xml:space="preserve">Se propone añadir una nueva Resolución sobre </w:t>
      </w:r>
      <w:r w:rsidR="00A1331E" w:rsidRPr="007E7B22">
        <w:t xml:space="preserve">el </w:t>
      </w:r>
      <w:r w:rsidRPr="007E7B22">
        <w:t xml:space="preserve">"Desarrollo de redes desagregadas, abiertas e interoperables" con el fin de fortalecer y facilitar las actividades conexas </w:t>
      </w:r>
      <w:r w:rsidR="00A1331E" w:rsidRPr="007E7B22">
        <w:t>en</w:t>
      </w:r>
      <w:r w:rsidRPr="007E7B22">
        <w:t xml:space="preserve"> los tres Sectores de la Unión Internacional de Telecomunicaciones. La presente propuesta se apoya en textos análogos debatidos en la Asamblea Mundial de Normalización de las Telecomunicaciones (</w:t>
      </w:r>
      <w:proofErr w:type="spellStart"/>
      <w:r w:rsidRPr="007E7B22">
        <w:t>AMNT</w:t>
      </w:r>
      <w:proofErr w:type="spellEnd"/>
      <w:r w:rsidRPr="007E7B22">
        <w:t>-20) y en la Conferencia Mundial de Desarrollo de las Telecomunicaciones (</w:t>
      </w:r>
      <w:proofErr w:type="spellStart"/>
      <w:r w:rsidRPr="007E7B22">
        <w:t>CMDT</w:t>
      </w:r>
      <w:proofErr w:type="spellEnd"/>
      <w:r w:rsidRPr="007E7B22">
        <w:t xml:space="preserve">-22), que dieron lugar </w:t>
      </w:r>
      <w:r w:rsidR="0099136D" w:rsidRPr="007E7B22">
        <w:t xml:space="preserve">al </w:t>
      </w:r>
      <w:r w:rsidRPr="007E7B22">
        <w:t>"</w:t>
      </w:r>
      <w:r w:rsidR="0099136D" w:rsidRPr="007E7B22">
        <w:rPr>
          <w:i/>
        </w:rPr>
        <w:t>resuelve invitar al Grupo Asesor de Normalización de las Telecomunicaciones</w:t>
      </w:r>
      <w:r w:rsidRPr="007E7B22">
        <w:t>"</w:t>
      </w:r>
      <w:r w:rsidR="0099136D" w:rsidRPr="007E7B22">
        <w:t>,</w:t>
      </w:r>
      <w:r w:rsidRPr="007E7B22">
        <w:t xml:space="preserve"> 3 y 4</w:t>
      </w:r>
      <w:r w:rsidR="0099136D" w:rsidRPr="007E7B22">
        <w:t>,</w:t>
      </w:r>
      <w:r w:rsidRPr="007E7B22">
        <w:t xml:space="preserve"> de la Resolución 92 de </w:t>
      </w:r>
      <w:r w:rsidR="0099136D" w:rsidRPr="007E7B22">
        <w:t xml:space="preserve">la </w:t>
      </w:r>
      <w:proofErr w:type="spellStart"/>
      <w:r w:rsidR="0099136D" w:rsidRPr="007E7B22">
        <w:t>AMNT</w:t>
      </w:r>
      <w:proofErr w:type="spellEnd"/>
      <w:r w:rsidR="0099136D" w:rsidRPr="007E7B22">
        <w:t xml:space="preserve"> (Rev. Ginebra, 2022) y a</w:t>
      </w:r>
      <w:r w:rsidRPr="007E7B22">
        <w:t>l "</w:t>
      </w:r>
      <w:r w:rsidRPr="007E7B22">
        <w:rPr>
          <w:i/>
        </w:rPr>
        <w:t xml:space="preserve">resuelve encargar </w:t>
      </w:r>
      <w:r w:rsidR="0099136D" w:rsidRPr="007E7B22">
        <w:rPr>
          <w:i/>
        </w:rPr>
        <w:t>a la</w:t>
      </w:r>
      <w:r w:rsidRPr="007E7B22">
        <w:rPr>
          <w:i/>
        </w:rPr>
        <w:t xml:space="preserve"> Director</w:t>
      </w:r>
      <w:r w:rsidR="0099136D" w:rsidRPr="007E7B22">
        <w:rPr>
          <w:i/>
        </w:rPr>
        <w:t>a</w:t>
      </w:r>
      <w:r w:rsidRPr="007E7B22">
        <w:rPr>
          <w:i/>
        </w:rPr>
        <w:t xml:space="preserve"> de la Oficina de Desarrollo de las Telecomunicaciones, en colaboración con los Directores de la Oficina de Radiocomunicaciones y </w:t>
      </w:r>
      <w:r w:rsidR="0099136D" w:rsidRPr="007E7B22">
        <w:rPr>
          <w:i/>
        </w:rPr>
        <w:t>l</w:t>
      </w:r>
      <w:r w:rsidRPr="007E7B22">
        <w:rPr>
          <w:i/>
        </w:rPr>
        <w:t>a Oficina de Normalización de las Telecomunicaciones</w:t>
      </w:r>
      <w:r w:rsidRPr="007E7B22">
        <w:t>"</w:t>
      </w:r>
      <w:r w:rsidR="0099136D" w:rsidRPr="007E7B22">
        <w:t>,</w:t>
      </w:r>
      <w:r w:rsidRPr="007E7B22">
        <w:t xml:space="preserve"> 1 y 2</w:t>
      </w:r>
      <w:r w:rsidR="0099136D" w:rsidRPr="007E7B22">
        <w:t>,</w:t>
      </w:r>
      <w:r w:rsidRPr="007E7B22">
        <w:t xml:space="preserve"> de la Resolución 37 de la </w:t>
      </w:r>
      <w:proofErr w:type="spellStart"/>
      <w:r w:rsidRPr="007E7B22">
        <w:t>CMDT</w:t>
      </w:r>
      <w:proofErr w:type="spellEnd"/>
      <w:r w:rsidRPr="007E7B22">
        <w:t xml:space="preserve"> (Rev. Kigali, 2022).</w:t>
      </w:r>
    </w:p>
    <w:p w14:paraId="71F76D7F" w14:textId="77777777" w:rsidR="00255FA1" w:rsidRPr="007E7B22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7E7B22">
        <w:rPr>
          <w:rStyle w:val="PageNumber"/>
        </w:rPr>
        <w:br w:type="page"/>
      </w:r>
    </w:p>
    <w:p w14:paraId="3C309068" w14:textId="77777777" w:rsidR="00A541B1" w:rsidRPr="007E7B22" w:rsidRDefault="00321B12">
      <w:pPr>
        <w:pStyle w:val="Proposal"/>
        <w:rPr>
          <w:lang w:val="es-ES_tradnl"/>
        </w:rPr>
      </w:pPr>
      <w:proofErr w:type="spellStart"/>
      <w:r w:rsidRPr="007E7B22">
        <w:rPr>
          <w:lang w:val="es-ES_tradnl"/>
        </w:rPr>
        <w:lastRenderedPageBreak/>
        <w:t>ADD</w:t>
      </w:r>
      <w:proofErr w:type="spellEnd"/>
      <w:r w:rsidRPr="007E7B22">
        <w:rPr>
          <w:lang w:val="es-ES_tradnl"/>
        </w:rPr>
        <w:tab/>
        <w:t>B/</w:t>
      </w:r>
      <w:proofErr w:type="spellStart"/>
      <w:r w:rsidRPr="007E7B22">
        <w:rPr>
          <w:lang w:val="es-ES_tradnl"/>
        </w:rPr>
        <w:t>PRG</w:t>
      </w:r>
      <w:proofErr w:type="spellEnd"/>
      <w:r w:rsidRPr="007E7B22">
        <w:rPr>
          <w:lang w:val="es-ES_tradnl"/>
        </w:rPr>
        <w:t>/86/1</w:t>
      </w:r>
    </w:p>
    <w:p w14:paraId="2E20B595" w14:textId="77777777" w:rsidR="00A541B1" w:rsidRPr="007E7B22" w:rsidRDefault="00321B12">
      <w:pPr>
        <w:pStyle w:val="ResNo"/>
      </w:pPr>
      <w:r w:rsidRPr="007E7B22">
        <w:t>Proyecto de nueva Resolución [B/</w:t>
      </w:r>
      <w:proofErr w:type="spellStart"/>
      <w:r w:rsidRPr="007E7B22">
        <w:t>PRG</w:t>
      </w:r>
      <w:proofErr w:type="spellEnd"/>
      <w:r w:rsidRPr="007E7B22">
        <w:t>-1]</w:t>
      </w:r>
    </w:p>
    <w:p w14:paraId="0B137EF6" w14:textId="1007FB9E" w:rsidR="00E92D35" w:rsidRPr="007E7B22" w:rsidRDefault="00E92D35" w:rsidP="00E92D35">
      <w:pPr>
        <w:pStyle w:val="Restitle"/>
      </w:pPr>
      <w:r w:rsidRPr="007E7B22">
        <w:t>Desarrollo de redes desagregadas, abiertas e interoperables</w:t>
      </w:r>
    </w:p>
    <w:p w14:paraId="05FA5C9E" w14:textId="3C424D6A" w:rsidR="00E92D35" w:rsidRPr="007E7B22" w:rsidRDefault="00E92D35" w:rsidP="00E92D35">
      <w:pPr>
        <w:pStyle w:val="Normalaftertitle"/>
      </w:pPr>
      <w:r w:rsidRPr="007E7B22">
        <w:t>La Conferencia de Plenipotenciarios de la Unión Internacional de Telecomunicaciones (Bucarest, 2022),</w:t>
      </w:r>
    </w:p>
    <w:p w14:paraId="70BFC42E" w14:textId="7F5513C9" w:rsidR="00E92D35" w:rsidRPr="007E7B22" w:rsidRDefault="00E92D35" w:rsidP="00E92D35">
      <w:pPr>
        <w:pStyle w:val="Call"/>
      </w:pPr>
      <w:r w:rsidRPr="007E7B22">
        <w:t>recordando</w:t>
      </w:r>
    </w:p>
    <w:p w14:paraId="07D60E0D" w14:textId="4E499B63" w:rsidR="00E92D35" w:rsidRPr="007E7B22" w:rsidRDefault="00E92D35" w:rsidP="00796967">
      <w:r w:rsidRPr="007E7B22">
        <w:rPr>
          <w:i/>
        </w:rPr>
        <w:t>a)</w:t>
      </w:r>
      <w:r w:rsidRPr="007E7B22">
        <w:tab/>
      </w:r>
      <w:r w:rsidR="00796967" w:rsidRPr="007E7B22">
        <w:t>la Resolución</w:t>
      </w:r>
      <w:r w:rsidRPr="007E7B22">
        <w:t xml:space="preserve"> 130 (Rev. Bucarest, 2022) </w:t>
      </w:r>
      <w:r w:rsidR="00796967" w:rsidRPr="007E7B22">
        <w:t>de esta conferencia, sobre fortalecimiento del papel de la UIT en la creación de confianza y seguridad en la utilización de las tecnologías de la información y la comunicación</w:t>
      </w:r>
      <w:r w:rsidRPr="007E7B22">
        <w:t>;</w:t>
      </w:r>
    </w:p>
    <w:p w14:paraId="39E5CD95" w14:textId="77211C77" w:rsidR="00E92D35" w:rsidRPr="007E7B22" w:rsidRDefault="00E92D35" w:rsidP="00796967">
      <w:r w:rsidRPr="007E7B22">
        <w:rPr>
          <w:i/>
          <w:iCs/>
        </w:rPr>
        <w:t>b)</w:t>
      </w:r>
      <w:r w:rsidRPr="007E7B22">
        <w:tab/>
      </w:r>
      <w:r w:rsidR="00796967" w:rsidRPr="007E7B22">
        <w:t xml:space="preserve">la Resolución </w:t>
      </w:r>
      <w:r w:rsidRPr="007E7B22">
        <w:t xml:space="preserve">139 (Rev. </w:t>
      </w:r>
      <w:r w:rsidR="00796967" w:rsidRPr="007E7B22">
        <w:t>Bucarest</w:t>
      </w:r>
      <w:r w:rsidRPr="007E7B22">
        <w:t xml:space="preserve">, 2022) </w:t>
      </w:r>
      <w:r w:rsidR="00796967" w:rsidRPr="007E7B22">
        <w:t>de esta conferencia</w:t>
      </w:r>
      <w:r w:rsidRPr="007E7B22">
        <w:t xml:space="preserve">, </w:t>
      </w:r>
      <w:r w:rsidR="00796967" w:rsidRPr="007E7B22">
        <w:t>sobre utilización de las telecomunicaciones/tecnologías de la información y la comunicación para reducir la brecha digital y crear una sociedad de la información inclusiva</w:t>
      </w:r>
      <w:r w:rsidRPr="007E7B22">
        <w:t>;</w:t>
      </w:r>
    </w:p>
    <w:p w14:paraId="400CA432" w14:textId="5ABFA472" w:rsidR="00E92D35" w:rsidRPr="007E7B22" w:rsidRDefault="00E92D35" w:rsidP="00E92D35">
      <w:r w:rsidRPr="007E7B22">
        <w:rPr>
          <w:i/>
          <w:iCs/>
        </w:rPr>
        <w:t>c)</w:t>
      </w:r>
      <w:r w:rsidRPr="007E7B22">
        <w:tab/>
      </w:r>
      <w:r w:rsidR="00796967" w:rsidRPr="007E7B22">
        <w:t xml:space="preserve">la Resolución </w:t>
      </w:r>
      <w:r w:rsidRPr="007E7B22">
        <w:t xml:space="preserve">203 (Rev. </w:t>
      </w:r>
      <w:r w:rsidR="00796967" w:rsidRPr="007E7B22">
        <w:t>Bucarest</w:t>
      </w:r>
      <w:r w:rsidRPr="007E7B22">
        <w:t xml:space="preserve">, 2022) </w:t>
      </w:r>
      <w:r w:rsidR="00796967" w:rsidRPr="007E7B22">
        <w:t>de esta conferencia</w:t>
      </w:r>
      <w:r w:rsidRPr="007E7B22">
        <w:t xml:space="preserve">, </w:t>
      </w:r>
      <w:r w:rsidR="00796967" w:rsidRPr="007E7B22">
        <w:t>sobre conectividad a redes de banda ancha</w:t>
      </w:r>
      <w:r w:rsidRPr="007E7B22">
        <w:t>;</w:t>
      </w:r>
    </w:p>
    <w:p w14:paraId="4003EE8D" w14:textId="5D6169C1" w:rsidR="00E92D35" w:rsidRPr="007E7B22" w:rsidRDefault="00E92D35" w:rsidP="00796967">
      <w:r w:rsidRPr="007E7B22">
        <w:rPr>
          <w:i/>
          <w:iCs/>
        </w:rPr>
        <w:t>d)</w:t>
      </w:r>
      <w:r w:rsidRPr="007E7B22">
        <w:tab/>
      </w:r>
      <w:r w:rsidR="006620A7" w:rsidRPr="007E7B22">
        <w:t xml:space="preserve">que en virtud de </w:t>
      </w:r>
      <w:r w:rsidR="00796967" w:rsidRPr="007E7B22">
        <w:t xml:space="preserve">la Resolución </w:t>
      </w:r>
      <w:r w:rsidRPr="007E7B22">
        <w:t xml:space="preserve">90 (Rev. </w:t>
      </w:r>
      <w:r w:rsidR="00796967" w:rsidRPr="007E7B22">
        <w:t>Ginebra</w:t>
      </w:r>
      <w:r w:rsidRPr="007E7B22">
        <w:t xml:space="preserve">, 2022) </w:t>
      </w:r>
      <w:r w:rsidR="00796967" w:rsidRPr="007E7B22">
        <w:t>de la Asamblea Mundial de Normalización de las Telecomunicaciones (</w:t>
      </w:r>
      <w:proofErr w:type="spellStart"/>
      <w:r w:rsidR="00796967" w:rsidRPr="007E7B22">
        <w:t>AMNT</w:t>
      </w:r>
      <w:proofErr w:type="spellEnd"/>
      <w:r w:rsidR="0048731A" w:rsidRPr="007E7B22">
        <w:t>)</w:t>
      </w:r>
      <w:r w:rsidRPr="007E7B22">
        <w:t xml:space="preserve"> </w:t>
      </w:r>
      <w:r w:rsidR="00796967" w:rsidRPr="007E7B22">
        <w:t>sobre código abierto en el Sector de Normalización de las Telecomunicaciones de la UIT,</w:t>
      </w:r>
      <w:r w:rsidRPr="007E7B22">
        <w:t xml:space="preserve"> </w:t>
      </w:r>
      <w:r w:rsidR="006620A7" w:rsidRPr="007E7B22">
        <w:t>se resolvió promover la utilización de proyectos de código abierto en los trabajos del Sector, si procede</w:t>
      </w:r>
      <w:r w:rsidRPr="007E7B22">
        <w:t>;</w:t>
      </w:r>
    </w:p>
    <w:p w14:paraId="71E36FA3" w14:textId="5E90C953" w:rsidR="00E92D35" w:rsidRPr="007E7B22" w:rsidRDefault="00E92D35" w:rsidP="00E92D35">
      <w:r w:rsidRPr="007E7B22">
        <w:rPr>
          <w:i/>
          <w:iCs/>
        </w:rPr>
        <w:t>e)</w:t>
      </w:r>
      <w:r w:rsidRPr="007E7B22">
        <w:tab/>
      </w:r>
      <w:r w:rsidR="00796967" w:rsidRPr="007E7B22">
        <w:t xml:space="preserve">la Resolución </w:t>
      </w:r>
      <w:r w:rsidRPr="007E7B22">
        <w:t xml:space="preserve">92 (Rev. </w:t>
      </w:r>
      <w:r w:rsidR="00796967" w:rsidRPr="007E7B22">
        <w:t>Ginebra</w:t>
      </w:r>
      <w:r w:rsidRPr="007E7B22">
        <w:t xml:space="preserve">, 2022) </w:t>
      </w:r>
      <w:r w:rsidR="0048731A" w:rsidRPr="007E7B22">
        <w:t>de la Asamblea Mundial de Normalización de las Telecomunicaciones (</w:t>
      </w:r>
      <w:proofErr w:type="spellStart"/>
      <w:r w:rsidR="0048731A" w:rsidRPr="007E7B22">
        <w:t>AMNT</w:t>
      </w:r>
      <w:proofErr w:type="spellEnd"/>
      <w:r w:rsidRPr="007E7B22">
        <w:t xml:space="preserve">), </w:t>
      </w:r>
      <w:r w:rsidR="0048731A" w:rsidRPr="007E7B22">
        <w:t>sobre fortalecimiento de las actividades de normalización del Sector de Normalización de las Telecomunicaciones de la UIT sobre aspectos no radioeléctricos de las telecomunicaciones móviles internacionales</w:t>
      </w:r>
      <w:r w:rsidRPr="007E7B22">
        <w:t>;</w:t>
      </w:r>
    </w:p>
    <w:p w14:paraId="3D3EA6F1" w14:textId="63A5122B" w:rsidR="00E92D35" w:rsidRPr="007E7B22" w:rsidRDefault="00E92D35" w:rsidP="00E92D35">
      <w:r w:rsidRPr="007E7B22">
        <w:rPr>
          <w:i/>
          <w:iCs/>
        </w:rPr>
        <w:t>f)</w:t>
      </w:r>
      <w:r w:rsidRPr="007E7B22">
        <w:tab/>
      </w:r>
      <w:r w:rsidR="00796967" w:rsidRPr="007E7B22">
        <w:t xml:space="preserve">la Resolución </w:t>
      </w:r>
      <w:r w:rsidRPr="007E7B22">
        <w:t xml:space="preserve">37 (Rev. Kigali, 2022) </w:t>
      </w:r>
      <w:r w:rsidR="00061621" w:rsidRPr="007E7B22">
        <w:t>de la Conferencia Mundial de Desarrollo de las Telecomunicaciones (</w:t>
      </w:r>
      <w:proofErr w:type="spellStart"/>
      <w:r w:rsidR="00061621" w:rsidRPr="007E7B22">
        <w:t>CMDT</w:t>
      </w:r>
      <w:proofErr w:type="spellEnd"/>
      <w:r w:rsidRPr="007E7B22">
        <w:t xml:space="preserve">), </w:t>
      </w:r>
      <w:r w:rsidR="0048731A" w:rsidRPr="007E7B22">
        <w:t>sobre reducción de la brecha digital</w:t>
      </w:r>
      <w:r w:rsidRPr="007E7B22">
        <w:t>,</w:t>
      </w:r>
    </w:p>
    <w:p w14:paraId="27974697" w14:textId="5E1140E5" w:rsidR="00E92D35" w:rsidRPr="007E7B22" w:rsidRDefault="00796967" w:rsidP="00E92D35">
      <w:pPr>
        <w:pStyle w:val="Call"/>
      </w:pPr>
      <w:r w:rsidRPr="007E7B22">
        <w:t>considerando</w:t>
      </w:r>
    </w:p>
    <w:p w14:paraId="717BDCEE" w14:textId="2472B9FA" w:rsidR="00E92D35" w:rsidRPr="007E7B22" w:rsidRDefault="00E92D35" w:rsidP="00E92D35">
      <w:r w:rsidRPr="007E7B22">
        <w:rPr>
          <w:i/>
        </w:rPr>
        <w:t>a)</w:t>
      </w:r>
      <w:r w:rsidRPr="007E7B22">
        <w:tab/>
      </w:r>
      <w:r w:rsidR="00061621" w:rsidRPr="007E7B22">
        <w:t xml:space="preserve">la tendencia </w:t>
      </w:r>
      <w:r w:rsidR="007D4A3E" w:rsidRPr="007E7B22">
        <w:t xml:space="preserve">cada vez mayor </w:t>
      </w:r>
      <w:r w:rsidR="00061621" w:rsidRPr="007E7B22">
        <w:t xml:space="preserve">a desarrollar redes </w:t>
      </w:r>
      <w:r w:rsidR="007D4A3E" w:rsidRPr="007E7B22">
        <w:t xml:space="preserve">desagregadas, </w:t>
      </w:r>
      <w:r w:rsidR="00061621" w:rsidRPr="007E7B22">
        <w:t xml:space="preserve">abiertas </w:t>
      </w:r>
      <w:r w:rsidR="007D4A3E" w:rsidRPr="007E7B22">
        <w:t>e interoperables, en particular mediante tecnologías inalámbricas</w:t>
      </w:r>
      <w:r w:rsidR="00061621" w:rsidRPr="007E7B22">
        <w:t xml:space="preserve">, </w:t>
      </w:r>
      <w:r w:rsidR="00D20F3F" w:rsidRPr="007E7B22">
        <w:t>mediante</w:t>
      </w:r>
      <w:r w:rsidR="007D4A3E" w:rsidRPr="007E7B22">
        <w:t xml:space="preserve"> la disociación de </w:t>
      </w:r>
      <w:r w:rsidR="00D20F3F" w:rsidRPr="007E7B22">
        <w:t xml:space="preserve">los </w:t>
      </w:r>
      <w:r w:rsidR="007D4A3E" w:rsidRPr="007E7B22">
        <w:t xml:space="preserve">soportes físicos </w:t>
      </w:r>
      <w:r w:rsidR="00D20F3F" w:rsidRPr="007E7B22">
        <w:t>de</w:t>
      </w:r>
      <w:r w:rsidR="007D4A3E" w:rsidRPr="007E7B22">
        <w:t xml:space="preserve"> los lógicos</w:t>
      </w:r>
      <w:r w:rsidR="00061621" w:rsidRPr="007E7B22">
        <w:t xml:space="preserve">, </w:t>
      </w:r>
      <w:r w:rsidR="007D4A3E" w:rsidRPr="007E7B22">
        <w:t>incluida</w:t>
      </w:r>
      <w:r w:rsidR="00061621" w:rsidRPr="007E7B22">
        <w:t xml:space="preserve"> la virtu</w:t>
      </w:r>
      <w:r w:rsidR="007D4A3E" w:rsidRPr="007E7B22">
        <w:t xml:space="preserve">alización y agrupación </w:t>
      </w:r>
      <w:r w:rsidR="00061621" w:rsidRPr="007E7B22">
        <w:t>de las funciones de red</w:t>
      </w:r>
      <w:r w:rsidRPr="007E7B22">
        <w:t>;</w:t>
      </w:r>
    </w:p>
    <w:p w14:paraId="37D77AA4" w14:textId="32437151" w:rsidR="00E92D35" w:rsidRPr="007E7B22" w:rsidRDefault="00E92D35" w:rsidP="00E92D35">
      <w:r w:rsidRPr="007E7B22">
        <w:rPr>
          <w:i/>
          <w:iCs/>
        </w:rPr>
        <w:t>b)</w:t>
      </w:r>
      <w:r w:rsidRPr="007E7B22">
        <w:tab/>
      </w:r>
      <w:r w:rsidR="00061621" w:rsidRPr="007E7B22">
        <w:t xml:space="preserve">que </w:t>
      </w:r>
      <w:r w:rsidR="00D20F3F" w:rsidRPr="007E7B22">
        <w:t>las redes móviles</w:t>
      </w:r>
      <w:r w:rsidR="00061621" w:rsidRPr="007E7B22">
        <w:t xml:space="preserve"> proporcionan servicios de telecomunicaciones a escala mundial y siguen contribuyendo al desarrollo socioeconómico mundial</w:t>
      </w:r>
      <w:r w:rsidRPr="007E7B22">
        <w:t>;</w:t>
      </w:r>
    </w:p>
    <w:p w14:paraId="6088B9DF" w14:textId="6BCF11BD" w:rsidR="00E92D35" w:rsidRPr="007E7B22" w:rsidRDefault="00E92D35" w:rsidP="00E92D35">
      <w:r w:rsidRPr="007E7B22">
        <w:rPr>
          <w:i/>
          <w:iCs/>
        </w:rPr>
        <w:t>c)</w:t>
      </w:r>
      <w:r w:rsidRPr="007E7B22">
        <w:tab/>
      </w:r>
      <w:r w:rsidR="00D20F3F" w:rsidRPr="007E7B22">
        <w:t>la importancia que reviste la conectividad ubicua para facilitar el cumplimiento, en particular, de los 17 Objetivos de Desarrollo Sostenible (ODS) adoptados en el marco de la Resolución 70/1 de la Asamblea General de las Naciones Unidas, especialmente en sectores fundamentales como los de la sanidad, la agricultura, las finanzas y la educación</w:t>
      </w:r>
      <w:r w:rsidRPr="007E7B22">
        <w:t>;</w:t>
      </w:r>
    </w:p>
    <w:p w14:paraId="784F871C" w14:textId="50DAF5DF" w:rsidR="00E92D35" w:rsidRPr="007E7B22" w:rsidRDefault="00E92D35" w:rsidP="00E92D35">
      <w:r w:rsidRPr="007E7B22">
        <w:rPr>
          <w:i/>
          <w:iCs/>
        </w:rPr>
        <w:t>d)</w:t>
      </w:r>
      <w:r w:rsidRPr="007E7B22">
        <w:tab/>
      </w:r>
      <w:r w:rsidR="00D20F3F" w:rsidRPr="007E7B22">
        <w:t>la necesidad de ayudar a los países en desarrollo a proporcionar servicios de banda ancha de alta velocidad y gran calidad de forma asequible, para que todas las personas y todos los sectores puedan utilizarlos</w:t>
      </w:r>
      <w:r w:rsidRPr="007E7B22">
        <w:t>,</w:t>
      </w:r>
    </w:p>
    <w:p w14:paraId="1DFF3AFB" w14:textId="1ED3E290" w:rsidR="00E92D35" w:rsidRPr="007E7B22" w:rsidRDefault="00D20F3F" w:rsidP="00E92D35">
      <w:pPr>
        <w:pStyle w:val="Call"/>
      </w:pPr>
      <w:r w:rsidRPr="007E7B22">
        <w:lastRenderedPageBreak/>
        <w:t>reconociendo</w:t>
      </w:r>
    </w:p>
    <w:p w14:paraId="638661C2" w14:textId="5CD6D43E" w:rsidR="00E92D35" w:rsidRPr="007E7B22" w:rsidRDefault="00E92D35" w:rsidP="00E92D35">
      <w:r w:rsidRPr="007E7B22">
        <w:rPr>
          <w:i/>
          <w:iCs/>
        </w:rPr>
        <w:t>a)</w:t>
      </w:r>
      <w:r w:rsidRPr="007E7B22">
        <w:tab/>
      </w:r>
      <w:r w:rsidR="007D4A3E" w:rsidRPr="007E7B22">
        <w:t xml:space="preserve">que la normalización de las tecnologías nuevas más innovadoras es importante para </w:t>
      </w:r>
      <w:r w:rsidR="00E54E53" w:rsidRPr="007E7B22">
        <w:t>desarrollar</w:t>
      </w:r>
      <w:r w:rsidR="007D4A3E" w:rsidRPr="007E7B22">
        <w:t xml:space="preserve"> soluciones armonizadas que </w:t>
      </w:r>
      <w:r w:rsidR="00E54E53" w:rsidRPr="007E7B22">
        <w:t>redunden en beneficio de</w:t>
      </w:r>
      <w:r w:rsidR="007D4A3E" w:rsidRPr="007E7B22">
        <w:t xml:space="preserve"> las partes interesadas </w:t>
      </w:r>
      <w:r w:rsidR="00E54E53" w:rsidRPr="007E7B22">
        <w:t>y</w:t>
      </w:r>
      <w:r w:rsidR="007D4A3E" w:rsidRPr="007E7B22">
        <w:t xml:space="preserve"> los usuarios de las tecnologías de la información y la comunicación (TIC)</w:t>
      </w:r>
      <w:r w:rsidRPr="007E7B22">
        <w:t>;</w:t>
      </w:r>
    </w:p>
    <w:p w14:paraId="3561409F" w14:textId="65ADAD16" w:rsidR="00E92D35" w:rsidRPr="007E7B22" w:rsidRDefault="00E92D35" w:rsidP="00E92D35">
      <w:r w:rsidRPr="007E7B22">
        <w:rPr>
          <w:i/>
          <w:iCs/>
        </w:rPr>
        <w:t>b)</w:t>
      </w:r>
      <w:r w:rsidRPr="007E7B22">
        <w:tab/>
      </w:r>
      <w:r w:rsidR="007D4A3E" w:rsidRPr="007E7B22">
        <w:t xml:space="preserve">que se está recurriendo a soluciones basadas en redes </w:t>
      </w:r>
      <w:r w:rsidR="00E54E53" w:rsidRPr="007E7B22">
        <w:t>desagregadas, abiertas e interoperables</w:t>
      </w:r>
      <w:r w:rsidR="007D4A3E" w:rsidRPr="007E7B22">
        <w:t xml:space="preserve"> para el desarrollo de las IMT y de otros sistemas</w:t>
      </w:r>
      <w:r w:rsidR="00E54E53" w:rsidRPr="007E7B22">
        <w:t>,</w:t>
      </w:r>
      <w:r w:rsidR="007D4A3E" w:rsidRPr="007E7B22">
        <w:t xml:space="preserve"> a fin de facilitar y </w:t>
      </w:r>
      <w:r w:rsidR="00E54E53" w:rsidRPr="007E7B22">
        <w:t>propiciar</w:t>
      </w:r>
      <w:r w:rsidR="007D4A3E" w:rsidRPr="007E7B22">
        <w:t xml:space="preserve"> el despliegue de nuevos </w:t>
      </w:r>
      <w:r w:rsidR="00E54E53" w:rsidRPr="007E7B22">
        <w:t>métodos de conectividad</w:t>
      </w:r>
      <w:r w:rsidR="007D4A3E" w:rsidRPr="007E7B22">
        <w:t>, de manera rentable</w:t>
      </w:r>
      <w:r w:rsidRPr="007E7B22">
        <w:t>;</w:t>
      </w:r>
    </w:p>
    <w:p w14:paraId="6EF8D1E0" w14:textId="4807746C" w:rsidR="00E92D35" w:rsidRPr="007E7B22" w:rsidRDefault="00E92D35" w:rsidP="00E92D35">
      <w:r w:rsidRPr="007E7B22">
        <w:rPr>
          <w:i/>
          <w:iCs/>
        </w:rPr>
        <w:t>c)</w:t>
      </w:r>
      <w:r w:rsidRPr="007E7B22">
        <w:tab/>
      </w:r>
      <w:r w:rsidR="009A0620" w:rsidRPr="007E7B22">
        <w:t xml:space="preserve">la colaboración entre las Comisiones de Estudio, los Grupos de Tareas especiales, las organizaciones de normalización, los foros y las alianzas pertinentes, </w:t>
      </w:r>
      <w:r w:rsidR="00923DF8" w:rsidRPr="007E7B22">
        <w:t>a fin de</w:t>
      </w:r>
      <w:r w:rsidR="009A0620" w:rsidRPr="007E7B22">
        <w:t xml:space="preserve"> poner a disposición tecnologías y soluciones de redes desagregadas, abiertas e interoperables en todo el mundo</w:t>
      </w:r>
      <w:r w:rsidRPr="007E7B22">
        <w:t>;</w:t>
      </w:r>
    </w:p>
    <w:p w14:paraId="5A986E77" w14:textId="507FC5A6" w:rsidR="00E92D35" w:rsidRPr="007E7B22" w:rsidRDefault="00E92D35" w:rsidP="00E92D35">
      <w:r w:rsidRPr="007E7B22">
        <w:rPr>
          <w:i/>
          <w:iCs/>
        </w:rPr>
        <w:t>d)</w:t>
      </w:r>
      <w:r w:rsidRPr="007E7B22">
        <w:tab/>
      </w:r>
      <w:r w:rsidR="00D20F3F" w:rsidRPr="007E7B22">
        <w:t xml:space="preserve">que, a fin de promover la adopción de </w:t>
      </w:r>
      <w:r w:rsidR="00923DF8" w:rsidRPr="007E7B22">
        <w:t>tecnologías y soluciones de redes desagregadas, abiertas e interoperables,</w:t>
      </w:r>
      <w:r w:rsidR="00D20F3F" w:rsidRPr="007E7B22">
        <w:t xml:space="preserve"> es necesario </w:t>
      </w:r>
      <w:r w:rsidR="00923DF8" w:rsidRPr="007E7B22">
        <w:t>promover</w:t>
      </w:r>
      <w:r w:rsidR="00D20F3F" w:rsidRPr="007E7B22">
        <w:t xml:space="preserve"> las actividades relacionadas con el d</w:t>
      </w:r>
      <w:r w:rsidR="00923DF8" w:rsidRPr="007E7B22">
        <w:t>esarrollo y el despliegue de es</w:t>
      </w:r>
      <w:r w:rsidR="00D20F3F" w:rsidRPr="007E7B22">
        <w:t>as tecnologías, de tal manera que sean rentables y viables</w:t>
      </w:r>
      <w:r w:rsidRPr="007E7B22">
        <w:t>;</w:t>
      </w:r>
    </w:p>
    <w:p w14:paraId="24D2C13F" w14:textId="450664BD" w:rsidR="00E92D35" w:rsidRPr="007E7B22" w:rsidRDefault="00E92D35" w:rsidP="00E92D35">
      <w:r w:rsidRPr="007E7B22">
        <w:rPr>
          <w:i/>
          <w:iCs/>
        </w:rPr>
        <w:t>e)</w:t>
      </w:r>
      <w:r w:rsidRPr="007E7B22">
        <w:tab/>
      </w:r>
      <w:r w:rsidR="004A2EBD" w:rsidRPr="007E7B22">
        <w:t>que la adopción de redes desagregadas, abiertas e interoperables puede repercutir de forma favorable en el coste y la capacidad de los servicios de telecomunicaciones prestados a los consumidores</w:t>
      </w:r>
      <w:r w:rsidRPr="007E7B22">
        <w:t>,</w:t>
      </w:r>
    </w:p>
    <w:p w14:paraId="444C4496" w14:textId="0B6627DD" w:rsidR="00E92D35" w:rsidRPr="007E7B22" w:rsidRDefault="007D4A3E" w:rsidP="00E92D35">
      <w:pPr>
        <w:pStyle w:val="Call"/>
      </w:pPr>
      <w:r w:rsidRPr="007E7B22">
        <w:t>observando</w:t>
      </w:r>
    </w:p>
    <w:p w14:paraId="3CEFF8E6" w14:textId="1948A08E" w:rsidR="00E92D35" w:rsidRPr="007E7B22" w:rsidRDefault="007D4A3E" w:rsidP="00E92D35">
      <w:r w:rsidRPr="007E7B22">
        <w:t xml:space="preserve">las crecientes iniciativas </w:t>
      </w:r>
      <w:r w:rsidR="004A2EBD" w:rsidRPr="007E7B22">
        <w:t>a escalas nacional, regional e internacional</w:t>
      </w:r>
      <w:r w:rsidRPr="007E7B22">
        <w:t xml:space="preserve"> </w:t>
      </w:r>
      <w:r w:rsidR="004A2EBD" w:rsidRPr="007E7B22">
        <w:t>encaminadas a promover los esfuerzos y las actividades en</w:t>
      </w:r>
      <w:r w:rsidRPr="007E7B22">
        <w:t xml:space="preserve"> materia de normalización para el desarrollo de tecnologías y soluciones relacionadas con las redes </w:t>
      </w:r>
      <w:r w:rsidR="004A2EBD" w:rsidRPr="007E7B22">
        <w:t>desagregadas, abiertas e interoperables</w:t>
      </w:r>
      <w:r w:rsidR="00E92D35" w:rsidRPr="007E7B22">
        <w:t>,</w:t>
      </w:r>
    </w:p>
    <w:p w14:paraId="5D2C5131" w14:textId="634D5ACD" w:rsidR="00E92D35" w:rsidRPr="007E7B22" w:rsidRDefault="004A2EBD" w:rsidP="00E92D35">
      <w:pPr>
        <w:pStyle w:val="Call"/>
      </w:pPr>
      <w:r w:rsidRPr="007E7B22">
        <w:t>resuelve</w:t>
      </w:r>
    </w:p>
    <w:p w14:paraId="0833A324" w14:textId="02B5C7D4" w:rsidR="00E92D35" w:rsidRPr="007E7B22" w:rsidRDefault="00E92D35" w:rsidP="00E92D35">
      <w:r w:rsidRPr="007E7B22">
        <w:t>1</w:t>
      </w:r>
      <w:r w:rsidRPr="007E7B22">
        <w:tab/>
      </w:r>
      <w:r w:rsidR="00853814" w:rsidRPr="007E7B22">
        <w:t xml:space="preserve">impulsar y facilitar las actividades relacionadas con la normalización y el despliegue de tecnologías y soluciones </w:t>
      </w:r>
      <w:r w:rsidR="00F213D5" w:rsidRPr="007E7B22">
        <w:t xml:space="preserve">seguras </w:t>
      </w:r>
      <w:r w:rsidR="00853814" w:rsidRPr="007E7B22">
        <w:t>de redes desagregadas, abiertas e interoperables, incluidas las tecnologías inalámbricas</w:t>
      </w:r>
      <w:r w:rsidRPr="007E7B22">
        <w:t>;</w:t>
      </w:r>
    </w:p>
    <w:p w14:paraId="4006437E" w14:textId="19480A1B" w:rsidR="00E92D35" w:rsidRPr="007E7B22" w:rsidRDefault="00E92D35" w:rsidP="00E92D35">
      <w:r w:rsidRPr="007E7B22">
        <w:t>2</w:t>
      </w:r>
      <w:r w:rsidRPr="007E7B22">
        <w:tab/>
      </w:r>
      <w:r w:rsidR="00F213D5" w:rsidRPr="007E7B22">
        <w:t>velar por la colaboración entre las Comisiones de Estudio pertinentes de la UIT y las organizaciones de normalización, los foros y los consorcios pertinentes en materia de tecnologías y soluciones seguras de redes desagregadas, abiertas e interoperables, incluidos los sistemas IMT</w:t>
      </w:r>
      <w:r w:rsidRPr="007E7B22">
        <w:t>;</w:t>
      </w:r>
    </w:p>
    <w:p w14:paraId="4B580114" w14:textId="74D4DDA2" w:rsidR="00E92D35" w:rsidRPr="007E7B22" w:rsidRDefault="00E92D35" w:rsidP="00E92D35">
      <w:r w:rsidRPr="007E7B22">
        <w:t>3</w:t>
      </w:r>
      <w:r w:rsidRPr="007E7B22">
        <w:tab/>
      </w:r>
      <w:r w:rsidR="00C72463" w:rsidRPr="007E7B22">
        <w:t>alentar</w:t>
      </w:r>
      <w:r w:rsidR="00F213D5" w:rsidRPr="007E7B22">
        <w:t xml:space="preserve"> a la realización de estudios relacionados con la repercusión económica de las tecnologías y soluciones seguras de redes desagregadas, abiertas e interoperables para fomentar la conectividad</w:t>
      </w:r>
      <w:r w:rsidRPr="007E7B22">
        <w:t>,</w:t>
      </w:r>
    </w:p>
    <w:p w14:paraId="0A2E40F9" w14:textId="53F278D6" w:rsidR="00E92D35" w:rsidRPr="007E7B22" w:rsidRDefault="00F07BA1" w:rsidP="00E92D35">
      <w:pPr>
        <w:pStyle w:val="Call"/>
      </w:pPr>
      <w:r w:rsidRPr="007E7B22">
        <w:t xml:space="preserve">encargar a los </w:t>
      </w:r>
      <w:proofErr w:type="gramStart"/>
      <w:r w:rsidRPr="007E7B22">
        <w:t>Directores</w:t>
      </w:r>
      <w:proofErr w:type="gramEnd"/>
      <w:r w:rsidRPr="007E7B22">
        <w:t xml:space="preserve"> de las tres Oficinas, de conformidad con el mandato de sus respectivos Sectores</w:t>
      </w:r>
    </w:p>
    <w:p w14:paraId="2B7F48BB" w14:textId="4F919B16" w:rsidR="00E92D35" w:rsidRPr="007E7B22" w:rsidRDefault="00C72463" w:rsidP="00E92D35">
      <w:r w:rsidRPr="007E7B22">
        <w:t>apoyen las actividades relacionadas con el desarrollo y el despliegue de tecnologías y soluciones seguras de redes desagregadas, abiertas e interoperables, y redoblen sus esfuerzos al respecto</w:t>
      </w:r>
      <w:r w:rsidR="00E92D35" w:rsidRPr="007E7B22">
        <w:t>,</w:t>
      </w:r>
    </w:p>
    <w:p w14:paraId="4D15F138" w14:textId="1CAF46F2" w:rsidR="00E92D35" w:rsidRPr="007E7B22" w:rsidRDefault="00247F7E" w:rsidP="00E92D35">
      <w:pPr>
        <w:pStyle w:val="Call"/>
      </w:pPr>
      <w:r w:rsidRPr="007E7B22">
        <w:t xml:space="preserve">encarga al </w:t>
      </w:r>
      <w:proofErr w:type="gramStart"/>
      <w:r w:rsidRPr="007E7B22">
        <w:t>Director</w:t>
      </w:r>
      <w:proofErr w:type="gramEnd"/>
      <w:r w:rsidRPr="007E7B22">
        <w:t xml:space="preserve"> de la Oficina de Normalización de las Telecomunicaciones</w:t>
      </w:r>
    </w:p>
    <w:p w14:paraId="16CCAEAF" w14:textId="5C9E4F11" w:rsidR="00247F7E" w:rsidRPr="007E7B22" w:rsidRDefault="00E92D35" w:rsidP="00247F7E">
      <w:r w:rsidRPr="007E7B22">
        <w:t>1</w:t>
      </w:r>
      <w:r w:rsidRPr="007E7B22">
        <w:tab/>
      </w:r>
      <w:r w:rsidR="00247F7E" w:rsidRPr="007E7B22">
        <w:t>que colabore con otras organizaciones de normalización (</w:t>
      </w:r>
      <w:proofErr w:type="spellStart"/>
      <w:r w:rsidR="00247F7E" w:rsidRPr="007E7B22">
        <w:t>SDO</w:t>
      </w:r>
      <w:proofErr w:type="spellEnd"/>
      <w:r w:rsidR="00247F7E" w:rsidRPr="007E7B22">
        <w:t>) en la elaboración de normas sobre redes seguras desagregadas, abiertas e interoperables</w:t>
      </w:r>
      <w:r w:rsidR="00A176A8" w:rsidRPr="007E7B22">
        <w:t>;</w:t>
      </w:r>
    </w:p>
    <w:p w14:paraId="21CD543F" w14:textId="41029D05" w:rsidR="00E92D35" w:rsidRPr="007E7B22" w:rsidRDefault="00247F7E" w:rsidP="00247F7E">
      <w:r w:rsidRPr="007E7B22">
        <w:t>2</w:t>
      </w:r>
      <w:r w:rsidRPr="007E7B22">
        <w:tab/>
      </w:r>
      <w:r w:rsidRPr="00C02178">
        <w:t xml:space="preserve">que apoye </w:t>
      </w:r>
      <w:r w:rsidR="00A176A8" w:rsidRPr="00C02178">
        <w:t>la elaboración</w:t>
      </w:r>
      <w:r w:rsidRPr="00C02178">
        <w:t xml:space="preserve"> de recomendaciones, suplementos e informes técnicos </w:t>
      </w:r>
      <w:r w:rsidR="00A176A8" w:rsidRPr="00C02178">
        <w:t>sobre</w:t>
      </w:r>
      <w:r w:rsidRPr="00C02178">
        <w:t xml:space="preserve"> las especificaciones de tecnologías y soluciones </w:t>
      </w:r>
      <w:r w:rsidR="00A176A8" w:rsidRPr="00C02178">
        <w:t xml:space="preserve">seguras </w:t>
      </w:r>
      <w:r w:rsidRPr="00C02178">
        <w:t>de redes desagregadas, abiertas e interoperables, incluidos los aspectos no radioeléctricos de los sistemas IMT</w:t>
      </w:r>
      <w:r w:rsidR="00E92D35" w:rsidRPr="00C02178">
        <w:t>,</w:t>
      </w:r>
    </w:p>
    <w:p w14:paraId="5D25C56F" w14:textId="05F7F809" w:rsidR="00E92D35" w:rsidRPr="007E7B22" w:rsidRDefault="00A176A8" w:rsidP="00E92D35">
      <w:pPr>
        <w:pStyle w:val="Call"/>
      </w:pPr>
      <w:r w:rsidRPr="007E7B22">
        <w:lastRenderedPageBreak/>
        <w:t xml:space="preserve">encarga a la </w:t>
      </w:r>
      <w:proofErr w:type="gramStart"/>
      <w:r w:rsidRPr="007E7B22">
        <w:t>Directora</w:t>
      </w:r>
      <w:proofErr w:type="gramEnd"/>
      <w:r w:rsidRPr="007E7B22">
        <w:t xml:space="preserve"> de la Oficina de Desarrollo de las Telecomunicaciones, en coordinación con el Director de la Oficina de Radiocomunicaciones y el Director de la Oficina de Normalización de las Telecomunicaciones</w:t>
      </w:r>
    </w:p>
    <w:p w14:paraId="28DF6DA6" w14:textId="6FA26F79" w:rsidR="00B7310A" w:rsidRPr="007E7B22" w:rsidRDefault="00E92D35" w:rsidP="004E7F9C">
      <w:r w:rsidRPr="007E7B22">
        <w:t>1</w:t>
      </w:r>
      <w:r w:rsidRPr="007E7B22">
        <w:tab/>
      </w:r>
      <w:r w:rsidR="00B7310A" w:rsidRPr="007E7B22">
        <w:t>que ayude a los Estados Miembros, y en particular a los países en desarrollo, a fomentar la concienciación y comprensión sobre tecnologías seguras de redes desagregadas, abiertas e interoperables, en particular las redes de acceso radioeléctrico abiertas (</w:t>
      </w:r>
      <w:proofErr w:type="spellStart"/>
      <w:r w:rsidR="00B7310A" w:rsidRPr="007E7B22">
        <w:t>RAN</w:t>
      </w:r>
      <w:proofErr w:type="spellEnd"/>
      <w:r w:rsidR="00B7310A" w:rsidRPr="007E7B22">
        <w:t xml:space="preserve"> abiertas), mediante la organización de talleres y otras actividades de capacitación;</w:t>
      </w:r>
    </w:p>
    <w:p w14:paraId="56CDE478" w14:textId="7B727E4F" w:rsidR="00E92D35" w:rsidRPr="007E7B22" w:rsidRDefault="00B7310A" w:rsidP="004E7F9C">
      <w:r w:rsidRPr="007E7B22">
        <w:t>2</w:t>
      </w:r>
      <w:r w:rsidRPr="007E7B22">
        <w:tab/>
        <w:t xml:space="preserve">que colabore con los Estados Miembros, Miembros de Sector y otras partes interesadas para fomentar el intercambio de información sobre </w:t>
      </w:r>
      <w:r w:rsidR="009D039D" w:rsidRPr="007E7B22">
        <w:t xml:space="preserve">el </w:t>
      </w:r>
      <w:r w:rsidRPr="007E7B22">
        <w:t xml:space="preserve">desarrollo </w:t>
      </w:r>
      <w:r w:rsidR="009D039D" w:rsidRPr="007E7B22">
        <w:t>y la</w:t>
      </w:r>
      <w:r w:rsidRPr="007E7B22">
        <w:t xml:space="preserve"> implantación de redes desagregadas, abiertas e interoperables, con el objetivo de promover el acceso eficaz de banda ancha por un precio asequible, en particular en zonas y comunidades insuficientemente atendidas o desatendidas</w:t>
      </w:r>
      <w:r w:rsidR="00E92D35" w:rsidRPr="007E7B22">
        <w:t>,</w:t>
      </w:r>
    </w:p>
    <w:p w14:paraId="33C2BC17" w14:textId="4F4FAD17" w:rsidR="00E92D35" w:rsidRPr="007E7B22" w:rsidRDefault="00AA2BE1" w:rsidP="00E92D35">
      <w:pPr>
        <w:pStyle w:val="Call"/>
      </w:pPr>
      <w:r w:rsidRPr="007E7B22">
        <w:t>invita a todos los Estados Miembros y Miembros de Sector</w:t>
      </w:r>
    </w:p>
    <w:p w14:paraId="50B698CB" w14:textId="65AA4294" w:rsidR="00E92D35" w:rsidRPr="007E7B22" w:rsidRDefault="00E92D35" w:rsidP="00E92D35">
      <w:r w:rsidRPr="007E7B22">
        <w:t>1</w:t>
      </w:r>
      <w:r w:rsidRPr="007E7B22">
        <w:tab/>
      </w:r>
      <w:r w:rsidR="009D039D" w:rsidRPr="007E7B22">
        <w:t>a llevar a cabo acciones concretas, en apoyo de las realizadas por la UIT, y a adoptar iniciativas con miras a la aplicación de la presente Resolución</w:t>
      </w:r>
      <w:r w:rsidRPr="007E7B22">
        <w:t>;</w:t>
      </w:r>
    </w:p>
    <w:p w14:paraId="081086CE" w14:textId="7CD41243" w:rsidR="00E92D35" w:rsidRPr="007E7B22" w:rsidRDefault="00E92D35" w:rsidP="00E92D35">
      <w:r w:rsidRPr="007E7B22">
        <w:t>2</w:t>
      </w:r>
      <w:r w:rsidRPr="007E7B22">
        <w:tab/>
      </w:r>
      <w:r w:rsidR="009D039D" w:rsidRPr="007E7B22">
        <w:t>a promover un entorno propicio para</w:t>
      </w:r>
      <w:r w:rsidR="00603967" w:rsidRPr="007E7B22">
        <w:t xml:space="preserve"> promover la utilización y</w:t>
      </w:r>
      <w:r w:rsidR="009D039D" w:rsidRPr="007E7B22">
        <w:t xml:space="preserve"> </w:t>
      </w:r>
      <w:r w:rsidR="00603967" w:rsidRPr="007E7B22">
        <w:t>facilitar</w:t>
      </w:r>
      <w:r w:rsidR="009D039D" w:rsidRPr="007E7B22">
        <w:t xml:space="preserve"> el desarrollo de la conectividad de banda ancha</w:t>
      </w:r>
      <w:r w:rsidR="0048023D" w:rsidRPr="007E7B22">
        <w:t>,</w:t>
      </w:r>
      <w:r w:rsidR="009D039D" w:rsidRPr="007E7B22">
        <w:t xml:space="preserve"> con independencia de la tecnología que se utilice, en particular en los países en desarrollo</w:t>
      </w:r>
      <w:r w:rsidRPr="007E7B22">
        <w:t>.</w:t>
      </w:r>
    </w:p>
    <w:p w14:paraId="15337CE9" w14:textId="77777777" w:rsidR="004E7F9C" w:rsidRPr="007E7B22" w:rsidRDefault="004E7F9C" w:rsidP="00411C49">
      <w:pPr>
        <w:pStyle w:val="Reasons"/>
      </w:pPr>
    </w:p>
    <w:p w14:paraId="734BBD99" w14:textId="77777777" w:rsidR="004E7F9C" w:rsidRPr="007E7B22" w:rsidRDefault="004E7F9C">
      <w:pPr>
        <w:jc w:val="center"/>
      </w:pPr>
      <w:r w:rsidRPr="007E7B22">
        <w:t>______________</w:t>
      </w:r>
    </w:p>
    <w:sectPr w:rsidR="004E7F9C" w:rsidRPr="007E7B22" w:rsidSect="00A70E95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7C23" w14:textId="77777777" w:rsidR="00C84A65" w:rsidRDefault="00C84A65">
      <w:r>
        <w:separator/>
      </w:r>
    </w:p>
  </w:endnote>
  <w:endnote w:type="continuationSeparator" w:id="0">
    <w:p w14:paraId="56A44D54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5590" w14:textId="4DFE88B1" w:rsidR="00321B12" w:rsidRPr="00321B12" w:rsidRDefault="00C02178" w:rsidP="009C6BF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C6BF5">
      <w:t>P:\ESP\SG\CONF-SG\PP22\000\086S.docx</w:t>
    </w:r>
    <w:r>
      <w:fldChar w:fldCharType="end"/>
    </w:r>
    <w:r w:rsidR="009C6BF5">
      <w:t xml:space="preserve"> </w:t>
    </w:r>
    <w:r w:rsidR="00321B12" w:rsidRPr="00321B12">
      <w:rPr>
        <w:lang w:val="en-US"/>
      </w:rPr>
      <w:t>(</w:t>
    </w:r>
    <w:r w:rsidR="00321B12">
      <w:rPr>
        <w:lang w:val="en-US"/>
      </w:rPr>
      <w:t>511652</w:t>
    </w:r>
    <w:r w:rsidR="00321B12" w:rsidRPr="00321B12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10B0" w14:textId="198D7B5A" w:rsidR="004B07DB" w:rsidRPr="00E121A8" w:rsidRDefault="004B07DB" w:rsidP="00E121A8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proofErr w:type="spellStart"/>
    <w:r w:rsidRPr="00BA21AB">
      <w:rPr>
        <w:rStyle w:val="Hyperlink"/>
        <w:sz w:val="22"/>
        <w:szCs w:val="22"/>
        <w:lang w:val="en-GB"/>
      </w:rPr>
      <w:t>www.itu.int</w:t>
    </w:r>
    <w:proofErr w:type="spellEnd"/>
    <w:r w:rsidRPr="00BA21AB">
      <w:rPr>
        <w:rStyle w:val="Hyperlink"/>
        <w:sz w:val="22"/>
        <w:szCs w:val="22"/>
        <w:lang w:val="en-GB"/>
      </w:rPr>
      <w:t>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39F3" w14:textId="77777777" w:rsidR="00C84A65" w:rsidRDefault="00C84A65">
      <w:r>
        <w:t>____________________</w:t>
      </w:r>
    </w:p>
  </w:footnote>
  <w:footnote w:type="continuationSeparator" w:id="0">
    <w:p w14:paraId="344476B7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4718" w14:textId="70EC7D1C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331E">
      <w:rPr>
        <w:noProof/>
      </w:rPr>
      <w:t>3</w:t>
    </w:r>
    <w:r>
      <w:fldChar w:fldCharType="end"/>
    </w:r>
  </w:p>
  <w:p w14:paraId="3C071D7D" w14:textId="77777777" w:rsidR="00255FA1" w:rsidRDefault="00255FA1" w:rsidP="00C43474">
    <w:pPr>
      <w:pStyle w:val="Header"/>
    </w:pPr>
    <w:proofErr w:type="spellStart"/>
    <w:r>
      <w:rPr>
        <w:lang w:val="en-US"/>
      </w:rPr>
      <w:t>PP</w:t>
    </w:r>
    <w:r w:rsidR="009D1BE0">
      <w:rPr>
        <w:lang w:val="en-US"/>
      </w:rPr>
      <w:t>22</w:t>
    </w:r>
    <w:proofErr w:type="spellEnd"/>
    <w:r>
      <w:t>/86-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61621"/>
    <w:rsid w:val="00073642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47F7E"/>
    <w:rsid w:val="00255A38"/>
    <w:rsid w:val="00255FA1"/>
    <w:rsid w:val="00262FF4"/>
    <w:rsid w:val="00295399"/>
    <w:rsid w:val="002C6527"/>
    <w:rsid w:val="002E44FC"/>
    <w:rsid w:val="00321B12"/>
    <w:rsid w:val="00344EB4"/>
    <w:rsid w:val="003707E5"/>
    <w:rsid w:val="00375610"/>
    <w:rsid w:val="00391611"/>
    <w:rsid w:val="003D0027"/>
    <w:rsid w:val="003E6E73"/>
    <w:rsid w:val="00474EDC"/>
    <w:rsid w:val="0048023D"/>
    <w:rsid w:val="00484B72"/>
    <w:rsid w:val="0048731A"/>
    <w:rsid w:val="00491A25"/>
    <w:rsid w:val="004A2EBD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E7F9C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03967"/>
    <w:rsid w:val="00641DBD"/>
    <w:rsid w:val="006426C0"/>
    <w:rsid w:val="006455D2"/>
    <w:rsid w:val="006537F3"/>
    <w:rsid w:val="006620A7"/>
    <w:rsid w:val="006B5512"/>
    <w:rsid w:val="006C190D"/>
    <w:rsid w:val="00720686"/>
    <w:rsid w:val="00737EFF"/>
    <w:rsid w:val="00750806"/>
    <w:rsid w:val="007875D2"/>
    <w:rsid w:val="00796967"/>
    <w:rsid w:val="007B3741"/>
    <w:rsid w:val="007D4A3E"/>
    <w:rsid w:val="007D61E2"/>
    <w:rsid w:val="007E7B22"/>
    <w:rsid w:val="007F6EBC"/>
    <w:rsid w:val="00853814"/>
    <w:rsid w:val="00882773"/>
    <w:rsid w:val="00884830"/>
    <w:rsid w:val="008B4706"/>
    <w:rsid w:val="008B6676"/>
    <w:rsid w:val="008C3FA8"/>
    <w:rsid w:val="008E51C5"/>
    <w:rsid w:val="008F7109"/>
    <w:rsid w:val="009107B0"/>
    <w:rsid w:val="009220DE"/>
    <w:rsid w:val="00923DF8"/>
    <w:rsid w:val="00930E84"/>
    <w:rsid w:val="0099136D"/>
    <w:rsid w:val="0099270D"/>
    <w:rsid w:val="0099551E"/>
    <w:rsid w:val="009A0620"/>
    <w:rsid w:val="009A1A86"/>
    <w:rsid w:val="009C6BF5"/>
    <w:rsid w:val="009D039D"/>
    <w:rsid w:val="009D1BE0"/>
    <w:rsid w:val="009E0C42"/>
    <w:rsid w:val="00A1331E"/>
    <w:rsid w:val="00A176A8"/>
    <w:rsid w:val="00A541B1"/>
    <w:rsid w:val="00A70E95"/>
    <w:rsid w:val="00AA1F73"/>
    <w:rsid w:val="00AA2BE1"/>
    <w:rsid w:val="00AB34CA"/>
    <w:rsid w:val="00AD400E"/>
    <w:rsid w:val="00AF0DC5"/>
    <w:rsid w:val="00B012B7"/>
    <w:rsid w:val="00B13C14"/>
    <w:rsid w:val="00B30C52"/>
    <w:rsid w:val="00B501AB"/>
    <w:rsid w:val="00B7310A"/>
    <w:rsid w:val="00B73978"/>
    <w:rsid w:val="00B77C4D"/>
    <w:rsid w:val="00B94CAA"/>
    <w:rsid w:val="00BB13FE"/>
    <w:rsid w:val="00BC7EE2"/>
    <w:rsid w:val="00BF5475"/>
    <w:rsid w:val="00C02178"/>
    <w:rsid w:val="00C20ED7"/>
    <w:rsid w:val="00C42D2D"/>
    <w:rsid w:val="00C43474"/>
    <w:rsid w:val="00C61A48"/>
    <w:rsid w:val="00C72463"/>
    <w:rsid w:val="00C80F8F"/>
    <w:rsid w:val="00C84355"/>
    <w:rsid w:val="00C84A65"/>
    <w:rsid w:val="00CA3051"/>
    <w:rsid w:val="00CD20D9"/>
    <w:rsid w:val="00CD701A"/>
    <w:rsid w:val="00D05AAE"/>
    <w:rsid w:val="00D05E6B"/>
    <w:rsid w:val="00D20F3F"/>
    <w:rsid w:val="00D254A6"/>
    <w:rsid w:val="00D42B55"/>
    <w:rsid w:val="00D57D70"/>
    <w:rsid w:val="00DE6868"/>
    <w:rsid w:val="00E05D81"/>
    <w:rsid w:val="00E121A8"/>
    <w:rsid w:val="00E53DFC"/>
    <w:rsid w:val="00E54E53"/>
    <w:rsid w:val="00E66FC3"/>
    <w:rsid w:val="00E677DD"/>
    <w:rsid w:val="00E77F17"/>
    <w:rsid w:val="00E809D8"/>
    <w:rsid w:val="00E921EC"/>
    <w:rsid w:val="00E92D35"/>
    <w:rsid w:val="00EB23D0"/>
    <w:rsid w:val="00EC395A"/>
    <w:rsid w:val="00F01632"/>
    <w:rsid w:val="00F04858"/>
    <w:rsid w:val="00F07BA1"/>
    <w:rsid w:val="00F13AA4"/>
    <w:rsid w:val="00F213D5"/>
    <w:rsid w:val="00F3510D"/>
    <w:rsid w:val="00F43C07"/>
    <w:rsid w:val="00F43D44"/>
    <w:rsid w:val="00F80E6E"/>
    <w:rsid w:val="00FC68EB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73176B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Revision">
    <w:name w:val="Revision"/>
    <w:hidden/>
    <w:uiPriority w:val="99"/>
    <w:semiHidden/>
    <w:rsid w:val="00474EDC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e7f902-b9d8-4dcd-9f4d-408d2abcd1e4">DPM</DPM_x0020_Author>
    <DPM_x0020_File_x0020_name xmlns="65e7f902-b9d8-4dcd-9f4d-408d2abcd1e4">S22-PP-C-0086!!MSW-S</DPM_x0020_File_x0020_name>
    <DPM_x0020_Version xmlns="65e7f902-b9d8-4dcd-9f4d-408d2abcd1e4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e7f902-b9d8-4dcd-9f4d-408d2abcd1e4" targetNamespace="http://schemas.microsoft.com/office/2006/metadata/properties" ma:root="true" ma:fieldsID="d41af5c836d734370eb92e7ee5f83852" ns2:_="" ns3:_="">
    <xsd:import namespace="996b2e75-67fd-4955-a3b0-5ab9934cb50b"/>
    <xsd:import namespace="65e7f902-b9d8-4dcd-9f4d-408d2abcd1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f902-b9d8-4dcd-9f4d-408d2abcd1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5e7f902-b9d8-4dcd-9f4d-408d2abcd1e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e7f902-b9d8-4dcd-9f4d-408d2abcd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1218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S22-PP-C-0086!!MSW-S</vt:lpstr>
    </vt:vector>
  </TitlesOfParts>
  <Manager/>
  <Company/>
  <LinksUpToDate>false</LinksUpToDate>
  <CharactersWithSpaces>8295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S22-PP-C-0086!!MSW-S</dc:title>
  <dc:subject>Plenipotentiary Conference (PP-18)</dc:subject>
  <dc:creator>Documents Proposals Manager (DPM)</dc:creator>
  <cp:keywords>DPM_v2022.8.31.2_prod</cp:keywords>
  <dc:description/>
  <cp:lastModifiedBy>Spanish 1</cp:lastModifiedBy>
  <cp:revision>6</cp:revision>
  <dcterms:created xsi:type="dcterms:W3CDTF">2022-09-09T07:56:00Z</dcterms:created>
  <dcterms:modified xsi:type="dcterms:W3CDTF">2022-09-09T09:18:00Z</dcterms:modified>
  <cp:category>Conference document</cp:category>
</cp:coreProperties>
</file>