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7CCF5FA3" w14:textId="77777777" w:rsidTr="002F394C">
        <w:trPr>
          <w:cantSplit/>
          <w:trHeight w:val="20"/>
        </w:trPr>
        <w:tc>
          <w:tcPr>
            <w:tcW w:w="6620" w:type="dxa"/>
          </w:tcPr>
          <w:p w14:paraId="0B08BE7C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69805F2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bidi="ar-SA"/>
              </w:rPr>
              <w:drawing>
                <wp:inline distT="0" distB="0" distL="0" distR="0" wp14:anchorId="02395D80" wp14:editId="6DC4BB3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44E9F7E2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A94F5D0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FA7014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4D77987A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ED77E5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C16459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430B8DA8" w14:textId="77777777" w:rsidTr="002F394C">
        <w:trPr>
          <w:cantSplit/>
        </w:trPr>
        <w:tc>
          <w:tcPr>
            <w:tcW w:w="6620" w:type="dxa"/>
          </w:tcPr>
          <w:p w14:paraId="30C013E6" w14:textId="7A342B03" w:rsidR="00F27DBC" w:rsidRPr="00F27DBC" w:rsidRDefault="00F37276" w:rsidP="00F27DBC">
            <w:pPr>
              <w:pStyle w:val="Committee"/>
              <w:rPr>
                <w:rtl/>
                <w:lang w:eastAsia="zh-CN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53C837A5" w14:textId="4405C520" w:rsidR="00F27DBC" w:rsidRPr="00F37276" w:rsidRDefault="00B629C8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="00F37276" w:rsidRPr="00F37276">
              <w:rPr>
                <w:b/>
                <w:bCs/>
                <w:rtl/>
              </w:rPr>
              <w:t xml:space="preserve"> </w:t>
            </w:r>
            <w:r w:rsidR="00287513">
              <w:rPr>
                <w:b/>
                <w:bCs/>
              </w:rPr>
              <w:t>96</w:t>
            </w:r>
            <w:r w:rsidR="00F37276" w:rsidRPr="00F37276">
              <w:rPr>
                <w:b/>
                <w:bCs/>
              </w:rPr>
              <w:t>-A</w:t>
            </w:r>
          </w:p>
        </w:tc>
      </w:tr>
      <w:tr w:rsidR="00F27DBC" w:rsidRPr="003A0ECA" w14:paraId="0A529278" w14:textId="77777777" w:rsidTr="002F394C">
        <w:trPr>
          <w:cantSplit/>
        </w:trPr>
        <w:tc>
          <w:tcPr>
            <w:tcW w:w="6620" w:type="dxa"/>
          </w:tcPr>
          <w:p w14:paraId="2D464245" w14:textId="6923FEF1" w:rsidR="00F27DBC" w:rsidRPr="003C5FC6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7B691B8B" w14:textId="21E7BC7D" w:rsidR="00F27DBC" w:rsidRPr="003C5FC6" w:rsidRDefault="003C5FC6" w:rsidP="00F372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C5FC6">
              <w:rPr>
                <w:b/>
                <w:bCs/>
                <w:lang w:val="en-US"/>
              </w:rPr>
              <w:t>20</w:t>
            </w:r>
            <w:r w:rsidR="00F37276" w:rsidRPr="003C5FC6">
              <w:rPr>
                <w:b/>
                <w:bCs/>
                <w:rtl/>
                <w:lang w:val="en-US"/>
              </w:rPr>
              <w:t xml:space="preserve"> </w:t>
            </w:r>
            <w:r w:rsidRPr="003C5FC6">
              <w:rPr>
                <w:rFonts w:hint="cs"/>
                <w:b/>
                <w:bCs/>
                <w:rtl/>
                <w:lang w:val="en-US"/>
              </w:rPr>
              <w:t>سبتمبر</w:t>
            </w:r>
            <w:r w:rsidR="00F37276" w:rsidRPr="003C5FC6">
              <w:rPr>
                <w:b/>
                <w:bCs/>
                <w:rtl/>
              </w:rPr>
              <w:t> </w:t>
            </w:r>
            <w:r w:rsidR="00F37276" w:rsidRPr="003C5FC6">
              <w:rPr>
                <w:b/>
                <w:bCs/>
              </w:rPr>
              <w:t>202</w:t>
            </w:r>
            <w:r w:rsidR="00C94F77" w:rsidRPr="003C5FC6">
              <w:rPr>
                <w:b/>
                <w:bCs/>
              </w:rPr>
              <w:t>2</w:t>
            </w:r>
          </w:p>
        </w:tc>
      </w:tr>
      <w:tr w:rsidR="00F27DBC" w:rsidRPr="003A0ECA" w14:paraId="61EDA159" w14:textId="77777777" w:rsidTr="002F394C">
        <w:trPr>
          <w:cantSplit/>
        </w:trPr>
        <w:tc>
          <w:tcPr>
            <w:tcW w:w="6620" w:type="dxa"/>
          </w:tcPr>
          <w:p w14:paraId="1CC9B986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01DEF870" w14:textId="066DB431" w:rsidR="00F27DBC" w:rsidRPr="00F37276" w:rsidRDefault="00F37276" w:rsidP="00F372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F37276">
              <w:rPr>
                <w:b/>
                <w:bCs/>
                <w:rtl/>
                <w:lang w:eastAsia="zh-CN"/>
              </w:rPr>
              <w:t>الأصل: بالإنكليزية</w:t>
            </w:r>
          </w:p>
        </w:tc>
      </w:tr>
      <w:tr w:rsidR="003A0ECA" w:rsidRPr="003A0ECA" w14:paraId="3A198C68" w14:textId="77777777" w:rsidTr="002F394C">
        <w:trPr>
          <w:cantSplit/>
        </w:trPr>
        <w:tc>
          <w:tcPr>
            <w:tcW w:w="6620" w:type="dxa"/>
          </w:tcPr>
          <w:p w14:paraId="7453CA2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D7FC79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187B25AC" w14:textId="77777777" w:rsidTr="002F394C">
        <w:trPr>
          <w:cantSplit/>
        </w:trPr>
        <w:tc>
          <w:tcPr>
            <w:tcW w:w="9672" w:type="dxa"/>
            <w:gridSpan w:val="2"/>
          </w:tcPr>
          <w:p w14:paraId="012C385E" w14:textId="479007CB" w:rsidR="003A0ECA" w:rsidRPr="003A0ECA" w:rsidRDefault="00B629C8" w:rsidP="003A0ECA">
            <w:pPr>
              <w:pStyle w:val="Source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مذكرة من الأمين العام</w:t>
            </w:r>
          </w:p>
        </w:tc>
      </w:tr>
      <w:tr w:rsidR="003A0ECA" w:rsidRPr="003A0ECA" w14:paraId="6F8F7518" w14:textId="77777777" w:rsidTr="002F394C">
        <w:trPr>
          <w:cantSplit/>
        </w:trPr>
        <w:tc>
          <w:tcPr>
            <w:tcW w:w="9672" w:type="dxa"/>
            <w:gridSpan w:val="2"/>
          </w:tcPr>
          <w:p w14:paraId="476101D0" w14:textId="10F9ABA1" w:rsidR="003A0ECA" w:rsidRPr="00B629C8" w:rsidRDefault="00B629C8" w:rsidP="00B629C8">
            <w:pPr>
              <w:pStyle w:val="Title1"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ترشيحات لانتخابات مجلس الاتحاد مقدمة من الدول الأعضاء</w:t>
            </w:r>
          </w:p>
        </w:tc>
      </w:tr>
      <w:tr w:rsidR="003A0ECA" w:rsidRPr="003A0ECA" w14:paraId="2152D81C" w14:textId="77777777" w:rsidTr="002F394C">
        <w:trPr>
          <w:cantSplit/>
        </w:trPr>
        <w:tc>
          <w:tcPr>
            <w:tcW w:w="9672" w:type="dxa"/>
            <w:gridSpan w:val="2"/>
          </w:tcPr>
          <w:p w14:paraId="25C8BEF7" w14:textId="6E9913CF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39632C92" w14:textId="42E66354" w:rsidR="00E23106" w:rsidRPr="003C5FC6" w:rsidRDefault="00E23106" w:rsidP="00E23106">
      <w:pPr>
        <w:rPr>
          <w:rFonts w:ascii="Calibri" w:hAnsi="Calibri" w:cs="Traditional Arabic"/>
          <w:spacing w:val="-6"/>
          <w:szCs w:val="30"/>
          <w:lang w:eastAsia="zh-CN" w:bidi="ar-SY"/>
        </w:rPr>
      </w:pPr>
      <w:r w:rsidRPr="003C5FC6">
        <w:rPr>
          <w:rFonts w:hint="cs"/>
          <w:spacing w:val="-6"/>
          <w:rtl/>
        </w:rPr>
        <w:t>قدمت الترشيحات التالية</w:t>
      </w:r>
      <w:r w:rsidR="003C5FC6">
        <w:rPr>
          <w:rStyle w:val="FootnoteReference"/>
          <w:spacing w:val="-6"/>
          <w:rtl/>
        </w:rPr>
        <w:footnoteReference w:customMarkFollows="1" w:id="1"/>
        <w:t>1</w:t>
      </w:r>
      <w:r w:rsidRPr="003C5FC6">
        <w:rPr>
          <w:rFonts w:hint="cs"/>
          <w:spacing w:val="-6"/>
          <w:rtl/>
        </w:rPr>
        <w:t xml:space="preserve"> لانتخابات المجلس قبل الموعد النهائي المحدد (الإثنين </w:t>
      </w:r>
      <w:r w:rsidR="003C5FC6" w:rsidRPr="003C5FC6">
        <w:rPr>
          <w:spacing w:val="-6"/>
        </w:rPr>
        <w:t>29</w:t>
      </w:r>
      <w:r w:rsidRPr="003C5FC6">
        <w:rPr>
          <w:rFonts w:hint="cs"/>
          <w:spacing w:val="-6"/>
          <w:rtl/>
        </w:rPr>
        <w:t xml:space="preserve"> أ</w:t>
      </w:r>
      <w:r w:rsidR="003C5FC6" w:rsidRPr="003C5FC6">
        <w:rPr>
          <w:rFonts w:hint="cs"/>
          <w:spacing w:val="-6"/>
          <w:rtl/>
        </w:rPr>
        <w:t>غسطس</w:t>
      </w:r>
      <w:r w:rsidRPr="003C5FC6">
        <w:rPr>
          <w:rFonts w:hint="cs"/>
          <w:spacing w:val="-6"/>
          <w:rtl/>
        </w:rPr>
        <w:t xml:space="preserve"> </w:t>
      </w:r>
      <w:r w:rsidRPr="003C5FC6">
        <w:rPr>
          <w:spacing w:val="-6"/>
        </w:rPr>
        <w:t>20</w:t>
      </w:r>
      <w:r w:rsidR="003C5FC6" w:rsidRPr="003C5FC6">
        <w:rPr>
          <w:spacing w:val="-6"/>
        </w:rPr>
        <w:t>22</w:t>
      </w:r>
      <w:r w:rsidRPr="003C5FC6">
        <w:rPr>
          <w:rFonts w:hint="cs"/>
          <w:spacing w:val="-6"/>
          <w:rtl/>
          <w:lang w:bidi="ar-SY"/>
        </w:rPr>
        <w:t xml:space="preserve">، الساعة </w:t>
      </w:r>
      <w:r w:rsidRPr="003C5FC6">
        <w:rPr>
          <w:spacing w:val="-6"/>
          <w:lang w:bidi="ar-SY"/>
        </w:rPr>
        <w:t>23:59</w:t>
      </w:r>
      <w:r w:rsidRPr="003C5FC6">
        <w:rPr>
          <w:rFonts w:hint="cs"/>
          <w:spacing w:val="-6"/>
          <w:rtl/>
          <w:lang w:bidi="ar-SY"/>
        </w:rPr>
        <w:t xml:space="preserve"> بتوقيت جنيف).</w:t>
      </w:r>
    </w:p>
    <w:p w14:paraId="387F8A63" w14:textId="57D5120C" w:rsidR="00E23106" w:rsidRDefault="00E23106" w:rsidP="006E3BE4">
      <w:pPr>
        <w:rPr>
          <w:rtl/>
          <w:lang w:bidi="ar-SY"/>
        </w:rPr>
      </w:pPr>
      <w:r>
        <w:rPr>
          <w:rFonts w:hint="cs"/>
          <w:rtl/>
          <w:lang w:bidi="ar-SY"/>
        </w:rPr>
        <w:t>ويمكن الاطلاع على قائمة الدول الأعضاء من كل منطقة إدارية في الموقع التالي:</w:t>
      </w:r>
      <w:r w:rsidR="006E3BE4">
        <w:rPr>
          <w:rtl/>
          <w:lang w:bidi="ar-SY"/>
        </w:rPr>
        <w:tab/>
      </w:r>
      <w:r w:rsidR="006E3BE4">
        <w:rPr>
          <w:rtl/>
        </w:rPr>
        <w:br/>
      </w:r>
      <w:hyperlink r:id="rId12" w:history="1">
        <w:r>
          <w:rPr>
            <w:rStyle w:val="Hyperlink"/>
            <w:lang w:bidi="ar-SY"/>
          </w:rPr>
          <w:t>https://www.itu.int/online/mm/scripts/mm.world?_languageid=1</w:t>
        </w:r>
      </w:hyperlink>
      <w:r>
        <w:rPr>
          <w:rFonts w:hint="cs"/>
          <w:rtl/>
          <w:lang w:bidi="ar-SY"/>
        </w:rPr>
        <w:t>.</w:t>
      </w:r>
    </w:p>
    <w:p w14:paraId="0FECBD0D" w14:textId="77777777" w:rsidR="00E23106" w:rsidRDefault="00E23106" w:rsidP="00E23106">
      <w:pPr>
        <w:spacing w:before="1440"/>
        <w:ind w:left="5103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هولين جاو</w:t>
      </w:r>
      <w:r>
        <w:rPr>
          <w:rFonts w:hint="cs"/>
          <w:rtl/>
          <w:lang w:bidi="ar-SY"/>
        </w:rPr>
        <w:br/>
        <w:t>الأمين العام</w:t>
      </w:r>
    </w:p>
    <w:p w14:paraId="29BD260A" w14:textId="77777777" w:rsidR="00E23106" w:rsidRDefault="00E23106" w:rsidP="00202773">
      <w:pPr>
        <w:rPr>
          <w:rtl/>
        </w:rPr>
        <w:sectPr w:rsidR="00E23106" w:rsidSect="003E018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</w:sectPr>
      </w:pPr>
    </w:p>
    <w:p w14:paraId="7C3CC3A4" w14:textId="675FF0C6" w:rsidR="00E23106" w:rsidRDefault="00E23106" w:rsidP="006E3BE4">
      <w:pPr>
        <w:pStyle w:val="Heading1"/>
        <w:spacing w:before="120" w:after="60"/>
        <w:jc w:val="center"/>
        <w:rPr>
          <w:rFonts w:ascii="Calibri" w:hAnsi="Calibri" w:cs="Traditional Arabic"/>
          <w:szCs w:val="36"/>
          <w:lang w:eastAsia="zh-CN" w:bidi="ar-SA"/>
        </w:rPr>
      </w:pPr>
      <w:r>
        <w:rPr>
          <w:rFonts w:hint="cs"/>
          <w:rtl/>
        </w:rPr>
        <w:lastRenderedPageBreak/>
        <w:t>ترشيحات لانتخابات المجلس مقدمة من الدول الأعضاء</w:t>
      </w:r>
    </w:p>
    <w:tbl>
      <w:tblPr>
        <w:bidiVisual/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2"/>
        <w:gridCol w:w="4254"/>
      </w:tblGrid>
      <w:tr w:rsidR="00E23106" w14:paraId="494A8D29" w14:textId="77777777" w:rsidTr="00E2310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5DF" w14:textId="77777777" w:rsidR="00E23106" w:rsidRPr="000C63F9" w:rsidRDefault="00E23106">
            <w:pPr>
              <w:spacing w:before="60" w:after="60" w:line="260" w:lineRule="exact"/>
              <w:jc w:val="left"/>
              <w:rPr>
                <w:b/>
                <w:bCs/>
                <w:rtl/>
                <w:lang w:bidi="ar-SY"/>
              </w:rPr>
            </w:pPr>
            <w:r w:rsidRPr="000C63F9">
              <w:rPr>
                <w:rFonts w:hint="cs"/>
                <w:b/>
                <w:bCs/>
                <w:rtl/>
              </w:rPr>
              <w:t xml:space="preserve">المنطقة </w:t>
            </w:r>
            <w:r w:rsidRPr="000C63F9">
              <w:rPr>
                <w:b/>
                <w:bCs/>
              </w:rPr>
              <w:t>A</w:t>
            </w:r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- الأمريكتان 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>(</w:t>
            </w:r>
            <w:r w:rsidRPr="000C63F9">
              <w:rPr>
                <w:b/>
                <w:bCs/>
                <w:i/>
                <w:iCs/>
                <w:lang w:bidi="ar-SY"/>
              </w:rPr>
              <w:t>9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مقاعد)</w:t>
            </w:r>
          </w:p>
          <w:p w14:paraId="71F8B943" w14:textId="277F72CF" w:rsidR="00E23106" w:rsidRPr="000C63F9" w:rsidRDefault="00E23106">
            <w:pPr>
              <w:spacing w:before="60" w:after="60" w:line="260" w:lineRule="exact"/>
              <w:jc w:val="left"/>
              <w:rPr>
                <w:rtl/>
                <w:lang w:bidi="ar-SA"/>
              </w:rPr>
            </w:pPr>
            <w:r w:rsidRPr="000C63F9">
              <w:rPr>
                <w:rFonts w:hint="cs"/>
                <w:rtl/>
              </w:rPr>
              <w:t>الأرجنتين</w:t>
            </w:r>
            <w:r w:rsidRPr="000C63F9">
              <w:br/>
            </w:r>
            <w:r w:rsidRPr="000C63F9">
              <w:rPr>
                <w:rFonts w:hint="cs"/>
                <w:rtl/>
              </w:rPr>
              <w:t>البهاما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البرازيل</w:t>
            </w:r>
            <w:r w:rsidR="00F86963" w:rsidRPr="000C63F9"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كندا</w:t>
            </w:r>
            <w:r w:rsidRPr="000C63F9">
              <w:br/>
            </w:r>
            <w:r w:rsidRPr="000C63F9">
              <w:rPr>
                <w:rFonts w:hint="cs"/>
                <w:rtl/>
              </w:rPr>
              <w:t>كوبا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السلفادور</w:t>
            </w:r>
            <w:r w:rsidRPr="000C63F9">
              <w:rPr>
                <w:rFonts w:hint="cs"/>
                <w:rtl/>
              </w:rPr>
              <w:br/>
              <w:t>الولايات المتحدة</w:t>
            </w:r>
            <w:r w:rsidR="00F86963" w:rsidRPr="000C63F9"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المكسيك</w:t>
            </w:r>
            <w:r w:rsidRPr="000C63F9">
              <w:br/>
            </w:r>
            <w:r w:rsidRPr="000C63F9">
              <w:rPr>
                <w:rFonts w:hint="cs"/>
                <w:rtl/>
              </w:rPr>
              <w:t>باراغواي</w:t>
            </w:r>
          </w:p>
          <w:p w14:paraId="6DE82397" w14:textId="77777777" w:rsidR="00E23106" w:rsidRPr="000C63F9" w:rsidRDefault="00E23106">
            <w:pPr>
              <w:spacing w:before="240" w:after="60" w:line="260" w:lineRule="exact"/>
              <w:jc w:val="left"/>
              <w:rPr>
                <w:b/>
                <w:bCs/>
                <w:rtl/>
                <w:lang w:bidi="ar-SY"/>
              </w:rPr>
            </w:pPr>
            <w:r w:rsidRPr="000C63F9">
              <w:rPr>
                <w:rFonts w:hint="cs"/>
                <w:b/>
                <w:bCs/>
                <w:rtl/>
              </w:rPr>
              <w:t xml:space="preserve">المنطقة </w:t>
            </w:r>
            <w:r w:rsidRPr="000C63F9">
              <w:rPr>
                <w:b/>
                <w:bCs/>
              </w:rPr>
              <w:t>B</w:t>
            </w:r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- أوروبا الغربية 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>(</w:t>
            </w:r>
            <w:r w:rsidRPr="000C63F9">
              <w:rPr>
                <w:b/>
                <w:bCs/>
                <w:i/>
                <w:iCs/>
                <w:lang w:bidi="ar-SY"/>
              </w:rPr>
              <w:t>8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مقاعد)</w:t>
            </w:r>
          </w:p>
          <w:p w14:paraId="7DAA598E" w14:textId="0B25022F" w:rsidR="00E23106" w:rsidRPr="000C63F9" w:rsidRDefault="00E23106">
            <w:pPr>
              <w:tabs>
                <w:tab w:val="left" w:pos="993"/>
              </w:tabs>
              <w:spacing w:before="60" w:after="60" w:line="260" w:lineRule="exact"/>
              <w:jc w:val="left"/>
              <w:rPr>
                <w:rtl/>
                <w:lang w:bidi="ar-SA"/>
              </w:rPr>
            </w:pPr>
            <w:r w:rsidRPr="000C63F9">
              <w:rPr>
                <w:rFonts w:hint="cs"/>
                <w:rtl/>
              </w:rPr>
              <w:t>ألمانيا</w:t>
            </w:r>
            <w:r w:rsidR="00F94C52" w:rsidRPr="000C63F9"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إسبانيا</w:t>
            </w:r>
            <w:r w:rsidRPr="000C63F9">
              <w:br/>
            </w:r>
            <w:r w:rsidRPr="000C63F9">
              <w:rPr>
                <w:rFonts w:hint="cs"/>
                <w:rtl/>
              </w:rPr>
              <w:t>فرنسا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اليونان</w:t>
            </w:r>
            <w:r w:rsidRPr="000C63F9">
              <w:br/>
            </w:r>
            <w:r w:rsidRPr="000C63F9">
              <w:rPr>
                <w:rFonts w:hint="cs"/>
                <w:rtl/>
              </w:rPr>
              <w:t>هنغاريا</w:t>
            </w:r>
            <w:r w:rsidRPr="000C63F9">
              <w:rPr>
                <w:rFonts w:hint="cs"/>
                <w:rtl/>
              </w:rPr>
              <w:br/>
              <w:t>إيطاليا</w:t>
            </w:r>
            <w:r w:rsidR="000C63F9">
              <w:rPr>
                <w:rtl/>
              </w:rPr>
              <w:br/>
            </w:r>
            <w:r w:rsidR="000C63F9" w:rsidRPr="000C63F9">
              <w:rPr>
                <w:rtl/>
              </w:rPr>
              <w:t>المملكة المتحدة</w:t>
            </w:r>
            <w:r w:rsidR="000C63F9">
              <w:rPr>
                <w:rtl/>
              </w:rPr>
              <w:br/>
            </w:r>
            <w:r w:rsidR="000C63F9" w:rsidRPr="000C63F9">
              <w:rPr>
                <w:rFonts w:hint="cs"/>
                <w:rtl/>
              </w:rPr>
              <w:t>تركيا</w:t>
            </w:r>
            <w:r w:rsidR="000C63F9">
              <w:rPr>
                <w:rtl/>
              </w:rPr>
              <w:br/>
            </w:r>
            <w:r w:rsidR="000C63F9" w:rsidRPr="000C63F9">
              <w:rPr>
                <w:rtl/>
              </w:rPr>
              <w:t>السويد</w:t>
            </w:r>
            <w:r w:rsidRPr="000C63F9">
              <w:br/>
            </w:r>
            <w:r w:rsidR="00F94C52">
              <w:rPr>
                <w:rFonts w:hint="cs"/>
                <w:rtl/>
              </w:rPr>
              <w:t>سويسرا</w:t>
            </w:r>
            <w:r w:rsidRPr="000C63F9"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869D" w14:textId="77777777" w:rsidR="00E23106" w:rsidRPr="000C63F9" w:rsidRDefault="00E23106">
            <w:pPr>
              <w:spacing w:before="60" w:after="60" w:line="260" w:lineRule="exact"/>
              <w:jc w:val="left"/>
              <w:rPr>
                <w:b/>
                <w:bCs/>
                <w:lang w:bidi="ar-SY"/>
              </w:rPr>
            </w:pPr>
            <w:r w:rsidRPr="000C63F9">
              <w:rPr>
                <w:rFonts w:hint="cs"/>
                <w:b/>
                <w:bCs/>
                <w:rtl/>
              </w:rPr>
              <w:t xml:space="preserve">المنطقة </w:t>
            </w:r>
            <w:r w:rsidRPr="000C63F9">
              <w:rPr>
                <w:b/>
                <w:bCs/>
              </w:rPr>
              <w:t>C</w:t>
            </w:r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- أوروبا الشرقية وشمال آسيا 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>(</w:t>
            </w:r>
            <w:r w:rsidRPr="000C63F9">
              <w:rPr>
                <w:b/>
                <w:bCs/>
                <w:i/>
                <w:iCs/>
                <w:lang w:bidi="ar-SY"/>
              </w:rPr>
              <w:t>5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مقاعد)</w:t>
            </w:r>
          </w:p>
          <w:p w14:paraId="5F4AE969" w14:textId="3035B826" w:rsidR="00E23106" w:rsidRPr="000C63F9" w:rsidRDefault="00E23106">
            <w:pPr>
              <w:spacing w:before="60" w:after="60" w:line="260" w:lineRule="exact"/>
              <w:jc w:val="left"/>
              <w:rPr>
                <w:rtl/>
                <w:lang w:bidi="ar-SA"/>
              </w:rPr>
            </w:pPr>
            <w:r w:rsidRPr="000C63F9">
              <w:rPr>
                <w:rFonts w:hint="cs"/>
                <w:rtl/>
              </w:rPr>
              <w:t>أذربيجان</w:t>
            </w:r>
            <w:r w:rsidRPr="000C63F9">
              <w:br/>
            </w:r>
            <w:r w:rsidR="00645079">
              <w:rPr>
                <w:rFonts w:hint="cs"/>
                <w:rtl/>
              </w:rPr>
              <w:t>بيلاروس</w:t>
            </w:r>
            <w:r w:rsidR="00645079">
              <w:rPr>
                <w:rtl/>
              </w:rPr>
              <w:br/>
            </w:r>
            <w:r w:rsidR="00645079">
              <w:rPr>
                <w:rFonts w:hint="cs"/>
                <w:rtl/>
              </w:rPr>
              <w:t>بلغاريا</w:t>
            </w:r>
            <w:r w:rsidRPr="000C63F9">
              <w:br/>
            </w:r>
            <w:r w:rsidR="00645079">
              <w:rPr>
                <w:rFonts w:hint="cs"/>
                <w:rtl/>
              </w:rPr>
              <w:t>الاتحاد الروسي</w:t>
            </w:r>
            <w:r w:rsidRPr="000C63F9">
              <w:br/>
            </w:r>
            <w:r w:rsidRPr="000C63F9">
              <w:rPr>
                <w:rFonts w:hint="cs"/>
                <w:rtl/>
              </w:rPr>
              <w:t>بولندا</w:t>
            </w:r>
            <w:r w:rsidRPr="000C63F9">
              <w:br/>
            </w:r>
            <w:r w:rsidR="00645079">
              <w:rPr>
                <w:rFonts w:hint="cs"/>
                <w:rtl/>
              </w:rPr>
              <w:t>الجمهورية التشيكية</w:t>
            </w:r>
            <w:r w:rsidRPr="000C63F9">
              <w:rPr>
                <w:rFonts w:hint="cs"/>
                <w:rtl/>
              </w:rPr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رومانيا</w:t>
            </w:r>
          </w:p>
          <w:p w14:paraId="57E939B5" w14:textId="77777777" w:rsidR="00E23106" w:rsidRPr="000C63F9" w:rsidRDefault="00E23106">
            <w:pPr>
              <w:tabs>
                <w:tab w:val="left" w:pos="993"/>
              </w:tabs>
              <w:spacing w:before="240" w:after="60" w:line="260" w:lineRule="exact"/>
              <w:jc w:val="left"/>
              <w:rPr>
                <w:b/>
                <w:bCs/>
                <w:lang w:bidi="ar-SY"/>
              </w:rPr>
            </w:pPr>
            <w:r w:rsidRPr="000C63F9">
              <w:rPr>
                <w:rFonts w:hint="cs"/>
                <w:b/>
                <w:bCs/>
                <w:rtl/>
              </w:rPr>
              <w:t xml:space="preserve">المنطقة </w:t>
            </w:r>
            <w:r w:rsidRPr="000C63F9">
              <w:rPr>
                <w:b/>
                <w:bCs/>
              </w:rPr>
              <w:t>D</w:t>
            </w:r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- إفريقيا 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>(</w:t>
            </w:r>
            <w:r w:rsidRPr="000C63F9">
              <w:rPr>
                <w:b/>
                <w:bCs/>
                <w:i/>
                <w:iCs/>
                <w:lang w:bidi="ar-SY"/>
              </w:rPr>
              <w:t>13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مقعداً)</w:t>
            </w:r>
          </w:p>
          <w:p w14:paraId="2957C96B" w14:textId="2AE5529E" w:rsidR="00E23106" w:rsidRPr="000C63F9" w:rsidRDefault="00E23106">
            <w:pPr>
              <w:tabs>
                <w:tab w:val="left" w:pos="993"/>
              </w:tabs>
              <w:spacing w:before="60" w:after="60" w:line="260" w:lineRule="exact"/>
              <w:jc w:val="left"/>
              <w:rPr>
                <w:rtl/>
                <w:lang w:bidi="ar-SA"/>
              </w:rPr>
            </w:pPr>
            <w:r w:rsidRPr="000C63F9">
              <w:rPr>
                <w:rFonts w:hint="cs"/>
                <w:rtl/>
              </w:rPr>
              <w:t>الجزائر</w:t>
            </w:r>
            <w:r w:rsidRPr="000C63F9">
              <w:br/>
            </w:r>
            <w:r w:rsidRPr="000C63F9">
              <w:rPr>
                <w:rFonts w:hint="cs"/>
                <w:rtl/>
              </w:rPr>
              <w:t>بوركينا فاصو</w:t>
            </w:r>
            <w:r w:rsidRPr="000C63F9">
              <w:br/>
            </w:r>
            <w:r w:rsidRPr="000C63F9">
              <w:rPr>
                <w:rFonts w:hint="cs"/>
                <w:rtl/>
              </w:rPr>
              <w:t>الكاميرون</w:t>
            </w:r>
            <w:r w:rsidRPr="000C63F9">
              <w:br/>
            </w:r>
            <w:r w:rsidRPr="000C63F9">
              <w:rPr>
                <w:rFonts w:hint="cs"/>
                <w:rtl/>
              </w:rPr>
              <w:t>كوت ديفوار</w:t>
            </w:r>
            <w:r w:rsidRPr="000C63F9">
              <w:br/>
            </w:r>
            <w:r w:rsidRPr="000C63F9">
              <w:rPr>
                <w:rFonts w:hint="cs"/>
                <w:rtl/>
              </w:rPr>
              <w:t>مصر</w:t>
            </w:r>
            <w:r w:rsidR="00F94C52" w:rsidRPr="000C63F9"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غانا</w:t>
            </w:r>
            <w:r w:rsidRPr="000C63F9">
              <w:br/>
            </w:r>
            <w:r w:rsidRPr="000C63F9">
              <w:rPr>
                <w:rFonts w:hint="cs"/>
                <w:rtl/>
              </w:rPr>
              <w:t>كينيا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المغرب</w:t>
            </w:r>
            <w:r w:rsidRPr="000C63F9">
              <w:br/>
            </w:r>
            <w:r w:rsidR="000C63F9" w:rsidRPr="000C63F9">
              <w:rPr>
                <w:rtl/>
              </w:rPr>
              <w:t>موريشيوس</w:t>
            </w:r>
            <w:r w:rsidR="000C63F9">
              <w:rPr>
                <w:rtl/>
              </w:rPr>
              <w:br/>
            </w:r>
            <w:r w:rsidR="000C63F9" w:rsidRPr="000C63F9">
              <w:rPr>
                <w:rtl/>
              </w:rPr>
              <w:t>النيجر</w:t>
            </w:r>
            <w:r w:rsidRPr="000C63F9">
              <w:br/>
            </w:r>
            <w:r w:rsidRPr="000C63F9">
              <w:rPr>
                <w:rFonts w:hint="cs"/>
                <w:rtl/>
              </w:rPr>
              <w:t>نيجيريا</w:t>
            </w:r>
            <w:r w:rsidR="00F94C52" w:rsidRPr="000C63F9">
              <w:t xml:space="preserve"> </w:t>
            </w:r>
            <w:r w:rsidRPr="000C63F9">
              <w:br/>
            </w:r>
            <w:r w:rsidRPr="000C63F9">
              <w:rPr>
                <w:rFonts w:hint="cs"/>
                <w:rtl/>
              </w:rPr>
              <w:t>أوغندا</w:t>
            </w:r>
            <w:r w:rsidRPr="000C63F9">
              <w:br/>
            </w:r>
            <w:r w:rsidRPr="000C63F9">
              <w:rPr>
                <w:rFonts w:hint="cs"/>
                <w:rtl/>
              </w:rPr>
              <w:t>رواندا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السنغال</w:t>
            </w:r>
            <w:r w:rsidRPr="000C63F9">
              <w:br/>
            </w:r>
            <w:r w:rsidRPr="000C63F9">
              <w:rPr>
                <w:rFonts w:hint="cs"/>
                <w:rtl/>
              </w:rPr>
              <w:t>السودان</w:t>
            </w:r>
            <w:r w:rsidRPr="000C63F9">
              <w:rPr>
                <w:rFonts w:hint="cs"/>
                <w:rtl/>
              </w:rPr>
              <w:br/>
              <w:t>جنوب إفريقيا</w:t>
            </w:r>
            <w:r w:rsidRPr="000C63F9">
              <w:br/>
            </w:r>
            <w:r w:rsidRPr="000C63F9">
              <w:rPr>
                <w:rFonts w:hint="cs"/>
                <w:rtl/>
              </w:rPr>
              <w:t>تنزانيا</w:t>
            </w:r>
            <w:r w:rsidRPr="000C63F9">
              <w:br/>
            </w:r>
            <w:r w:rsidRPr="000C63F9">
              <w:rPr>
                <w:rFonts w:hint="cs"/>
                <w:rtl/>
              </w:rPr>
              <w:t>تونس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098" w14:textId="77777777" w:rsidR="00E23106" w:rsidRPr="000C63F9" w:rsidRDefault="00E23106">
            <w:pPr>
              <w:spacing w:before="60" w:after="60" w:line="260" w:lineRule="exact"/>
              <w:jc w:val="left"/>
              <w:rPr>
                <w:b/>
                <w:bCs/>
                <w:lang w:bidi="ar-SY"/>
              </w:rPr>
            </w:pPr>
            <w:r w:rsidRPr="000C63F9">
              <w:rPr>
                <w:rFonts w:hint="cs"/>
                <w:b/>
                <w:bCs/>
                <w:rtl/>
              </w:rPr>
              <w:t xml:space="preserve">المنطقة </w:t>
            </w:r>
            <w:r w:rsidRPr="000C63F9">
              <w:rPr>
                <w:b/>
                <w:bCs/>
              </w:rPr>
              <w:t>E</w:t>
            </w:r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- آسيا </w:t>
            </w:r>
            <w:proofErr w:type="spellStart"/>
            <w:r w:rsidRPr="000C63F9">
              <w:rPr>
                <w:rFonts w:hint="cs"/>
                <w:b/>
                <w:bCs/>
                <w:rtl/>
                <w:lang w:bidi="ar-SY"/>
              </w:rPr>
              <w:t>وأسترالاسيا</w:t>
            </w:r>
            <w:proofErr w:type="spellEnd"/>
            <w:r w:rsidRPr="000C63F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>(</w:t>
            </w:r>
            <w:r w:rsidRPr="000C63F9">
              <w:rPr>
                <w:b/>
                <w:bCs/>
                <w:i/>
                <w:iCs/>
                <w:lang w:bidi="ar-SY"/>
              </w:rPr>
              <w:t>13</w:t>
            </w:r>
            <w:r w:rsidRPr="000C63F9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مقعداً)</w:t>
            </w:r>
          </w:p>
          <w:p w14:paraId="7972EF12" w14:textId="277FF619" w:rsidR="00E23106" w:rsidRPr="000C63F9" w:rsidRDefault="00E23106">
            <w:pPr>
              <w:tabs>
                <w:tab w:val="left" w:pos="993"/>
              </w:tabs>
              <w:spacing w:before="60" w:after="60" w:line="260" w:lineRule="exact"/>
              <w:jc w:val="left"/>
              <w:rPr>
                <w:rtl/>
                <w:lang w:bidi="ar-SA"/>
              </w:rPr>
            </w:pPr>
            <w:r w:rsidRPr="000C63F9">
              <w:rPr>
                <w:rFonts w:hint="cs"/>
                <w:rtl/>
              </w:rPr>
              <w:t>المملكة العربية السعودية</w:t>
            </w:r>
            <w:r w:rsidRPr="000C63F9">
              <w:br/>
            </w:r>
            <w:r w:rsidRPr="000C63F9">
              <w:rPr>
                <w:rFonts w:hint="cs"/>
                <w:rtl/>
              </w:rPr>
              <w:t>أستراليا</w:t>
            </w:r>
            <w:r w:rsidR="000C63F9">
              <w:rPr>
                <w:rtl/>
              </w:rPr>
              <w:br/>
            </w:r>
            <w:r w:rsidR="000C63F9" w:rsidRPr="000C63F9">
              <w:rPr>
                <w:rtl/>
              </w:rPr>
              <w:t>البحرين</w:t>
            </w:r>
            <w:r w:rsidRPr="000C63F9">
              <w:br/>
            </w:r>
            <w:r w:rsidRPr="000C63F9">
              <w:rPr>
                <w:rFonts w:hint="cs"/>
                <w:rtl/>
              </w:rPr>
              <w:t>الصين</w:t>
            </w:r>
            <w:r w:rsidR="00F94C52" w:rsidRPr="000C63F9">
              <w:t xml:space="preserve"> </w:t>
            </w:r>
            <w:r w:rsidRPr="000C63F9">
              <w:br/>
            </w:r>
            <w:r w:rsidR="00845DE9">
              <w:rPr>
                <w:rFonts w:hint="cs"/>
                <w:rtl/>
              </w:rPr>
              <w:t>جمهورية كوريا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الإمارات العربية المتحدة</w:t>
            </w:r>
            <w:r w:rsidRPr="000C63F9">
              <w:br/>
            </w:r>
            <w:r w:rsidRPr="000C63F9">
              <w:rPr>
                <w:rFonts w:hint="cs"/>
                <w:rtl/>
              </w:rPr>
              <w:t>الهند</w:t>
            </w:r>
            <w:r w:rsidRPr="000C63F9">
              <w:br/>
            </w:r>
            <w:r w:rsidRPr="000C63F9">
              <w:rPr>
                <w:rFonts w:hint="cs"/>
                <w:rtl/>
              </w:rPr>
              <w:t>إندونيسيا</w:t>
            </w:r>
            <w:r w:rsidRPr="000C63F9">
              <w:br/>
            </w:r>
            <w:r w:rsidR="00845DE9">
              <w:rPr>
                <w:rFonts w:hint="cs"/>
                <w:rtl/>
              </w:rPr>
              <w:t>جمهورية إيران الإسلامية</w:t>
            </w:r>
            <w:r w:rsidR="00F94C52">
              <w:rPr>
                <w:rtl/>
              </w:rPr>
              <w:t xml:space="preserve"> </w:t>
            </w:r>
            <w:r w:rsidR="000C63F9">
              <w:rPr>
                <w:rtl/>
              </w:rPr>
              <w:br/>
            </w:r>
            <w:r w:rsidR="000C63F9" w:rsidRPr="000C63F9">
              <w:rPr>
                <w:rtl/>
              </w:rPr>
              <w:t>العراق</w:t>
            </w:r>
            <w:r w:rsidRPr="000C63F9">
              <w:br/>
            </w:r>
            <w:r w:rsidRPr="000C63F9">
              <w:rPr>
                <w:rFonts w:hint="cs"/>
                <w:rtl/>
              </w:rPr>
              <w:t>اليابان</w:t>
            </w:r>
            <w:r w:rsidR="00845DE9">
              <w:rPr>
                <w:rtl/>
              </w:rPr>
              <w:br/>
            </w:r>
            <w:r w:rsidR="00845DE9">
              <w:rPr>
                <w:rFonts w:hint="cs"/>
                <w:rtl/>
              </w:rPr>
              <w:t>الأردن</w:t>
            </w:r>
            <w:r w:rsidRPr="000C63F9">
              <w:br/>
            </w:r>
            <w:r w:rsidRPr="000C63F9">
              <w:rPr>
                <w:rFonts w:hint="cs"/>
                <w:rtl/>
              </w:rPr>
              <w:t>الكويت</w:t>
            </w:r>
            <w:r w:rsidRPr="000C63F9">
              <w:br/>
            </w:r>
            <w:r w:rsidR="000C63F9" w:rsidRPr="000C63F9">
              <w:rPr>
                <w:rtl/>
              </w:rPr>
              <w:t>ماليزيا</w:t>
            </w:r>
            <w:r w:rsidRPr="000C63F9">
              <w:br/>
            </w:r>
            <w:r w:rsidRPr="000C63F9">
              <w:rPr>
                <w:rFonts w:hint="cs"/>
                <w:rtl/>
              </w:rPr>
              <w:t>الفلبين</w:t>
            </w:r>
            <w:r w:rsidRPr="000C63F9">
              <w:br/>
            </w:r>
            <w:r w:rsidRPr="000C63F9">
              <w:rPr>
                <w:rFonts w:hint="cs"/>
                <w:rtl/>
              </w:rPr>
              <w:t>تايلاند</w:t>
            </w:r>
          </w:p>
        </w:tc>
      </w:tr>
    </w:tbl>
    <w:p w14:paraId="76B76D75" w14:textId="72891DC3" w:rsidR="00202773" w:rsidRDefault="003C5FC6" w:rsidP="003C5FC6">
      <w:pPr>
        <w:spacing w:before="600"/>
        <w:jc w:val="center"/>
        <w:rPr>
          <w:rtl/>
        </w:rPr>
      </w:pPr>
      <w:r w:rsidRPr="00FC4592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202773" w:rsidSect="00E23106">
      <w:headerReference w:type="first" r:id="rId18"/>
      <w:footerReference w:type="first" r:id="rId19"/>
      <w:pgSz w:w="16834" w:h="11907" w:orient="landscape" w:code="9"/>
      <w:pgMar w:top="1134" w:right="1418" w:bottom="1134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CE3F" w14:textId="77777777" w:rsidR="007E2C59" w:rsidRDefault="007E2C59" w:rsidP="00FE7FCA">
      <w:r>
        <w:separator/>
      </w:r>
    </w:p>
  </w:endnote>
  <w:endnote w:type="continuationSeparator" w:id="0">
    <w:p w14:paraId="1D162CFA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77D7" w14:textId="4797FB55" w:rsidR="003D59E8" w:rsidRPr="003D59E8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val="fr-FR"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3D59E8">
      <w:rPr>
        <w:rFonts w:eastAsia="Times New Roman"/>
        <w:sz w:val="16"/>
        <w:szCs w:val="16"/>
        <w:lang w:val="fr-FR"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Pr="003D59E8">
      <w:rPr>
        <w:rFonts w:eastAsia="Times New Roman"/>
        <w:noProof/>
        <w:sz w:val="16"/>
        <w:szCs w:val="16"/>
        <w:lang w:val="fr-FR" w:bidi="ar-SA"/>
      </w:rPr>
      <w:t>Document2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3D59E8">
      <w:rPr>
        <w:rFonts w:eastAsia="Times New Roman"/>
        <w:sz w:val="16"/>
        <w:szCs w:val="16"/>
        <w:lang w:val="fr-FR" w:bidi="ar-SA"/>
      </w:rPr>
      <w:t xml:space="preserve"> (</w:t>
    </w:r>
    <w:proofErr w:type="spellStart"/>
    <w:proofErr w:type="gramEnd"/>
    <w:r w:rsidRPr="003D59E8">
      <w:rPr>
        <w:rFonts w:eastAsia="Times New Roman"/>
        <w:sz w:val="16"/>
        <w:szCs w:val="16"/>
        <w:lang w:val="fr-FR" w:bidi="ar-SA"/>
      </w:rPr>
      <w:t>xxxxxx</w:t>
    </w:r>
    <w:proofErr w:type="spellEnd"/>
    <w:r w:rsidRPr="003D59E8">
      <w:rPr>
        <w:rFonts w:eastAsia="Times New Roman"/>
        <w:sz w:val="16"/>
        <w:szCs w:val="16"/>
        <w:lang w:val="fr-FR"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05D9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6336" w14:textId="31F9C8D4" w:rsidR="00E23106" w:rsidRDefault="003C5FC6" w:rsidP="003C5FC6">
    <w:pPr>
      <w:pStyle w:val="firstfooter0"/>
      <w:spacing w:before="0" w:beforeAutospacing="0" w:after="0" w:afterAutospacing="0"/>
      <w:rPr>
        <w:rFonts w:ascii="Symbol" w:hAnsi="Symbol" w:hint="eastAsia"/>
        <w:sz w:val="22"/>
        <w:szCs w:val="20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B629C8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70C6F">
      <w:rPr>
        <w:noProof/>
        <w:sz w:val="16"/>
        <w:szCs w:val="16"/>
        <w:lang w:val="en-GB"/>
      </w:rPr>
      <w:t>P:\ARA\SG\CONF-SG\PP22\000\096A.docx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B629C8">
      <w:rPr>
        <w:sz w:val="16"/>
        <w:szCs w:val="16"/>
        <w:lang w:val="en-GB"/>
      </w:rPr>
      <w:t xml:space="preserve"> (</w:t>
    </w:r>
    <w:proofErr w:type="gramEnd"/>
    <w:r w:rsidR="000C63F9" w:rsidRPr="00B629C8">
      <w:rPr>
        <w:sz w:val="16"/>
        <w:szCs w:val="16"/>
        <w:lang w:val="en-GB"/>
      </w:rPr>
      <w:t>512472</w:t>
    </w:r>
    <w:r w:rsidRPr="00B629C8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9B0A" w14:textId="2350D400" w:rsidR="00941A4A" w:rsidRDefault="00941A4A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38125CBB" w14:textId="77777777" w:rsidR="007E2C59" w:rsidRDefault="007E2C59" w:rsidP="00FE7FCA">
      <w:r>
        <w:continuationSeparator/>
      </w:r>
    </w:p>
  </w:footnote>
  <w:footnote w:id="1">
    <w:p w14:paraId="1329BA8D" w14:textId="3F5A503B" w:rsidR="003C5FC6" w:rsidRDefault="003C5FC6" w:rsidP="00E23106">
      <w:pPr>
        <w:pStyle w:val="FootnoteText"/>
        <w:rPr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  <w:lang w:bidi="ar-SY"/>
        </w:rPr>
        <w:tab/>
        <w:t>الترشيحات مرتبة بحسب الترتيب الهجائي الفرنسي.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1CB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23D3A61C" w14:textId="77777777" w:rsidR="003915D1" w:rsidRDefault="003915D1"/>
  <w:p w14:paraId="09984017" w14:textId="77777777" w:rsidR="003915D1" w:rsidRDefault="003915D1"/>
  <w:p w14:paraId="1AD27502" w14:textId="77777777" w:rsidR="00D55D77" w:rsidRDefault="00D55D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25C" w14:textId="259F7CF2" w:rsidR="00D55D77" w:rsidRPr="003C5FC6" w:rsidRDefault="009F279B" w:rsidP="003C5FC6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</w:t>
    </w:r>
    <w:r w:rsidR="00F37276">
      <w:rPr>
        <w:rStyle w:val="PageNumber"/>
        <w:rFonts w:ascii="Calibri" w:hAnsi="Calibri"/>
      </w:rPr>
      <w:t>x-A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27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287B" w14:textId="77777777" w:rsidR="00E23106" w:rsidRPr="00E23106" w:rsidRDefault="00E23106" w:rsidP="00E23106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ascii="Calibri" w:eastAsia="Times New Roman" w:hAnsi="Calibri" w:cs="Times New Roman"/>
        <w:sz w:val="17"/>
        <w:szCs w:val="17"/>
        <w:lang w:bidi="ar-SA"/>
      </w:rPr>
    </w:pPr>
    <w:r w:rsidRPr="00E23106">
      <w:rPr>
        <w:rFonts w:ascii="Calibri" w:eastAsia="Times New Roman" w:hAnsi="Calibri" w:cs="Times New Roman"/>
        <w:sz w:val="17"/>
        <w:szCs w:val="17"/>
        <w:lang w:bidi="ar-SA"/>
      </w:rPr>
      <w:t>2</w:t>
    </w:r>
  </w:p>
  <w:p w14:paraId="10604175" w14:textId="180F845B" w:rsidR="00E23106" w:rsidRPr="00B10B0D" w:rsidRDefault="00E23106" w:rsidP="00E23106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  <w:r w:rsidRPr="00E23106">
      <w:rPr>
        <w:rFonts w:ascii="Calibri" w:eastAsia="Times New Roman" w:hAnsi="Calibri" w:cs="Times New Roman"/>
        <w:sz w:val="17"/>
        <w:szCs w:val="17"/>
        <w:lang w:bidi="ar-SA"/>
      </w:rPr>
      <w:t>PP22/</w:t>
    </w:r>
    <w:r w:rsidR="0097205C">
      <w:rPr>
        <w:rFonts w:ascii="Calibri" w:eastAsia="Times New Roman" w:hAnsi="Calibri" w:cs="Times New Roman"/>
        <w:sz w:val="17"/>
        <w:szCs w:val="17"/>
        <w:lang w:bidi="ar-SA"/>
      </w:rPr>
      <w:t>96</w:t>
    </w:r>
    <w:r w:rsidRPr="00E23106">
      <w:rPr>
        <w:rFonts w:ascii="Calibri" w:eastAsia="Times New Roman" w:hAnsi="Calibri" w:cs="Times New Roman"/>
        <w:sz w:val="17"/>
        <w:szCs w:val="17"/>
        <w:lang w:bidi="ar-SA"/>
      </w:rPr>
      <w:t>-</w:t>
    </w:r>
    <w:r>
      <w:rPr>
        <w:rFonts w:ascii="Calibri" w:eastAsia="Times New Roman" w:hAnsi="Calibri" w:cs="Times New Roman"/>
        <w:sz w:val="17"/>
        <w:szCs w:val="17"/>
        <w:lang w:bidi="ar-S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087985">
    <w:abstractNumId w:val="9"/>
  </w:num>
  <w:num w:numId="2" w16cid:durableId="578059314">
    <w:abstractNumId w:val="7"/>
  </w:num>
  <w:num w:numId="3" w16cid:durableId="248927636">
    <w:abstractNumId w:val="6"/>
  </w:num>
  <w:num w:numId="4" w16cid:durableId="203954646">
    <w:abstractNumId w:val="5"/>
  </w:num>
  <w:num w:numId="5" w16cid:durableId="267737654">
    <w:abstractNumId w:val="4"/>
  </w:num>
  <w:num w:numId="6" w16cid:durableId="1762677873">
    <w:abstractNumId w:val="8"/>
  </w:num>
  <w:num w:numId="7" w16cid:durableId="465898181">
    <w:abstractNumId w:val="3"/>
  </w:num>
  <w:num w:numId="8" w16cid:durableId="2052538589">
    <w:abstractNumId w:val="2"/>
  </w:num>
  <w:num w:numId="9" w16cid:durableId="1162699987">
    <w:abstractNumId w:val="1"/>
  </w:num>
  <w:num w:numId="10" w16cid:durableId="2111465722">
    <w:abstractNumId w:val="0"/>
  </w:num>
  <w:num w:numId="11" w16cid:durableId="602693143">
    <w:abstractNumId w:val="12"/>
  </w:num>
  <w:num w:numId="12" w16cid:durableId="1906838925">
    <w:abstractNumId w:val="10"/>
  </w:num>
  <w:num w:numId="13" w16cid:durableId="1835947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C63F9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87513"/>
    <w:rsid w:val="002A2EA3"/>
    <w:rsid w:val="002A4852"/>
    <w:rsid w:val="002A57E3"/>
    <w:rsid w:val="002B0CD9"/>
    <w:rsid w:val="002B201C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C5FC6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0C6F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57A7F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2B15"/>
    <w:rsid w:val="006422DC"/>
    <w:rsid w:val="006438BD"/>
    <w:rsid w:val="00645079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3BE4"/>
    <w:rsid w:val="006E57C8"/>
    <w:rsid w:val="006E79C9"/>
    <w:rsid w:val="006E7D9F"/>
    <w:rsid w:val="006F5BA2"/>
    <w:rsid w:val="006F74AF"/>
    <w:rsid w:val="007016D6"/>
    <w:rsid w:val="00702908"/>
    <w:rsid w:val="00704E42"/>
    <w:rsid w:val="00705CB0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DE9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1418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A4A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05C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29C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4F77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2C3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5D77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3106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37276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963"/>
    <w:rsid w:val="00F86FF8"/>
    <w:rsid w:val="00F90C7C"/>
    <w:rsid w:val="00F91F22"/>
    <w:rsid w:val="00F946E0"/>
    <w:rsid w:val="00F94814"/>
    <w:rsid w:val="00F94C52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84F9DFA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qFormat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qFormat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styleId="FollowedHyperlink">
    <w:name w:val="FollowedHyperlink"/>
    <w:basedOn w:val="DefaultParagraphFont"/>
    <w:semiHidden/>
    <w:unhideWhenUsed/>
    <w:rsid w:val="003C5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online/mm/scripts/mm.world?_languageid=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ée un document." ma:contentTypeScope="" ma:versionID="fd89f8fc4c66159b21ccf2da31f3f67b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4b9831ac403a2c882608b26a5d0aa6a9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C9B4-7C49-49F7-8BBA-EF26B567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7FA83-91D9-4710-8681-3B6365954C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2CE89-B9CD-499D-8604-DC1E1D1E92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23d8b4-15d9-487b-a77a-d7a7f82925c6"/>
    <ds:schemaRef ds:uri="http://purl.org/dc/terms/"/>
    <ds:schemaRef ds:uri="http://schemas.openxmlformats.org/package/2006/metadata/core-properties"/>
    <ds:schemaRef ds:uri="http://www.w3.org/XML/1998/namespace"/>
    <ds:schemaRef ds:uri="341ef080-d7f6-42a0-8428-894c998dd2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2538E0-66E9-4DE5-BC15-BC78C2B8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Candidatures from Member States for the elections to the ITU Council</vt:lpstr>
    </vt:vector>
  </TitlesOfParts>
  <Manager/>
  <Company>International Telecommunication Union (ITU)</Company>
  <LinksUpToDate>false</LinksUpToDate>
  <CharactersWithSpaces>1489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Candidatures from Member States for the elections to the ITU Council</dc:title>
  <dc:subject>Plenipotentiary Conference (PP-18)</dc:subject>
  <dc:creator>Manias, Michel</dc:creator>
  <cp:keywords>PP22, PP-22</cp:keywords>
  <dc:description/>
  <cp:lastModifiedBy>Arabic</cp:lastModifiedBy>
  <cp:revision>4</cp:revision>
  <dcterms:created xsi:type="dcterms:W3CDTF">2022-09-22T13:58:00Z</dcterms:created>
  <dcterms:modified xsi:type="dcterms:W3CDTF">2022-09-23T14:19:00Z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