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F0355" w14:paraId="53E2F3C9" w14:textId="77777777" w:rsidTr="00B64373">
        <w:trPr>
          <w:cantSplit/>
          <w:jc w:val="center"/>
        </w:trPr>
        <w:tc>
          <w:tcPr>
            <w:tcW w:w="6911" w:type="dxa"/>
          </w:tcPr>
          <w:p w14:paraId="1A0FEE8F" w14:textId="27F7A80E" w:rsidR="00255FA1" w:rsidRPr="006F0355" w:rsidRDefault="00255FA1" w:rsidP="00B64373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6F0355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6F0355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6F0355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6F0355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6F0355">
              <w:rPr>
                <w:b/>
                <w:bCs/>
                <w:szCs w:val="24"/>
              </w:rPr>
              <w:t>Bucarest</w:t>
            </w:r>
            <w:r w:rsidRPr="006F0355">
              <w:rPr>
                <w:rStyle w:val="PageNumber"/>
                <w:b/>
                <w:bCs/>
                <w:szCs w:val="24"/>
              </w:rPr>
              <w:t xml:space="preserve">, </w:t>
            </w:r>
            <w:r w:rsidRPr="006F0355">
              <w:rPr>
                <w:rStyle w:val="PageNumber"/>
                <w:b/>
                <w:szCs w:val="24"/>
              </w:rPr>
              <w:t>2</w:t>
            </w:r>
            <w:r w:rsidR="009D1BE0" w:rsidRPr="006F0355">
              <w:rPr>
                <w:rStyle w:val="PageNumber"/>
                <w:b/>
                <w:szCs w:val="24"/>
              </w:rPr>
              <w:t>6</w:t>
            </w:r>
            <w:r w:rsidRPr="006F0355">
              <w:rPr>
                <w:rStyle w:val="PageNumber"/>
                <w:b/>
                <w:szCs w:val="24"/>
              </w:rPr>
              <w:t xml:space="preserve"> de </w:t>
            </w:r>
            <w:r w:rsidR="009D1BE0" w:rsidRPr="006F0355">
              <w:rPr>
                <w:rStyle w:val="PageNumber"/>
                <w:b/>
                <w:szCs w:val="24"/>
              </w:rPr>
              <w:t>septiembre</w:t>
            </w:r>
            <w:r w:rsidRPr="006F0355">
              <w:rPr>
                <w:rStyle w:val="PageNumber"/>
                <w:b/>
                <w:szCs w:val="24"/>
              </w:rPr>
              <w:t xml:space="preserve"> </w:t>
            </w:r>
            <w:r w:rsidR="00491A25" w:rsidRPr="006F0355">
              <w:rPr>
                <w:rStyle w:val="PageNumber"/>
                <w:b/>
                <w:szCs w:val="24"/>
              </w:rPr>
              <w:t>–</w:t>
            </w:r>
            <w:r w:rsidRPr="006F0355">
              <w:rPr>
                <w:rStyle w:val="PageNumber"/>
                <w:b/>
                <w:szCs w:val="24"/>
              </w:rPr>
              <w:t xml:space="preserve"> </w:t>
            </w:r>
            <w:r w:rsidR="00C43474" w:rsidRPr="006F0355">
              <w:rPr>
                <w:rStyle w:val="PageNumber"/>
                <w:b/>
                <w:szCs w:val="24"/>
              </w:rPr>
              <w:t>1</w:t>
            </w:r>
            <w:r w:rsidR="009D1BE0" w:rsidRPr="006F0355">
              <w:rPr>
                <w:rStyle w:val="PageNumber"/>
                <w:b/>
                <w:szCs w:val="24"/>
              </w:rPr>
              <w:t>4</w:t>
            </w:r>
            <w:r w:rsidRPr="006F0355">
              <w:rPr>
                <w:rStyle w:val="PageNumber"/>
                <w:b/>
                <w:szCs w:val="24"/>
              </w:rPr>
              <w:t xml:space="preserve"> de </w:t>
            </w:r>
            <w:r w:rsidR="009D1BE0" w:rsidRPr="006F0355">
              <w:rPr>
                <w:rStyle w:val="PageNumber"/>
                <w:b/>
                <w:szCs w:val="24"/>
              </w:rPr>
              <w:t>octubre</w:t>
            </w:r>
            <w:r w:rsidRPr="006F0355">
              <w:rPr>
                <w:rStyle w:val="PageNumber"/>
                <w:b/>
                <w:szCs w:val="24"/>
              </w:rPr>
              <w:t xml:space="preserve"> de 2</w:t>
            </w:r>
            <w:r w:rsidR="009D1BE0" w:rsidRPr="006F0355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6F0355" w:rsidRDefault="009D1BE0" w:rsidP="00B64373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F0355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F0355" w14:paraId="7936D6CB" w14:textId="77777777" w:rsidTr="00B64373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6F0355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6F0355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6F0355" w14:paraId="420A698C" w14:textId="77777777" w:rsidTr="00B64373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6F0355" w:rsidRDefault="00255FA1" w:rsidP="00B64373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6F0355" w:rsidRDefault="00255FA1" w:rsidP="00B6437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6F0355" w14:paraId="6E5D99D3" w14:textId="77777777" w:rsidTr="00B64373">
        <w:trPr>
          <w:cantSplit/>
          <w:jc w:val="center"/>
        </w:trPr>
        <w:tc>
          <w:tcPr>
            <w:tcW w:w="6911" w:type="dxa"/>
          </w:tcPr>
          <w:p w14:paraId="248001A5" w14:textId="6D21E375" w:rsidR="00255FA1" w:rsidRPr="006F0355" w:rsidRDefault="009A443B" w:rsidP="00B6437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6F0355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5B7318E9" w:rsidR="00255FA1" w:rsidRPr="006F0355" w:rsidRDefault="009A443B" w:rsidP="00B64373">
            <w:pPr>
              <w:spacing w:before="0"/>
              <w:rPr>
                <w:rFonts w:cstheme="minorHAnsi"/>
                <w:szCs w:val="24"/>
              </w:rPr>
            </w:pPr>
            <w:r w:rsidRPr="006F0355">
              <w:rPr>
                <w:rFonts w:cstheme="minorHAnsi"/>
                <w:b/>
                <w:szCs w:val="24"/>
              </w:rPr>
              <w:t xml:space="preserve">Documento </w:t>
            </w:r>
            <w:r w:rsidR="00377199" w:rsidRPr="006F0355">
              <w:rPr>
                <w:rFonts w:cstheme="minorHAnsi"/>
                <w:b/>
                <w:szCs w:val="24"/>
              </w:rPr>
              <w:t>11</w:t>
            </w:r>
            <w:r w:rsidR="002C36E0" w:rsidRPr="006F0355">
              <w:rPr>
                <w:rFonts w:cstheme="minorHAnsi"/>
                <w:b/>
                <w:szCs w:val="24"/>
              </w:rPr>
              <w:t>5</w:t>
            </w:r>
            <w:r w:rsidRPr="006F0355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6F0355" w14:paraId="483D078B" w14:textId="77777777" w:rsidTr="00B64373">
        <w:trPr>
          <w:cantSplit/>
          <w:jc w:val="center"/>
        </w:trPr>
        <w:tc>
          <w:tcPr>
            <w:tcW w:w="6911" w:type="dxa"/>
          </w:tcPr>
          <w:p w14:paraId="17E32998" w14:textId="03E0A90A" w:rsidR="00255FA1" w:rsidRPr="006F0355" w:rsidRDefault="00255FA1" w:rsidP="00B643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307B008C" w:rsidR="00255FA1" w:rsidRPr="006F0355" w:rsidRDefault="00377199" w:rsidP="00B64373">
            <w:pPr>
              <w:spacing w:before="0"/>
              <w:rPr>
                <w:rFonts w:cstheme="minorHAnsi"/>
                <w:b/>
                <w:szCs w:val="24"/>
              </w:rPr>
            </w:pPr>
            <w:r w:rsidRPr="006F0355">
              <w:rPr>
                <w:rStyle w:val="PageNumber"/>
                <w:b/>
                <w:szCs w:val="24"/>
              </w:rPr>
              <w:t>30</w:t>
            </w:r>
            <w:r w:rsidR="009A443B" w:rsidRPr="006F0355">
              <w:rPr>
                <w:rStyle w:val="PageNumber"/>
                <w:b/>
                <w:szCs w:val="24"/>
              </w:rPr>
              <w:t xml:space="preserve"> de </w:t>
            </w:r>
            <w:r w:rsidRPr="006F0355">
              <w:rPr>
                <w:rStyle w:val="PageNumber"/>
                <w:b/>
                <w:szCs w:val="24"/>
              </w:rPr>
              <w:t>septiembre</w:t>
            </w:r>
            <w:r w:rsidR="009A443B" w:rsidRPr="006F0355">
              <w:rPr>
                <w:rStyle w:val="PageNumber"/>
                <w:b/>
                <w:szCs w:val="24"/>
              </w:rPr>
              <w:t xml:space="preserve"> </w:t>
            </w:r>
            <w:r w:rsidR="009A443B" w:rsidRPr="006F0355">
              <w:rPr>
                <w:rFonts w:cstheme="minorHAnsi"/>
                <w:b/>
                <w:szCs w:val="24"/>
              </w:rPr>
              <w:t>de 202</w:t>
            </w:r>
            <w:r w:rsidR="000458ED" w:rsidRPr="006F0355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6F0355" w14:paraId="7EE17784" w14:textId="77777777" w:rsidTr="00B64373">
        <w:trPr>
          <w:cantSplit/>
          <w:jc w:val="center"/>
        </w:trPr>
        <w:tc>
          <w:tcPr>
            <w:tcW w:w="6911" w:type="dxa"/>
          </w:tcPr>
          <w:p w14:paraId="68573EE1" w14:textId="77777777" w:rsidR="00255FA1" w:rsidRPr="006F0355" w:rsidRDefault="00255FA1" w:rsidP="00B643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3C72C0F4" w:rsidR="00255FA1" w:rsidRPr="006F0355" w:rsidRDefault="009A443B" w:rsidP="00B64373">
            <w:pPr>
              <w:spacing w:before="0"/>
              <w:rPr>
                <w:rFonts w:cstheme="minorHAnsi"/>
                <w:b/>
                <w:szCs w:val="24"/>
              </w:rPr>
            </w:pPr>
            <w:r w:rsidRPr="006F0355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6F0355" w14:paraId="3075E850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2AB3028F" w14:textId="77777777" w:rsidR="00255FA1" w:rsidRPr="006F0355" w:rsidRDefault="00255FA1" w:rsidP="00B64373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6F0355" w14:paraId="53FF73A6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1E0AA790" w14:textId="19CB07D9" w:rsidR="00526F21" w:rsidRPr="006F0355" w:rsidRDefault="00377199" w:rsidP="00526F21">
            <w:pPr>
              <w:pStyle w:val="Title1"/>
            </w:pPr>
            <w:bookmarkStart w:id="4" w:name="dsource" w:colFirst="0" w:colLast="0"/>
            <w:bookmarkEnd w:id="3"/>
            <w:r w:rsidRPr="006F0355">
              <w:t>ACTAS</w:t>
            </w:r>
          </w:p>
          <w:p w14:paraId="0F9471ED" w14:textId="4CE33D88" w:rsidR="00526F21" w:rsidRPr="006F0355" w:rsidRDefault="00377199" w:rsidP="00526F21">
            <w:pPr>
              <w:pStyle w:val="Title1"/>
            </w:pPr>
            <w:r w:rsidRPr="006F0355">
              <w:t>DE LA</w:t>
            </w:r>
          </w:p>
          <w:p w14:paraId="365E2007" w14:textId="4470BF71" w:rsidR="00255FA1" w:rsidRPr="006F0355" w:rsidRDefault="002C36E0" w:rsidP="00526F21">
            <w:pPr>
              <w:pStyle w:val="Title1"/>
            </w:pPr>
            <w:r w:rsidRPr="006F0355">
              <w:t>segunda</w:t>
            </w:r>
            <w:r w:rsidR="00377199" w:rsidRPr="006F0355">
              <w:t xml:space="preserve"> SESIÓN PLENARIA</w:t>
            </w:r>
          </w:p>
        </w:tc>
      </w:tr>
      <w:tr w:rsidR="00255FA1" w:rsidRPr="006F0355" w14:paraId="6C060127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0A048F9C" w14:textId="2AA9A5A6" w:rsidR="00255FA1" w:rsidRPr="006F0355" w:rsidRDefault="000458ED" w:rsidP="000458ED">
            <w:pPr>
              <w:pStyle w:val="Title1"/>
            </w:pPr>
            <w:bookmarkStart w:id="5" w:name="dtitle1" w:colFirst="0" w:colLast="0"/>
            <w:bookmarkEnd w:id="4"/>
            <w:r w:rsidRPr="006F0355">
              <w:rPr>
                <w:caps w:val="0"/>
              </w:rPr>
              <w:t xml:space="preserve">Martes 27 de septiembre de 2022 a las </w:t>
            </w:r>
            <w:r w:rsidR="002C36E0" w:rsidRPr="006F0355">
              <w:rPr>
                <w:caps w:val="0"/>
              </w:rPr>
              <w:t>09.40</w:t>
            </w:r>
            <w:r w:rsidRPr="006F0355">
              <w:rPr>
                <w:caps w:val="0"/>
              </w:rPr>
              <w:t xml:space="preserve"> horas</w:t>
            </w:r>
          </w:p>
        </w:tc>
      </w:tr>
      <w:tr w:rsidR="00255FA1" w:rsidRPr="006F0355" w14:paraId="3730209C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3D6718D3" w14:textId="7F3E0904" w:rsidR="00255FA1" w:rsidRPr="006F0355" w:rsidRDefault="00526F21" w:rsidP="00526F21">
            <w:pPr>
              <w:pStyle w:val="Title2"/>
            </w:pPr>
            <w:bookmarkStart w:id="6" w:name="dtitle2" w:colFirst="0" w:colLast="0"/>
            <w:bookmarkEnd w:id="5"/>
            <w:r w:rsidRPr="006F0355">
              <w:rPr>
                <w:b/>
                <w:bCs/>
                <w:caps w:val="0"/>
              </w:rPr>
              <w:t>Presidente</w:t>
            </w:r>
            <w:r w:rsidR="00377199" w:rsidRPr="006F0355">
              <w:t xml:space="preserve">: </w:t>
            </w:r>
            <w:r w:rsidRPr="006F0355">
              <w:rPr>
                <w:caps w:val="0"/>
              </w:rPr>
              <w:t>Sr. S</w:t>
            </w:r>
            <w:r w:rsidR="002C36E0" w:rsidRPr="006F0355">
              <w:rPr>
                <w:caps w:val="0"/>
              </w:rPr>
              <w:t>.</w:t>
            </w:r>
            <w:r w:rsidRPr="006F0355">
              <w:rPr>
                <w:caps w:val="0"/>
              </w:rPr>
              <w:t xml:space="preserve"> </w:t>
            </w:r>
            <w:r w:rsidR="002C36E0" w:rsidRPr="006F0355">
              <w:rPr>
                <w:caps w:val="0"/>
              </w:rPr>
              <w:t xml:space="preserve">SĂRMAȘ </w:t>
            </w:r>
            <w:r w:rsidRPr="006F0355">
              <w:rPr>
                <w:caps w:val="0"/>
              </w:rPr>
              <w:t>(Rumania)</w:t>
            </w:r>
          </w:p>
        </w:tc>
      </w:tr>
      <w:bookmarkEnd w:id="6"/>
    </w:tbl>
    <w:p w14:paraId="0F5A02F5" w14:textId="77777777" w:rsidR="00526F21" w:rsidRPr="006F0355" w:rsidRDefault="00526F21" w:rsidP="00930E84"/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526F21" w:rsidRPr="006F0355" w14:paraId="37ECB183" w14:textId="77777777" w:rsidTr="00526F21">
        <w:trPr>
          <w:jc w:val="center"/>
        </w:trPr>
        <w:tc>
          <w:tcPr>
            <w:tcW w:w="534" w:type="dxa"/>
          </w:tcPr>
          <w:p w14:paraId="6DAF10BA" w14:textId="77777777" w:rsidR="00526F21" w:rsidRPr="006F0355" w:rsidRDefault="00526F21" w:rsidP="00B835AA">
            <w:pPr>
              <w:tabs>
                <w:tab w:val="right" w:pos="9781"/>
              </w:tabs>
              <w:spacing w:before="100"/>
              <w:jc w:val="center"/>
              <w:rPr>
                <w:b/>
                <w:szCs w:val="24"/>
              </w:rPr>
            </w:pPr>
          </w:p>
        </w:tc>
        <w:tc>
          <w:tcPr>
            <w:tcW w:w="7164" w:type="dxa"/>
          </w:tcPr>
          <w:p w14:paraId="7021B0E5" w14:textId="77777777" w:rsidR="00526F21" w:rsidRPr="006F0355" w:rsidRDefault="00526F21" w:rsidP="00B835AA">
            <w:pPr>
              <w:pStyle w:val="Tablehead"/>
              <w:jc w:val="left"/>
              <w:rPr>
                <w:sz w:val="24"/>
                <w:szCs w:val="24"/>
              </w:rPr>
            </w:pPr>
            <w:r w:rsidRPr="006F0355">
              <w:rPr>
                <w:sz w:val="24"/>
                <w:szCs w:val="24"/>
              </w:rPr>
              <w:t>Asuntos tratados</w:t>
            </w:r>
          </w:p>
        </w:tc>
        <w:tc>
          <w:tcPr>
            <w:tcW w:w="2333" w:type="dxa"/>
          </w:tcPr>
          <w:p w14:paraId="578C2ECF" w14:textId="77777777" w:rsidR="00526F21" w:rsidRPr="006F0355" w:rsidRDefault="00526F21" w:rsidP="00B835AA">
            <w:pPr>
              <w:pStyle w:val="Tablehead"/>
              <w:rPr>
                <w:b w:val="0"/>
                <w:sz w:val="24"/>
                <w:szCs w:val="24"/>
              </w:rPr>
            </w:pPr>
            <w:r w:rsidRPr="006F0355">
              <w:rPr>
                <w:sz w:val="24"/>
                <w:szCs w:val="24"/>
              </w:rPr>
              <w:t>Documentos</w:t>
            </w:r>
          </w:p>
        </w:tc>
      </w:tr>
      <w:tr w:rsidR="00526F21" w:rsidRPr="006F0355" w14:paraId="6570B214" w14:textId="77777777" w:rsidTr="00526F21">
        <w:trPr>
          <w:jc w:val="center"/>
        </w:trPr>
        <w:tc>
          <w:tcPr>
            <w:tcW w:w="534" w:type="dxa"/>
          </w:tcPr>
          <w:p w14:paraId="0E62C12A" w14:textId="77777777" w:rsidR="00526F21" w:rsidRPr="006F0355" w:rsidRDefault="00526F21" w:rsidP="00B835AA">
            <w:pPr>
              <w:pStyle w:val="Tabletext"/>
              <w:jc w:val="center"/>
              <w:rPr>
                <w:sz w:val="24"/>
                <w:szCs w:val="24"/>
              </w:rPr>
            </w:pPr>
            <w:r w:rsidRPr="006F0355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14:paraId="7D99222D" w14:textId="77777777" w:rsidR="00526F21" w:rsidRPr="006F0355" w:rsidRDefault="00526F21" w:rsidP="00B835AA">
            <w:pPr>
              <w:pStyle w:val="Tabletext"/>
              <w:rPr>
                <w:sz w:val="24"/>
                <w:szCs w:val="24"/>
              </w:rPr>
            </w:pPr>
            <w:r w:rsidRPr="006F0355">
              <w:rPr>
                <w:sz w:val="24"/>
                <w:szCs w:val="24"/>
              </w:rPr>
              <w:t>Declaraciones de política general (continuación)</w:t>
            </w:r>
          </w:p>
        </w:tc>
        <w:tc>
          <w:tcPr>
            <w:tcW w:w="2333" w:type="dxa"/>
          </w:tcPr>
          <w:p w14:paraId="76C101D8" w14:textId="77777777" w:rsidR="00526F21" w:rsidRPr="006F0355" w:rsidRDefault="00526F21" w:rsidP="00B835AA">
            <w:pPr>
              <w:spacing w:before="80"/>
              <w:jc w:val="center"/>
              <w:rPr>
                <w:szCs w:val="24"/>
              </w:rPr>
            </w:pPr>
            <w:r w:rsidRPr="006F0355">
              <w:rPr>
                <w:szCs w:val="24"/>
              </w:rPr>
              <w:t>–</w:t>
            </w:r>
          </w:p>
        </w:tc>
      </w:tr>
    </w:tbl>
    <w:p w14:paraId="6F253AFE" w14:textId="0B302708" w:rsidR="00377199" w:rsidRPr="006F0355" w:rsidRDefault="00377199" w:rsidP="00930E84">
      <w:r w:rsidRPr="006F0355">
        <w:br w:type="page"/>
      </w:r>
    </w:p>
    <w:p w14:paraId="4D9BA580" w14:textId="102954FC" w:rsidR="00377199" w:rsidRPr="006F0355" w:rsidRDefault="00377199" w:rsidP="00377199">
      <w:pPr>
        <w:pStyle w:val="Heading1"/>
      </w:pPr>
      <w:r w:rsidRPr="006F0355">
        <w:lastRenderedPageBreak/>
        <w:t>1</w:t>
      </w:r>
      <w:r w:rsidRPr="006F0355">
        <w:tab/>
        <w:t>Declaraciones de política general (continuación)</w:t>
      </w:r>
    </w:p>
    <w:p w14:paraId="1CAE0C42" w14:textId="4F48BF40" w:rsidR="00377199" w:rsidRPr="006F0355" w:rsidRDefault="00377199" w:rsidP="00377199">
      <w:r w:rsidRPr="006F0355">
        <w:t>1.1</w:t>
      </w:r>
      <w:r w:rsidRPr="006F0355">
        <w:tab/>
        <w:t>Los siguientes oradores formulan sus declaraciones de política general:</w:t>
      </w:r>
    </w:p>
    <w:p w14:paraId="35990C40" w14:textId="40A32403" w:rsidR="002C36E0" w:rsidRPr="006F0355" w:rsidRDefault="00377199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>El Sr. Hristo ALEKSIEV, Vice</w:t>
      </w:r>
      <w:r w:rsidR="00381341">
        <w:rPr>
          <w:rFonts w:eastAsia="SimSun"/>
        </w:rPr>
        <w:t>p</w:t>
      </w:r>
      <w:r w:rsidR="002C36E0" w:rsidRPr="006F0355">
        <w:rPr>
          <w:rFonts w:eastAsia="SimSun"/>
        </w:rPr>
        <w:t xml:space="preserve">rimer Ministro de Políticas Económicas, Ministerio de Transporte y Comunicaciones (Bulgaria) (véase </w:t>
      </w:r>
      <w:hyperlink r:id="rId8" w:history="1">
        <w:r w:rsidR="006F0355" w:rsidRPr="006F0355">
          <w:rPr>
            <w:rStyle w:val="Hyperlink"/>
            <w:rFonts w:eastAsia="SimSun"/>
          </w:rPr>
          <w:t>https://pp22.itu.int/es/itu_policy_statements/hristo-aleksiev-bulgaria/</w:t>
        </w:r>
      </w:hyperlink>
      <w:r w:rsidR="002C36E0" w:rsidRPr="006F0355">
        <w:rPr>
          <w:rFonts w:eastAsia="SimSun"/>
        </w:rPr>
        <w:t>);</w:t>
      </w:r>
    </w:p>
    <w:p w14:paraId="4B77C42C" w14:textId="015FDAFB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Syed AMIN UL HAQUE, Ministro Federal, Ministerio de Tecnologías de la Información y Telecomunicaciones (Pakistán) (véase </w:t>
      </w:r>
      <w:hyperlink r:id="rId9" w:history="1">
        <w:r w:rsidRPr="006F0355">
          <w:rPr>
            <w:rStyle w:val="Hyperlink"/>
            <w:rFonts w:eastAsia="SimSun"/>
          </w:rPr>
          <w:t>https://pp22.itu.int/es/itu_policy_statements/syed-amin-ul-haque-pakistan/</w:t>
        </w:r>
      </w:hyperlink>
      <w:r w:rsidR="002C36E0" w:rsidRPr="006F0355">
        <w:rPr>
          <w:rFonts w:eastAsia="SimSun"/>
        </w:rPr>
        <w:t>);</w:t>
      </w:r>
    </w:p>
    <w:p w14:paraId="4CADAC6B" w14:textId="02B6920E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Johnny Gerard PLATE, Ministro, Ministerio de Comunicaciones e Informática (Indonesia) (véase </w:t>
      </w:r>
      <w:hyperlink r:id="rId10" w:history="1">
        <w:r w:rsidRPr="006F0355">
          <w:rPr>
            <w:rStyle w:val="Hyperlink"/>
            <w:rFonts w:eastAsia="SimSun"/>
          </w:rPr>
          <w:t>https://pp22.itu.int/es/itu_policy_statements/johnny-gerard-plate-indonesia/</w:t>
        </w:r>
      </w:hyperlink>
      <w:r w:rsidR="002C36E0" w:rsidRPr="006F0355">
        <w:rPr>
          <w:rFonts w:eastAsia="SimSun"/>
        </w:rPr>
        <w:t>);</w:t>
      </w:r>
    </w:p>
    <w:p w14:paraId="3DBC55F2" w14:textId="24605AFC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Amr TALAAT, Ministro, Ministerio de Comunicaciones y Tecnologías de la Información (Egipto) (véase </w:t>
      </w:r>
      <w:hyperlink r:id="rId11" w:history="1">
        <w:r w:rsidRPr="006F0355">
          <w:rPr>
            <w:rStyle w:val="Hyperlink"/>
            <w:rFonts w:eastAsia="SimSun"/>
          </w:rPr>
          <w:t>https://pp22.itu.in</w:t>
        </w:r>
        <w:r w:rsidRPr="006F0355">
          <w:rPr>
            <w:rStyle w:val="Hyperlink"/>
            <w:rFonts w:eastAsia="SimSun"/>
          </w:rPr>
          <w:t>t</w:t>
        </w:r>
        <w:r w:rsidRPr="006F0355">
          <w:rPr>
            <w:rStyle w:val="Hyperlink"/>
            <w:rFonts w:eastAsia="SimSun"/>
          </w:rPr>
          <w:t>/e</w:t>
        </w:r>
        <w:r w:rsidRPr="006F0355">
          <w:rPr>
            <w:rStyle w:val="Hyperlink"/>
            <w:rFonts w:eastAsia="SimSun"/>
          </w:rPr>
          <w:t>s</w:t>
        </w:r>
        <w:r w:rsidRPr="006F0355">
          <w:rPr>
            <w:rStyle w:val="Hyperlink"/>
            <w:rFonts w:eastAsia="SimSun"/>
          </w:rPr>
          <w:t>/</w:t>
        </w:r>
        <w:r w:rsidRPr="006F0355">
          <w:rPr>
            <w:rStyle w:val="Hyperlink"/>
            <w:rFonts w:eastAsia="SimSun"/>
          </w:rPr>
          <w:t>it</w:t>
        </w:r>
        <w:r w:rsidRPr="006F0355">
          <w:rPr>
            <w:rStyle w:val="Hyperlink"/>
            <w:rFonts w:eastAsia="SimSun"/>
          </w:rPr>
          <w:t>u</w:t>
        </w:r>
        <w:r w:rsidRPr="006F0355">
          <w:rPr>
            <w:rStyle w:val="Hyperlink"/>
            <w:rFonts w:eastAsia="SimSun"/>
          </w:rPr>
          <w:t>_policy_statements/amr-talaat-egypt/</w:t>
        </w:r>
      </w:hyperlink>
      <w:r w:rsidR="002C36E0" w:rsidRPr="006F0355">
        <w:rPr>
          <w:rFonts w:eastAsia="SimSun"/>
        </w:rPr>
        <w:t>);</w:t>
      </w:r>
    </w:p>
    <w:p w14:paraId="7D39ECEB" w14:textId="2E8D2352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Annuar MUSA, Ministro, Ministerio de Comunicaciones y Multimedios (Malasia) (véase </w:t>
      </w:r>
      <w:hyperlink r:id="rId12" w:history="1">
        <w:r w:rsidRPr="006F0355">
          <w:rPr>
            <w:rStyle w:val="Hyperlink"/>
            <w:rFonts w:eastAsia="SimSun"/>
          </w:rPr>
          <w:t>https://pp22.itu.int/es/itu_policy_statements/annuar-musa-malaysia/</w:t>
        </w:r>
      </w:hyperlink>
      <w:r w:rsidR="002C36E0" w:rsidRPr="006F0355">
        <w:rPr>
          <w:rFonts w:eastAsia="SimSun"/>
        </w:rPr>
        <w:t>);</w:t>
      </w:r>
    </w:p>
    <w:p w14:paraId="3242E291" w14:textId="7A704ED9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La Sra. Ursula OWUSU-EKUFUL, Ministra, Ministerio de Comunicaciones y Digitalización (Ghana) (véase </w:t>
      </w:r>
      <w:hyperlink r:id="rId13" w:history="1">
        <w:r w:rsidRPr="006F0355">
          <w:rPr>
            <w:rStyle w:val="Hyperlink"/>
            <w:rFonts w:eastAsia="SimSun"/>
          </w:rPr>
          <w:t>https://pp22.itu.int/es/itu_policy_statements/ursula-owusu-ekuful-ghana/</w:t>
        </w:r>
      </w:hyperlink>
      <w:r w:rsidR="002C36E0" w:rsidRPr="006F0355">
        <w:rPr>
          <w:rFonts w:eastAsia="SimSun"/>
        </w:rPr>
        <w:t>);</w:t>
      </w:r>
    </w:p>
    <w:p w14:paraId="4AFA9D6E" w14:textId="38B17ACB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Rashad NABIYEV, Ministro, Ministerio de Desarrollo Digital y Transporte (Azerbaiyán) (véase </w:t>
      </w:r>
      <w:hyperlink r:id="rId14" w:history="1">
        <w:r w:rsidRPr="006F0355">
          <w:rPr>
            <w:rStyle w:val="Hyperlink"/>
            <w:rFonts w:eastAsia="SimSun"/>
          </w:rPr>
          <w:t>https://pp22.itu.int/es/itu_policy_statements/rashad-nabiyev-azerbaijan/</w:t>
        </w:r>
      </w:hyperlink>
      <w:r w:rsidR="002C36E0" w:rsidRPr="006F0355">
        <w:rPr>
          <w:rFonts w:eastAsia="SimSun"/>
        </w:rPr>
        <w:t>);</w:t>
      </w:r>
    </w:p>
    <w:p w14:paraId="0B766D1D" w14:textId="1D029861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Yurii SHCHYHOL, Presidente, Servicio Estatal de Comunicaciones Especiales y Protección de la Información de Ucrania (Ucrania) (véase </w:t>
      </w:r>
      <w:hyperlink r:id="rId15" w:history="1">
        <w:r w:rsidRPr="006F0355">
          <w:rPr>
            <w:rStyle w:val="Hyperlink"/>
            <w:rFonts w:eastAsia="SimSun"/>
          </w:rPr>
          <w:t>https://pp22.itu.int/es/itu_policy_statements/yurii-shchyhol-ukraine/</w:t>
        </w:r>
      </w:hyperlink>
      <w:r w:rsidR="002C36E0" w:rsidRPr="006F0355">
        <w:rPr>
          <w:rFonts w:eastAsia="SimSun"/>
        </w:rPr>
        <w:t>);</w:t>
      </w:r>
    </w:p>
    <w:p w14:paraId="5944B771" w14:textId="39DDB69C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Mohamed Bin Thamir ALKAABI, Ministro, Ministerio de Transporte y Telecomunicaciones (Bahrein) (véase </w:t>
      </w:r>
      <w:hyperlink r:id="rId16" w:history="1">
        <w:r w:rsidRPr="006F0355">
          <w:rPr>
            <w:rStyle w:val="Hyperlink"/>
            <w:rFonts w:eastAsia="SimSun"/>
          </w:rPr>
          <w:t>https://pp22.itu.int/es/itu_policy_statements/mohamed-bin-thamir-alkaabi-bahrain/</w:t>
        </w:r>
      </w:hyperlink>
      <w:r w:rsidR="002C36E0" w:rsidRPr="006F0355">
        <w:rPr>
          <w:rFonts w:eastAsia="SimSun"/>
        </w:rPr>
        <w:t>);</w:t>
      </w:r>
    </w:p>
    <w:p w14:paraId="3C3E55F3" w14:textId="7FFB6538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Aristides Ocante DA SILVA, Ministro, Ministerio de Telecomunicaciones y Transporte (Guinea-Bissau) (véase </w:t>
      </w:r>
      <w:hyperlink r:id="rId17" w:history="1">
        <w:r w:rsidRPr="006F0355">
          <w:rPr>
            <w:rStyle w:val="Hyperlink"/>
            <w:rFonts w:eastAsia="SimSun"/>
          </w:rPr>
          <w:t>https://pp22.itu.int/es/itu_policy_statements/aristides-ocante-da-silva-guinea-bissau/</w:t>
        </w:r>
      </w:hyperlink>
      <w:r w:rsidR="002C36E0" w:rsidRPr="006F0355">
        <w:rPr>
          <w:rFonts w:eastAsia="SimSun"/>
        </w:rPr>
        <w:t>);</w:t>
      </w:r>
    </w:p>
    <w:p w14:paraId="3E741455" w14:textId="7F61FEE7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Devusinh CHAUHAN, Ministro de Estado, Ministerio de Comunicaciones (India) (véase </w:t>
      </w:r>
      <w:hyperlink r:id="rId18" w:history="1">
        <w:r w:rsidRPr="006F0355">
          <w:rPr>
            <w:rStyle w:val="Hyperlink"/>
            <w:rFonts w:eastAsia="SimSun"/>
          </w:rPr>
          <w:t>https://pp22.itu.int/es/itu_policy_statements/devusinh-chauhan-india/</w:t>
        </w:r>
      </w:hyperlink>
      <w:r w:rsidR="002C36E0" w:rsidRPr="006F0355">
        <w:rPr>
          <w:rFonts w:eastAsia="SimSun"/>
        </w:rPr>
        <w:t>);</w:t>
      </w:r>
    </w:p>
    <w:p w14:paraId="063CDE8B" w14:textId="0859910A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>El Sr. Roberto S</w:t>
      </w:r>
      <w:r w:rsidRPr="006F0355">
        <w:rPr>
          <w:rFonts w:eastAsia="SimSun"/>
        </w:rPr>
        <w:t>Á</w:t>
      </w:r>
      <w:r w:rsidR="002C36E0" w:rsidRPr="006F0355">
        <w:rPr>
          <w:rFonts w:eastAsia="SimSun"/>
        </w:rPr>
        <w:t xml:space="preserve">NCHEZ, Secretario de Estado, Ministerio de Asuntos Económicos y Transformación Digital (España) (véase </w:t>
      </w:r>
      <w:hyperlink r:id="rId19" w:history="1">
        <w:r w:rsidRPr="006F0355">
          <w:rPr>
            <w:rStyle w:val="Hyperlink"/>
            <w:rFonts w:eastAsia="SimSun"/>
          </w:rPr>
          <w:t>https://pp22.itu.int/es/itu_policy_statements/roberto-sanchez-spain/</w:t>
        </w:r>
      </w:hyperlink>
      <w:r w:rsidR="002C36E0" w:rsidRPr="006F0355">
        <w:rPr>
          <w:rFonts w:eastAsia="SimSun"/>
        </w:rPr>
        <w:t>);</w:t>
      </w:r>
    </w:p>
    <w:p w14:paraId="68322FEB" w14:textId="240FF4B6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Yunming ZHANG, Viceministro, Ministerio de Industria y Tecnologías de la Información (China) (véase </w:t>
      </w:r>
      <w:hyperlink r:id="rId20" w:history="1">
        <w:r w:rsidRPr="006F0355">
          <w:rPr>
            <w:rStyle w:val="Hyperlink"/>
            <w:rFonts w:eastAsia="SimSun"/>
          </w:rPr>
          <w:t>https://pp22.itu.int/es/itu_policy_statements/yunming-zhang-china/</w:t>
        </w:r>
      </w:hyperlink>
      <w:r w:rsidR="002C36E0" w:rsidRPr="006F0355">
        <w:rPr>
          <w:rFonts w:eastAsia="SimSun"/>
        </w:rPr>
        <w:t xml:space="preserve">), que afirma que su país mantendrá su contribución a la UIT en el nivel de 20 unidades contributivas y que también ha firmado un acuerdo con la Unión para impulsar una donación de 4 millones </w:t>
      </w:r>
      <w:r w:rsidR="00381341">
        <w:rPr>
          <w:rFonts w:eastAsia="SimSun"/>
        </w:rPr>
        <w:t>USD</w:t>
      </w:r>
      <w:r w:rsidR="002C36E0" w:rsidRPr="006F0355">
        <w:rPr>
          <w:rFonts w:eastAsia="SimSun"/>
        </w:rPr>
        <w:t xml:space="preserve"> destinada a proyectos de cooperación con el fin de ayudar a los países en desarrollo a mejorar sus capacidades en materia de TIC;</w:t>
      </w:r>
    </w:p>
    <w:p w14:paraId="686537C4" w14:textId="0EB1AF9C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Ömer Fatih SAYAN, Viceministro, Ministerio de Transporte e Infraestructura (Turquía) (véase </w:t>
      </w:r>
      <w:hyperlink r:id="rId21" w:history="1">
        <w:r w:rsidRPr="006F0355">
          <w:rPr>
            <w:rStyle w:val="Hyperlink"/>
            <w:rFonts w:eastAsia="SimSun"/>
          </w:rPr>
          <w:t>https://pp22.itu.int/es/itu_policy_statements/omer-fatih-sayan-turkiye/</w:t>
        </w:r>
      </w:hyperlink>
      <w:r w:rsidR="002C36E0" w:rsidRPr="006F0355">
        <w:rPr>
          <w:rFonts w:eastAsia="SimSun"/>
        </w:rPr>
        <w:t>);</w:t>
      </w:r>
    </w:p>
    <w:p w14:paraId="0E193B8A" w14:textId="5009565A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lastRenderedPageBreak/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Stelios HIMONAS, Viceministro, Ministerio de Investigación, Innovación y Política Digital (Chipre) (véase </w:t>
      </w:r>
      <w:hyperlink r:id="rId22" w:history="1">
        <w:r w:rsidRPr="006F0355">
          <w:rPr>
            <w:rStyle w:val="Hyperlink"/>
            <w:rFonts w:eastAsia="SimSun"/>
          </w:rPr>
          <w:t>https://pp22.itu.int/es/itu_policy_statements/stelios-himonas-cyprus/</w:t>
        </w:r>
      </w:hyperlink>
      <w:r w:rsidR="002C36E0" w:rsidRPr="006F0355">
        <w:rPr>
          <w:rFonts w:eastAsia="SimSun"/>
        </w:rPr>
        <w:t>);</w:t>
      </w:r>
    </w:p>
    <w:p w14:paraId="790DCEBB" w14:textId="3678818D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Phan TAM, Viceministro, Ministerio de Información y Comunicaciones (Viet Nam) (véase </w:t>
      </w:r>
      <w:hyperlink r:id="rId23" w:history="1">
        <w:r w:rsidRPr="006F0355">
          <w:rPr>
            <w:rStyle w:val="Hyperlink"/>
            <w:rFonts w:eastAsia="SimSun"/>
          </w:rPr>
          <w:t>https://pp22.itu.int/es/itu_policy_statements/phan-tam-vietnam/</w:t>
        </w:r>
      </w:hyperlink>
      <w:r w:rsidR="002C36E0" w:rsidRPr="006F0355">
        <w:rPr>
          <w:rFonts w:eastAsia="SimSun"/>
        </w:rPr>
        <w:t>);</w:t>
      </w:r>
    </w:p>
    <w:p w14:paraId="21C0E594" w14:textId="2B2B21EF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Won ki MIN, Embajador para la Ciencia y la Tecnología (República de Corea) (véase </w:t>
      </w:r>
      <w:hyperlink r:id="rId24" w:history="1">
        <w:r w:rsidRPr="006F0355">
          <w:rPr>
            <w:rStyle w:val="Hyperlink"/>
            <w:rFonts w:eastAsia="SimSun"/>
          </w:rPr>
          <w:t>https://pp22.itu.int/es/itu_policy_statements/won-ki-min-rep-of-korea/</w:t>
        </w:r>
      </w:hyperlink>
      <w:r w:rsidR="002C36E0" w:rsidRPr="006F0355">
        <w:rPr>
          <w:rFonts w:eastAsia="SimSun"/>
        </w:rPr>
        <w:t>);</w:t>
      </w:r>
    </w:p>
    <w:p w14:paraId="00342C2C" w14:textId="0C5AD3FB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Ishaq SIDER, Ministro, Ministerio de Telecomunicaciones y Tecnologías de la Información (Observador del Estado de Palestina) (véase </w:t>
      </w:r>
      <w:hyperlink r:id="rId25" w:history="1">
        <w:r w:rsidRPr="006F0355">
          <w:rPr>
            <w:rStyle w:val="Hyperlink"/>
            <w:rFonts w:eastAsia="SimSun"/>
          </w:rPr>
          <w:t>https://pp22.itu.int/es/itu_policy_statements/ishaq-sider-palestine/</w:t>
        </w:r>
      </w:hyperlink>
      <w:r w:rsidR="002C36E0" w:rsidRPr="006F0355">
        <w:rPr>
          <w:rFonts w:eastAsia="SimSun"/>
        </w:rPr>
        <w:t>);</w:t>
      </w:r>
    </w:p>
    <w:p w14:paraId="6C8F3972" w14:textId="74CC5A6A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Mark SCHAAN, Viceministro Adjunto Superior, Sector de Estrategia e Innovación (Canadá) (véase </w:t>
      </w:r>
      <w:hyperlink r:id="rId26" w:history="1">
        <w:r w:rsidRPr="006F0355">
          <w:rPr>
            <w:rStyle w:val="Hyperlink"/>
            <w:rFonts w:eastAsia="SimSun"/>
          </w:rPr>
          <w:t>https://pp22.itu.int/es/itu_policy_statements/mark-schaan-canada/</w:t>
        </w:r>
      </w:hyperlink>
      <w:r w:rsidR="002C36E0" w:rsidRPr="006F0355">
        <w:rPr>
          <w:rFonts w:eastAsia="SimSun"/>
        </w:rPr>
        <w:t>);</w:t>
      </w:r>
    </w:p>
    <w:p w14:paraId="4D9BC3B9" w14:textId="72C800DC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>El Sr. Pawel LEWANDOWSKI, Subsecretario de Estado, Canc</w:t>
      </w:r>
      <w:r w:rsidR="00381341">
        <w:rPr>
          <w:rFonts w:eastAsia="SimSun"/>
        </w:rPr>
        <w:t>i</w:t>
      </w:r>
      <w:r w:rsidR="002C36E0" w:rsidRPr="006F0355">
        <w:rPr>
          <w:rFonts w:eastAsia="SimSun"/>
        </w:rPr>
        <w:t xml:space="preserve">llería del Primer Ministro (Polonia), que dice que el valor del compromiso de su país con la iniciativa Partner2Connect ha aumentado desde junio de 2022, pasando de 1,4 millones </w:t>
      </w:r>
      <w:r w:rsidR="00381341">
        <w:rPr>
          <w:rFonts w:eastAsia="SimSun"/>
        </w:rPr>
        <w:t>USD</w:t>
      </w:r>
      <w:r w:rsidR="002C36E0" w:rsidRPr="006F0355">
        <w:rPr>
          <w:rFonts w:eastAsia="SimSun"/>
        </w:rPr>
        <w:t xml:space="preserve"> a 20,7 millones </w:t>
      </w:r>
      <w:r w:rsidR="00381341">
        <w:rPr>
          <w:rFonts w:eastAsia="SimSun"/>
        </w:rPr>
        <w:t>USD</w:t>
      </w:r>
      <w:r w:rsidR="002C36E0" w:rsidRPr="006F0355">
        <w:rPr>
          <w:rFonts w:eastAsia="SimSun"/>
        </w:rPr>
        <w:t xml:space="preserve"> (véase </w:t>
      </w:r>
      <w:hyperlink r:id="rId27" w:history="1">
        <w:r w:rsidRPr="006F0355">
          <w:rPr>
            <w:rStyle w:val="Hyperlink"/>
            <w:rFonts w:eastAsia="SimSun"/>
          </w:rPr>
          <w:t>https://pp22.itu.int/es/itu_policy_statements/pawel-lewandowski-poland/</w:t>
        </w:r>
      </w:hyperlink>
      <w:r w:rsidR="002C36E0" w:rsidRPr="006F0355">
        <w:rPr>
          <w:rFonts w:eastAsia="SimSun"/>
        </w:rPr>
        <w:t>);</w:t>
      </w:r>
    </w:p>
    <w:p w14:paraId="6BB07B6D" w14:textId="7B8F8064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Hussain SALATT, Director de Comunicaciones y Relaciones Internacionales, Ministerio de Comunicaciones y Tecnologías de la Información (Qatar) (véase </w:t>
      </w:r>
      <w:hyperlink r:id="rId28" w:history="1">
        <w:r w:rsidRPr="006F0355">
          <w:rPr>
            <w:rStyle w:val="Hyperlink"/>
            <w:rFonts w:eastAsia="SimSun"/>
          </w:rPr>
          <w:t>https://pp22.itu.int/es/itu_policy_statements/hussain-salatt-qatar/</w:t>
        </w:r>
      </w:hyperlink>
      <w:r w:rsidR="002C36E0" w:rsidRPr="006F0355">
        <w:rPr>
          <w:rFonts w:eastAsia="SimSun"/>
        </w:rPr>
        <w:t>);</w:t>
      </w:r>
    </w:p>
    <w:p w14:paraId="6C7C0206" w14:textId="7DDA96FA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Md. Daud ALI, Embajador, Embajada de Bangladesh en Bucarest (Bangladesh) (véase </w:t>
      </w:r>
      <w:hyperlink r:id="rId29" w:history="1">
        <w:r w:rsidRPr="006F0355">
          <w:rPr>
            <w:rStyle w:val="Hyperlink"/>
            <w:rFonts w:eastAsia="SimSun"/>
          </w:rPr>
          <w:t>https://pp22.itu.int/es/itu_policy_statements/md-daud-ali-bangaldesh/</w:t>
        </w:r>
      </w:hyperlink>
      <w:r w:rsidR="002C36E0" w:rsidRPr="006F0355">
        <w:rPr>
          <w:rFonts w:eastAsia="SimSun"/>
        </w:rPr>
        <w:t>);</w:t>
      </w:r>
    </w:p>
    <w:p w14:paraId="6C66A314" w14:textId="75652CC6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Tahina RAZAFINDRAMALO, Ministro, Ministerio de Desarrollo Digital, Transformación Digital, Correos y Telecomunicaciones (Madagascar) (véase </w:t>
      </w:r>
      <w:hyperlink r:id="rId30" w:history="1">
        <w:r w:rsidRPr="006F0355">
          <w:rPr>
            <w:rStyle w:val="Hyperlink"/>
            <w:rFonts w:eastAsia="SimSun"/>
          </w:rPr>
          <w:t>https://pp22.itu.int/es/itu_policy_statements/tahina-razafindramalo-madagascar/</w:t>
        </w:r>
      </w:hyperlink>
      <w:r w:rsidR="002C36E0" w:rsidRPr="006F0355">
        <w:rPr>
          <w:rFonts w:eastAsia="SimSun"/>
        </w:rPr>
        <w:t>);</w:t>
      </w:r>
    </w:p>
    <w:p w14:paraId="388B1CB2" w14:textId="172FAC0A" w:rsidR="002C36E0" w:rsidRPr="006F0355" w:rsidRDefault="006F0355" w:rsidP="002C36E0">
      <w:pPr>
        <w:pStyle w:val="enumlev1"/>
        <w:rPr>
          <w:rFonts w:eastAsia="SimSun"/>
        </w:rPr>
      </w:pPr>
      <w:r w:rsidRPr="006F0355">
        <w:rPr>
          <w:rFonts w:eastAsia="SimSun"/>
        </w:rPr>
        <w:t>–</w:t>
      </w:r>
      <w:r w:rsidRPr="006F0355">
        <w:rPr>
          <w:rFonts w:eastAsia="SimSun"/>
        </w:rPr>
        <w:tab/>
      </w:r>
      <w:r w:rsidR="002C36E0" w:rsidRPr="006F0355">
        <w:rPr>
          <w:rFonts w:eastAsia="SimSun"/>
        </w:rPr>
        <w:t xml:space="preserve">El Sr. Kwame MCCOY, Ministro, Gabinete del Primer Ministro (Guyana) (véase </w:t>
      </w:r>
      <w:hyperlink r:id="rId31" w:history="1">
        <w:r w:rsidRPr="006F0355">
          <w:rPr>
            <w:rStyle w:val="Hyperlink"/>
            <w:rFonts w:eastAsia="SimSun"/>
          </w:rPr>
          <w:t>https://pp22.itu.int/es/itu_policy_statements/kwame-mccoy-guyana/</w:t>
        </w:r>
      </w:hyperlink>
      <w:r w:rsidR="002C36E0" w:rsidRPr="006F0355">
        <w:rPr>
          <w:rFonts w:eastAsia="SimSun"/>
        </w:rPr>
        <w:t>).</w:t>
      </w:r>
    </w:p>
    <w:p w14:paraId="5DA55BFA" w14:textId="01BFCD31" w:rsidR="00D00CC9" w:rsidRPr="006F0355" w:rsidRDefault="00D00CC9" w:rsidP="00D00CC9">
      <w:pPr>
        <w:rPr>
          <w:b/>
          <w:bCs/>
        </w:rPr>
      </w:pPr>
      <w:r w:rsidRPr="006F0355">
        <w:rPr>
          <w:b/>
          <w:bCs/>
        </w:rPr>
        <w:t>Se levanta la sesión a las 1</w:t>
      </w:r>
      <w:r w:rsidR="006F0355" w:rsidRPr="006F0355">
        <w:rPr>
          <w:b/>
          <w:bCs/>
        </w:rPr>
        <w:t>2.30</w:t>
      </w:r>
      <w:r w:rsidRPr="006F0355">
        <w:rPr>
          <w:b/>
          <w:bCs/>
        </w:rPr>
        <w:t xml:space="preserve"> horas.</w:t>
      </w:r>
    </w:p>
    <w:p w14:paraId="644B03E3" w14:textId="6FDAFBD7" w:rsidR="00D00CC9" w:rsidRPr="006F0355" w:rsidRDefault="00D00CC9" w:rsidP="000458ED">
      <w:pPr>
        <w:tabs>
          <w:tab w:val="clear" w:pos="2268"/>
          <w:tab w:val="clear" w:pos="2835"/>
          <w:tab w:val="left" w:pos="8080"/>
        </w:tabs>
        <w:spacing w:before="600"/>
      </w:pPr>
      <w:r w:rsidRPr="006F0355">
        <w:t>El Secretario General:</w:t>
      </w:r>
      <w:r w:rsidRPr="006F0355">
        <w:tab/>
        <w:t>El Presidente:</w:t>
      </w:r>
    </w:p>
    <w:p w14:paraId="3EFC61C3" w14:textId="09CDDA15" w:rsidR="00D00CC9" w:rsidRPr="006F0355" w:rsidRDefault="00D00CC9" w:rsidP="006F03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080"/>
        </w:tabs>
        <w:spacing w:before="0" w:after="120"/>
      </w:pPr>
      <w:r w:rsidRPr="006F0355">
        <w:t>H. ZHAO</w:t>
      </w:r>
      <w:r w:rsidRPr="006F0355">
        <w:tab/>
        <w:t>S. SĂRMAŞ</w:t>
      </w:r>
    </w:p>
    <w:sectPr w:rsidR="00D00CC9" w:rsidRPr="006F0355" w:rsidSect="00A70E95">
      <w:headerReference w:type="default" r:id="rId32"/>
      <w:footerReference w:type="default" r:id="rId33"/>
      <w:footerReference w:type="first" r:id="rId3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5275" w14:textId="604E1567" w:rsidR="00C2137E" w:rsidRDefault="00381341" w:rsidP="00C2137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P:\ESP\SG\CONF-SG\PP22\100\115S.docx</w:t>
    </w:r>
    <w:r>
      <w:fldChar w:fldCharType="end"/>
    </w:r>
    <w:r w:rsidR="00C2137E">
      <w:t xml:space="preserve"> (</w:t>
    </w:r>
    <w:r w:rsidR="00C2137E" w:rsidRPr="00C2137E">
      <w:t>51344</w:t>
    </w:r>
    <w:r w:rsidR="006F0355">
      <w:t>6</w:t>
    </w:r>
    <w:r w:rsidR="00C2137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0C58972B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64373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B64373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2174F815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377199">
      <w:t>11</w:t>
    </w:r>
    <w:r w:rsidR="006F0355">
      <w:t>5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458ED"/>
    <w:rsid w:val="000507CA"/>
    <w:rsid w:val="000863AB"/>
    <w:rsid w:val="000A1523"/>
    <w:rsid w:val="000B1752"/>
    <w:rsid w:val="0010546D"/>
    <w:rsid w:val="00116FEE"/>
    <w:rsid w:val="00135F93"/>
    <w:rsid w:val="001632E3"/>
    <w:rsid w:val="0019683D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36E0"/>
    <w:rsid w:val="002C6527"/>
    <w:rsid w:val="002E44FC"/>
    <w:rsid w:val="003707E5"/>
    <w:rsid w:val="00372AFF"/>
    <w:rsid w:val="00375610"/>
    <w:rsid w:val="00377199"/>
    <w:rsid w:val="00381341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26F21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67C63"/>
    <w:rsid w:val="006B5512"/>
    <w:rsid w:val="006C190D"/>
    <w:rsid w:val="006F0355"/>
    <w:rsid w:val="00720686"/>
    <w:rsid w:val="00737EFF"/>
    <w:rsid w:val="00750806"/>
    <w:rsid w:val="007875D2"/>
    <w:rsid w:val="007D61E2"/>
    <w:rsid w:val="007D7403"/>
    <w:rsid w:val="007F6EBC"/>
    <w:rsid w:val="00882773"/>
    <w:rsid w:val="008B4706"/>
    <w:rsid w:val="008B6467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F0EA7"/>
    <w:rsid w:val="00A70E95"/>
    <w:rsid w:val="00AA1F73"/>
    <w:rsid w:val="00AB34CA"/>
    <w:rsid w:val="00AD400E"/>
    <w:rsid w:val="00AF0DC5"/>
    <w:rsid w:val="00B012B7"/>
    <w:rsid w:val="00B30C52"/>
    <w:rsid w:val="00B501AB"/>
    <w:rsid w:val="00B64373"/>
    <w:rsid w:val="00B73978"/>
    <w:rsid w:val="00B77C4D"/>
    <w:rsid w:val="00BB13FE"/>
    <w:rsid w:val="00BC7B45"/>
    <w:rsid w:val="00BC7EE2"/>
    <w:rsid w:val="00BE6797"/>
    <w:rsid w:val="00BF5475"/>
    <w:rsid w:val="00C20ED7"/>
    <w:rsid w:val="00C2137E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CF4156"/>
    <w:rsid w:val="00D00CC9"/>
    <w:rsid w:val="00D05AAE"/>
    <w:rsid w:val="00D05E6B"/>
    <w:rsid w:val="00D108B6"/>
    <w:rsid w:val="00D254A6"/>
    <w:rsid w:val="00D279CA"/>
    <w:rsid w:val="00D42001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CommentText">
    <w:name w:val="annotation text"/>
    <w:basedOn w:val="Normal"/>
    <w:link w:val="CommentTextChar"/>
    <w:semiHidden/>
    <w:unhideWhenUsed/>
    <w:rsid w:val="003771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7199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19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199"/>
    <w:rPr>
      <w:rFonts w:ascii="Calibri" w:hAnsi="Calibr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771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s/itu_policy_statements/ursula-owusu-ekuful-ghana/" TargetMode="External"/><Relationship Id="rId18" Type="http://schemas.openxmlformats.org/officeDocument/2006/relationships/hyperlink" Target="https://pp22.itu.int/es/itu_policy_statements/devusinh-chauhan-india/" TargetMode="External"/><Relationship Id="rId26" Type="http://schemas.openxmlformats.org/officeDocument/2006/relationships/hyperlink" Target="https://pp22.itu.int/es/itu_policy_statements/mark-schaan-cana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22.itu.int/es/itu_policy_statements/omer-fatih-sayan-turkiye/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pp22.itu.int/es/itu_policy_statements/annuar-musa-malaysia/" TargetMode="External"/><Relationship Id="rId17" Type="http://schemas.openxmlformats.org/officeDocument/2006/relationships/hyperlink" Target="https://pp22.itu.int/es/itu_policy_statements/aristides-ocante-da-silva-guinea-bissau/" TargetMode="External"/><Relationship Id="rId25" Type="http://schemas.openxmlformats.org/officeDocument/2006/relationships/hyperlink" Target="https://pp22.itu.int/es/itu_policy_statements/ishaq-sider-palestine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p22.itu.int/es/itu_policy_statements/mohamed-bin-thamir-alkaabi-bahrain/" TargetMode="External"/><Relationship Id="rId20" Type="http://schemas.openxmlformats.org/officeDocument/2006/relationships/hyperlink" Target="https://pp22.itu.int/es/itu_policy_statements/yunming-zhang-china/" TargetMode="External"/><Relationship Id="rId29" Type="http://schemas.openxmlformats.org/officeDocument/2006/relationships/hyperlink" Target="https://pp22.itu.int/es/itu_policy_statements/md-daud-ali-bangaldesh/" TargetMode="Externa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pp22.itu.int/es/itu_policy_statements/amr-talaat-egypt/" TargetMode="External"/><Relationship Id="rId24" Type="http://schemas.openxmlformats.org/officeDocument/2006/relationships/hyperlink" Target="https://pp22.itu.int/es/itu_policy_statements/won-ki-min-rep-of-korea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p22.itu.int/es/itu_policy_statements/yurii-shchyhol-ukraine/" TargetMode="External"/><Relationship Id="rId23" Type="http://schemas.openxmlformats.org/officeDocument/2006/relationships/hyperlink" Target="https://pp22.itu.int/es/itu_policy_statements/phan-tam-vietnam/" TargetMode="External"/><Relationship Id="rId28" Type="http://schemas.openxmlformats.org/officeDocument/2006/relationships/hyperlink" Target="https://pp22.itu.int/es/itu_policy_statements/hussain-salatt-qata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p22.itu.int/es/itu_policy_statements/johnny-gerard-plate-indonesia/" TargetMode="External"/><Relationship Id="rId19" Type="http://schemas.openxmlformats.org/officeDocument/2006/relationships/hyperlink" Target="https://pp22.itu.int/es/itu_policy_statements/roberto-sanchez-spain/" TargetMode="External"/><Relationship Id="rId31" Type="http://schemas.openxmlformats.org/officeDocument/2006/relationships/hyperlink" Target="https://pp22.itu.int/es/itu_policy_statements/kwame-mccoy-guya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22.itu.int/es/itu_policy_statements/syed-amin-ul-haque-pakistan/" TargetMode="External"/><Relationship Id="rId14" Type="http://schemas.openxmlformats.org/officeDocument/2006/relationships/hyperlink" Target="https://pp22.itu.int/es/itu_policy_statements/rashad-nabiyev-azerbaijan/" TargetMode="External"/><Relationship Id="rId22" Type="http://schemas.openxmlformats.org/officeDocument/2006/relationships/hyperlink" Target="https://pp22.itu.int/es/itu_policy_statements/stelios-himonas-cyprus/" TargetMode="External"/><Relationship Id="rId27" Type="http://schemas.openxmlformats.org/officeDocument/2006/relationships/hyperlink" Target="https://pp22.itu.int/es/itu_policy_statements/pawel-lewandowski-poland/" TargetMode="External"/><Relationship Id="rId30" Type="http://schemas.openxmlformats.org/officeDocument/2006/relationships/hyperlink" Target="https://pp22.itu.int/es/itu_policy_statements/tahina-razafindramalo-madagascar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p22.itu.int/es/itu_policy_statements/hristo-aleksiev-bulgari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550</Words>
  <Characters>7069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7604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Spanish</cp:lastModifiedBy>
  <cp:revision>3</cp:revision>
  <cp:lastPrinted>2022-10-06T22:08:00Z</cp:lastPrinted>
  <dcterms:created xsi:type="dcterms:W3CDTF">2022-10-06T21:52:00Z</dcterms:created>
  <dcterms:modified xsi:type="dcterms:W3CDTF">2022-10-06T22:27:00Z</dcterms:modified>
  <cp:category>Conference document</cp:category>
</cp:coreProperties>
</file>