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172117" w14:paraId="4484B0C5" w14:textId="77777777" w:rsidTr="006359EF">
        <w:trPr>
          <w:cantSplit/>
          <w:jc w:val="center"/>
        </w:trPr>
        <w:tc>
          <w:tcPr>
            <w:tcW w:w="6911" w:type="dxa"/>
          </w:tcPr>
          <w:p w14:paraId="706F5501" w14:textId="3E73A757" w:rsidR="00BD1614" w:rsidRPr="00172117" w:rsidRDefault="00BD1614" w:rsidP="00926E3F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172117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172117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172117">
              <w:rPr>
                <w:b/>
                <w:smallCaps/>
                <w:sz w:val="30"/>
                <w:szCs w:val="30"/>
              </w:rPr>
              <w:t>22</w:t>
            </w:r>
            <w:r w:rsidRPr="00172117">
              <w:rPr>
                <w:b/>
                <w:smallCaps/>
                <w:sz w:val="30"/>
                <w:szCs w:val="30"/>
              </w:rPr>
              <w:t>)</w:t>
            </w:r>
            <w:r w:rsidRPr="00172117">
              <w:rPr>
                <w:b/>
                <w:smallCaps/>
                <w:sz w:val="36"/>
              </w:rPr>
              <w:br/>
            </w:r>
            <w:r w:rsidR="002A7A1D" w:rsidRPr="00172117">
              <w:rPr>
                <w:rFonts w:cs="Times New Roman Bold"/>
                <w:b/>
                <w:bCs/>
                <w:szCs w:val="24"/>
              </w:rPr>
              <w:t>Bucarest</w:t>
            </w:r>
            <w:r w:rsidRPr="00172117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172117">
              <w:rPr>
                <w:rFonts w:cs="Times New Roman Bold"/>
                <w:b/>
                <w:bCs/>
                <w:szCs w:val="24"/>
              </w:rPr>
              <w:t>6</w:t>
            </w:r>
            <w:r w:rsidRPr="00172117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172117">
              <w:rPr>
                <w:rFonts w:cs="Times New Roman Bold"/>
                <w:b/>
                <w:bCs/>
                <w:szCs w:val="24"/>
              </w:rPr>
              <w:t>septembre</w:t>
            </w:r>
            <w:r w:rsidRPr="00172117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172117">
              <w:rPr>
                <w:rFonts w:cs="Times New Roman Bold"/>
                <w:b/>
                <w:bCs/>
                <w:szCs w:val="24"/>
              </w:rPr>
              <w:t>–</w:t>
            </w:r>
            <w:r w:rsidRPr="00172117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172117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172117">
              <w:rPr>
                <w:rFonts w:cs="Times New Roman Bold"/>
                <w:b/>
                <w:bCs/>
                <w:szCs w:val="24"/>
              </w:rPr>
              <w:t>4</w:t>
            </w:r>
            <w:r w:rsidRPr="00172117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172117">
              <w:rPr>
                <w:rFonts w:cs="Times New Roman Bold"/>
                <w:b/>
                <w:bCs/>
                <w:szCs w:val="24"/>
              </w:rPr>
              <w:t>octobre</w:t>
            </w:r>
            <w:r w:rsidRPr="00172117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172117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172117" w:rsidRDefault="002A7A1D" w:rsidP="00926E3F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172117">
              <w:rPr>
                <w:noProof/>
                <w:lang w:val="en-US"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172117" w14:paraId="3120A8D9" w14:textId="77777777" w:rsidTr="006359EF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172117" w:rsidRDefault="00BD1614" w:rsidP="00926E3F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172117" w:rsidRDefault="00BD1614" w:rsidP="00926E3F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172117" w14:paraId="20A2296F" w14:textId="77777777" w:rsidTr="006359EF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172117" w:rsidRDefault="00BD1614" w:rsidP="00926E3F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172117" w:rsidRDefault="00BD1614" w:rsidP="00926E3F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172117" w14:paraId="5EBA9561" w14:textId="77777777" w:rsidTr="006359EF">
        <w:trPr>
          <w:cantSplit/>
          <w:jc w:val="center"/>
        </w:trPr>
        <w:tc>
          <w:tcPr>
            <w:tcW w:w="6911" w:type="dxa"/>
          </w:tcPr>
          <w:p w14:paraId="081C5B53" w14:textId="5ADEACCC" w:rsidR="00BD1614" w:rsidRPr="00172117" w:rsidRDefault="00420EF8" w:rsidP="00926E3F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172117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E82404" w14:textId="7796DFF6" w:rsidR="00BD1614" w:rsidRPr="00172117" w:rsidRDefault="00420EF8" w:rsidP="00926E3F">
            <w:pPr>
              <w:spacing w:before="0"/>
              <w:rPr>
                <w:rFonts w:cstheme="minorHAnsi"/>
                <w:szCs w:val="24"/>
              </w:rPr>
            </w:pPr>
            <w:r w:rsidRPr="00172117">
              <w:rPr>
                <w:rFonts w:cstheme="minorHAnsi"/>
                <w:b/>
                <w:szCs w:val="24"/>
              </w:rPr>
              <w:t xml:space="preserve">Document </w:t>
            </w:r>
            <w:r w:rsidR="00AA54DA" w:rsidRPr="00172117">
              <w:rPr>
                <w:rFonts w:cstheme="minorHAnsi"/>
                <w:b/>
                <w:szCs w:val="24"/>
              </w:rPr>
              <w:t>139</w:t>
            </w:r>
            <w:r w:rsidRPr="00172117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172117" w14:paraId="5C605E2F" w14:textId="77777777" w:rsidTr="006359EF">
        <w:trPr>
          <w:cantSplit/>
          <w:jc w:val="center"/>
        </w:trPr>
        <w:tc>
          <w:tcPr>
            <w:tcW w:w="6911" w:type="dxa"/>
          </w:tcPr>
          <w:p w14:paraId="3701819B" w14:textId="20A8E30E" w:rsidR="00BD1614" w:rsidRPr="00172117" w:rsidRDefault="00BD1614" w:rsidP="00926E3F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FD5E934" w14:textId="5DF70B3D" w:rsidR="00BD1614" w:rsidRPr="00172117" w:rsidRDefault="00AA54DA" w:rsidP="00926E3F">
            <w:pPr>
              <w:spacing w:before="0"/>
              <w:rPr>
                <w:rFonts w:cstheme="minorHAnsi"/>
                <w:b/>
                <w:szCs w:val="24"/>
              </w:rPr>
            </w:pPr>
            <w:r w:rsidRPr="00172117">
              <w:rPr>
                <w:rFonts w:cstheme="minorHAnsi"/>
                <w:b/>
                <w:szCs w:val="24"/>
              </w:rPr>
              <w:t>30 septembre 2022</w:t>
            </w:r>
          </w:p>
        </w:tc>
      </w:tr>
      <w:tr w:rsidR="00BD1614" w:rsidRPr="00172117" w14:paraId="6B2B4BC1" w14:textId="77777777" w:rsidTr="006359EF">
        <w:trPr>
          <w:cantSplit/>
          <w:jc w:val="center"/>
        </w:trPr>
        <w:tc>
          <w:tcPr>
            <w:tcW w:w="6911" w:type="dxa"/>
          </w:tcPr>
          <w:p w14:paraId="780A194C" w14:textId="77777777" w:rsidR="00BD1614" w:rsidRPr="00172117" w:rsidRDefault="00BD1614" w:rsidP="00926E3F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796BDA" w14:textId="3D9C6896" w:rsidR="00BD1614" w:rsidRPr="00172117" w:rsidRDefault="00420EF8" w:rsidP="00926E3F">
            <w:pPr>
              <w:spacing w:before="0"/>
              <w:rPr>
                <w:rFonts w:cstheme="minorHAnsi"/>
                <w:b/>
                <w:szCs w:val="24"/>
              </w:rPr>
            </w:pPr>
            <w:r w:rsidRPr="00172117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172117" w14:paraId="4259B88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770628D7" w14:textId="77777777" w:rsidR="00BD1614" w:rsidRPr="00172117" w:rsidRDefault="00BD1614" w:rsidP="00926E3F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AA54DA" w:rsidRPr="00172117" w14:paraId="6A9FB92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36678D73" w14:textId="77777777" w:rsidR="00671D5C" w:rsidRDefault="00AA54DA" w:rsidP="00671D5C">
            <w:pPr>
              <w:pStyle w:val="Title1"/>
            </w:pPr>
            <w:bookmarkStart w:id="4" w:name="dsource" w:colFirst="0" w:colLast="0"/>
            <w:bookmarkEnd w:id="3"/>
            <w:r w:rsidRPr="00172117">
              <w:t>PROCÈS-VERBAL</w:t>
            </w:r>
          </w:p>
          <w:p w14:paraId="7EDF578A" w14:textId="77777777" w:rsidR="00671D5C" w:rsidRDefault="00AA54DA" w:rsidP="00671D5C">
            <w:pPr>
              <w:pStyle w:val="Title1"/>
            </w:pPr>
            <w:r w:rsidRPr="00172117">
              <w:t>DE LA</w:t>
            </w:r>
          </w:p>
          <w:p w14:paraId="070875E6" w14:textId="4A0D64C3" w:rsidR="00AA54DA" w:rsidRPr="00172117" w:rsidRDefault="00172117" w:rsidP="00671D5C">
            <w:pPr>
              <w:pStyle w:val="Title1"/>
            </w:pPr>
            <w:bookmarkStart w:id="5" w:name="_GoBack"/>
            <w:bookmarkEnd w:id="5"/>
            <w:r w:rsidRPr="00172117">
              <w:t>SIXIÈME</w:t>
            </w:r>
            <w:r w:rsidR="00AA54DA" w:rsidRPr="00172117">
              <w:t xml:space="preserve"> SÉANCE PLÉNIÈRE</w:t>
            </w:r>
          </w:p>
        </w:tc>
      </w:tr>
      <w:tr w:rsidR="00AA54DA" w:rsidRPr="00172117" w14:paraId="534EEA05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0C8E89F3" w14:textId="67B8C89E" w:rsidR="00AA54DA" w:rsidRPr="00E33D82" w:rsidRDefault="00AA54DA" w:rsidP="00926E3F">
            <w:pPr>
              <w:pStyle w:val="Title1"/>
              <w:rPr>
                <w:szCs w:val="28"/>
              </w:rPr>
            </w:pPr>
            <w:bookmarkStart w:id="6" w:name="dtitle1" w:colFirst="0" w:colLast="0"/>
            <w:bookmarkEnd w:id="4"/>
            <w:r w:rsidRPr="00E33D82">
              <w:rPr>
                <w:szCs w:val="28"/>
              </w:rPr>
              <w:t>J</w:t>
            </w:r>
            <w:r w:rsidRPr="00E33D82">
              <w:rPr>
                <w:caps w:val="0"/>
                <w:szCs w:val="28"/>
              </w:rPr>
              <w:t>eudi 29 septembre 2022 à 9 h 30</w:t>
            </w:r>
          </w:p>
        </w:tc>
      </w:tr>
      <w:tr w:rsidR="00AA54DA" w:rsidRPr="00172117" w14:paraId="37DA32CE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1574AB3E" w14:textId="1871403D" w:rsidR="00AA54DA" w:rsidRPr="00926E3F" w:rsidRDefault="00AA54DA" w:rsidP="00926E3F">
            <w:pPr>
              <w:pStyle w:val="Title2"/>
              <w:rPr>
                <w:sz w:val="24"/>
                <w:szCs w:val="24"/>
              </w:rPr>
            </w:pPr>
            <w:bookmarkStart w:id="7" w:name="dtitle2" w:colFirst="0" w:colLast="0"/>
            <w:bookmarkEnd w:id="6"/>
            <w:r w:rsidRPr="00926E3F">
              <w:rPr>
                <w:b/>
                <w:bCs/>
                <w:sz w:val="24"/>
                <w:szCs w:val="24"/>
              </w:rPr>
              <w:t>P</w:t>
            </w:r>
            <w:r w:rsidRPr="00926E3F">
              <w:rPr>
                <w:b/>
                <w:bCs/>
                <w:caps w:val="0"/>
                <w:sz w:val="24"/>
                <w:szCs w:val="24"/>
              </w:rPr>
              <w:t>résident</w:t>
            </w:r>
            <w:r w:rsidRPr="00926E3F">
              <w:rPr>
                <w:sz w:val="24"/>
                <w:szCs w:val="24"/>
              </w:rPr>
              <w:t>: M</w:t>
            </w:r>
            <w:r w:rsidR="00172117" w:rsidRPr="00926E3F">
              <w:rPr>
                <w:caps w:val="0"/>
                <w:sz w:val="24"/>
                <w:szCs w:val="24"/>
              </w:rPr>
              <w:t>.</w:t>
            </w:r>
            <w:r w:rsidRPr="00926E3F">
              <w:rPr>
                <w:sz w:val="24"/>
                <w:szCs w:val="24"/>
              </w:rPr>
              <w:t xml:space="preserve"> S. SĂRMAȘ (Roumanie)</w:t>
            </w:r>
          </w:p>
        </w:tc>
      </w:tr>
      <w:tr w:rsidR="00AA54DA" w:rsidRPr="00172117" w14:paraId="3488B00F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48DBD50A" w14:textId="2612F372" w:rsidR="00AA54DA" w:rsidRPr="00172117" w:rsidRDefault="00AA54DA" w:rsidP="00926E3F">
            <w:pPr>
              <w:pStyle w:val="Agendaitem"/>
              <w:rPr>
                <w:lang w:val="fr-FR"/>
              </w:rPr>
            </w:pPr>
            <w:bookmarkStart w:id="8" w:name="dtitle3" w:colFirst="0" w:colLast="0"/>
            <w:bookmarkEnd w:id="7"/>
          </w:p>
        </w:tc>
      </w:tr>
      <w:bookmarkEnd w:id="8"/>
    </w:tbl>
    <w:p w14:paraId="7AD6F79A" w14:textId="13C7D930" w:rsidR="000D15FB" w:rsidRPr="00172117" w:rsidRDefault="000D15FB" w:rsidP="00926E3F"/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68"/>
        <w:gridCol w:w="6945"/>
        <w:gridCol w:w="2410"/>
      </w:tblGrid>
      <w:tr w:rsidR="00AA54DA" w:rsidRPr="00172117" w14:paraId="06A8C399" w14:textId="77777777" w:rsidTr="00AA54DA">
        <w:tc>
          <w:tcPr>
            <w:tcW w:w="568" w:type="dxa"/>
          </w:tcPr>
          <w:p w14:paraId="59B82F5D" w14:textId="77777777" w:rsidR="00AA54DA" w:rsidRPr="00172117" w:rsidRDefault="00AA54DA" w:rsidP="00926E3F">
            <w:pPr>
              <w:pStyle w:val="toc0"/>
            </w:pPr>
          </w:p>
        </w:tc>
        <w:tc>
          <w:tcPr>
            <w:tcW w:w="6945" w:type="dxa"/>
          </w:tcPr>
          <w:p w14:paraId="09FDDBE1" w14:textId="77777777" w:rsidR="00AA54DA" w:rsidRPr="00172117" w:rsidRDefault="00AA54DA" w:rsidP="00926E3F">
            <w:pPr>
              <w:pStyle w:val="toc0"/>
            </w:pPr>
            <w:bookmarkStart w:id="9" w:name="lt_pId015"/>
            <w:r w:rsidRPr="00172117">
              <w:t>Sujets traités</w:t>
            </w:r>
            <w:bookmarkEnd w:id="9"/>
          </w:p>
        </w:tc>
        <w:tc>
          <w:tcPr>
            <w:tcW w:w="2410" w:type="dxa"/>
          </w:tcPr>
          <w:p w14:paraId="6AE8F916" w14:textId="77777777" w:rsidR="00AA54DA" w:rsidRPr="00172117" w:rsidRDefault="00AA54DA" w:rsidP="00926E3F">
            <w:pPr>
              <w:pStyle w:val="toc0"/>
              <w:jc w:val="center"/>
            </w:pPr>
            <w:bookmarkStart w:id="10" w:name="lt_pId016"/>
            <w:r w:rsidRPr="00172117">
              <w:t>Documents</w:t>
            </w:r>
            <w:bookmarkEnd w:id="10"/>
          </w:p>
        </w:tc>
      </w:tr>
      <w:tr w:rsidR="00AA54DA" w:rsidRPr="00172117" w14:paraId="3C7C6288" w14:textId="77777777" w:rsidTr="00AA54DA">
        <w:tc>
          <w:tcPr>
            <w:tcW w:w="568" w:type="dxa"/>
          </w:tcPr>
          <w:p w14:paraId="136468C7" w14:textId="77777777" w:rsidR="00AA54DA" w:rsidRPr="00172117" w:rsidRDefault="00AA54DA" w:rsidP="00926E3F">
            <w:pPr>
              <w:ind w:left="567" w:hanging="567"/>
            </w:pPr>
            <w:r w:rsidRPr="00172117">
              <w:t>1</w:t>
            </w:r>
          </w:p>
        </w:tc>
        <w:tc>
          <w:tcPr>
            <w:tcW w:w="6945" w:type="dxa"/>
          </w:tcPr>
          <w:p w14:paraId="0E144382" w14:textId="3D85811B" w:rsidR="00AA54DA" w:rsidRPr="00172117" w:rsidRDefault="00172117" w:rsidP="00926E3F">
            <w:r w:rsidRPr="008F0492">
              <w:rPr>
                <w:rFonts w:asciiTheme="minorHAnsi" w:hAnsiTheme="minorHAnsi"/>
                <w:szCs w:val="24"/>
              </w:rPr>
              <w:t>Élection</w:t>
            </w:r>
            <w:r w:rsidR="00AA54DA" w:rsidRPr="008F0492">
              <w:rPr>
                <w:rFonts w:asciiTheme="minorHAnsi" w:hAnsiTheme="minorHAnsi"/>
                <w:szCs w:val="24"/>
              </w:rPr>
              <w:t xml:space="preserve"> </w:t>
            </w:r>
            <w:r w:rsidRPr="008F0492">
              <w:rPr>
                <w:rFonts w:asciiTheme="minorHAnsi" w:hAnsiTheme="minorHAnsi"/>
                <w:szCs w:val="24"/>
              </w:rPr>
              <w:t>du Secrétaire</w:t>
            </w:r>
            <w:r>
              <w:rPr>
                <w:rFonts w:asciiTheme="minorHAnsi" w:hAnsiTheme="minorHAnsi"/>
                <w:szCs w:val="24"/>
              </w:rPr>
              <w:t xml:space="preserve"> général</w:t>
            </w:r>
          </w:p>
        </w:tc>
        <w:tc>
          <w:tcPr>
            <w:tcW w:w="2410" w:type="dxa"/>
          </w:tcPr>
          <w:p w14:paraId="3A6E81F5" w14:textId="12EA6F55" w:rsidR="00AA54DA" w:rsidRPr="00172117" w:rsidRDefault="00671D5C" w:rsidP="00926E3F">
            <w:pPr>
              <w:jc w:val="center"/>
            </w:pPr>
            <w:hyperlink r:id="rId10" w:history="1">
              <w:r w:rsidR="00AA54DA" w:rsidRPr="00172117">
                <w:rPr>
                  <w:rStyle w:val="Hyperlink"/>
                </w:rPr>
                <w:t>98</w:t>
              </w:r>
            </w:hyperlink>
            <w:r w:rsidR="00AA54DA" w:rsidRPr="00172117">
              <w:t xml:space="preserve">, </w:t>
            </w:r>
            <w:hyperlink r:id="rId11" w:history="1">
              <w:r w:rsidR="00AA54DA" w:rsidRPr="00172117">
                <w:rPr>
                  <w:rStyle w:val="Hyperlink"/>
                </w:rPr>
                <w:t>99</w:t>
              </w:r>
            </w:hyperlink>
            <w:r w:rsidR="00AA54DA" w:rsidRPr="00172117">
              <w:t xml:space="preserve">, </w:t>
            </w:r>
            <w:hyperlink r:id="rId12" w:history="1">
              <w:r w:rsidR="00AA54DA" w:rsidRPr="00172117">
                <w:rPr>
                  <w:rStyle w:val="Hyperlink"/>
                </w:rPr>
                <w:t>100</w:t>
              </w:r>
            </w:hyperlink>
            <w:r w:rsidR="00AA54DA" w:rsidRPr="00172117">
              <w:t xml:space="preserve">, </w:t>
            </w:r>
            <w:hyperlink r:id="rId13" w:history="1">
              <w:r w:rsidR="00AA54DA" w:rsidRPr="00172117">
                <w:rPr>
                  <w:rStyle w:val="Hyperlink"/>
                </w:rPr>
                <w:t>102</w:t>
              </w:r>
            </w:hyperlink>
            <w:r w:rsidR="00AA54DA" w:rsidRPr="00172117">
              <w:t xml:space="preserve">, </w:t>
            </w:r>
            <w:hyperlink r:id="rId14" w:history="1">
              <w:r w:rsidR="00AA54DA" w:rsidRPr="00172117">
                <w:rPr>
                  <w:rStyle w:val="Hyperlink"/>
                </w:rPr>
                <w:t>110</w:t>
              </w:r>
            </w:hyperlink>
          </w:p>
        </w:tc>
      </w:tr>
    </w:tbl>
    <w:p w14:paraId="38AAECF0" w14:textId="77777777" w:rsidR="00926E3F" w:rsidRDefault="00926E3F" w:rsidP="00926E3F"/>
    <w:p w14:paraId="23E5CC14" w14:textId="39CAEB20" w:rsidR="00BD1614" w:rsidRPr="00172117" w:rsidRDefault="00BD1614" w:rsidP="00926E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172117">
        <w:br w:type="page"/>
      </w:r>
    </w:p>
    <w:p w14:paraId="19D344DA" w14:textId="737A4200" w:rsidR="00BB25D0" w:rsidRPr="00172117" w:rsidRDefault="00BB25D0" w:rsidP="00926E3F">
      <w:pPr>
        <w:pStyle w:val="Heading1"/>
      </w:pPr>
      <w:r w:rsidRPr="00172117">
        <w:lastRenderedPageBreak/>
        <w:t>1</w:t>
      </w:r>
      <w:r w:rsidRPr="00172117">
        <w:tab/>
      </w:r>
      <w:r w:rsidR="00172117" w:rsidRPr="00172117">
        <w:t>Élection</w:t>
      </w:r>
      <w:r w:rsidRPr="00172117">
        <w:t xml:space="preserve"> </w:t>
      </w:r>
      <w:r w:rsidR="00172117">
        <w:t>du Secrétaire géné</w:t>
      </w:r>
      <w:r w:rsidRPr="00172117">
        <w:t xml:space="preserve">ral (Documents </w:t>
      </w:r>
      <w:hyperlink r:id="rId15" w:history="1">
        <w:r w:rsidRPr="00172117">
          <w:rPr>
            <w:rStyle w:val="Hyperlink"/>
          </w:rPr>
          <w:t>98</w:t>
        </w:r>
      </w:hyperlink>
      <w:r w:rsidRPr="00172117">
        <w:t xml:space="preserve">, </w:t>
      </w:r>
      <w:hyperlink r:id="rId16" w:history="1">
        <w:r w:rsidRPr="00172117">
          <w:rPr>
            <w:rStyle w:val="Hyperlink"/>
          </w:rPr>
          <w:t>99</w:t>
        </w:r>
      </w:hyperlink>
      <w:r w:rsidRPr="00172117">
        <w:t xml:space="preserve">, </w:t>
      </w:r>
      <w:hyperlink r:id="rId17" w:history="1">
        <w:r w:rsidRPr="00172117">
          <w:rPr>
            <w:rStyle w:val="Hyperlink"/>
          </w:rPr>
          <w:t>100</w:t>
        </w:r>
      </w:hyperlink>
      <w:r w:rsidRPr="00172117">
        <w:t xml:space="preserve">, </w:t>
      </w:r>
      <w:hyperlink r:id="rId18" w:history="1">
        <w:r w:rsidRPr="00172117">
          <w:rPr>
            <w:rStyle w:val="Hyperlink"/>
          </w:rPr>
          <w:t>102</w:t>
        </w:r>
      </w:hyperlink>
      <w:r w:rsidRPr="00172117">
        <w:t xml:space="preserve"> </w:t>
      </w:r>
      <w:r w:rsidR="00172117">
        <w:t>et</w:t>
      </w:r>
      <w:r w:rsidRPr="00172117">
        <w:t xml:space="preserve"> </w:t>
      </w:r>
      <w:hyperlink r:id="rId19" w:history="1">
        <w:r w:rsidRPr="00172117">
          <w:rPr>
            <w:rStyle w:val="Hyperlink"/>
          </w:rPr>
          <w:t>110</w:t>
        </w:r>
      </w:hyperlink>
      <w:r w:rsidRPr="00172117">
        <w:t>)</w:t>
      </w:r>
    </w:p>
    <w:p w14:paraId="59050ED9" w14:textId="6B9E58DC" w:rsidR="00BB25D0" w:rsidRPr="00172117" w:rsidRDefault="00BB25D0" w:rsidP="00926E3F">
      <w:r w:rsidRPr="00172117">
        <w:t>1.1</w:t>
      </w:r>
      <w:r w:rsidRPr="00172117">
        <w:tab/>
      </w:r>
      <w:r w:rsidR="00172117">
        <w:t>La</w:t>
      </w:r>
      <w:r w:rsidRPr="00172117">
        <w:t xml:space="preserve"> </w:t>
      </w:r>
      <w:r w:rsidRPr="00172117">
        <w:rPr>
          <w:b/>
          <w:bCs/>
        </w:rPr>
        <w:t>Secr</w:t>
      </w:r>
      <w:r w:rsidR="00172117">
        <w:rPr>
          <w:b/>
          <w:bCs/>
        </w:rPr>
        <w:t>étaire de la plénière</w:t>
      </w:r>
      <w:r w:rsidRPr="00172117">
        <w:t xml:space="preserve"> </w:t>
      </w:r>
      <w:r w:rsidR="00172117">
        <w:t>signa</w:t>
      </w:r>
      <w:r w:rsidR="00926E3F">
        <w:t>le que, comme indiqué dans les D</w:t>
      </w:r>
      <w:r w:rsidR="00172117">
        <w:t>ocuments</w:t>
      </w:r>
      <w:r w:rsidRPr="00172117">
        <w:t xml:space="preserve"> 98, 99, 100 </w:t>
      </w:r>
      <w:r w:rsidR="00172117">
        <w:t>et</w:t>
      </w:r>
      <w:r w:rsidR="00926E3F">
        <w:t> </w:t>
      </w:r>
      <w:r w:rsidRPr="00172117">
        <w:t>102, respecti</w:t>
      </w:r>
      <w:r w:rsidR="00172117">
        <w:t xml:space="preserve">vement, les </w:t>
      </w:r>
      <w:r w:rsidR="00926E3F">
        <w:t>î</w:t>
      </w:r>
      <w:r w:rsidR="00172117" w:rsidRPr="00172117">
        <w:t xml:space="preserve">les Marshall ont transféré leurs pouvoirs aux </w:t>
      </w:r>
      <w:r w:rsidR="002A7B97" w:rsidRPr="00172117">
        <w:t>É</w:t>
      </w:r>
      <w:r w:rsidR="002A7B97">
        <w:t>t</w:t>
      </w:r>
      <w:r w:rsidR="002A7B97" w:rsidRPr="00172117">
        <w:t>ats-Unis</w:t>
      </w:r>
      <w:r w:rsidR="00172117">
        <w:t>,</w:t>
      </w:r>
      <w:r w:rsidRPr="00172117">
        <w:t xml:space="preserve"> Tuvalu </w:t>
      </w:r>
      <w:r w:rsidR="00172117">
        <w:t>à l</w:t>
      </w:r>
      <w:r w:rsidR="00926E3F">
        <w:t>'</w:t>
      </w:r>
      <w:r w:rsidR="00172117">
        <w:t>Austral</w:t>
      </w:r>
      <w:r w:rsidRPr="00172117">
        <w:t>i</w:t>
      </w:r>
      <w:r w:rsidR="00172117">
        <w:t>e</w:t>
      </w:r>
      <w:r w:rsidRPr="00172117">
        <w:t xml:space="preserve">, </w:t>
      </w:r>
      <w:r w:rsidR="00172117">
        <w:t>le</w:t>
      </w:r>
      <w:r w:rsidR="002A7B97">
        <w:t xml:space="preserve"> </w:t>
      </w:r>
      <w:r w:rsidRPr="00172117">
        <w:t>Costa Rica</w:t>
      </w:r>
      <w:r w:rsidR="00926E3F">
        <w:t xml:space="preserve"> </w:t>
      </w:r>
      <w:r w:rsidR="002A7B97">
        <w:t xml:space="preserve">à la République dominicaine et </w:t>
      </w:r>
      <w:r w:rsidR="002A7B97" w:rsidRPr="00172117">
        <w:t>Sao</w:t>
      </w:r>
      <w:r w:rsidR="002A7B97">
        <w:t>-</w:t>
      </w:r>
      <w:r w:rsidR="002A7B97" w:rsidRPr="00172117">
        <w:t>Tomé</w:t>
      </w:r>
      <w:r w:rsidR="002A7B97">
        <w:t>-Et-</w:t>
      </w:r>
      <w:r w:rsidR="002A7B97" w:rsidRPr="00172117">
        <w:t>Principe</w:t>
      </w:r>
      <w:r w:rsidRPr="00172117">
        <w:t xml:space="preserve"> </w:t>
      </w:r>
      <w:r w:rsidR="002A7B97">
        <w:t>au</w:t>
      </w:r>
      <w:r w:rsidRPr="00172117">
        <w:t xml:space="preserve"> Portugal.</w:t>
      </w:r>
    </w:p>
    <w:p w14:paraId="321788C1" w14:textId="5D9CD0BB" w:rsidR="00BB25D0" w:rsidRPr="00172117" w:rsidRDefault="00BB25D0" w:rsidP="00926E3F">
      <w:r w:rsidRPr="00172117">
        <w:t>1.2</w:t>
      </w:r>
      <w:r w:rsidRPr="00172117">
        <w:tab/>
      </w:r>
      <w:r w:rsidR="002A7B97" w:rsidRPr="002A7B97">
        <w:t xml:space="preserve">Il est </w:t>
      </w:r>
      <w:r w:rsidR="002A7B97" w:rsidRPr="002A7B97">
        <w:rPr>
          <w:b/>
          <w:bCs/>
        </w:rPr>
        <w:t>pris note</w:t>
      </w:r>
      <w:r w:rsidR="002A7B97" w:rsidRPr="002A7B97">
        <w:t xml:space="preserve"> de ces transferts de pouvoirs</w:t>
      </w:r>
      <w:r w:rsidRPr="00172117">
        <w:t>.</w:t>
      </w:r>
    </w:p>
    <w:p w14:paraId="4BE6197F" w14:textId="5D1F9EE7" w:rsidR="00BB25D0" w:rsidRPr="00172117" w:rsidRDefault="00BB25D0" w:rsidP="00926E3F">
      <w:r w:rsidRPr="00172117">
        <w:t>1.3</w:t>
      </w:r>
      <w:r w:rsidRPr="00172117">
        <w:tab/>
      </w:r>
      <w:r w:rsidR="00724490" w:rsidRPr="00172117">
        <w:t>L</w:t>
      </w:r>
      <w:r w:rsidR="002A7B97">
        <w:t xml:space="preserve">a </w:t>
      </w:r>
      <w:r w:rsidR="002A7B97" w:rsidRPr="008F0492">
        <w:rPr>
          <w:b/>
          <w:bCs/>
        </w:rPr>
        <w:t>Secrétaire de la plénière</w:t>
      </w:r>
      <w:r w:rsidR="002A7B97">
        <w:t xml:space="preserve"> </w:t>
      </w:r>
      <w:r w:rsidR="00724490" w:rsidRPr="00172117">
        <w:t>annonce que cinq scrutateurs représentant les cinq régions administratives sont à leur poste</w:t>
      </w:r>
      <w:r w:rsidR="00DD7255">
        <w:t xml:space="preserve">, </w:t>
      </w:r>
      <w:r w:rsidR="00776A53">
        <w:t>et décrit la procédure de vote.</w:t>
      </w:r>
      <w:r w:rsidR="00724490" w:rsidRPr="00172117">
        <w:t xml:space="preserve"> </w:t>
      </w:r>
      <w:r w:rsidR="00776A53">
        <w:t xml:space="preserve">Un </w:t>
      </w:r>
      <w:r w:rsidR="00724490" w:rsidRPr="00172117">
        <w:t xml:space="preserve">bulletin de vote </w:t>
      </w:r>
      <w:r w:rsidR="00776A53">
        <w:t>a été</w:t>
      </w:r>
      <w:r w:rsidR="00724490" w:rsidRPr="00172117">
        <w:t xml:space="preserve"> remis à chaque délégation</w:t>
      </w:r>
      <w:r w:rsidR="00776A53">
        <w:t xml:space="preserve"> pour l</w:t>
      </w:r>
      <w:r w:rsidR="00926E3F">
        <w:t>'</w:t>
      </w:r>
      <w:r w:rsidR="00776A53">
        <w:t xml:space="preserve">élection </w:t>
      </w:r>
      <w:r w:rsidR="00776A53" w:rsidRPr="008F0492">
        <w:t>du</w:t>
      </w:r>
      <w:r w:rsidR="008F0492" w:rsidRPr="008F0492">
        <w:t>/de la</w:t>
      </w:r>
      <w:r w:rsidR="00776A53" w:rsidRPr="008F0492">
        <w:t xml:space="preserve"> Secrétaire général(e)</w:t>
      </w:r>
      <w:r w:rsidR="00724490" w:rsidRPr="008F0492">
        <w:t>.</w:t>
      </w:r>
      <w:r w:rsidR="00776A53">
        <w:t xml:space="preserve"> La</w:t>
      </w:r>
      <w:r w:rsidR="00724490" w:rsidRPr="00172117">
        <w:t xml:space="preserve"> </w:t>
      </w:r>
      <w:r w:rsidR="00776A53">
        <w:t xml:space="preserve">Secrétaire de la plénière </w:t>
      </w:r>
      <w:r w:rsidR="00776A53" w:rsidRPr="00776A53">
        <w:t>procède à l</w:t>
      </w:r>
      <w:r w:rsidR="00926E3F">
        <w:t>'</w:t>
      </w:r>
      <w:r w:rsidR="00776A53" w:rsidRPr="00776A53">
        <w:t>appel des délégations ayant le droit de vote</w:t>
      </w:r>
      <w:r w:rsidR="00776A53">
        <w:t xml:space="preserve"> (Document 110) et l</w:t>
      </w:r>
      <w:r w:rsidR="00776A53" w:rsidRPr="00776A53">
        <w:t>es invite à déposer leur bulletin dans les urnes prévues à cet effet</w:t>
      </w:r>
      <w:r w:rsidR="00724490" w:rsidRPr="00172117">
        <w:t>.</w:t>
      </w:r>
    </w:p>
    <w:p w14:paraId="556CFE9E" w14:textId="3F5EE965" w:rsidR="00BB25D0" w:rsidRPr="00172117" w:rsidRDefault="00BB25D0" w:rsidP="00926E3F">
      <w:r w:rsidRPr="00172117">
        <w:t>1.4</w:t>
      </w:r>
      <w:r w:rsidRPr="00172117">
        <w:tab/>
      </w:r>
      <w:r w:rsidR="00776A53">
        <w:t>Sont can</w:t>
      </w:r>
      <w:r w:rsidRPr="00172117">
        <w:t>didat</w:t>
      </w:r>
      <w:r w:rsidR="00776A53">
        <w:t>(e)</w:t>
      </w:r>
      <w:r w:rsidRPr="00172117">
        <w:t>s</w:t>
      </w:r>
      <w:r w:rsidR="00776A53">
        <w:t xml:space="preserve"> au poste de Secrétaire général</w:t>
      </w:r>
      <w:r w:rsidRPr="00172117">
        <w:t>: M</w:t>
      </w:r>
      <w:r w:rsidR="00776A53">
        <w:t>me</w:t>
      </w:r>
      <w:r w:rsidRPr="00172117">
        <w:t xml:space="preserve"> Doreen Bogdan-Martin (</w:t>
      </w:r>
      <w:r w:rsidR="00776A53">
        <w:t>États-Unis</w:t>
      </w:r>
      <w:r w:rsidRPr="00172117">
        <w:t xml:space="preserve">) </w:t>
      </w:r>
      <w:r w:rsidR="005922D6">
        <w:t>et</w:t>
      </w:r>
      <w:r w:rsidRPr="00172117">
        <w:t xml:space="preserve"> M</w:t>
      </w:r>
      <w:r w:rsidR="005922D6">
        <w:t>.</w:t>
      </w:r>
      <w:r w:rsidRPr="00172117">
        <w:t xml:space="preserve"> Rashid Ismailov (F</w:t>
      </w:r>
      <w:r w:rsidR="005922D6">
        <w:t>é</w:t>
      </w:r>
      <w:r w:rsidRPr="00172117">
        <w:t>d</w:t>
      </w:r>
      <w:r w:rsidR="005922D6">
        <w:t>é</w:t>
      </w:r>
      <w:r w:rsidRPr="00172117">
        <w:t>ration</w:t>
      </w:r>
      <w:r w:rsidR="005922D6">
        <w:t xml:space="preserve"> de Russie</w:t>
      </w:r>
      <w:r w:rsidRPr="00172117">
        <w:t>).</w:t>
      </w:r>
    </w:p>
    <w:p w14:paraId="41D2DBEE" w14:textId="1AE495ED" w:rsidR="00BD1614" w:rsidRPr="00172117" w:rsidRDefault="00BB25D0" w:rsidP="00926E3F">
      <w:r w:rsidRPr="00172117">
        <w:t>1.5</w:t>
      </w:r>
      <w:r w:rsidRPr="00172117">
        <w:tab/>
        <w:t>R</w:t>
      </w:r>
      <w:r w:rsidR="005922D6">
        <w:t>é</w:t>
      </w:r>
      <w:r w:rsidRPr="00172117">
        <w:t>sult</w:t>
      </w:r>
      <w:r w:rsidR="005922D6">
        <w:t>at</w:t>
      </w:r>
      <w:r w:rsidRPr="00172117">
        <w:t xml:space="preserve">s </w:t>
      </w:r>
      <w:r w:rsidR="00673233">
        <w:t>du</w:t>
      </w:r>
      <w:r w:rsidRPr="00172117">
        <w:t xml:space="preserve"> vote:</w:t>
      </w:r>
    </w:p>
    <w:tbl>
      <w:tblPr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6635"/>
        <w:gridCol w:w="1161"/>
      </w:tblGrid>
      <w:tr w:rsidR="00724490" w:rsidRPr="00172117" w14:paraId="65EEB2F1" w14:textId="77777777" w:rsidTr="00926E3F">
        <w:tc>
          <w:tcPr>
            <w:tcW w:w="6635" w:type="dxa"/>
            <w:hideMark/>
          </w:tcPr>
          <w:p w14:paraId="19019DCD" w14:textId="16BC3D82" w:rsidR="00724490" w:rsidRPr="00172117" w:rsidRDefault="00724490" w:rsidP="00926E3F">
            <w:bookmarkStart w:id="11" w:name="lt_pId039"/>
            <w:r w:rsidRPr="00172117">
              <w:t>Nombre de bulletins déposés:</w:t>
            </w:r>
            <w:bookmarkEnd w:id="11"/>
          </w:p>
        </w:tc>
        <w:tc>
          <w:tcPr>
            <w:tcW w:w="1161" w:type="dxa"/>
            <w:hideMark/>
          </w:tcPr>
          <w:p w14:paraId="6E0F8F05" w14:textId="3A389935" w:rsidR="00724490" w:rsidRPr="00172117" w:rsidRDefault="00724490" w:rsidP="00926E3F">
            <w:pPr>
              <w:jc w:val="right"/>
            </w:pPr>
            <w:r w:rsidRPr="00172117">
              <w:t>172</w:t>
            </w:r>
          </w:p>
        </w:tc>
      </w:tr>
      <w:tr w:rsidR="00724490" w:rsidRPr="00172117" w14:paraId="72122646" w14:textId="77777777" w:rsidTr="00926E3F">
        <w:tc>
          <w:tcPr>
            <w:tcW w:w="6635" w:type="dxa"/>
            <w:hideMark/>
          </w:tcPr>
          <w:p w14:paraId="1153B8C5" w14:textId="7D374C4A" w:rsidR="00724490" w:rsidRPr="00172117" w:rsidRDefault="00724490" w:rsidP="00926E3F">
            <w:bookmarkStart w:id="12" w:name="lt_pId042"/>
            <w:r w:rsidRPr="00172117">
              <w:t>Nombre de bulletins nuls:</w:t>
            </w:r>
            <w:bookmarkEnd w:id="12"/>
          </w:p>
        </w:tc>
        <w:tc>
          <w:tcPr>
            <w:tcW w:w="1161" w:type="dxa"/>
            <w:hideMark/>
          </w:tcPr>
          <w:p w14:paraId="53E422A6" w14:textId="2D6D52AB" w:rsidR="00724490" w:rsidRPr="00172117" w:rsidRDefault="00724490" w:rsidP="00926E3F">
            <w:pPr>
              <w:jc w:val="right"/>
            </w:pPr>
            <w:r w:rsidRPr="00172117">
              <w:t>4</w:t>
            </w:r>
          </w:p>
        </w:tc>
      </w:tr>
      <w:tr w:rsidR="00724490" w:rsidRPr="00172117" w14:paraId="24E75965" w14:textId="77777777" w:rsidTr="00926E3F">
        <w:tc>
          <w:tcPr>
            <w:tcW w:w="6635" w:type="dxa"/>
            <w:hideMark/>
          </w:tcPr>
          <w:p w14:paraId="3D5341D1" w14:textId="14A1BF92" w:rsidR="00724490" w:rsidRPr="00172117" w:rsidRDefault="00724490" w:rsidP="00926E3F">
            <w:bookmarkStart w:id="13" w:name="lt_pId045"/>
            <w:r w:rsidRPr="00172117">
              <w:t>Abstentions:</w:t>
            </w:r>
            <w:bookmarkEnd w:id="13"/>
          </w:p>
        </w:tc>
        <w:tc>
          <w:tcPr>
            <w:tcW w:w="1161" w:type="dxa"/>
            <w:hideMark/>
          </w:tcPr>
          <w:p w14:paraId="3E10C877" w14:textId="3BB7CF18" w:rsidR="00724490" w:rsidRPr="00172117" w:rsidRDefault="00724490" w:rsidP="00926E3F">
            <w:pPr>
              <w:jc w:val="right"/>
            </w:pPr>
            <w:r w:rsidRPr="00172117">
              <w:t>4</w:t>
            </w:r>
          </w:p>
        </w:tc>
      </w:tr>
      <w:tr w:rsidR="00724490" w:rsidRPr="00172117" w14:paraId="4CCBB53D" w14:textId="77777777" w:rsidTr="00926E3F">
        <w:tc>
          <w:tcPr>
            <w:tcW w:w="6635" w:type="dxa"/>
            <w:hideMark/>
          </w:tcPr>
          <w:p w14:paraId="5A5D3B33" w14:textId="0F2215A4" w:rsidR="00724490" w:rsidRPr="00172117" w:rsidRDefault="00724490" w:rsidP="00926E3F">
            <w:bookmarkStart w:id="14" w:name="lt_pId048"/>
            <w:r w:rsidRPr="00172117">
              <w:t xml:space="preserve">Nombre de délégations présentes et votant (nombre </w:t>
            </w:r>
            <w:bookmarkStart w:id="15" w:name="lt_pId049"/>
            <w:bookmarkEnd w:id="14"/>
            <w:r w:rsidRPr="00172117">
              <w:t>de bulletins servant à déterminer la majorité requise):</w:t>
            </w:r>
            <w:bookmarkEnd w:id="15"/>
          </w:p>
        </w:tc>
        <w:tc>
          <w:tcPr>
            <w:tcW w:w="1161" w:type="dxa"/>
            <w:hideMark/>
          </w:tcPr>
          <w:p w14:paraId="45B5069E" w14:textId="1C553C4A" w:rsidR="00724490" w:rsidRPr="00172117" w:rsidRDefault="00724490" w:rsidP="00926E3F">
            <w:pPr>
              <w:jc w:val="right"/>
            </w:pPr>
            <w:r w:rsidRPr="00172117">
              <w:t>164</w:t>
            </w:r>
          </w:p>
        </w:tc>
      </w:tr>
      <w:tr w:rsidR="00724490" w:rsidRPr="00172117" w14:paraId="39066DCB" w14:textId="77777777" w:rsidTr="00926E3F">
        <w:tc>
          <w:tcPr>
            <w:tcW w:w="6635" w:type="dxa"/>
            <w:hideMark/>
          </w:tcPr>
          <w:p w14:paraId="3DF4B6D5" w14:textId="72D5138A" w:rsidR="00724490" w:rsidRPr="00172117" w:rsidRDefault="00724490" w:rsidP="00926E3F">
            <w:bookmarkStart w:id="16" w:name="lt_pId052"/>
            <w:r w:rsidRPr="00172117">
              <w:t>Majorité requise:</w:t>
            </w:r>
            <w:bookmarkEnd w:id="16"/>
          </w:p>
        </w:tc>
        <w:tc>
          <w:tcPr>
            <w:tcW w:w="1161" w:type="dxa"/>
            <w:hideMark/>
          </w:tcPr>
          <w:p w14:paraId="7016E2C4" w14:textId="717A5217" w:rsidR="00724490" w:rsidRPr="00172117" w:rsidRDefault="00724490" w:rsidP="00926E3F">
            <w:pPr>
              <w:jc w:val="right"/>
            </w:pPr>
            <w:r w:rsidRPr="00172117">
              <w:t>83</w:t>
            </w:r>
          </w:p>
        </w:tc>
      </w:tr>
      <w:tr w:rsidR="00724490" w:rsidRPr="00172117" w14:paraId="73AA4B33" w14:textId="77777777" w:rsidTr="00926E3F">
        <w:tc>
          <w:tcPr>
            <w:tcW w:w="6635" w:type="dxa"/>
            <w:hideMark/>
          </w:tcPr>
          <w:p w14:paraId="46AED080" w14:textId="732F8C93" w:rsidR="00724490" w:rsidRPr="00172117" w:rsidRDefault="00724490" w:rsidP="00926E3F">
            <w:bookmarkStart w:id="17" w:name="lt_pId055"/>
            <w:r w:rsidRPr="00172117">
              <w:t>Nombre de voix obtenues:</w:t>
            </w:r>
            <w:bookmarkEnd w:id="17"/>
          </w:p>
        </w:tc>
        <w:tc>
          <w:tcPr>
            <w:tcW w:w="1161" w:type="dxa"/>
          </w:tcPr>
          <w:p w14:paraId="3B818A7A" w14:textId="77777777" w:rsidR="00724490" w:rsidRPr="00172117" w:rsidRDefault="00724490" w:rsidP="00926E3F">
            <w:pPr>
              <w:jc w:val="right"/>
            </w:pPr>
          </w:p>
        </w:tc>
      </w:tr>
      <w:tr w:rsidR="00724490" w:rsidRPr="00172117" w14:paraId="6D910B75" w14:textId="77777777" w:rsidTr="00926E3F">
        <w:tc>
          <w:tcPr>
            <w:tcW w:w="6635" w:type="dxa"/>
            <w:hideMark/>
          </w:tcPr>
          <w:p w14:paraId="6713DE68" w14:textId="79E8120B" w:rsidR="00724490" w:rsidRPr="00172117" w:rsidRDefault="00724490" w:rsidP="00926E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/>
            </w:pPr>
            <w:r w:rsidRPr="00172117">
              <w:sym w:font="Symbol" w:char="F02D"/>
            </w:r>
            <w:r w:rsidRPr="00172117">
              <w:tab/>
            </w:r>
            <w:bookmarkStart w:id="18" w:name="lt_pId057"/>
            <w:r w:rsidRPr="00172117">
              <w:t>M</w:t>
            </w:r>
            <w:bookmarkEnd w:id="18"/>
            <w:r w:rsidRPr="00172117">
              <w:t>me D. Bogdan-Martin</w:t>
            </w:r>
          </w:p>
        </w:tc>
        <w:tc>
          <w:tcPr>
            <w:tcW w:w="1161" w:type="dxa"/>
            <w:hideMark/>
          </w:tcPr>
          <w:p w14:paraId="004837CB" w14:textId="54E1E6D4" w:rsidR="00724490" w:rsidRPr="00172117" w:rsidRDefault="00724490" w:rsidP="00926E3F">
            <w:pPr>
              <w:jc w:val="right"/>
            </w:pPr>
            <w:bookmarkStart w:id="19" w:name="lt_pId058"/>
            <w:r w:rsidRPr="00172117">
              <w:t>139 voix</w:t>
            </w:r>
            <w:bookmarkEnd w:id="19"/>
          </w:p>
        </w:tc>
      </w:tr>
      <w:tr w:rsidR="00724490" w:rsidRPr="00172117" w14:paraId="17EB55E3" w14:textId="77777777" w:rsidTr="00926E3F">
        <w:tc>
          <w:tcPr>
            <w:tcW w:w="6635" w:type="dxa"/>
          </w:tcPr>
          <w:p w14:paraId="707187DB" w14:textId="0CAF260C" w:rsidR="00724490" w:rsidRPr="00172117" w:rsidRDefault="00724490" w:rsidP="00926E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/>
            </w:pPr>
            <w:r w:rsidRPr="00172117">
              <w:sym w:font="Symbol" w:char="F02D"/>
            </w:r>
            <w:r w:rsidRPr="00172117">
              <w:tab/>
            </w:r>
            <w:bookmarkStart w:id="20" w:name="lt_pId060"/>
            <w:r w:rsidRPr="00172117">
              <w:t xml:space="preserve">M. </w:t>
            </w:r>
            <w:bookmarkEnd w:id="20"/>
            <w:r w:rsidRPr="00172117">
              <w:t>R. Ismailov</w:t>
            </w:r>
          </w:p>
        </w:tc>
        <w:tc>
          <w:tcPr>
            <w:tcW w:w="1161" w:type="dxa"/>
          </w:tcPr>
          <w:p w14:paraId="4E75CAA1" w14:textId="5F5421EA" w:rsidR="00724490" w:rsidRPr="00172117" w:rsidRDefault="00724490" w:rsidP="00926E3F">
            <w:pPr>
              <w:jc w:val="right"/>
            </w:pPr>
            <w:bookmarkStart w:id="21" w:name="lt_pId061"/>
            <w:r w:rsidRPr="00172117">
              <w:t>25 voix</w:t>
            </w:r>
            <w:bookmarkEnd w:id="21"/>
          </w:p>
        </w:tc>
      </w:tr>
    </w:tbl>
    <w:p w14:paraId="47F90248" w14:textId="561F74FF" w:rsidR="00724490" w:rsidRPr="00172117" w:rsidRDefault="00724490" w:rsidP="00926E3F">
      <w:pPr>
        <w:spacing w:before="240"/>
      </w:pPr>
      <w:r w:rsidRPr="00172117">
        <w:t>1.6</w:t>
      </w:r>
      <w:r w:rsidRPr="00172117">
        <w:tab/>
      </w:r>
      <w:r w:rsidRPr="00172117">
        <w:rPr>
          <w:b/>
          <w:bCs/>
        </w:rPr>
        <w:t>M</w:t>
      </w:r>
      <w:r w:rsidR="005922D6">
        <w:rPr>
          <w:b/>
          <w:bCs/>
        </w:rPr>
        <w:t>me</w:t>
      </w:r>
      <w:r w:rsidRPr="00172117">
        <w:rPr>
          <w:b/>
          <w:bCs/>
        </w:rPr>
        <w:t xml:space="preserve"> D. Bogdan-Martin (</w:t>
      </w:r>
      <w:r w:rsidR="005922D6" w:rsidRPr="005922D6">
        <w:rPr>
          <w:b/>
          <w:bCs/>
        </w:rPr>
        <w:t>États-Unis</w:t>
      </w:r>
      <w:r w:rsidRPr="00172117">
        <w:rPr>
          <w:b/>
          <w:bCs/>
        </w:rPr>
        <w:t xml:space="preserve">) </w:t>
      </w:r>
      <w:r w:rsidR="005922D6">
        <w:rPr>
          <w:b/>
          <w:bCs/>
        </w:rPr>
        <w:t>est élue Secrétaire générale</w:t>
      </w:r>
      <w:r w:rsidRPr="00926E3F">
        <w:rPr>
          <w:bCs/>
        </w:rPr>
        <w:t>.</w:t>
      </w:r>
    </w:p>
    <w:p w14:paraId="36D958FA" w14:textId="6336F759" w:rsidR="00724490" w:rsidRPr="00172117" w:rsidRDefault="00724490" w:rsidP="00926E3F">
      <w:r w:rsidRPr="00172117">
        <w:t>1.7</w:t>
      </w:r>
      <w:r w:rsidRPr="00172117">
        <w:tab/>
      </w:r>
      <w:r w:rsidR="005922D6">
        <w:t>La nouvelle</w:t>
      </w:r>
      <w:r w:rsidRPr="00172117">
        <w:t xml:space="preserve"> </w:t>
      </w:r>
      <w:r w:rsidRPr="00172117">
        <w:rPr>
          <w:b/>
          <w:bCs/>
        </w:rPr>
        <w:t>Secr</w:t>
      </w:r>
      <w:r w:rsidR="005922D6">
        <w:rPr>
          <w:b/>
          <w:bCs/>
        </w:rPr>
        <w:t>é</w:t>
      </w:r>
      <w:r w:rsidRPr="00172117">
        <w:rPr>
          <w:b/>
          <w:bCs/>
        </w:rPr>
        <w:t>ta</w:t>
      </w:r>
      <w:r w:rsidR="005922D6">
        <w:rPr>
          <w:b/>
          <w:bCs/>
        </w:rPr>
        <w:t>ire générale</w:t>
      </w:r>
      <w:r w:rsidRPr="00172117">
        <w:t xml:space="preserve"> </w:t>
      </w:r>
      <w:r w:rsidR="005922D6">
        <w:t xml:space="preserve">se dit </w:t>
      </w:r>
      <w:r w:rsidR="005B3E98">
        <w:t>très</w:t>
      </w:r>
      <w:r w:rsidR="005922D6">
        <w:t xml:space="preserve"> </w:t>
      </w:r>
      <w:r w:rsidR="005B3E98">
        <w:t>honorée</w:t>
      </w:r>
      <w:r w:rsidRPr="00172117">
        <w:t xml:space="preserve"> </w:t>
      </w:r>
      <w:r w:rsidR="005B3E98">
        <w:t>de son élection</w:t>
      </w:r>
      <w:r w:rsidRPr="00172117">
        <w:t xml:space="preserve">. </w:t>
      </w:r>
      <w:r w:rsidR="005B3E98">
        <w:t>Elle rem</w:t>
      </w:r>
      <w:r w:rsidRPr="00172117">
        <w:t>e</w:t>
      </w:r>
      <w:r w:rsidR="005B3E98">
        <w:t>rcie les délégués de lui avoir accordé leur confiance et exprime sa profonde gratitude au</w:t>
      </w:r>
      <w:r w:rsidRPr="00172117">
        <w:t xml:space="preserve"> Go</w:t>
      </w:r>
      <w:r w:rsidR="005B3E98">
        <w:t>u</w:t>
      </w:r>
      <w:r w:rsidRPr="00172117">
        <w:t>vern</w:t>
      </w:r>
      <w:r w:rsidR="005B3E98">
        <w:t>e</w:t>
      </w:r>
      <w:r w:rsidRPr="00172117">
        <w:t>ment</w:t>
      </w:r>
      <w:r w:rsidR="005B3E98">
        <w:t xml:space="preserve"> des États-Unis qui a appuyé sa</w:t>
      </w:r>
      <w:r w:rsidRPr="00172117">
        <w:t xml:space="preserve"> candidature. </w:t>
      </w:r>
      <w:r w:rsidR="005B3E98">
        <w:t xml:space="preserve">Elle </w:t>
      </w:r>
      <w:r w:rsidR="005B3E98" w:rsidRPr="005B3E98">
        <w:t>prononce une allocution dont le texte est disponible à l</w:t>
      </w:r>
      <w:r w:rsidR="00926E3F">
        <w:t>'</w:t>
      </w:r>
      <w:r w:rsidR="005B3E98" w:rsidRPr="005B3E98">
        <w:t>adresse suivante</w:t>
      </w:r>
      <w:r w:rsidRPr="00172117">
        <w:t xml:space="preserve">: </w:t>
      </w:r>
      <w:hyperlink r:id="rId20" w:history="1">
        <w:r w:rsidR="007460F4" w:rsidRPr="00172117">
          <w:rPr>
            <w:rStyle w:val="Hyperlink"/>
          </w:rPr>
          <w:t>https://pp22.itu.int/en/itu_policy_statements/itu-sg-elect-doreen-acceptance-speech/</w:t>
        </w:r>
      </w:hyperlink>
      <w:r w:rsidRPr="00172117">
        <w:t>.</w:t>
      </w:r>
    </w:p>
    <w:p w14:paraId="4B3739F9" w14:textId="10BF72B0" w:rsidR="00724490" w:rsidRPr="00172117" w:rsidRDefault="00724490" w:rsidP="00926E3F">
      <w:r w:rsidRPr="00172117">
        <w:t>1.8</w:t>
      </w:r>
      <w:r w:rsidRPr="00172117">
        <w:tab/>
      </w:r>
      <w:r w:rsidR="005B3E98">
        <w:t>Le</w:t>
      </w:r>
      <w:r w:rsidRPr="00172117">
        <w:t xml:space="preserve"> </w:t>
      </w:r>
      <w:r w:rsidRPr="00172117">
        <w:rPr>
          <w:b/>
          <w:bCs/>
        </w:rPr>
        <w:t>d</w:t>
      </w:r>
      <w:r w:rsidR="005B3E98">
        <w:rPr>
          <w:b/>
          <w:bCs/>
        </w:rPr>
        <w:t>é</w:t>
      </w:r>
      <w:r w:rsidRPr="00172117">
        <w:rPr>
          <w:b/>
          <w:bCs/>
        </w:rPr>
        <w:t>l</w:t>
      </w:r>
      <w:r w:rsidR="005B3E98">
        <w:rPr>
          <w:b/>
          <w:bCs/>
        </w:rPr>
        <w:t>é</w:t>
      </w:r>
      <w:r w:rsidRPr="00172117">
        <w:rPr>
          <w:b/>
          <w:bCs/>
        </w:rPr>
        <w:t>g</w:t>
      </w:r>
      <w:r w:rsidR="005B3E98">
        <w:rPr>
          <w:b/>
          <w:bCs/>
        </w:rPr>
        <w:t xml:space="preserve">ué des </w:t>
      </w:r>
      <w:r w:rsidR="005B3E98" w:rsidRPr="005B3E98">
        <w:rPr>
          <w:b/>
          <w:bCs/>
        </w:rPr>
        <w:t xml:space="preserve">États-Unis </w:t>
      </w:r>
      <w:r w:rsidR="005B3E98">
        <w:t xml:space="preserve">félicite </w:t>
      </w:r>
      <w:r w:rsidRPr="00172117">
        <w:t>M</w:t>
      </w:r>
      <w:r w:rsidR="005B3E98">
        <w:t>me</w:t>
      </w:r>
      <w:r w:rsidRPr="00172117">
        <w:t xml:space="preserve"> Bogdan-Martin </w:t>
      </w:r>
      <w:r w:rsidR="005B3E98">
        <w:t xml:space="preserve">pour son </w:t>
      </w:r>
      <w:r w:rsidR="005B3E98" w:rsidRPr="005B3E98">
        <w:t xml:space="preserve">élection historique, </w:t>
      </w:r>
      <w:r w:rsidR="005B3E98">
        <w:t>puisqu</w:t>
      </w:r>
      <w:r w:rsidR="00926E3F">
        <w:t>'</w:t>
      </w:r>
      <w:r w:rsidR="005B3E98">
        <w:t xml:space="preserve">elle est la première </w:t>
      </w:r>
      <w:r w:rsidR="005B3E98" w:rsidRPr="005B3E98">
        <w:t xml:space="preserve">femme </w:t>
      </w:r>
      <w:r w:rsidR="005B3E98">
        <w:t>à occuper le</w:t>
      </w:r>
      <w:r w:rsidR="005B3E98" w:rsidRPr="005B3E98">
        <w:t xml:space="preserve"> poste</w:t>
      </w:r>
      <w:r w:rsidRPr="00172117">
        <w:t xml:space="preserve"> </w:t>
      </w:r>
      <w:r w:rsidR="000D5665">
        <w:t xml:space="preserve">de </w:t>
      </w:r>
      <w:r w:rsidRPr="00172117">
        <w:t>Secr</w:t>
      </w:r>
      <w:r w:rsidR="005B3E98">
        <w:t>é</w:t>
      </w:r>
      <w:r w:rsidRPr="00172117">
        <w:t>t</w:t>
      </w:r>
      <w:r w:rsidR="005B3E98">
        <w:t>aire général</w:t>
      </w:r>
      <w:r w:rsidR="008F0492">
        <w:t xml:space="preserve"> de l</w:t>
      </w:r>
      <w:r w:rsidR="00926E3F">
        <w:t>'</w:t>
      </w:r>
      <w:r w:rsidR="008F0492">
        <w:t>UIT</w:t>
      </w:r>
      <w:r w:rsidR="005B3E98">
        <w:t>. Le</w:t>
      </w:r>
      <w:r w:rsidR="000D5665">
        <w:t>s</w:t>
      </w:r>
      <w:r w:rsidR="005B3E98">
        <w:t xml:space="preserve"> États-Unis </w:t>
      </w:r>
      <w:r w:rsidR="00221E23">
        <w:t xml:space="preserve">souscrivent sans réserve à sa </w:t>
      </w:r>
      <w:r w:rsidR="000D5665">
        <w:t xml:space="preserve">vision et attendent avec intérêt de travailler avec elle à </w:t>
      </w:r>
      <w:r w:rsidR="00040732" w:rsidRPr="00040732">
        <w:t>réduire la fracture numérique</w:t>
      </w:r>
      <w:r w:rsidR="000D5665">
        <w:t xml:space="preserve"> et </w:t>
      </w:r>
      <w:r w:rsidR="00040732">
        <w:t>à</w:t>
      </w:r>
      <w:r w:rsidR="009E641C">
        <w:t xml:space="preserve"> </w:t>
      </w:r>
      <w:r w:rsidR="009E641C">
        <w:rPr>
          <w:color w:val="000000"/>
        </w:rPr>
        <w:t>définir une nouvelle ligne de conduite</w:t>
      </w:r>
      <w:r w:rsidR="009E641C" w:rsidRPr="00172117">
        <w:t xml:space="preserve"> </w:t>
      </w:r>
      <w:r w:rsidR="009E641C">
        <w:t>pour une UIT innovante et i</w:t>
      </w:r>
      <w:r w:rsidRPr="00172117">
        <w:t xml:space="preserve">nclusive. </w:t>
      </w:r>
    </w:p>
    <w:p w14:paraId="20B7E66B" w14:textId="69F50DE5" w:rsidR="00724490" w:rsidRPr="00172117" w:rsidRDefault="00724490" w:rsidP="00926E3F">
      <w:r w:rsidRPr="00172117">
        <w:t>1.9</w:t>
      </w:r>
      <w:r w:rsidRPr="00172117">
        <w:tab/>
      </w:r>
      <w:r w:rsidRPr="00172117">
        <w:rPr>
          <w:b/>
          <w:bCs/>
        </w:rPr>
        <w:t>M</w:t>
      </w:r>
      <w:r w:rsidR="00A42EB6">
        <w:rPr>
          <w:b/>
          <w:bCs/>
        </w:rPr>
        <w:t>.</w:t>
      </w:r>
      <w:r w:rsidRPr="00172117">
        <w:rPr>
          <w:b/>
          <w:bCs/>
        </w:rPr>
        <w:t xml:space="preserve"> Ismailov</w:t>
      </w:r>
      <w:r w:rsidRPr="00172117">
        <w:t xml:space="preserve"> </w:t>
      </w:r>
      <w:r w:rsidR="00A42EB6">
        <w:t>félicite Mme</w:t>
      </w:r>
      <w:r w:rsidRPr="00172117">
        <w:t xml:space="preserve"> Bogdan-Martin</w:t>
      </w:r>
      <w:r w:rsidR="00A42EB6">
        <w:t xml:space="preserve"> pour son</w:t>
      </w:r>
      <w:r w:rsidRPr="00172117">
        <w:t xml:space="preserve"> </w:t>
      </w:r>
      <w:r w:rsidR="00A42EB6">
        <w:t>é</w:t>
      </w:r>
      <w:r w:rsidRPr="00172117">
        <w:t xml:space="preserve">lection </w:t>
      </w:r>
      <w:r w:rsidR="00A42EB6">
        <w:t>et lui souhaite</w:t>
      </w:r>
      <w:r w:rsidRPr="00172117">
        <w:t xml:space="preserve"> </w:t>
      </w:r>
      <w:r w:rsidR="00A42EB6">
        <w:t>plein succès</w:t>
      </w:r>
      <w:r w:rsidRPr="00172117">
        <w:t>.</w:t>
      </w:r>
      <w:r w:rsidR="00A42EB6">
        <w:t xml:space="preserve"> Il remercie celles et ceux qui ont appuyé sa candidature</w:t>
      </w:r>
      <w:r w:rsidRPr="00172117">
        <w:t>.</w:t>
      </w:r>
    </w:p>
    <w:p w14:paraId="72E0BE71" w14:textId="77777777" w:rsidR="00926E3F" w:rsidRDefault="00926E3F" w:rsidP="00926E3F">
      <w:r>
        <w:br w:type="page"/>
      </w:r>
    </w:p>
    <w:p w14:paraId="4A0F4BFF" w14:textId="607631A0" w:rsidR="00724490" w:rsidRPr="00172117" w:rsidRDefault="00724490" w:rsidP="00926E3F">
      <w:r w:rsidRPr="00172117">
        <w:lastRenderedPageBreak/>
        <w:t>1.10</w:t>
      </w:r>
      <w:r w:rsidRPr="00172117">
        <w:tab/>
      </w:r>
      <w:r w:rsidR="00A42EB6">
        <w:t>La</w:t>
      </w:r>
      <w:r w:rsidRPr="00172117">
        <w:t xml:space="preserve"> </w:t>
      </w:r>
      <w:r w:rsidRPr="00172117">
        <w:rPr>
          <w:b/>
          <w:bCs/>
        </w:rPr>
        <w:t>d</w:t>
      </w:r>
      <w:r w:rsidR="00A42EB6">
        <w:rPr>
          <w:b/>
          <w:bCs/>
        </w:rPr>
        <w:t>é</w:t>
      </w:r>
      <w:r w:rsidRPr="00172117">
        <w:rPr>
          <w:b/>
          <w:bCs/>
        </w:rPr>
        <w:t>l</w:t>
      </w:r>
      <w:r w:rsidR="00A42EB6">
        <w:rPr>
          <w:b/>
          <w:bCs/>
        </w:rPr>
        <w:t>é</w:t>
      </w:r>
      <w:r w:rsidRPr="00172117">
        <w:rPr>
          <w:b/>
          <w:bCs/>
        </w:rPr>
        <w:t>g</w:t>
      </w:r>
      <w:r w:rsidR="00A42EB6">
        <w:rPr>
          <w:b/>
          <w:bCs/>
        </w:rPr>
        <w:t xml:space="preserve">uée de la </w:t>
      </w:r>
      <w:r w:rsidRPr="00172117">
        <w:rPr>
          <w:b/>
          <w:bCs/>
        </w:rPr>
        <w:t>F</w:t>
      </w:r>
      <w:r w:rsidR="00A42EB6">
        <w:rPr>
          <w:b/>
          <w:bCs/>
        </w:rPr>
        <w:t>é</w:t>
      </w:r>
      <w:r w:rsidRPr="00172117">
        <w:rPr>
          <w:b/>
          <w:bCs/>
        </w:rPr>
        <w:t>d</w:t>
      </w:r>
      <w:r w:rsidR="00A42EB6">
        <w:rPr>
          <w:b/>
          <w:bCs/>
        </w:rPr>
        <w:t>é</w:t>
      </w:r>
      <w:r w:rsidRPr="00172117">
        <w:rPr>
          <w:b/>
          <w:bCs/>
        </w:rPr>
        <w:t>ratio</w:t>
      </w:r>
      <w:r w:rsidR="00A42EB6">
        <w:rPr>
          <w:b/>
          <w:bCs/>
        </w:rPr>
        <w:t>n de Russie</w:t>
      </w:r>
      <w:r w:rsidRPr="00172117">
        <w:t xml:space="preserve"> </w:t>
      </w:r>
      <w:r w:rsidR="00A42EB6">
        <w:t xml:space="preserve">adresse les félicitations de son pays à </w:t>
      </w:r>
      <w:r w:rsidRPr="00172117">
        <w:t>M</w:t>
      </w:r>
      <w:r w:rsidR="00A42EB6">
        <w:t>me</w:t>
      </w:r>
      <w:r w:rsidR="00926E3F">
        <w:t> </w:t>
      </w:r>
      <w:r w:rsidRPr="00172117">
        <w:t>Bo</w:t>
      </w:r>
      <w:r w:rsidR="00926E3F">
        <w:t>gdan</w:t>
      </w:r>
      <w:r w:rsidR="00926E3F">
        <w:noBreakHyphen/>
      </w:r>
      <w:r w:rsidRPr="00172117">
        <w:t>Martin</w:t>
      </w:r>
      <w:r w:rsidR="00A42EB6">
        <w:t xml:space="preserve"> et remercie les pays qui ont apporté leur soutien à M.</w:t>
      </w:r>
      <w:r w:rsidRPr="00172117">
        <w:t xml:space="preserve"> Ismailov. </w:t>
      </w:r>
      <w:r w:rsidR="00A42EB6">
        <w:t>La Fédération de Russie se tient prête à travailler avec la nouvelle Secrétaire générale dans un esprit de respect mutuel et d</w:t>
      </w:r>
      <w:r w:rsidR="00926E3F">
        <w:t>'</w:t>
      </w:r>
      <w:r w:rsidR="00A42EB6">
        <w:t>égalité</w:t>
      </w:r>
      <w:r w:rsidRPr="00172117">
        <w:t xml:space="preserve">. </w:t>
      </w:r>
      <w:r w:rsidR="00DD7255">
        <w:t>Le pays</w:t>
      </w:r>
      <w:r w:rsidR="00C45F8F">
        <w:t xml:space="preserve"> </w:t>
      </w:r>
      <w:r w:rsidRPr="00172117">
        <w:t>continue</w:t>
      </w:r>
      <w:r w:rsidR="00C45F8F">
        <w:t>ra à soutenir l</w:t>
      </w:r>
      <w:r w:rsidR="00926E3F">
        <w:t>'</w:t>
      </w:r>
      <w:r w:rsidR="00C45F8F">
        <w:t>UIT, tant sur le plan intellectuel que financier</w:t>
      </w:r>
      <w:r w:rsidRPr="00172117">
        <w:t>,</w:t>
      </w:r>
      <w:r w:rsidR="00C45F8F">
        <w:t xml:space="preserve"> en v</w:t>
      </w:r>
      <w:r w:rsidR="00040732">
        <w:t>u</w:t>
      </w:r>
      <w:r w:rsidR="00C45F8F">
        <w:t>e de renforcer les travaux de l</w:t>
      </w:r>
      <w:r w:rsidR="00926E3F">
        <w:t>'</w:t>
      </w:r>
      <w:r w:rsidR="00C45F8F">
        <w:t>Union.</w:t>
      </w:r>
    </w:p>
    <w:p w14:paraId="47E34729" w14:textId="7E46BF91" w:rsidR="00724490" w:rsidRPr="00172117" w:rsidRDefault="00724490" w:rsidP="00926E3F">
      <w:r w:rsidRPr="00172117">
        <w:t>1.11</w:t>
      </w:r>
      <w:r w:rsidRPr="00172117">
        <w:tab/>
      </w:r>
      <w:r w:rsidR="00FB4089">
        <w:t>Le</w:t>
      </w:r>
      <w:r w:rsidRPr="00172117">
        <w:t xml:space="preserve"> </w:t>
      </w:r>
      <w:r w:rsidRPr="00172117">
        <w:rPr>
          <w:b/>
          <w:bCs/>
        </w:rPr>
        <w:t>Secr</w:t>
      </w:r>
      <w:r w:rsidR="00FB4089">
        <w:rPr>
          <w:b/>
          <w:bCs/>
        </w:rPr>
        <w:t>é</w:t>
      </w:r>
      <w:r w:rsidRPr="00172117">
        <w:rPr>
          <w:b/>
          <w:bCs/>
        </w:rPr>
        <w:t>ta</w:t>
      </w:r>
      <w:r w:rsidR="00FB4089">
        <w:rPr>
          <w:b/>
          <w:bCs/>
        </w:rPr>
        <w:t>ire</w:t>
      </w:r>
      <w:r w:rsidRPr="00172117">
        <w:rPr>
          <w:b/>
          <w:bCs/>
        </w:rPr>
        <w:t>-</w:t>
      </w:r>
      <w:r w:rsidR="00FB4089">
        <w:rPr>
          <w:b/>
          <w:bCs/>
        </w:rPr>
        <w:t>général</w:t>
      </w:r>
      <w:r w:rsidRPr="00172117">
        <w:t xml:space="preserve"> </w:t>
      </w:r>
      <w:r w:rsidR="00FB4089">
        <w:t>adresse ses</w:t>
      </w:r>
      <w:r w:rsidRPr="00172117">
        <w:t xml:space="preserve"> sinc</w:t>
      </w:r>
      <w:r w:rsidR="00FB4089">
        <w:t xml:space="preserve">ères félicitations à </w:t>
      </w:r>
      <w:r w:rsidRPr="00172117">
        <w:t>M</w:t>
      </w:r>
      <w:r w:rsidR="00FB4089">
        <w:t>me</w:t>
      </w:r>
      <w:r w:rsidRPr="00172117">
        <w:t xml:space="preserve"> Bogdan-Martin</w:t>
      </w:r>
      <w:r w:rsidR="00FB4089">
        <w:t xml:space="preserve"> pour son élection qui </w:t>
      </w:r>
      <w:r w:rsidR="00064904">
        <w:t xml:space="preserve">ouvre </w:t>
      </w:r>
      <w:r w:rsidR="00FB4089">
        <w:t>une nouvelle ère</w:t>
      </w:r>
      <w:r w:rsidRPr="00172117">
        <w:t xml:space="preserve"> </w:t>
      </w:r>
      <w:r w:rsidR="00064904">
        <w:t xml:space="preserve">marquée par </w:t>
      </w:r>
      <w:r w:rsidR="00DD7255">
        <w:t>un nombre important</w:t>
      </w:r>
      <w:r w:rsidR="00064904">
        <w:t xml:space="preserve"> de femmes à des postes de direction,</w:t>
      </w:r>
      <w:r w:rsidRPr="00172117">
        <w:t xml:space="preserve"> </w:t>
      </w:r>
      <w:r w:rsidR="00064904">
        <w:t xml:space="preserve">et qui </w:t>
      </w:r>
      <w:r w:rsidR="00673233">
        <w:t>incitera</w:t>
      </w:r>
      <w:r w:rsidR="00673233" w:rsidRPr="00172117">
        <w:t xml:space="preserve"> </w:t>
      </w:r>
      <w:r w:rsidR="00064904">
        <w:t xml:space="preserve">davantage de femmes </w:t>
      </w:r>
      <w:r w:rsidR="00DD7255">
        <w:t>à participer</w:t>
      </w:r>
      <w:r w:rsidR="00064904">
        <w:t xml:space="preserve"> aux activités de l</w:t>
      </w:r>
      <w:r w:rsidR="00926E3F">
        <w:t>'</w:t>
      </w:r>
      <w:r w:rsidR="00064904">
        <w:t>Union</w:t>
      </w:r>
      <w:r w:rsidRPr="00172117">
        <w:t xml:space="preserve">. </w:t>
      </w:r>
    </w:p>
    <w:p w14:paraId="752DBB58" w14:textId="6FABF2F1" w:rsidR="00724490" w:rsidRPr="00172117" w:rsidRDefault="00724490" w:rsidP="00926E3F">
      <w:r w:rsidRPr="00172117">
        <w:t>1.12</w:t>
      </w:r>
      <w:r w:rsidRPr="00172117">
        <w:tab/>
      </w:r>
      <w:r w:rsidR="00064904">
        <w:t>L</w:t>
      </w:r>
      <w:r w:rsidR="00040732">
        <w:t>e</w:t>
      </w:r>
      <w:r w:rsidR="00960C1C">
        <w:t>s</w:t>
      </w:r>
      <w:r w:rsidRPr="00172117">
        <w:t xml:space="preserve"> </w:t>
      </w:r>
      <w:r w:rsidRPr="00172117">
        <w:rPr>
          <w:b/>
          <w:bCs/>
        </w:rPr>
        <w:t>d</w:t>
      </w:r>
      <w:r w:rsidR="00064904">
        <w:rPr>
          <w:b/>
          <w:bCs/>
        </w:rPr>
        <w:t>élé</w:t>
      </w:r>
      <w:r w:rsidRPr="00172117">
        <w:rPr>
          <w:b/>
          <w:bCs/>
        </w:rPr>
        <w:t>g</w:t>
      </w:r>
      <w:r w:rsidR="00064904">
        <w:rPr>
          <w:b/>
          <w:bCs/>
        </w:rPr>
        <w:t>ué</w:t>
      </w:r>
      <w:r w:rsidR="00960C1C">
        <w:rPr>
          <w:b/>
          <w:bCs/>
        </w:rPr>
        <w:t>s</w:t>
      </w:r>
      <w:r w:rsidRPr="00172117">
        <w:rPr>
          <w:b/>
          <w:bCs/>
        </w:rPr>
        <w:t xml:space="preserve"> </w:t>
      </w:r>
      <w:r w:rsidR="00064904">
        <w:rPr>
          <w:b/>
          <w:bCs/>
        </w:rPr>
        <w:t>de la Roumanie</w:t>
      </w:r>
      <w:r w:rsidRPr="00172117">
        <w:t xml:space="preserve">, </w:t>
      </w:r>
      <w:r w:rsidR="00064904">
        <w:t>s</w:t>
      </w:r>
      <w:r w:rsidR="00926E3F">
        <w:t>'</w:t>
      </w:r>
      <w:r w:rsidR="00064904">
        <w:t>exprimant au nom de la</w:t>
      </w:r>
      <w:r w:rsidR="00064904" w:rsidRPr="00064904">
        <w:t xml:space="preserve"> Conférence européenne des administrations des postes et télécommunications </w:t>
      </w:r>
      <w:r w:rsidR="00064904">
        <w:t>(</w:t>
      </w:r>
      <w:r w:rsidRPr="00172117">
        <w:t>CEPT</w:t>
      </w:r>
      <w:r w:rsidR="00064904">
        <w:t>)</w:t>
      </w:r>
      <w:r w:rsidRPr="00172117">
        <w:t xml:space="preserve">, </w:t>
      </w:r>
      <w:r w:rsidR="00276824">
        <w:t>du</w:t>
      </w:r>
      <w:r w:rsidR="00064904">
        <w:t xml:space="preserve"> </w:t>
      </w:r>
      <w:r w:rsidRPr="00172117">
        <w:rPr>
          <w:b/>
          <w:bCs/>
        </w:rPr>
        <w:t>Canada</w:t>
      </w:r>
      <w:r w:rsidRPr="00172117">
        <w:t xml:space="preserve">, </w:t>
      </w:r>
      <w:r w:rsidR="00064904">
        <w:t>s</w:t>
      </w:r>
      <w:r w:rsidR="00926E3F">
        <w:t>'</w:t>
      </w:r>
      <w:r w:rsidR="00064904">
        <w:t xml:space="preserve">exprimant au nom de la </w:t>
      </w:r>
      <w:r w:rsidR="00064904" w:rsidRPr="00064904">
        <w:t>Commission interaméricaine des télécommunications (CITEL)</w:t>
      </w:r>
      <w:r w:rsidRPr="00172117">
        <w:t xml:space="preserve">, </w:t>
      </w:r>
      <w:r w:rsidR="00276824">
        <w:t>de</w:t>
      </w:r>
      <w:r w:rsidR="00064904">
        <w:t>s</w:t>
      </w:r>
      <w:r w:rsidRPr="00172117">
        <w:t xml:space="preserve"> </w:t>
      </w:r>
      <w:r w:rsidR="00960C1C" w:rsidRPr="00064904">
        <w:rPr>
          <w:b/>
          <w:bCs/>
        </w:rPr>
        <w:t>Émirats</w:t>
      </w:r>
      <w:r w:rsidR="00064904" w:rsidRPr="00064904">
        <w:rPr>
          <w:b/>
          <w:bCs/>
        </w:rPr>
        <w:t xml:space="preserve"> arabes unis</w:t>
      </w:r>
      <w:r w:rsidRPr="00172117">
        <w:t xml:space="preserve">, </w:t>
      </w:r>
      <w:r w:rsidR="00064904">
        <w:t>s</w:t>
      </w:r>
      <w:r w:rsidR="00926E3F">
        <w:t>'</w:t>
      </w:r>
      <w:r w:rsidR="00064904">
        <w:t xml:space="preserve">exprimant au nom du </w:t>
      </w:r>
      <w:r w:rsidR="00064904" w:rsidRPr="00064904">
        <w:t>Groupe des États arabes</w:t>
      </w:r>
      <w:r w:rsidRPr="00172117">
        <w:t xml:space="preserve">, </w:t>
      </w:r>
      <w:r w:rsidR="00276824">
        <w:t xml:space="preserve">de </w:t>
      </w:r>
      <w:r w:rsidR="00064904">
        <w:t>l</w:t>
      </w:r>
      <w:r w:rsidR="00926E3F">
        <w:t>'</w:t>
      </w:r>
      <w:r w:rsidRPr="00172117">
        <w:rPr>
          <w:b/>
          <w:bCs/>
        </w:rPr>
        <w:t>Azerba</w:t>
      </w:r>
      <w:r w:rsidR="00064904">
        <w:rPr>
          <w:b/>
          <w:bCs/>
        </w:rPr>
        <w:t>ïd</w:t>
      </w:r>
      <w:r w:rsidRPr="00172117">
        <w:rPr>
          <w:b/>
          <w:bCs/>
        </w:rPr>
        <w:t>jan</w:t>
      </w:r>
      <w:r w:rsidRPr="00172117">
        <w:t xml:space="preserve">, </w:t>
      </w:r>
      <w:r w:rsidR="00276824">
        <w:t xml:space="preserve">de </w:t>
      </w:r>
      <w:r w:rsidR="00064904">
        <w:t>la</w:t>
      </w:r>
      <w:r w:rsidRPr="00172117">
        <w:t xml:space="preserve"> </w:t>
      </w:r>
      <w:r w:rsidRPr="00172117">
        <w:rPr>
          <w:b/>
          <w:bCs/>
        </w:rPr>
        <w:t>R</w:t>
      </w:r>
      <w:r w:rsidR="00064904">
        <w:rPr>
          <w:b/>
          <w:bCs/>
        </w:rPr>
        <w:t>é</w:t>
      </w:r>
      <w:r w:rsidRPr="00172117">
        <w:rPr>
          <w:b/>
          <w:bCs/>
        </w:rPr>
        <w:t>publi</w:t>
      </w:r>
      <w:r w:rsidR="00064904">
        <w:rPr>
          <w:b/>
          <w:bCs/>
        </w:rPr>
        <w:t>que de</w:t>
      </w:r>
      <w:r w:rsidRPr="00172117">
        <w:rPr>
          <w:b/>
          <w:bCs/>
        </w:rPr>
        <w:t xml:space="preserve"> </w:t>
      </w:r>
      <w:r w:rsidR="00064904">
        <w:rPr>
          <w:b/>
          <w:bCs/>
        </w:rPr>
        <w:t>Corée</w:t>
      </w:r>
      <w:r w:rsidRPr="00172117">
        <w:t>,</w:t>
      </w:r>
      <w:r w:rsidR="00064904">
        <w:t xml:space="preserve"> </w:t>
      </w:r>
      <w:r w:rsidR="00276824">
        <w:t xml:space="preserve">de </w:t>
      </w:r>
      <w:r w:rsidR="00064904">
        <w:t>l</w:t>
      </w:r>
      <w:r w:rsidR="00926E3F">
        <w:t>'</w:t>
      </w:r>
      <w:r w:rsidR="00064904">
        <w:rPr>
          <w:b/>
          <w:bCs/>
        </w:rPr>
        <w:t>Arabie saoudite</w:t>
      </w:r>
      <w:r w:rsidRPr="00172117">
        <w:t xml:space="preserve">, </w:t>
      </w:r>
      <w:r w:rsidR="00276824">
        <w:t xml:space="preserve">de </w:t>
      </w:r>
      <w:r w:rsidR="00064904">
        <w:t xml:space="preserve">la </w:t>
      </w:r>
      <w:r w:rsidRPr="00172117">
        <w:rPr>
          <w:b/>
          <w:bCs/>
        </w:rPr>
        <w:t>Chin</w:t>
      </w:r>
      <w:r w:rsidR="00064904">
        <w:rPr>
          <w:b/>
          <w:bCs/>
        </w:rPr>
        <w:t>e</w:t>
      </w:r>
      <w:r w:rsidRPr="00172117">
        <w:t xml:space="preserve">, </w:t>
      </w:r>
      <w:r w:rsidR="00276824">
        <w:t xml:space="preserve">de </w:t>
      </w:r>
      <w:r w:rsidR="00064904">
        <w:t>l</w:t>
      </w:r>
      <w:r w:rsidR="00926E3F">
        <w:t>'</w:t>
      </w:r>
      <w:r w:rsidRPr="00172117">
        <w:rPr>
          <w:b/>
          <w:bCs/>
        </w:rPr>
        <w:t>Ind</w:t>
      </w:r>
      <w:r w:rsidR="00064904">
        <w:rPr>
          <w:b/>
          <w:bCs/>
        </w:rPr>
        <w:t>e</w:t>
      </w:r>
      <w:r w:rsidRPr="00172117">
        <w:t xml:space="preserve"> </w:t>
      </w:r>
      <w:r w:rsidR="00B839DF">
        <w:t xml:space="preserve">et </w:t>
      </w:r>
      <w:r w:rsidR="00276824">
        <w:t xml:space="preserve">de </w:t>
      </w:r>
      <w:r w:rsidR="00064904">
        <w:t>la</w:t>
      </w:r>
      <w:r w:rsidRPr="00172117">
        <w:t xml:space="preserve"> </w:t>
      </w:r>
      <w:r w:rsidRPr="00172117">
        <w:rPr>
          <w:b/>
          <w:bCs/>
        </w:rPr>
        <w:t>R</w:t>
      </w:r>
      <w:r w:rsidR="00064904">
        <w:rPr>
          <w:b/>
          <w:bCs/>
        </w:rPr>
        <w:t>é</w:t>
      </w:r>
      <w:r w:rsidRPr="00172117">
        <w:rPr>
          <w:b/>
          <w:bCs/>
        </w:rPr>
        <w:t>publi</w:t>
      </w:r>
      <w:r w:rsidR="00064904">
        <w:rPr>
          <w:b/>
          <w:bCs/>
        </w:rPr>
        <w:t>que tchèque</w:t>
      </w:r>
      <w:r w:rsidRPr="00172117">
        <w:t xml:space="preserve">, </w:t>
      </w:r>
      <w:r w:rsidR="00B839DF">
        <w:t>s</w:t>
      </w:r>
      <w:r w:rsidR="00926E3F">
        <w:t>'</w:t>
      </w:r>
      <w:r w:rsidR="00B839DF">
        <w:t>exprimant au nom de l</w:t>
      </w:r>
      <w:r w:rsidR="00926E3F">
        <w:t>'</w:t>
      </w:r>
      <w:r w:rsidR="00B839DF">
        <w:t>Union européenne</w:t>
      </w:r>
      <w:r w:rsidRPr="00172117">
        <w:t>,</w:t>
      </w:r>
      <w:r w:rsidR="00276824">
        <w:t xml:space="preserve"> d</w:t>
      </w:r>
      <w:r w:rsidR="00B839DF">
        <w:t>es</w:t>
      </w:r>
      <w:r w:rsidRPr="00172117">
        <w:t xml:space="preserve"> </w:t>
      </w:r>
      <w:r w:rsidRPr="00172117">
        <w:rPr>
          <w:b/>
          <w:bCs/>
        </w:rPr>
        <w:t>Bahamas</w:t>
      </w:r>
      <w:r w:rsidRPr="00172117">
        <w:t>,</w:t>
      </w:r>
      <w:r w:rsidR="00B839DF">
        <w:t xml:space="preserve"> </w:t>
      </w:r>
      <w:r w:rsidR="00276824">
        <w:t>du</w:t>
      </w:r>
      <w:r w:rsidRPr="00172117">
        <w:t xml:space="preserve"> </w:t>
      </w:r>
      <w:r w:rsidRPr="00172117">
        <w:rPr>
          <w:b/>
          <w:bCs/>
        </w:rPr>
        <w:t>Br</w:t>
      </w:r>
      <w:r w:rsidR="00B839DF">
        <w:rPr>
          <w:b/>
          <w:bCs/>
        </w:rPr>
        <w:t>és</w:t>
      </w:r>
      <w:r w:rsidRPr="00172117">
        <w:rPr>
          <w:b/>
          <w:bCs/>
        </w:rPr>
        <w:t>il</w:t>
      </w:r>
      <w:r w:rsidRPr="00172117">
        <w:t xml:space="preserve">, </w:t>
      </w:r>
      <w:r w:rsidR="00276824">
        <w:t>du</w:t>
      </w:r>
      <w:r w:rsidR="00B839DF">
        <w:t xml:space="preserve"> </w:t>
      </w:r>
      <w:r w:rsidRPr="00172117">
        <w:rPr>
          <w:b/>
          <w:bCs/>
        </w:rPr>
        <w:t>Nig</w:t>
      </w:r>
      <w:r w:rsidR="00B839DF">
        <w:rPr>
          <w:b/>
          <w:bCs/>
        </w:rPr>
        <w:t>ér</w:t>
      </w:r>
      <w:r w:rsidRPr="00172117">
        <w:rPr>
          <w:b/>
          <w:bCs/>
        </w:rPr>
        <w:t>ia</w:t>
      </w:r>
      <w:r w:rsidRPr="00172117">
        <w:t xml:space="preserve">, </w:t>
      </w:r>
      <w:r w:rsidR="00276824">
        <w:t xml:space="preserve">de </w:t>
      </w:r>
      <w:r w:rsidR="00B839DF">
        <w:t>l</w:t>
      </w:r>
      <w:r w:rsidR="00926E3F">
        <w:t>'</w:t>
      </w:r>
      <w:r w:rsidRPr="00172117">
        <w:rPr>
          <w:b/>
          <w:bCs/>
        </w:rPr>
        <w:t>Argentin</w:t>
      </w:r>
      <w:r w:rsidR="00276824">
        <w:rPr>
          <w:b/>
          <w:bCs/>
        </w:rPr>
        <w:t>e</w:t>
      </w:r>
      <w:r w:rsidRPr="00172117">
        <w:t xml:space="preserve">, </w:t>
      </w:r>
      <w:r w:rsidR="00276824">
        <w:t>du</w:t>
      </w:r>
      <w:r w:rsidR="00B839DF">
        <w:t xml:space="preserve"> </w:t>
      </w:r>
      <w:r w:rsidR="006D653B">
        <w:rPr>
          <w:b/>
          <w:bCs/>
        </w:rPr>
        <w:t>Mexique</w:t>
      </w:r>
      <w:r w:rsidR="006D653B">
        <w:t xml:space="preserve">, </w:t>
      </w:r>
      <w:r w:rsidR="00276824">
        <w:t>de</w:t>
      </w:r>
      <w:r w:rsidR="00B839DF">
        <w:t xml:space="preserve"> la </w:t>
      </w:r>
      <w:r w:rsidR="00B839DF" w:rsidRPr="00B839DF">
        <w:rPr>
          <w:b/>
          <w:bCs/>
        </w:rPr>
        <w:t>Papouasie-Nouvelle-Guinée</w:t>
      </w:r>
      <w:r w:rsidRPr="00172117">
        <w:t xml:space="preserve">, </w:t>
      </w:r>
      <w:r w:rsidR="00B839DF">
        <w:t>s</w:t>
      </w:r>
      <w:r w:rsidR="00926E3F">
        <w:t>'</w:t>
      </w:r>
      <w:r w:rsidR="00B839DF">
        <w:t>exprimant au nom de</w:t>
      </w:r>
      <w:r w:rsidRPr="00172117">
        <w:t xml:space="preserve"> </w:t>
      </w:r>
      <w:r w:rsidR="00B839DF">
        <w:t>la</w:t>
      </w:r>
      <w:r w:rsidR="00B839DF" w:rsidRPr="00B839DF">
        <w:t> Télécommunauté Asie-Pacifique (APT)</w:t>
      </w:r>
      <w:r w:rsidRPr="00172117">
        <w:t xml:space="preserve">, </w:t>
      </w:r>
      <w:r w:rsidR="00276824">
        <w:t xml:space="preserve">des </w:t>
      </w:r>
      <w:r w:rsidRPr="00172117">
        <w:rPr>
          <w:b/>
          <w:bCs/>
        </w:rPr>
        <w:t>Philippines</w:t>
      </w:r>
      <w:r w:rsidRPr="00172117">
        <w:t>,</w:t>
      </w:r>
      <w:r w:rsidR="00B839DF">
        <w:t xml:space="preserve"> </w:t>
      </w:r>
      <w:r w:rsidR="00276824">
        <w:t xml:space="preserve">de </w:t>
      </w:r>
      <w:r w:rsidR="00B839DF">
        <w:t>la</w:t>
      </w:r>
      <w:r w:rsidRPr="00172117">
        <w:t xml:space="preserve"> </w:t>
      </w:r>
      <w:r w:rsidRPr="00172117">
        <w:rPr>
          <w:b/>
          <w:bCs/>
        </w:rPr>
        <w:t>Jordan</w:t>
      </w:r>
      <w:r w:rsidR="00B839DF">
        <w:rPr>
          <w:b/>
          <w:bCs/>
        </w:rPr>
        <w:t>ie</w:t>
      </w:r>
      <w:r w:rsidRPr="00172117">
        <w:t xml:space="preserve">, </w:t>
      </w:r>
      <w:r w:rsidR="00276824">
        <w:t>du</w:t>
      </w:r>
      <w:r w:rsidR="00B839DF">
        <w:t xml:space="preserve"> </w:t>
      </w:r>
      <w:r w:rsidRPr="00172117">
        <w:rPr>
          <w:b/>
          <w:bCs/>
        </w:rPr>
        <w:t>Jap</w:t>
      </w:r>
      <w:r w:rsidR="00B839DF">
        <w:rPr>
          <w:b/>
          <w:bCs/>
        </w:rPr>
        <w:t>o</w:t>
      </w:r>
      <w:r w:rsidRPr="00172117">
        <w:rPr>
          <w:b/>
          <w:bCs/>
        </w:rPr>
        <w:t>n</w:t>
      </w:r>
      <w:r w:rsidRPr="00172117">
        <w:t>,</w:t>
      </w:r>
      <w:r w:rsidR="00276824">
        <w:t xml:space="preserve"> de</w:t>
      </w:r>
      <w:r w:rsidR="00B839DF">
        <w:t xml:space="preserve"> la</w:t>
      </w:r>
      <w:r w:rsidRPr="00172117">
        <w:t xml:space="preserve"> </w:t>
      </w:r>
      <w:r w:rsidRPr="00172117">
        <w:rPr>
          <w:b/>
          <w:bCs/>
        </w:rPr>
        <w:t>S</w:t>
      </w:r>
      <w:r w:rsidR="00B839DF">
        <w:rPr>
          <w:b/>
          <w:bCs/>
        </w:rPr>
        <w:t>uisse</w:t>
      </w:r>
      <w:r w:rsidRPr="00172117">
        <w:t xml:space="preserve">, </w:t>
      </w:r>
      <w:r w:rsidR="00276824">
        <w:t>du</w:t>
      </w:r>
      <w:r w:rsidR="00B839DF">
        <w:t xml:space="preserve"> </w:t>
      </w:r>
      <w:r w:rsidRPr="00172117">
        <w:rPr>
          <w:b/>
          <w:bCs/>
        </w:rPr>
        <w:t>Pakistan</w:t>
      </w:r>
      <w:r w:rsidRPr="00172117">
        <w:t xml:space="preserve">, </w:t>
      </w:r>
      <w:r w:rsidR="00276824">
        <w:t xml:space="preserve">de </w:t>
      </w:r>
      <w:r w:rsidR="00B839DF">
        <w:t>l</w:t>
      </w:r>
      <w:r w:rsidR="00926E3F">
        <w:t>'</w:t>
      </w:r>
      <w:r w:rsidRPr="00172117">
        <w:rPr>
          <w:b/>
          <w:bCs/>
        </w:rPr>
        <w:t>Austral</w:t>
      </w:r>
      <w:r w:rsidR="00B839DF">
        <w:rPr>
          <w:b/>
          <w:bCs/>
        </w:rPr>
        <w:t>ie</w:t>
      </w:r>
      <w:r w:rsidRPr="00172117">
        <w:t xml:space="preserve">, </w:t>
      </w:r>
      <w:r w:rsidR="00276824">
        <w:t xml:space="preserve">de </w:t>
      </w:r>
      <w:r w:rsidR="00B839DF">
        <w:t xml:space="preserve">la </w:t>
      </w:r>
      <w:r w:rsidRPr="00172117">
        <w:rPr>
          <w:b/>
          <w:bCs/>
        </w:rPr>
        <w:t>Tha</w:t>
      </w:r>
      <w:r w:rsidR="00B839DF">
        <w:rPr>
          <w:b/>
          <w:bCs/>
        </w:rPr>
        <w:t>ï</w:t>
      </w:r>
      <w:r w:rsidRPr="00172117">
        <w:rPr>
          <w:b/>
          <w:bCs/>
        </w:rPr>
        <w:t>land</w:t>
      </w:r>
      <w:r w:rsidR="00B839DF">
        <w:rPr>
          <w:b/>
          <w:bCs/>
        </w:rPr>
        <w:t>e</w:t>
      </w:r>
      <w:r w:rsidRPr="00172117">
        <w:t xml:space="preserve">, </w:t>
      </w:r>
      <w:r w:rsidR="00276824">
        <w:t>du</w:t>
      </w:r>
      <w:r w:rsidR="00B839DF">
        <w:t xml:space="preserve"> </w:t>
      </w:r>
      <w:r w:rsidRPr="00172117">
        <w:rPr>
          <w:b/>
          <w:bCs/>
        </w:rPr>
        <w:t>Rwanda</w:t>
      </w:r>
      <w:r w:rsidRPr="00172117">
        <w:t>,</w:t>
      </w:r>
      <w:r w:rsidR="00B839DF">
        <w:t xml:space="preserve"> </w:t>
      </w:r>
      <w:r w:rsidR="00276824">
        <w:t>du</w:t>
      </w:r>
      <w:r w:rsidR="00B839DF">
        <w:t xml:space="preserve"> </w:t>
      </w:r>
      <w:r w:rsidRPr="00172117">
        <w:rPr>
          <w:b/>
          <w:bCs/>
        </w:rPr>
        <w:t>Ghana</w:t>
      </w:r>
      <w:r w:rsidRPr="00172117">
        <w:t xml:space="preserve">, </w:t>
      </w:r>
      <w:r w:rsidR="00276824">
        <w:t>de l</w:t>
      </w:r>
      <w:r w:rsidR="00926E3F">
        <w:t>'</w:t>
      </w:r>
      <w:r w:rsidR="00276824" w:rsidRPr="00172117">
        <w:rPr>
          <w:b/>
          <w:bCs/>
        </w:rPr>
        <w:t>Égypt</w:t>
      </w:r>
      <w:r w:rsidR="00276824">
        <w:rPr>
          <w:b/>
          <w:bCs/>
        </w:rPr>
        <w:t>e</w:t>
      </w:r>
      <w:r w:rsidRPr="00172117">
        <w:t>,</w:t>
      </w:r>
      <w:r w:rsidR="00B839DF">
        <w:t xml:space="preserve"> </w:t>
      </w:r>
      <w:r w:rsidR="00276824">
        <w:t xml:space="preserve">de </w:t>
      </w:r>
      <w:r w:rsidR="00B839DF">
        <w:t>la</w:t>
      </w:r>
      <w:r w:rsidRPr="00172117">
        <w:t xml:space="preserve"> </w:t>
      </w:r>
      <w:r w:rsidRPr="00172117">
        <w:rPr>
          <w:b/>
          <w:bCs/>
        </w:rPr>
        <w:t>Colombi</w:t>
      </w:r>
      <w:r w:rsidR="00B839DF">
        <w:rPr>
          <w:b/>
          <w:bCs/>
        </w:rPr>
        <w:t>e</w:t>
      </w:r>
      <w:r w:rsidRPr="00172117">
        <w:t xml:space="preserve">, </w:t>
      </w:r>
      <w:r w:rsidR="00276824">
        <w:t xml:space="preserve">de </w:t>
      </w:r>
      <w:r w:rsidR="0004661C">
        <w:t xml:space="preserve">la </w:t>
      </w:r>
      <w:r w:rsidR="0004661C">
        <w:rPr>
          <w:b/>
        </w:rPr>
        <w:t>République sudafricaine</w:t>
      </w:r>
      <w:r w:rsidRPr="00172117">
        <w:t>,</w:t>
      </w:r>
      <w:r w:rsidR="00B839DF">
        <w:t xml:space="preserve"> </w:t>
      </w:r>
      <w:r w:rsidR="00276824">
        <w:t>du</w:t>
      </w:r>
      <w:r w:rsidRPr="00172117">
        <w:t xml:space="preserve"> </w:t>
      </w:r>
      <w:r w:rsidRPr="00172117">
        <w:rPr>
          <w:b/>
          <w:bCs/>
        </w:rPr>
        <w:t>S</w:t>
      </w:r>
      <w:r w:rsidR="00B839DF">
        <w:rPr>
          <w:b/>
          <w:bCs/>
        </w:rPr>
        <w:t>é</w:t>
      </w:r>
      <w:r w:rsidRPr="00172117">
        <w:rPr>
          <w:b/>
          <w:bCs/>
        </w:rPr>
        <w:t>n</w:t>
      </w:r>
      <w:r w:rsidR="00B839DF">
        <w:rPr>
          <w:b/>
          <w:bCs/>
        </w:rPr>
        <w:t>é</w:t>
      </w:r>
      <w:r w:rsidRPr="00172117">
        <w:rPr>
          <w:b/>
          <w:bCs/>
        </w:rPr>
        <w:t>gal</w:t>
      </w:r>
      <w:r w:rsidR="006D653B">
        <w:t xml:space="preserve">, </w:t>
      </w:r>
      <w:r w:rsidR="00276824">
        <w:t xml:space="preserve">de </w:t>
      </w:r>
      <w:r w:rsidR="00B839DF">
        <w:t>l</w:t>
      </w:r>
      <w:r w:rsidR="00926E3F">
        <w:t>'</w:t>
      </w:r>
      <w:r w:rsidR="00B839DF" w:rsidRPr="00B839DF">
        <w:rPr>
          <w:b/>
          <w:bCs/>
        </w:rPr>
        <w:t>Ou</w:t>
      </w:r>
      <w:r w:rsidR="00B839DF" w:rsidRPr="00172117">
        <w:rPr>
          <w:b/>
          <w:bCs/>
        </w:rPr>
        <w:t>zbékistan</w:t>
      </w:r>
      <w:r w:rsidRPr="00172117">
        <w:t xml:space="preserve">, </w:t>
      </w:r>
      <w:r w:rsidR="00B839DF">
        <w:t>s</w:t>
      </w:r>
      <w:r w:rsidR="00926E3F">
        <w:t>'</w:t>
      </w:r>
      <w:r w:rsidR="00B839DF">
        <w:t xml:space="preserve">exprimant également au nom du </w:t>
      </w:r>
      <w:r w:rsidR="00B839DF" w:rsidRPr="00B839DF">
        <w:t>Kirghizistan</w:t>
      </w:r>
      <w:r w:rsidRPr="00172117">
        <w:t xml:space="preserve">, </w:t>
      </w:r>
      <w:r w:rsidR="00276824">
        <w:t xml:space="preserve">de </w:t>
      </w:r>
      <w:r w:rsidR="00B839DF">
        <w:t xml:space="preserve">la </w:t>
      </w:r>
      <w:r w:rsidRPr="00172117">
        <w:rPr>
          <w:b/>
          <w:bCs/>
        </w:rPr>
        <w:t>Gambi</w:t>
      </w:r>
      <w:r w:rsidR="00B839DF">
        <w:rPr>
          <w:b/>
          <w:bCs/>
        </w:rPr>
        <w:t>e</w:t>
      </w:r>
      <w:r w:rsidRPr="00172117">
        <w:t xml:space="preserve">, </w:t>
      </w:r>
      <w:r w:rsidR="00276824">
        <w:t xml:space="preserve">de </w:t>
      </w:r>
      <w:r w:rsidR="00B839DF">
        <w:t xml:space="preserve">la </w:t>
      </w:r>
      <w:r w:rsidRPr="00172117">
        <w:rPr>
          <w:b/>
          <w:bCs/>
        </w:rPr>
        <w:t>Türkiye</w:t>
      </w:r>
      <w:r w:rsidRPr="00172117">
        <w:t xml:space="preserve">, </w:t>
      </w:r>
      <w:r w:rsidR="00276824">
        <w:t>du</w:t>
      </w:r>
      <w:r w:rsidR="00B839DF">
        <w:t xml:space="preserve"> </w:t>
      </w:r>
      <w:r w:rsidRPr="00172117">
        <w:rPr>
          <w:b/>
          <w:bCs/>
        </w:rPr>
        <w:t>B</w:t>
      </w:r>
      <w:r w:rsidR="00B839DF">
        <w:rPr>
          <w:b/>
          <w:bCs/>
        </w:rPr>
        <w:t>é</w:t>
      </w:r>
      <w:r w:rsidRPr="00172117">
        <w:rPr>
          <w:b/>
          <w:bCs/>
        </w:rPr>
        <w:t>lize</w:t>
      </w:r>
      <w:r w:rsidRPr="00172117">
        <w:t xml:space="preserve">, </w:t>
      </w:r>
      <w:r w:rsidR="00276824">
        <w:t>du</w:t>
      </w:r>
      <w:r w:rsidR="00B839DF">
        <w:t xml:space="preserve"> </w:t>
      </w:r>
      <w:r w:rsidRPr="00172117">
        <w:rPr>
          <w:b/>
          <w:bCs/>
        </w:rPr>
        <w:t>Paraguay</w:t>
      </w:r>
      <w:r w:rsidRPr="00172117">
        <w:t>,</w:t>
      </w:r>
      <w:r w:rsidR="00276824">
        <w:t xml:space="preserve"> de</w:t>
      </w:r>
      <w:r w:rsidRPr="00172117">
        <w:t xml:space="preserve"> </w:t>
      </w:r>
      <w:r w:rsidRPr="00172117">
        <w:rPr>
          <w:b/>
          <w:bCs/>
        </w:rPr>
        <w:t>Mauri</w:t>
      </w:r>
      <w:r w:rsidR="00B839DF">
        <w:rPr>
          <w:b/>
          <w:bCs/>
        </w:rPr>
        <w:t>ce</w:t>
      </w:r>
      <w:r w:rsidRPr="00172117">
        <w:t>,</w:t>
      </w:r>
      <w:r w:rsidR="00276824">
        <w:t xml:space="preserve"> de</w:t>
      </w:r>
      <w:r w:rsidRPr="00172117">
        <w:t xml:space="preserve"> </w:t>
      </w:r>
      <w:r w:rsidR="00B839DF">
        <w:t>l</w:t>
      </w:r>
      <w:r w:rsidR="00926E3F">
        <w:t>'</w:t>
      </w:r>
      <w:r w:rsidR="00B839DF">
        <w:rPr>
          <w:b/>
          <w:bCs/>
        </w:rPr>
        <w:t>Ou</w:t>
      </w:r>
      <w:r w:rsidRPr="00172117">
        <w:rPr>
          <w:b/>
          <w:bCs/>
        </w:rPr>
        <w:t>ganda</w:t>
      </w:r>
      <w:r w:rsidRPr="00172117">
        <w:t>,</w:t>
      </w:r>
      <w:r w:rsidR="00B839DF">
        <w:t xml:space="preserve"> </w:t>
      </w:r>
      <w:r w:rsidR="00276824">
        <w:t>du</w:t>
      </w:r>
      <w:r w:rsidRPr="00172117">
        <w:t xml:space="preserve"> </w:t>
      </w:r>
      <w:r w:rsidRPr="00172117">
        <w:rPr>
          <w:b/>
          <w:bCs/>
        </w:rPr>
        <w:t>Burundi</w:t>
      </w:r>
      <w:r w:rsidRPr="00172117">
        <w:t>,</w:t>
      </w:r>
      <w:r w:rsidR="00276824">
        <w:t xml:space="preserve"> de</w:t>
      </w:r>
      <w:r w:rsidRPr="00172117">
        <w:t xml:space="preserve"> </w:t>
      </w:r>
      <w:r w:rsidR="00B839DF">
        <w:t>l</w:t>
      </w:r>
      <w:r w:rsidR="00926E3F">
        <w:t>'</w:t>
      </w:r>
      <w:r w:rsidRPr="00172117">
        <w:rPr>
          <w:b/>
          <w:bCs/>
        </w:rPr>
        <w:t>Ukraine</w:t>
      </w:r>
      <w:r w:rsidRPr="00172117">
        <w:t>,</w:t>
      </w:r>
      <w:r w:rsidR="00276824">
        <w:t xml:space="preserve"> de</w:t>
      </w:r>
      <w:r w:rsidR="00B839DF">
        <w:t xml:space="preserve"> la</w:t>
      </w:r>
      <w:r w:rsidRPr="00172117">
        <w:t xml:space="preserve"> </w:t>
      </w:r>
      <w:r w:rsidRPr="00172117">
        <w:rPr>
          <w:b/>
          <w:bCs/>
        </w:rPr>
        <w:t>Somali</w:t>
      </w:r>
      <w:r w:rsidR="00B839DF">
        <w:rPr>
          <w:b/>
          <w:bCs/>
        </w:rPr>
        <w:t>e</w:t>
      </w:r>
      <w:r w:rsidRPr="00172117">
        <w:t>,</w:t>
      </w:r>
      <w:r w:rsidR="00276824">
        <w:t xml:space="preserve"> de</w:t>
      </w:r>
      <w:r w:rsidRPr="00172117">
        <w:t xml:space="preserve"> </w:t>
      </w:r>
      <w:r w:rsidR="00B839DF">
        <w:t>l</w:t>
      </w:r>
      <w:r w:rsidR="00926E3F">
        <w:rPr>
          <w:b/>
          <w:bCs/>
        </w:rPr>
        <w:t>'</w:t>
      </w:r>
      <w:r w:rsidR="00B839DF" w:rsidRPr="00B839DF">
        <w:rPr>
          <w:b/>
          <w:bCs/>
        </w:rPr>
        <w:t>État plurinational de Bolivie</w:t>
      </w:r>
      <w:r w:rsidRPr="00172117">
        <w:t>,</w:t>
      </w:r>
      <w:r w:rsidR="00276824">
        <w:t xml:space="preserve"> de</w:t>
      </w:r>
      <w:r w:rsidRPr="00172117">
        <w:t xml:space="preserve"> </w:t>
      </w:r>
      <w:r w:rsidR="00B839DF">
        <w:t>l</w:t>
      </w:r>
      <w:r w:rsidR="00926E3F">
        <w:t>'</w:t>
      </w:r>
      <w:r w:rsidR="00276824" w:rsidRPr="00172117">
        <w:rPr>
          <w:b/>
          <w:bCs/>
        </w:rPr>
        <w:t>É</w:t>
      </w:r>
      <w:r w:rsidR="00276824">
        <w:rPr>
          <w:b/>
          <w:bCs/>
        </w:rPr>
        <w:t>qu</w:t>
      </w:r>
      <w:r w:rsidR="00276824" w:rsidRPr="00172117">
        <w:rPr>
          <w:b/>
          <w:bCs/>
        </w:rPr>
        <w:t>a</w:t>
      </w:r>
      <w:r w:rsidR="00276824">
        <w:rPr>
          <w:b/>
          <w:bCs/>
        </w:rPr>
        <w:t>teu</w:t>
      </w:r>
      <w:r w:rsidR="00276824" w:rsidRPr="00172117">
        <w:rPr>
          <w:b/>
          <w:bCs/>
        </w:rPr>
        <w:t>r</w:t>
      </w:r>
      <w:r w:rsidR="006D653B">
        <w:t xml:space="preserve">, </w:t>
      </w:r>
      <w:r w:rsidR="00276824">
        <w:t xml:space="preserve">de </w:t>
      </w:r>
      <w:r w:rsidR="00B839DF">
        <w:t>l</w:t>
      </w:r>
      <w:r w:rsidR="00926E3F">
        <w:t>'</w:t>
      </w:r>
      <w:r w:rsidRPr="00172117">
        <w:rPr>
          <w:b/>
          <w:bCs/>
        </w:rPr>
        <w:t>Alg</w:t>
      </w:r>
      <w:r w:rsidR="00B839DF">
        <w:rPr>
          <w:b/>
          <w:bCs/>
        </w:rPr>
        <w:t>é</w:t>
      </w:r>
      <w:r w:rsidRPr="00172117">
        <w:rPr>
          <w:b/>
          <w:bCs/>
        </w:rPr>
        <w:t>r</w:t>
      </w:r>
      <w:r w:rsidR="00B839DF">
        <w:rPr>
          <w:b/>
          <w:bCs/>
        </w:rPr>
        <w:t>ie</w:t>
      </w:r>
      <w:r w:rsidRPr="00172117">
        <w:t xml:space="preserve">, </w:t>
      </w:r>
      <w:r w:rsidR="00B839DF">
        <w:t>s</w:t>
      </w:r>
      <w:r w:rsidR="00926E3F">
        <w:t>'</w:t>
      </w:r>
      <w:r w:rsidR="00B839DF">
        <w:t>exprimant au nom de</w:t>
      </w:r>
      <w:r w:rsidR="00B839DF" w:rsidRPr="00172117">
        <w:t xml:space="preserve"> </w:t>
      </w:r>
      <w:r w:rsidR="00B839DF">
        <w:t>l</w:t>
      </w:r>
      <w:r w:rsidR="00926E3F">
        <w:t>'</w:t>
      </w:r>
      <w:r w:rsidR="00B839DF" w:rsidRPr="00B839DF">
        <w:t>Union africaine des télécommunications (UAT</w:t>
      </w:r>
      <w:r w:rsidR="00B839DF">
        <w:t>)</w:t>
      </w:r>
      <w:r w:rsidRPr="00172117">
        <w:t xml:space="preserve">, </w:t>
      </w:r>
      <w:r w:rsidR="006D653B">
        <w:t xml:space="preserve">de </w:t>
      </w:r>
      <w:r w:rsidR="00B839DF" w:rsidRPr="00B839DF">
        <w:rPr>
          <w:b/>
          <w:bCs/>
        </w:rPr>
        <w:t>Trinité-et-</w:t>
      </w:r>
      <w:r w:rsidR="00B839DF">
        <w:rPr>
          <w:b/>
          <w:bCs/>
        </w:rPr>
        <w:t>T</w:t>
      </w:r>
      <w:r w:rsidRPr="00172117">
        <w:rPr>
          <w:b/>
          <w:bCs/>
        </w:rPr>
        <w:t>obago</w:t>
      </w:r>
      <w:r w:rsidRPr="00172117">
        <w:t xml:space="preserve">, </w:t>
      </w:r>
      <w:r w:rsidR="00B839DF">
        <w:t>s</w:t>
      </w:r>
      <w:r w:rsidR="00926E3F">
        <w:t>'</w:t>
      </w:r>
      <w:r w:rsidR="00B839DF">
        <w:t>exprimant au nom de la</w:t>
      </w:r>
      <w:r w:rsidRPr="00172117">
        <w:t xml:space="preserve"> </w:t>
      </w:r>
      <w:r w:rsidR="0004661C">
        <w:t>communauté des </w:t>
      </w:r>
      <w:r w:rsidR="00B839DF" w:rsidRPr="00B839DF">
        <w:t>Caraïbes</w:t>
      </w:r>
      <w:r w:rsidRPr="00172117">
        <w:t>,</w:t>
      </w:r>
      <w:r w:rsidR="00960C1C">
        <w:t xml:space="preserve"> de</w:t>
      </w:r>
      <w:r w:rsidRPr="00172117">
        <w:t xml:space="preserve"> </w:t>
      </w:r>
      <w:r w:rsidR="00B839DF">
        <w:t>l</w:t>
      </w:r>
      <w:r w:rsidR="00926E3F">
        <w:t>'</w:t>
      </w:r>
      <w:r w:rsidRPr="00172117">
        <w:rPr>
          <w:b/>
          <w:bCs/>
        </w:rPr>
        <w:t>Iraq</w:t>
      </w:r>
      <w:r w:rsidRPr="00172117">
        <w:t>,</w:t>
      </w:r>
      <w:r w:rsidR="00960C1C">
        <w:t xml:space="preserve"> de</w:t>
      </w:r>
      <w:r w:rsidRPr="00172117">
        <w:t xml:space="preserve"> </w:t>
      </w:r>
      <w:r w:rsidRPr="00172117">
        <w:rPr>
          <w:b/>
          <w:bCs/>
        </w:rPr>
        <w:t>Vanuatu</w:t>
      </w:r>
      <w:r w:rsidRPr="00172117">
        <w:t xml:space="preserve">, </w:t>
      </w:r>
      <w:r w:rsidR="00960C1C">
        <w:t>du</w:t>
      </w:r>
      <w:r w:rsidR="00B839DF">
        <w:t xml:space="preserve"> </w:t>
      </w:r>
      <w:r w:rsidRPr="00172117">
        <w:rPr>
          <w:b/>
          <w:bCs/>
        </w:rPr>
        <w:t>Samoa</w:t>
      </w:r>
      <w:r w:rsidRPr="00172117">
        <w:t xml:space="preserve">, </w:t>
      </w:r>
      <w:r w:rsidR="00960C1C">
        <w:t xml:space="preserve">de </w:t>
      </w:r>
      <w:r w:rsidR="00B839DF">
        <w:t>l</w:t>
      </w:r>
      <w:r w:rsidR="00926E3F">
        <w:t>'</w:t>
      </w:r>
      <w:r w:rsidRPr="00172117">
        <w:rPr>
          <w:b/>
          <w:bCs/>
        </w:rPr>
        <w:t>Uruguay</w:t>
      </w:r>
      <w:r w:rsidRPr="00172117">
        <w:t xml:space="preserve">, </w:t>
      </w:r>
      <w:r w:rsidR="00960C1C">
        <w:t xml:space="preserve">de la </w:t>
      </w:r>
      <w:r w:rsidRPr="00172117">
        <w:rPr>
          <w:b/>
          <w:bCs/>
        </w:rPr>
        <w:t>Tunisi</w:t>
      </w:r>
      <w:r w:rsidR="00960C1C">
        <w:rPr>
          <w:b/>
          <w:bCs/>
        </w:rPr>
        <w:t>e</w:t>
      </w:r>
      <w:r w:rsidRPr="00172117">
        <w:t xml:space="preserve">, </w:t>
      </w:r>
      <w:r w:rsidR="00960C1C">
        <w:t>de l</w:t>
      </w:r>
      <w:r w:rsidR="00926E3F">
        <w:t>'</w:t>
      </w:r>
      <w:r w:rsidRPr="00172117">
        <w:rPr>
          <w:b/>
          <w:bCs/>
        </w:rPr>
        <w:t>Indon</w:t>
      </w:r>
      <w:r w:rsidR="00960C1C">
        <w:rPr>
          <w:b/>
          <w:bCs/>
        </w:rPr>
        <w:t>é</w:t>
      </w:r>
      <w:r w:rsidRPr="00172117">
        <w:rPr>
          <w:b/>
          <w:bCs/>
        </w:rPr>
        <w:t>si</w:t>
      </w:r>
      <w:r w:rsidR="00960C1C">
        <w:rPr>
          <w:b/>
          <w:bCs/>
        </w:rPr>
        <w:t>e</w:t>
      </w:r>
      <w:r w:rsidRPr="00172117">
        <w:t xml:space="preserve">, </w:t>
      </w:r>
      <w:r w:rsidR="00960C1C">
        <w:t xml:space="preserve">du </w:t>
      </w:r>
      <w:r w:rsidRPr="00172117">
        <w:rPr>
          <w:b/>
          <w:bCs/>
        </w:rPr>
        <w:t>P</w:t>
      </w:r>
      <w:r w:rsidR="00960C1C">
        <w:rPr>
          <w:b/>
          <w:bCs/>
        </w:rPr>
        <w:t>é</w:t>
      </w:r>
      <w:r w:rsidRPr="00172117">
        <w:rPr>
          <w:b/>
          <w:bCs/>
        </w:rPr>
        <w:t>r</w:t>
      </w:r>
      <w:r w:rsidR="00960C1C">
        <w:rPr>
          <w:b/>
          <w:bCs/>
        </w:rPr>
        <w:t>o</w:t>
      </w:r>
      <w:r w:rsidRPr="00172117">
        <w:rPr>
          <w:b/>
          <w:bCs/>
        </w:rPr>
        <w:t>u</w:t>
      </w:r>
      <w:r w:rsidRPr="00172117">
        <w:t>,</w:t>
      </w:r>
      <w:r w:rsidR="00960C1C">
        <w:t xml:space="preserve"> de la</w:t>
      </w:r>
      <w:r w:rsidRPr="00172117">
        <w:t xml:space="preserve"> </w:t>
      </w:r>
      <w:r w:rsidRPr="00172117">
        <w:rPr>
          <w:b/>
          <w:bCs/>
        </w:rPr>
        <w:t>Mala</w:t>
      </w:r>
      <w:r w:rsidR="00960C1C">
        <w:rPr>
          <w:b/>
          <w:bCs/>
        </w:rPr>
        <w:t>isie</w:t>
      </w:r>
      <w:r w:rsidRPr="00172117">
        <w:t xml:space="preserve">, </w:t>
      </w:r>
      <w:r w:rsidR="00960C1C">
        <w:t>de la</w:t>
      </w:r>
      <w:r w:rsidRPr="00172117">
        <w:t xml:space="preserve"> </w:t>
      </w:r>
      <w:r w:rsidR="00960C1C">
        <w:rPr>
          <w:b/>
          <w:bCs/>
        </w:rPr>
        <w:t>République arabe s</w:t>
      </w:r>
      <w:r w:rsidRPr="00172117">
        <w:rPr>
          <w:b/>
          <w:bCs/>
        </w:rPr>
        <w:t>yri</w:t>
      </w:r>
      <w:r w:rsidR="00960C1C">
        <w:rPr>
          <w:b/>
          <w:bCs/>
        </w:rPr>
        <w:t>enne</w:t>
      </w:r>
      <w:r w:rsidRPr="00172117">
        <w:t xml:space="preserve">, </w:t>
      </w:r>
      <w:r w:rsidR="00960C1C">
        <w:t xml:space="preserve">de la </w:t>
      </w:r>
      <w:r w:rsidRPr="00172117">
        <w:rPr>
          <w:b/>
          <w:bCs/>
        </w:rPr>
        <w:t>Mac</w:t>
      </w:r>
      <w:r w:rsidR="00960C1C">
        <w:rPr>
          <w:b/>
          <w:bCs/>
        </w:rPr>
        <w:t>é</w:t>
      </w:r>
      <w:r w:rsidRPr="00172117">
        <w:rPr>
          <w:b/>
          <w:bCs/>
        </w:rPr>
        <w:t>do</w:t>
      </w:r>
      <w:r w:rsidR="00960C1C">
        <w:rPr>
          <w:b/>
          <w:bCs/>
        </w:rPr>
        <w:t>ine du Nord</w:t>
      </w:r>
      <w:r w:rsidRPr="00172117">
        <w:t>,</w:t>
      </w:r>
      <w:r w:rsidR="00960C1C">
        <w:t xml:space="preserve"> du</w:t>
      </w:r>
      <w:r w:rsidRPr="00172117">
        <w:t xml:space="preserve"> </w:t>
      </w:r>
      <w:r w:rsidRPr="00172117">
        <w:rPr>
          <w:b/>
          <w:bCs/>
        </w:rPr>
        <w:t>Botswana</w:t>
      </w:r>
      <w:r w:rsidRPr="00172117">
        <w:t>,</w:t>
      </w:r>
      <w:r w:rsidR="00960C1C">
        <w:t xml:space="preserve"> de la</w:t>
      </w:r>
      <w:r w:rsidRPr="00172117">
        <w:t xml:space="preserve"> </w:t>
      </w:r>
      <w:r w:rsidRPr="00172117">
        <w:rPr>
          <w:b/>
          <w:bCs/>
        </w:rPr>
        <w:t>Guin</w:t>
      </w:r>
      <w:r w:rsidR="00960C1C">
        <w:rPr>
          <w:b/>
          <w:bCs/>
        </w:rPr>
        <w:t>ée</w:t>
      </w:r>
      <w:r w:rsidRPr="00172117">
        <w:t>,</w:t>
      </w:r>
      <w:r w:rsidR="00960C1C">
        <w:t xml:space="preserve"> de la</w:t>
      </w:r>
      <w:r w:rsidRPr="00172117">
        <w:t xml:space="preserve"> </w:t>
      </w:r>
      <w:r w:rsidRPr="00172117">
        <w:rPr>
          <w:b/>
          <w:bCs/>
        </w:rPr>
        <w:t>Namibi</w:t>
      </w:r>
      <w:r w:rsidR="00960C1C">
        <w:rPr>
          <w:b/>
          <w:bCs/>
        </w:rPr>
        <w:t>e</w:t>
      </w:r>
      <w:r w:rsidRPr="00172117">
        <w:t>,</w:t>
      </w:r>
      <w:r w:rsidR="00960C1C">
        <w:t xml:space="preserve"> d</w:t>
      </w:r>
      <w:r w:rsidR="00926E3F">
        <w:t>'</w:t>
      </w:r>
      <w:r w:rsidRPr="00172117">
        <w:rPr>
          <w:b/>
          <w:bCs/>
        </w:rPr>
        <w:t>Isra</w:t>
      </w:r>
      <w:r w:rsidR="00960C1C">
        <w:rPr>
          <w:b/>
          <w:bCs/>
        </w:rPr>
        <w:t>ë</w:t>
      </w:r>
      <w:r w:rsidRPr="00172117">
        <w:rPr>
          <w:b/>
          <w:bCs/>
        </w:rPr>
        <w:t>l</w:t>
      </w:r>
      <w:r w:rsidRPr="00172117">
        <w:t>,</w:t>
      </w:r>
      <w:r w:rsidR="00960C1C">
        <w:t xml:space="preserve"> du </w:t>
      </w:r>
      <w:r w:rsidR="00960C1C">
        <w:rPr>
          <w:b/>
          <w:bCs/>
        </w:rPr>
        <w:t>Tc</w:t>
      </w:r>
      <w:r w:rsidRPr="00172117">
        <w:rPr>
          <w:b/>
          <w:bCs/>
        </w:rPr>
        <w:t>had</w:t>
      </w:r>
      <w:r w:rsidRPr="00172117">
        <w:t>,</w:t>
      </w:r>
      <w:r w:rsidR="00960C1C">
        <w:t xml:space="preserve"> du</w:t>
      </w:r>
      <w:r w:rsidRPr="00172117">
        <w:t xml:space="preserve"> </w:t>
      </w:r>
      <w:r w:rsidRPr="00172117">
        <w:rPr>
          <w:b/>
          <w:bCs/>
        </w:rPr>
        <w:t>Burkina Faso</w:t>
      </w:r>
      <w:r w:rsidRPr="00172117">
        <w:t xml:space="preserve">, </w:t>
      </w:r>
      <w:r w:rsidR="00960C1C">
        <w:t xml:space="preserve">des </w:t>
      </w:r>
      <w:r w:rsidRPr="00172117">
        <w:rPr>
          <w:b/>
          <w:bCs/>
        </w:rPr>
        <w:t>Fi</w:t>
      </w:r>
      <w:r w:rsidR="00D050D0">
        <w:rPr>
          <w:b/>
          <w:bCs/>
        </w:rPr>
        <w:t>d</w:t>
      </w:r>
      <w:r w:rsidRPr="00172117">
        <w:rPr>
          <w:b/>
          <w:bCs/>
        </w:rPr>
        <w:t>ji</w:t>
      </w:r>
      <w:r w:rsidRPr="00172117">
        <w:t>,</w:t>
      </w:r>
      <w:r w:rsidR="00960C1C">
        <w:t xml:space="preserve"> du</w:t>
      </w:r>
      <w:r w:rsidRPr="00172117">
        <w:t xml:space="preserve"> </w:t>
      </w:r>
      <w:r w:rsidRPr="00172117">
        <w:rPr>
          <w:b/>
          <w:bCs/>
        </w:rPr>
        <w:t>Lib</w:t>
      </w:r>
      <w:r w:rsidR="00960C1C">
        <w:rPr>
          <w:b/>
          <w:bCs/>
        </w:rPr>
        <w:t>é</w:t>
      </w:r>
      <w:r w:rsidRPr="00172117">
        <w:rPr>
          <w:b/>
          <w:bCs/>
        </w:rPr>
        <w:t>ria</w:t>
      </w:r>
      <w:r w:rsidRPr="00172117">
        <w:t xml:space="preserve">, </w:t>
      </w:r>
      <w:r w:rsidR="00960C1C">
        <w:t xml:space="preserve">du </w:t>
      </w:r>
      <w:r w:rsidR="00960C1C" w:rsidRPr="00960C1C">
        <w:rPr>
          <w:b/>
          <w:bCs/>
        </w:rPr>
        <w:t>Soudan du</w:t>
      </w:r>
      <w:r w:rsidR="00960C1C">
        <w:t xml:space="preserve"> </w:t>
      </w:r>
      <w:r w:rsidRPr="00172117">
        <w:rPr>
          <w:b/>
          <w:bCs/>
        </w:rPr>
        <w:t>S</w:t>
      </w:r>
      <w:r w:rsidR="00960C1C">
        <w:rPr>
          <w:b/>
          <w:bCs/>
        </w:rPr>
        <w:t>ud</w:t>
      </w:r>
      <w:r w:rsidRPr="00172117">
        <w:t xml:space="preserve"> </w:t>
      </w:r>
      <w:r w:rsidR="00B839DF">
        <w:t xml:space="preserve">et </w:t>
      </w:r>
      <w:r w:rsidR="00960C1C">
        <w:t>du</w:t>
      </w:r>
      <w:r w:rsidRPr="00172117">
        <w:t xml:space="preserve"> </w:t>
      </w:r>
      <w:r w:rsidRPr="00172117">
        <w:rPr>
          <w:b/>
          <w:bCs/>
        </w:rPr>
        <w:t>Kenya</w:t>
      </w:r>
      <w:r w:rsidR="00960C1C">
        <w:rPr>
          <w:b/>
          <w:bCs/>
        </w:rPr>
        <w:t>,</w:t>
      </w:r>
      <w:r w:rsidRPr="00172117">
        <w:t xml:space="preserve"> </w:t>
      </w:r>
      <w:r w:rsidR="00B839DF">
        <w:t xml:space="preserve">et </w:t>
      </w:r>
      <w:r w:rsidR="00960C1C">
        <w:t>l</w:t>
      </w:r>
      <w:r w:rsidR="00926E3F">
        <w:t>'</w:t>
      </w:r>
      <w:r w:rsidR="00B839DF" w:rsidRPr="00B839DF">
        <w:t>observateur de l</w:t>
      </w:r>
      <w:r w:rsidR="00926E3F">
        <w:t>'</w:t>
      </w:r>
      <w:r w:rsidR="00B839DF" w:rsidRPr="00B839DF">
        <w:rPr>
          <w:b/>
          <w:bCs/>
        </w:rPr>
        <w:t>État de Palestine</w:t>
      </w:r>
      <w:r w:rsidR="00B839DF" w:rsidRPr="00B839DF">
        <w:t xml:space="preserve"> </w:t>
      </w:r>
      <w:r w:rsidR="00B839DF">
        <w:t>félicitent chaleureusement</w:t>
      </w:r>
      <w:r w:rsidRPr="00172117">
        <w:t xml:space="preserve"> M</w:t>
      </w:r>
      <w:r w:rsidR="00B839DF">
        <w:t>me</w:t>
      </w:r>
      <w:r w:rsidR="0004661C">
        <w:t> </w:t>
      </w:r>
      <w:r w:rsidRPr="00172117">
        <w:t>Bogdan-Martin</w:t>
      </w:r>
      <w:r w:rsidR="00B839DF">
        <w:t xml:space="preserve"> pour son élection historique et l</w:t>
      </w:r>
      <w:r w:rsidR="00926E3F">
        <w:t>'</w:t>
      </w:r>
      <w:r w:rsidR="00B839DF">
        <w:t xml:space="preserve">assurent </w:t>
      </w:r>
      <w:r w:rsidR="002A57E6">
        <w:t>qu</w:t>
      </w:r>
      <w:r w:rsidR="00926E3F">
        <w:t>'</w:t>
      </w:r>
      <w:r w:rsidR="002A57E6">
        <w:t>elle peut compter sur</w:t>
      </w:r>
      <w:r w:rsidR="00B839DF">
        <w:t xml:space="preserve"> leur </w:t>
      </w:r>
      <w:r w:rsidR="002A57E6">
        <w:t xml:space="preserve">plein soutien pour concrétiser </w:t>
      </w:r>
      <w:r w:rsidR="006D653B">
        <w:t>sa</w:t>
      </w:r>
      <w:r w:rsidR="002A57E6">
        <w:t xml:space="preserve"> </w:t>
      </w:r>
      <w:r w:rsidR="006D653B" w:rsidRPr="006D653B">
        <w:t>v</w:t>
      </w:r>
      <w:r w:rsidR="002A57E6" w:rsidRPr="006D653B">
        <w:t>ision</w:t>
      </w:r>
      <w:r w:rsidR="006D653B">
        <w:t xml:space="preserve"> </w:t>
      </w:r>
      <w:r w:rsidR="00D050D0">
        <w:t>ambitieuse</w:t>
      </w:r>
      <w:r w:rsidRPr="00172117">
        <w:t xml:space="preserve">. </w:t>
      </w:r>
      <w:r w:rsidR="002A57E6">
        <w:t xml:space="preserve">De nombreux délégués </w:t>
      </w:r>
      <w:r w:rsidR="00B31DAF">
        <w:t xml:space="preserve">saisissent </w:t>
      </w:r>
      <w:r w:rsidR="002A57E6">
        <w:t xml:space="preserve">également </w:t>
      </w:r>
      <w:r w:rsidR="00B31DAF">
        <w:t>l</w:t>
      </w:r>
      <w:r w:rsidR="00926E3F">
        <w:t>'</w:t>
      </w:r>
      <w:r w:rsidR="00B31DAF">
        <w:t>occasion qui leur est offerte</w:t>
      </w:r>
      <w:r w:rsidR="002A57E6">
        <w:t xml:space="preserve"> pour féliciter le Secrétaire général sortant</w:t>
      </w:r>
      <w:r w:rsidRPr="00172117">
        <w:t>, M</w:t>
      </w:r>
      <w:r w:rsidR="002A57E6">
        <w:t>.</w:t>
      </w:r>
      <w:r w:rsidRPr="00172117">
        <w:t xml:space="preserve"> Zhao, </w:t>
      </w:r>
      <w:r w:rsidR="002A57E6">
        <w:t>pour</w:t>
      </w:r>
      <w:r w:rsidR="002A57E6" w:rsidRPr="002A57E6">
        <w:t xml:space="preserve"> </w:t>
      </w:r>
      <w:r w:rsidR="002A57E6">
        <w:t>son excellent travail à la tête de l</w:t>
      </w:r>
      <w:r w:rsidR="00926E3F">
        <w:t>'</w:t>
      </w:r>
      <w:r w:rsidR="002A57E6">
        <w:t>UIT</w:t>
      </w:r>
      <w:r w:rsidR="002A57E6" w:rsidRPr="002A57E6">
        <w:t xml:space="preserve"> et sa</w:t>
      </w:r>
      <w:r w:rsidR="002A57E6">
        <w:t xml:space="preserve"> précieuse</w:t>
      </w:r>
      <w:r w:rsidR="002A57E6" w:rsidRPr="002A57E6">
        <w:t xml:space="preserve"> contribution </w:t>
      </w:r>
      <w:r w:rsidR="002A57E6">
        <w:t>aux travaux de l</w:t>
      </w:r>
      <w:r w:rsidR="00926E3F">
        <w:t>'</w:t>
      </w:r>
      <w:r w:rsidR="002A57E6">
        <w:t>Union</w:t>
      </w:r>
      <w:r w:rsidRPr="00172117">
        <w:t xml:space="preserve">, </w:t>
      </w:r>
      <w:r w:rsidR="002A57E6">
        <w:t xml:space="preserve">et pour remercier </w:t>
      </w:r>
      <w:r w:rsidRPr="00172117">
        <w:t>M</w:t>
      </w:r>
      <w:r w:rsidR="002A57E6">
        <w:t xml:space="preserve">. </w:t>
      </w:r>
      <w:r w:rsidRPr="00172117">
        <w:t xml:space="preserve">Ismailov </w:t>
      </w:r>
      <w:r w:rsidR="004661C4">
        <w:t>de</w:t>
      </w:r>
      <w:r w:rsidR="002A57E6">
        <w:t xml:space="preserve"> l</w:t>
      </w:r>
      <w:r w:rsidR="00926E3F">
        <w:t>'</w:t>
      </w:r>
      <w:r w:rsidR="002A57E6">
        <w:t xml:space="preserve">engagement dont il a fait preuve </w:t>
      </w:r>
      <w:r w:rsidR="00D050D0">
        <w:t>envers l</w:t>
      </w:r>
      <w:r w:rsidR="00926E3F">
        <w:t>'</w:t>
      </w:r>
      <w:r w:rsidR="00D050D0">
        <w:t xml:space="preserve">UIT </w:t>
      </w:r>
      <w:r w:rsidR="004661C4">
        <w:t>au moment de</w:t>
      </w:r>
      <w:r w:rsidR="002A57E6">
        <w:t xml:space="preserve"> sa candidature et de sa campagne</w:t>
      </w:r>
      <w:r w:rsidR="00B31DAF">
        <w:t xml:space="preserve">, et </w:t>
      </w:r>
      <w:r w:rsidR="004661C4">
        <w:t>de</w:t>
      </w:r>
      <w:r w:rsidR="00B31DAF">
        <w:t xml:space="preserve"> </w:t>
      </w:r>
      <w:r w:rsidR="004661C4">
        <w:t>l</w:t>
      </w:r>
      <w:r w:rsidR="00926E3F">
        <w:t>'</w:t>
      </w:r>
      <w:r w:rsidRPr="00172117">
        <w:t>int</w:t>
      </w:r>
      <w:r w:rsidR="00B31DAF">
        <w:t>é</w:t>
      </w:r>
      <w:r w:rsidRPr="00172117">
        <w:t>grit</w:t>
      </w:r>
      <w:r w:rsidR="00B31DAF">
        <w:t xml:space="preserve">é </w:t>
      </w:r>
      <w:r w:rsidR="004661C4">
        <w:t xml:space="preserve">qui a été la sienne </w:t>
      </w:r>
      <w:r w:rsidR="00B31DAF">
        <w:t>tout au long du processus d</w:t>
      </w:r>
      <w:r w:rsidR="00926E3F">
        <w:t>'</w:t>
      </w:r>
      <w:r w:rsidR="00B31DAF">
        <w:t>élection</w:t>
      </w:r>
      <w:r w:rsidRPr="00172117">
        <w:t>.</w:t>
      </w:r>
      <w:r w:rsidR="00B31DAF">
        <w:t xml:space="preserve"> Ils souhaitent à</w:t>
      </w:r>
      <w:r w:rsidR="004661C4">
        <w:t xml:space="preserve"> ce dernier</w:t>
      </w:r>
      <w:r w:rsidRPr="00172117">
        <w:t xml:space="preserve"> </w:t>
      </w:r>
      <w:r w:rsidR="00B31DAF" w:rsidRPr="00B31DAF">
        <w:t>plein succès dans ses entreprises futures</w:t>
      </w:r>
      <w:r w:rsidRPr="00172117">
        <w:t>.</w:t>
      </w:r>
    </w:p>
    <w:p w14:paraId="76791BCC" w14:textId="42F9B5C6" w:rsidR="00724490" w:rsidRPr="00172117" w:rsidRDefault="00B31DAF" w:rsidP="00926E3F">
      <w:pPr>
        <w:rPr>
          <w:b/>
          <w:bCs/>
        </w:rPr>
      </w:pPr>
      <w:r>
        <w:rPr>
          <w:b/>
          <w:bCs/>
        </w:rPr>
        <w:t>La séance est levée à</w:t>
      </w:r>
      <w:r w:rsidR="00724490" w:rsidRPr="00172117">
        <w:rPr>
          <w:b/>
          <w:bCs/>
        </w:rPr>
        <w:t xml:space="preserve"> 12</w:t>
      </w:r>
      <w:r w:rsidR="00926E3F">
        <w:rPr>
          <w:b/>
          <w:bCs/>
        </w:rPr>
        <w:t xml:space="preserve"> </w:t>
      </w:r>
      <w:r>
        <w:rPr>
          <w:b/>
          <w:bCs/>
        </w:rPr>
        <w:t>h</w:t>
      </w:r>
      <w:r w:rsidR="00926E3F">
        <w:rPr>
          <w:b/>
          <w:bCs/>
        </w:rPr>
        <w:t xml:space="preserve"> </w:t>
      </w:r>
      <w:r w:rsidR="00724490" w:rsidRPr="00172117">
        <w:rPr>
          <w:b/>
          <w:bCs/>
        </w:rPr>
        <w:t>45.</w:t>
      </w:r>
    </w:p>
    <w:p w14:paraId="1C88DF21" w14:textId="462BEC7B" w:rsidR="00D050D0" w:rsidRPr="00D050D0" w:rsidRDefault="00B31DAF" w:rsidP="0004661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840"/>
      </w:pPr>
      <w:r>
        <w:t>Le Secrétaire géné</w:t>
      </w:r>
      <w:r w:rsidR="00724490" w:rsidRPr="00172117">
        <w:t>ral:</w:t>
      </w:r>
      <w:r w:rsidR="00724490" w:rsidRPr="00172117">
        <w:tab/>
      </w:r>
      <w:r>
        <w:t>Le Président</w:t>
      </w:r>
      <w:r w:rsidR="00724490" w:rsidRPr="00172117">
        <w:t>:</w:t>
      </w:r>
      <w:r w:rsidR="00724490" w:rsidRPr="00172117">
        <w:br/>
        <w:t>H. ZHAO</w:t>
      </w:r>
      <w:r w:rsidR="00724490" w:rsidRPr="00172117">
        <w:tab/>
        <w:t>S. SĂRMAŞ</w:t>
      </w:r>
    </w:p>
    <w:sectPr w:rsidR="00D050D0" w:rsidRPr="00D050D0" w:rsidSect="003A0B7D">
      <w:headerReference w:type="default" r:id="rId21"/>
      <w:footerReference w:type="default" r:id="rId22"/>
      <w:footerReference w:type="first" r:id="rId2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B1515" w16cex:dateUtc="2022-10-07T19:13:00Z"/>
  <w16cex:commentExtensible w16cex:durableId="26EB15ED" w16cex:dateUtc="2022-10-07T19:17:00Z"/>
  <w16cex:commentExtensible w16cex:durableId="26EB2D5E" w16cex:dateUtc="2022-10-07T20:57:00Z"/>
  <w16cex:commentExtensible w16cex:durableId="26EB2D7A" w16cex:dateUtc="2022-10-07T20:58:00Z"/>
  <w16cex:commentExtensible w16cex:durableId="26EB2DB1" w16cex:dateUtc="2022-10-07T20:58:00Z"/>
  <w16cex:commentExtensible w16cex:durableId="26EB2DD3" w16cex:dateUtc="2022-10-07T20:59:00Z"/>
  <w16cex:commentExtensible w16cex:durableId="26EB2DDD" w16cex:dateUtc="2022-10-07T20:59:00Z"/>
  <w16cex:commentExtensible w16cex:durableId="26EB2836" w16cex:dateUtc="2022-10-07T20:35:00Z"/>
  <w16cex:commentExtensible w16cex:durableId="26EB28EA" w16cex:dateUtc="2022-10-07T20:38:00Z"/>
  <w16cex:commentExtensible w16cex:durableId="26EB3376" w16cex:dateUtc="2022-10-07T2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00577C" w16cid:durableId="26EB1515"/>
  <w16cid:commentId w16cid:paraId="2928AF8C" w16cid:durableId="26EB15ED"/>
  <w16cid:commentId w16cid:paraId="60B3FA40" w16cid:durableId="26EB2D5E"/>
  <w16cid:commentId w16cid:paraId="618706BD" w16cid:durableId="26EB2D7A"/>
  <w16cid:commentId w16cid:paraId="3853206C" w16cid:durableId="26EB2DB1"/>
  <w16cid:commentId w16cid:paraId="47FC3525" w16cid:durableId="26EB2DD3"/>
  <w16cid:commentId w16cid:paraId="61A29B65" w16cid:durableId="26EB2DDD"/>
  <w16cid:commentId w16cid:paraId="66195434" w16cid:durableId="26EB2836"/>
  <w16cid:commentId w16cid:paraId="53CE81C0" w16cid:durableId="26EB28EA"/>
  <w16cid:commentId w16cid:paraId="2B1D00B5" w16cid:durableId="26EB3376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4A0A1" w14:textId="77777777" w:rsidR="00767C94" w:rsidRDefault="00767C94">
      <w:r>
        <w:separator/>
      </w:r>
    </w:p>
  </w:endnote>
  <w:endnote w:type="continuationSeparator" w:id="0">
    <w:p w14:paraId="7C2AA56B" w14:textId="77777777" w:rsidR="00767C94" w:rsidRDefault="0076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2" w:name="_Hlk116063376"/>
  <w:p w14:paraId="0F6AB7CB" w14:textId="4BCA6B0D" w:rsidR="00BB25D0" w:rsidRDefault="00926E3F" w:rsidP="00926E3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54518">
      <w:t>P:\FRA\SG\CONF-SG\PP22\100\139F.docx</w:t>
    </w:r>
    <w:r>
      <w:fldChar w:fldCharType="end"/>
    </w:r>
    <w:r w:rsidR="00BB25D0">
      <w:t xml:space="preserve"> (514018)</w:t>
    </w:r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F7C66" w14:textId="775A3476" w:rsidR="000C467B" w:rsidRDefault="000D15FB" w:rsidP="00AA54DA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6359EF" w:rsidRPr="006359EF">
        <w:rPr>
          <w:rStyle w:val="Hyperlink"/>
          <w:sz w:val="22"/>
          <w:szCs w:val="22"/>
          <w:lang w:val="en-GB"/>
        </w:rPr>
        <w:t>www.itu.int/plenipotentiary/</w:t>
      </w:r>
    </w:hyperlink>
    <w:r w:rsidR="006359EF" w:rsidRPr="006359EF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25418" w14:textId="77777777" w:rsidR="00767C94" w:rsidRDefault="00767C94">
      <w:r>
        <w:t>____________________</w:t>
      </w:r>
    </w:p>
  </w:footnote>
  <w:footnote w:type="continuationSeparator" w:id="0">
    <w:p w14:paraId="4CA95D40" w14:textId="77777777" w:rsidR="00767C94" w:rsidRDefault="0076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ED6A7" w14:textId="23F5CFB9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71D5C">
      <w:rPr>
        <w:noProof/>
      </w:rPr>
      <w:t>3</w:t>
    </w:r>
    <w:r>
      <w:fldChar w:fldCharType="end"/>
    </w:r>
  </w:p>
  <w:p w14:paraId="650D8FD2" w14:textId="46BC3A11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BB25D0">
      <w:t>139</w:t>
    </w:r>
    <w:r w:rsidR="00420EF8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28A9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6611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C21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4AC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984E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6A32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0C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04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8CD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5E2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40732"/>
    <w:rsid w:val="0004661C"/>
    <w:rsid w:val="00060D74"/>
    <w:rsid w:val="00064904"/>
    <w:rsid w:val="00072D5C"/>
    <w:rsid w:val="0008398C"/>
    <w:rsid w:val="00084308"/>
    <w:rsid w:val="000B14B6"/>
    <w:rsid w:val="000C467B"/>
    <w:rsid w:val="000D15FB"/>
    <w:rsid w:val="000D5665"/>
    <w:rsid w:val="000F58F7"/>
    <w:rsid w:val="001051E4"/>
    <w:rsid w:val="001354EA"/>
    <w:rsid w:val="00136FCE"/>
    <w:rsid w:val="00153BA4"/>
    <w:rsid w:val="00154518"/>
    <w:rsid w:val="00172117"/>
    <w:rsid w:val="001941AD"/>
    <w:rsid w:val="0019732C"/>
    <w:rsid w:val="001A0682"/>
    <w:rsid w:val="001B4D8D"/>
    <w:rsid w:val="001D31B2"/>
    <w:rsid w:val="001E1B9B"/>
    <w:rsid w:val="001E2226"/>
    <w:rsid w:val="001F6233"/>
    <w:rsid w:val="00221E23"/>
    <w:rsid w:val="002355CD"/>
    <w:rsid w:val="00270B2F"/>
    <w:rsid w:val="00276824"/>
    <w:rsid w:val="002A0E1B"/>
    <w:rsid w:val="002A57E6"/>
    <w:rsid w:val="002A7A1D"/>
    <w:rsid w:val="002A7B97"/>
    <w:rsid w:val="002C1059"/>
    <w:rsid w:val="002C2F9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04B4E"/>
    <w:rsid w:val="00420EF8"/>
    <w:rsid w:val="00430015"/>
    <w:rsid w:val="004340B4"/>
    <w:rsid w:val="004661C4"/>
    <w:rsid w:val="004678D0"/>
    <w:rsid w:val="00482954"/>
    <w:rsid w:val="004951C0"/>
    <w:rsid w:val="004C7646"/>
    <w:rsid w:val="00524001"/>
    <w:rsid w:val="00564B63"/>
    <w:rsid w:val="00575DC7"/>
    <w:rsid w:val="005836C2"/>
    <w:rsid w:val="005922D6"/>
    <w:rsid w:val="005A4EFD"/>
    <w:rsid w:val="005A5ABE"/>
    <w:rsid w:val="005B3E98"/>
    <w:rsid w:val="005C2ECC"/>
    <w:rsid w:val="005C6744"/>
    <w:rsid w:val="005E419E"/>
    <w:rsid w:val="005F63BD"/>
    <w:rsid w:val="00611CF1"/>
    <w:rsid w:val="006201D9"/>
    <w:rsid w:val="006277DB"/>
    <w:rsid w:val="006359EF"/>
    <w:rsid w:val="00635B7B"/>
    <w:rsid w:val="00655B98"/>
    <w:rsid w:val="006710E6"/>
    <w:rsid w:val="00671D5C"/>
    <w:rsid w:val="00673233"/>
    <w:rsid w:val="00686973"/>
    <w:rsid w:val="00696B2D"/>
    <w:rsid w:val="00696F2A"/>
    <w:rsid w:val="006A2656"/>
    <w:rsid w:val="006A3475"/>
    <w:rsid w:val="006A6342"/>
    <w:rsid w:val="006B6C9C"/>
    <w:rsid w:val="006C7AE3"/>
    <w:rsid w:val="006D55E8"/>
    <w:rsid w:val="006D653B"/>
    <w:rsid w:val="006E1921"/>
    <w:rsid w:val="006F36F9"/>
    <w:rsid w:val="0070576B"/>
    <w:rsid w:val="00713335"/>
    <w:rsid w:val="00724490"/>
    <w:rsid w:val="00727C2F"/>
    <w:rsid w:val="00735F13"/>
    <w:rsid w:val="007460F4"/>
    <w:rsid w:val="00767C94"/>
    <w:rsid w:val="007717F2"/>
    <w:rsid w:val="00772E3B"/>
    <w:rsid w:val="00776A53"/>
    <w:rsid w:val="0078134C"/>
    <w:rsid w:val="007A5830"/>
    <w:rsid w:val="007D21FB"/>
    <w:rsid w:val="00801256"/>
    <w:rsid w:val="008703CB"/>
    <w:rsid w:val="008B61AF"/>
    <w:rsid w:val="008C33C2"/>
    <w:rsid w:val="008C6137"/>
    <w:rsid w:val="008E2DB4"/>
    <w:rsid w:val="008F0492"/>
    <w:rsid w:val="008F6A4E"/>
    <w:rsid w:val="00901DD5"/>
    <w:rsid w:val="0090735B"/>
    <w:rsid w:val="00912D5E"/>
    <w:rsid w:val="00926E3F"/>
    <w:rsid w:val="00934340"/>
    <w:rsid w:val="00956DC7"/>
    <w:rsid w:val="00960C1C"/>
    <w:rsid w:val="00966CD3"/>
    <w:rsid w:val="00987A20"/>
    <w:rsid w:val="009A0E15"/>
    <w:rsid w:val="009D4037"/>
    <w:rsid w:val="009E641C"/>
    <w:rsid w:val="009F0592"/>
    <w:rsid w:val="00A20E72"/>
    <w:rsid w:val="00A246DC"/>
    <w:rsid w:val="00A42EB6"/>
    <w:rsid w:val="00A47BAF"/>
    <w:rsid w:val="00A542D3"/>
    <w:rsid w:val="00A5784F"/>
    <w:rsid w:val="00A8436E"/>
    <w:rsid w:val="00A95B66"/>
    <w:rsid w:val="00AA54DA"/>
    <w:rsid w:val="00AE0667"/>
    <w:rsid w:val="00B31DAF"/>
    <w:rsid w:val="00B41E0A"/>
    <w:rsid w:val="00B56DE0"/>
    <w:rsid w:val="00B71F12"/>
    <w:rsid w:val="00B76FEC"/>
    <w:rsid w:val="00B839DF"/>
    <w:rsid w:val="00B96B1E"/>
    <w:rsid w:val="00BB25D0"/>
    <w:rsid w:val="00BB2A6F"/>
    <w:rsid w:val="00BD1614"/>
    <w:rsid w:val="00BD382C"/>
    <w:rsid w:val="00BD5DA6"/>
    <w:rsid w:val="00BF7D25"/>
    <w:rsid w:val="00C010C0"/>
    <w:rsid w:val="00C40CB5"/>
    <w:rsid w:val="00C45F8F"/>
    <w:rsid w:val="00C54CE6"/>
    <w:rsid w:val="00C575E2"/>
    <w:rsid w:val="00C7368B"/>
    <w:rsid w:val="00C92746"/>
    <w:rsid w:val="00CC4DC5"/>
    <w:rsid w:val="00CE1A7C"/>
    <w:rsid w:val="00D0464B"/>
    <w:rsid w:val="00D050D0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D7255"/>
    <w:rsid w:val="00DF25C1"/>
    <w:rsid w:val="00DF48F7"/>
    <w:rsid w:val="00DF4964"/>
    <w:rsid w:val="00DF4D73"/>
    <w:rsid w:val="00DF79B0"/>
    <w:rsid w:val="00E1047D"/>
    <w:rsid w:val="00E33D82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B4089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5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359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721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211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2117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2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2117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673233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S22-PP-C-0102/fr" TargetMode="External"/><Relationship Id="rId18" Type="http://schemas.openxmlformats.org/officeDocument/2006/relationships/hyperlink" Target="https://www.itu.int/md/S22-PP-C-0102/fr" TargetMode="Externa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S22-PP-C-0100/fr" TargetMode="External"/><Relationship Id="rId17" Type="http://schemas.openxmlformats.org/officeDocument/2006/relationships/hyperlink" Target="https://www.itu.int/md/S22-PP-C-0100/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md/S22-PP-C-0099/fr" TargetMode="External"/><Relationship Id="rId20" Type="http://schemas.openxmlformats.org/officeDocument/2006/relationships/hyperlink" Target="https://pp22.itu.int/fr/itu_policy_statements/itu-sg-elect-doreen-acceptance-speech/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S22-PP-C-0099/fr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itu.int/md/S22-PP-C-0098/fr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22-PP-C-0098/fr" TargetMode="External"/><Relationship Id="rId19" Type="http://schemas.openxmlformats.org/officeDocument/2006/relationships/hyperlink" Target="https://www.itu.int/md/S22-PP-C-0110/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itu.int/md/S22-PP-C-0110/fr" TargetMode="External"/><Relationship Id="rId22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87F5-EBD7-4E92-BBF3-D0905F0B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6323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keywords/>
  <dc:description/>
  <cp:lastModifiedBy>Royer, Veronique</cp:lastModifiedBy>
  <cp:revision>6</cp:revision>
  <cp:lastPrinted>2022-10-07T21:23:00Z</cp:lastPrinted>
  <dcterms:created xsi:type="dcterms:W3CDTF">2022-10-09T09:37:00Z</dcterms:created>
  <dcterms:modified xsi:type="dcterms:W3CDTF">2022-10-09T09:55:00Z</dcterms:modified>
  <cp:category>Conference document</cp:category>
</cp:coreProperties>
</file>