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1B7347" w14:paraId="4484B0C5" w14:textId="77777777" w:rsidTr="006359EF">
        <w:trPr>
          <w:cantSplit/>
          <w:jc w:val="center"/>
        </w:trPr>
        <w:tc>
          <w:tcPr>
            <w:tcW w:w="6911" w:type="dxa"/>
          </w:tcPr>
          <w:p w14:paraId="706F5501" w14:textId="3E73A757" w:rsidR="00BD1614" w:rsidRPr="001B7347" w:rsidRDefault="00BD1614" w:rsidP="007C7A39">
            <w:pPr>
              <w:rPr>
                <w:b/>
                <w:bCs/>
                <w:position w:val="6"/>
                <w:szCs w:val="24"/>
              </w:rPr>
            </w:pPr>
            <w:bookmarkStart w:id="0" w:name="dbreak"/>
            <w:bookmarkStart w:id="1" w:name="dpp"/>
            <w:bookmarkEnd w:id="0"/>
            <w:bookmarkEnd w:id="1"/>
            <w:r w:rsidRPr="001B7347">
              <w:rPr>
                <w:rFonts w:cs="Times"/>
                <w:b/>
                <w:sz w:val="30"/>
                <w:szCs w:val="30"/>
              </w:rPr>
              <w:t>Conférence de plénipotentiaires</w:t>
            </w:r>
            <w:r w:rsidRPr="001B7347">
              <w:rPr>
                <w:b/>
                <w:smallCaps/>
                <w:sz w:val="30"/>
                <w:szCs w:val="30"/>
              </w:rPr>
              <w:t xml:space="preserve"> (PP-</w:t>
            </w:r>
            <w:r w:rsidR="002A7A1D" w:rsidRPr="001B7347">
              <w:rPr>
                <w:b/>
                <w:smallCaps/>
                <w:sz w:val="30"/>
                <w:szCs w:val="30"/>
              </w:rPr>
              <w:t>22</w:t>
            </w:r>
            <w:r w:rsidRPr="001B7347">
              <w:rPr>
                <w:b/>
                <w:smallCaps/>
                <w:sz w:val="30"/>
                <w:szCs w:val="30"/>
              </w:rPr>
              <w:t>)</w:t>
            </w:r>
            <w:r w:rsidRPr="001B7347">
              <w:rPr>
                <w:b/>
                <w:smallCaps/>
                <w:sz w:val="36"/>
              </w:rPr>
              <w:br/>
            </w:r>
            <w:r w:rsidR="002A7A1D" w:rsidRPr="001B7347">
              <w:rPr>
                <w:rFonts w:cs="Times New Roman Bold"/>
                <w:b/>
                <w:bCs/>
                <w:szCs w:val="24"/>
              </w:rPr>
              <w:t>Bucarest</w:t>
            </w:r>
            <w:r w:rsidRPr="001B7347">
              <w:rPr>
                <w:rFonts w:cs="Times New Roman Bold"/>
                <w:b/>
                <w:bCs/>
                <w:szCs w:val="24"/>
              </w:rPr>
              <w:t>, 2</w:t>
            </w:r>
            <w:r w:rsidR="002A7A1D" w:rsidRPr="001B7347">
              <w:rPr>
                <w:rFonts w:cs="Times New Roman Bold"/>
                <w:b/>
                <w:bCs/>
                <w:szCs w:val="24"/>
              </w:rPr>
              <w:t>6</w:t>
            </w:r>
            <w:r w:rsidRPr="001B7347">
              <w:rPr>
                <w:rFonts w:cs="Times New Roman Bold"/>
                <w:b/>
                <w:bCs/>
                <w:szCs w:val="24"/>
              </w:rPr>
              <w:t xml:space="preserve"> </w:t>
            </w:r>
            <w:r w:rsidR="002A7A1D" w:rsidRPr="001B7347">
              <w:rPr>
                <w:rFonts w:cs="Times New Roman Bold"/>
                <w:b/>
                <w:bCs/>
                <w:szCs w:val="24"/>
              </w:rPr>
              <w:t>septembre</w:t>
            </w:r>
            <w:r w:rsidRPr="001B7347">
              <w:rPr>
                <w:rFonts w:cs="Times New Roman Bold"/>
                <w:b/>
                <w:bCs/>
                <w:szCs w:val="24"/>
              </w:rPr>
              <w:t xml:space="preserve"> </w:t>
            </w:r>
            <w:r w:rsidR="001E2226" w:rsidRPr="001B7347">
              <w:rPr>
                <w:rFonts w:cs="Times New Roman Bold"/>
                <w:b/>
                <w:bCs/>
                <w:szCs w:val="24"/>
              </w:rPr>
              <w:t>–</w:t>
            </w:r>
            <w:r w:rsidRPr="001B7347">
              <w:rPr>
                <w:rFonts w:cs="Times New Roman Bold"/>
                <w:b/>
                <w:bCs/>
                <w:szCs w:val="24"/>
              </w:rPr>
              <w:t xml:space="preserve"> </w:t>
            </w:r>
            <w:r w:rsidR="001E2226" w:rsidRPr="001B7347">
              <w:rPr>
                <w:rFonts w:cs="Times New Roman Bold"/>
                <w:b/>
                <w:bCs/>
                <w:szCs w:val="24"/>
              </w:rPr>
              <w:t>1</w:t>
            </w:r>
            <w:r w:rsidR="002A7A1D" w:rsidRPr="001B7347">
              <w:rPr>
                <w:rFonts w:cs="Times New Roman Bold"/>
                <w:b/>
                <w:bCs/>
                <w:szCs w:val="24"/>
              </w:rPr>
              <w:t>4</w:t>
            </w:r>
            <w:r w:rsidRPr="001B7347">
              <w:rPr>
                <w:rFonts w:cs="Times New Roman Bold"/>
                <w:b/>
                <w:bCs/>
                <w:szCs w:val="24"/>
              </w:rPr>
              <w:t xml:space="preserve"> </w:t>
            </w:r>
            <w:r w:rsidR="002A7A1D" w:rsidRPr="001B7347">
              <w:rPr>
                <w:rFonts w:cs="Times New Roman Bold"/>
                <w:b/>
                <w:bCs/>
                <w:szCs w:val="24"/>
              </w:rPr>
              <w:t>octobre</w:t>
            </w:r>
            <w:r w:rsidRPr="001B7347">
              <w:rPr>
                <w:rFonts w:cs="Times New Roman Bold"/>
                <w:b/>
                <w:bCs/>
                <w:szCs w:val="24"/>
              </w:rPr>
              <w:t xml:space="preserve"> 20</w:t>
            </w:r>
            <w:r w:rsidR="002A7A1D" w:rsidRPr="001B7347">
              <w:rPr>
                <w:rFonts w:cs="Times New Roman Bold"/>
                <w:b/>
                <w:bCs/>
                <w:szCs w:val="24"/>
              </w:rPr>
              <w:t>22</w:t>
            </w:r>
          </w:p>
        </w:tc>
        <w:tc>
          <w:tcPr>
            <w:tcW w:w="3120" w:type="dxa"/>
          </w:tcPr>
          <w:p w14:paraId="7A1CF8E0" w14:textId="6FB7D25A" w:rsidR="00BD1614" w:rsidRPr="001B7347" w:rsidRDefault="002A7A1D" w:rsidP="007C7A39">
            <w:pPr>
              <w:spacing w:before="0"/>
              <w:rPr>
                <w:rFonts w:cstheme="minorHAnsi"/>
              </w:rPr>
            </w:pPr>
            <w:bookmarkStart w:id="2" w:name="ditulogo"/>
            <w:bookmarkEnd w:id="2"/>
            <w:r w:rsidRPr="001B7347">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1B7347" w14:paraId="3120A8D9" w14:textId="77777777" w:rsidTr="006359EF">
        <w:trPr>
          <w:cantSplit/>
          <w:jc w:val="center"/>
        </w:trPr>
        <w:tc>
          <w:tcPr>
            <w:tcW w:w="6911" w:type="dxa"/>
            <w:tcBorders>
              <w:bottom w:val="single" w:sz="12" w:space="0" w:color="auto"/>
            </w:tcBorders>
          </w:tcPr>
          <w:p w14:paraId="317E5819" w14:textId="77777777" w:rsidR="00BD1614" w:rsidRPr="001B7347" w:rsidRDefault="00BD1614" w:rsidP="007C7A39">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1B7347" w:rsidRDefault="00BD1614" w:rsidP="007C7A39">
            <w:pPr>
              <w:spacing w:before="0" w:after="48"/>
              <w:rPr>
                <w:rFonts w:cstheme="minorHAnsi"/>
                <w:b/>
                <w:smallCaps/>
                <w:szCs w:val="24"/>
              </w:rPr>
            </w:pPr>
          </w:p>
        </w:tc>
      </w:tr>
      <w:tr w:rsidR="00BD1614" w:rsidRPr="001B7347" w14:paraId="20A2296F" w14:textId="77777777" w:rsidTr="006359EF">
        <w:trPr>
          <w:cantSplit/>
          <w:jc w:val="center"/>
        </w:trPr>
        <w:tc>
          <w:tcPr>
            <w:tcW w:w="6911" w:type="dxa"/>
            <w:tcBorders>
              <w:top w:val="single" w:sz="12" w:space="0" w:color="auto"/>
            </w:tcBorders>
          </w:tcPr>
          <w:p w14:paraId="4CFA6027" w14:textId="77777777" w:rsidR="00BD1614" w:rsidRPr="001B7347" w:rsidRDefault="00BD1614" w:rsidP="007C7A39">
            <w:pPr>
              <w:spacing w:before="0"/>
              <w:rPr>
                <w:rFonts w:cstheme="minorHAnsi"/>
                <w:b/>
                <w:smallCaps/>
                <w:szCs w:val="24"/>
              </w:rPr>
            </w:pPr>
          </w:p>
        </w:tc>
        <w:tc>
          <w:tcPr>
            <w:tcW w:w="3120" w:type="dxa"/>
            <w:tcBorders>
              <w:top w:val="single" w:sz="12" w:space="0" w:color="auto"/>
            </w:tcBorders>
          </w:tcPr>
          <w:p w14:paraId="3C479168" w14:textId="77777777" w:rsidR="00BD1614" w:rsidRPr="001B7347" w:rsidRDefault="00BD1614" w:rsidP="007C7A39">
            <w:pPr>
              <w:spacing w:before="0"/>
              <w:rPr>
                <w:rFonts w:cstheme="minorHAnsi"/>
                <w:szCs w:val="24"/>
              </w:rPr>
            </w:pPr>
          </w:p>
        </w:tc>
      </w:tr>
      <w:tr w:rsidR="00BD1614" w:rsidRPr="001B7347" w14:paraId="5EBA9561" w14:textId="77777777" w:rsidTr="006359EF">
        <w:trPr>
          <w:cantSplit/>
          <w:jc w:val="center"/>
        </w:trPr>
        <w:tc>
          <w:tcPr>
            <w:tcW w:w="6911" w:type="dxa"/>
          </w:tcPr>
          <w:p w14:paraId="081C5B53" w14:textId="5ADEACCC" w:rsidR="00BD1614" w:rsidRPr="001B7347" w:rsidRDefault="00420EF8" w:rsidP="007C7A39">
            <w:pPr>
              <w:pStyle w:val="Committee"/>
              <w:framePr w:hSpace="0" w:wrap="auto" w:hAnchor="text" w:yAlign="inline"/>
              <w:spacing w:after="0" w:line="240" w:lineRule="auto"/>
              <w:rPr>
                <w:lang w:val="fr-FR"/>
              </w:rPr>
            </w:pPr>
            <w:r w:rsidRPr="001B7347">
              <w:rPr>
                <w:lang w:val="fr-FR"/>
              </w:rPr>
              <w:t>SÉANCE PLÉNIÈRE</w:t>
            </w:r>
          </w:p>
        </w:tc>
        <w:tc>
          <w:tcPr>
            <w:tcW w:w="3120" w:type="dxa"/>
          </w:tcPr>
          <w:p w14:paraId="42E82404" w14:textId="45E9B0B3" w:rsidR="00BD1614" w:rsidRPr="001B7347" w:rsidRDefault="00420EF8" w:rsidP="007C7A39">
            <w:pPr>
              <w:spacing w:before="0"/>
              <w:rPr>
                <w:rFonts w:cstheme="minorHAnsi"/>
                <w:szCs w:val="24"/>
              </w:rPr>
            </w:pPr>
            <w:r w:rsidRPr="001B7347">
              <w:rPr>
                <w:rFonts w:cstheme="minorHAnsi"/>
                <w:b/>
                <w:szCs w:val="24"/>
              </w:rPr>
              <w:t xml:space="preserve">Document </w:t>
            </w:r>
            <w:r w:rsidR="00630E79" w:rsidRPr="001B7347">
              <w:rPr>
                <w:rFonts w:cstheme="minorHAnsi"/>
                <w:b/>
                <w:szCs w:val="24"/>
              </w:rPr>
              <w:t>168</w:t>
            </w:r>
            <w:r w:rsidRPr="001B7347">
              <w:rPr>
                <w:rFonts w:cstheme="minorHAnsi"/>
                <w:b/>
                <w:szCs w:val="24"/>
              </w:rPr>
              <w:t>-F</w:t>
            </w:r>
          </w:p>
        </w:tc>
      </w:tr>
      <w:tr w:rsidR="00BD1614" w:rsidRPr="001B7347" w14:paraId="5C605E2F" w14:textId="77777777" w:rsidTr="006359EF">
        <w:trPr>
          <w:cantSplit/>
          <w:jc w:val="center"/>
        </w:trPr>
        <w:tc>
          <w:tcPr>
            <w:tcW w:w="6911" w:type="dxa"/>
          </w:tcPr>
          <w:p w14:paraId="3701819B" w14:textId="20A8E30E" w:rsidR="00BD1614" w:rsidRPr="001B7347" w:rsidRDefault="00BD1614" w:rsidP="007C7A39">
            <w:pPr>
              <w:spacing w:before="0"/>
              <w:rPr>
                <w:rFonts w:cstheme="minorHAnsi"/>
                <w:b/>
                <w:szCs w:val="24"/>
              </w:rPr>
            </w:pPr>
          </w:p>
        </w:tc>
        <w:tc>
          <w:tcPr>
            <w:tcW w:w="3120" w:type="dxa"/>
          </w:tcPr>
          <w:p w14:paraId="4FD5E934" w14:textId="2BCCD57A" w:rsidR="00BD1614" w:rsidRPr="001B7347" w:rsidRDefault="00630E79" w:rsidP="007C7A39">
            <w:pPr>
              <w:spacing w:before="0"/>
              <w:rPr>
                <w:rFonts w:cstheme="minorHAnsi"/>
                <w:b/>
                <w:szCs w:val="24"/>
              </w:rPr>
            </w:pPr>
            <w:r w:rsidRPr="001B7347">
              <w:rPr>
                <w:rFonts w:cstheme="minorHAnsi"/>
                <w:b/>
                <w:szCs w:val="24"/>
              </w:rPr>
              <w:t>10 octobre 2022</w:t>
            </w:r>
          </w:p>
        </w:tc>
      </w:tr>
      <w:tr w:rsidR="00BD1614" w:rsidRPr="001B7347" w14:paraId="6B2B4BC1" w14:textId="77777777" w:rsidTr="006359EF">
        <w:trPr>
          <w:cantSplit/>
          <w:jc w:val="center"/>
        </w:trPr>
        <w:tc>
          <w:tcPr>
            <w:tcW w:w="6911" w:type="dxa"/>
          </w:tcPr>
          <w:p w14:paraId="780A194C" w14:textId="77777777" w:rsidR="00BD1614" w:rsidRPr="001B7347" w:rsidRDefault="00BD1614" w:rsidP="007C7A39">
            <w:pPr>
              <w:spacing w:before="0"/>
              <w:rPr>
                <w:rFonts w:cstheme="minorHAnsi"/>
                <w:b/>
                <w:smallCaps/>
                <w:szCs w:val="24"/>
              </w:rPr>
            </w:pPr>
          </w:p>
        </w:tc>
        <w:tc>
          <w:tcPr>
            <w:tcW w:w="3120" w:type="dxa"/>
          </w:tcPr>
          <w:p w14:paraId="36796BDA" w14:textId="3D9C6896" w:rsidR="00BD1614" w:rsidRPr="001B7347" w:rsidRDefault="00420EF8" w:rsidP="007C7A39">
            <w:pPr>
              <w:spacing w:before="0"/>
              <w:rPr>
                <w:rFonts w:cstheme="minorHAnsi"/>
                <w:b/>
                <w:szCs w:val="24"/>
              </w:rPr>
            </w:pPr>
            <w:r w:rsidRPr="001B7347">
              <w:rPr>
                <w:rFonts w:cstheme="minorHAnsi"/>
                <w:b/>
                <w:szCs w:val="24"/>
              </w:rPr>
              <w:t>Original: anglais</w:t>
            </w:r>
          </w:p>
        </w:tc>
      </w:tr>
      <w:tr w:rsidR="00BD1614" w:rsidRPr="001B7347" w14:paraId="4259B884" w14:textId="77777777" w:rsidTr="006359EF">
        <w:trPr>
          <w:cantSplit/>
          <w:jc w:val="center"/>
        </w:trPr>
        <w:tc>
          <w:tcPr>
            <w:tcW w:w="10031" w:type="dxa"/>
            <w:gridSpan w:val="2"/>
          </w:tcPr>
          <w:p w14:paraId="770628D7" w14:textId="77777777" w:rsidR="00BD1614" w:rsidRPr="001B7347" w:rsidRDefault="00BD1614" w:rsidP="007C7A39">
            <w:pPr>
              <w:spacing w:before="0"/>
              <w:rPr>
                <w:rFonts w:cstheme="minorHAnsi"/>
                <w:b/>
                <w:szCs w:val="24"/>
              </w:rPr>
            </w:pPr>
          </w:p>
        </w:tc>
      </w:tr>
      <w:tr w:rsidR="00630E79" w:rsidRPr="001B7347" w14:paraId="6A9FB924" w14:textId="77777777" w:rsidTr="006359EF">
        <w:trPr>
          <w:cantSplit/>
          <w:jc w:val="center"/>
        </w:trPr>
        <w:tc>
          <w:tcPr>
            <w:tcW w:w="10031" w:type="dxa"/>
            <w:gridSpan w:val="2"/>
          </w:tcPr>
          <w:p w14:paraId="070875E6" w14:textId="6F3B078F" w:rsidR="00630E79" w:rsidRPr="001B7347" w:rsidRDefault="00630E79" w:rsidP="007C7A39">
            <w:pPr>
              <w:pStyle w:val="Source"/>
              <w:rPr>
                <w:b w:val="0"/>
                <w:bCs/>
              </w:rPr>
            </w:pPr>
            <w:bookmarkStart w:id="4" w:name="lt_pId010"/>
            <w:bookmarkStart w:id="5" w:name="dsource" w:colFirst="0" w:colLast="0"/>
            <w:bookmarkEnd w:id="3"/>
            <w:r w:rsidRPr="001B7347">
              <w:rPr>
                <w:b w:val="0"/>
                <w:bCs/>
              </w:rPr>
              <w:t>PROCÈS-VERBAL</w:t>
            </w:r>
            <w:bookmarkEnd w:id="4"/>
            <w:r w:rsidRPr="001B7347">
              <w:rPr>
                <w:b w:val="0"/>
                <w:bCs/>
              </w:rPr>
              <w:br/>
            </w:r>
            <w:bookmarkStart w:id="6" w:name="lt_pId011"/>
            <w:r w:rsidRPr="001B7347">
              <w:rPr>
                <w:b w:val="0"/>
                <w:bCs/>
              </w:rPr>
              <w:t>DE LA</w:t>
            </w:r>
            <w:bookmarkEnd w:id="6"/>
            <w:r w:rsidRPr="001B7347">
              <w:rPr>
                <w:b w:val="0"/>
                <w:bCs/>
              </w:rPr>
              <w:br/>
            </w:r>
            <w:bookmarkStart w:id="7" w:name="lt_pId012"/>
            <w:r w:rsidRPr="001B7347">
              <w:rPr>
                <w:b w:val="0"/>
                <w:bCs/>
              </w:rPr>
              <w:t>DOUZIÈME SÉANCE PLÉNIÈRE</w:t>
            </w:r>
            <w:bookmarkEnd w:id="7"/>
          </w:p>
        </w:tc>
      </w:tr>
      <w:tr w:rsidR="00630E79" w:rsidRPr="001B7347" w14:paraId="534EEA05" w14:textId="77777777" w:rsidTr="006359EF">
        <w:trPr>
          <w:cantSplit/>
          <w:jc w:val="center"/>
        </w:trPr>
        <w:tc>
          <w:tcPr>
            <w:tcW w:w="10031" w:type="dxa"/>
            <w:gridSpan w:val="2"/>
          </w:tcPr>
          <w:p w14:paraId="0C8E89F3" w14:textId="00CDC5AC" w:rsidR="00630E79" w:rsidRPr="001B7347" w:rsidRDefault="00630E79" w:rsidP="007C7A39">
            <w:pPr>
              <w:pStyle w:val="Title1"/>
            </w:pPr>
            <w:bookmarkStart w:id="8" w:name="dtitle1" w:colFirst="0" w:colLast="0"/>
            <w:bookmarkEnd w:id="5"/>
            <w:r w:rsidRPr="001B7347">
              <w:rPr>
                <w:caps w:val="0"/>
                <w:sz w:val="24"/>
                <w:szCs w:val="24"/>
              </w:rPr>
              <w:t>Jeudi 6 octobre 2022 à 16 h 10</w:t>
            </w:r>
          </w:p>
        </w:tc>
      </w:tr>
      <w:tr w:rsidR="00630E79" w:rsidRPr="001B7347" w14:paraId="37DA32CE" w14:textId="77777777" w:rsidTr="006359EF">
        <w:trPr>
          <w:cantSplit/>
          <w:jc w:val="center"/>
        </w:trPr>
        <w:tc>
          <w:tcPr>
            <w:tcW w:w="10031" w:type="dxa"/>
            <w:gridSpan w:val="2"/>
          </w:tcPr>
          <w:p w14:paraId="1574AB3E" w14:textId="7D7F08FE" w:rsidR="00630E79" w:rsidRPr="001B7347" w:rsidRDefault="00630E79" w:rsidP="007C7A39">
            <w:pPr>
              <w:pStyle w:val="Title2"/>
            </w:pPr>
            <w:bookmarkStart w:id="9" w:name="dtitle2" w:colFirst="0" w:colLast="0"/>
            <w:bookmarkEnd w:id="8"/>
            <w:r w:rsidRPr="001B7347">
              <w:rPr>
                <w:b/>
                <w:bCs/>
                <w:caps w:val="0"/>
                <w:sz w:val="24"/>
                <w:szCs w:val="24"/>
              </w:rPr>
              <w:t>Président</w:t>
            </w:r>
            <w:r w:rsidRPr="001B7347">
              <w:rPr>
                <w:caps w:val="0"/>
                <w:sz w:val="24"/>
                <w:szCs w:val="24"/>
              </w:rPr>
              <w:t>: M. S. SĂRMAȘ (Roumanie)</w:t>
            </w:r>
          </w:p>
        </w:tc>
      </w:tr>
      <w:tr w:rsidR="00BD1614" w:rsidRPr="001B7347" w14:paraId="3488B00F" w14:textId="77777777" w:rsidTr="006359EF">
        <w:trPr>
          <w:cantSplit/>
          <w:jc w:val="center"/>
        </w:trPr>
        <w:tc>
          <w:tcPr>
            <w:tcW w:w="10031" w:type="dxa"/>
            <w:gridSpan w:val="2"/>
          </w:tcPr>
          <w:p w14:paraId="48DBD50A" w14:textId="2612F372" w:rsidR="00BD1614" w:rsidRPr="001B7347" w:rsidRDefault="00BD1614" w:rsidP="007C7A39">
            <w:pPr>
              <w:pStyle w:val="Agendaitem"/>
              <w:rPr>
                <w:lang w:val="fr-FR"/>
              </w:rPr>
            </w:pPr>
            <w:bookmarkStart w:id="10" w:name="dtitle3" w:colFirst="0" w:colLast="0"/>
            <w:bookmarkEnd w:id="9"/>
          </w:p>
        </w:tc>
      </w:tr>
      <w:bookmarkEnd w:id="10"/>
    </w:tbl>
    <w:p w14:paraId="7AD6F79A" w14:textId="658D4446" w:rsidR="000D15FB" w:rsidRPr="001B7347" w:rsidRDefault="000D15FB" w:rsidP="007C7A39"/>
    <w:tbl>
      <w:tblPr>
        <w:tblW w:w="5208" w:type="pct"/>
        <w:jc w:val="center"/>
        <w:tblLook w:val="0000" w:firstRow="0" w:lastRow="0" w:firstColumn="0" w:lastColumn="0" w:noHBand="0" w:noVBand="0"/>
      </w:tblPr>
      <w:tblGrid>
        <w:gridCol w:w="567"/>
        <w:gridCol w:w="7058"/>
        <w:gridCol w:w="2421"/>
      </w:tblGrid>
      <w:tr w:rsidR="00630E79" w:rsidRPr="001B7347" w14:paraId="767CB7A3" w14:textId="77777777" w:rsidTr="00AF3121">
        <w:trPr>
          <w:jc w:val="center"/>
        </w:trPr>
        <w:tc>
          <w:tcPr>
            <w:tcW w:w="282" w:type="pct"/>
          </w:tcPr>
          <w:p w14:paraId="2E4C3436" w14:textId="59EC2553" w:rsidR="00630E79" w:rsidRPr="001B7347" w:rsidRDefault="00630E79" w:rsidP="007C7A39">
            <w:pPr>
              <w:tabs>
                <w:tab w:val="right" w:pos="9781"/>
              </w:tabs>
              <w:spacing w:before="240" w:after="120"/>
              <w:jc w:val="center"/>
              <w:rPr>
                <w:rFonts w:eastAsia="SimSun"/>
                <w:b/>
                <w:bCs/>
                <w:szCs w:val="24"/>
                <w:highlight w:val="yellow"/>
              </w:rPr>
            </w:pPr>
          </w:p>
        </w:tc>
        <w:tc>
          <w:tcPr>
            <w:tcW w:w="3513" w:type="pct"/>
          </w:tcPr>
          <w:p w14:paraId="3C7BCC9D" w14:textId="4B511466" w:rsidR="00F551A5" w:rsidRPr="001B7347" w:rsidRDefault="00630E79" w:rsidP="00403AA0">
            <w:pPr>
              <w:tabs>
                <w:tab w:val="right" w:pos="9781"/>
              </w:tabs>
              <w:spacing w:before="240" w:after="120"/>
              <w:rPr>
                <w:rFonts w:eastAsia="SimSun"/>
                <w:b/>
                <w:bCs/>
                <w:szCs w:val="24"/>
                <w:highlight w:val="yellow"/>
              </w:rPr>
            </w:pPr>
            <w:bookmarkStart w:id="11" w:name="lt_pId015"/>
            <w:r w:rsidRPr="001B7347">
              <w:rPr>
                <w:b/>
                <w:bCs/>
              </w:rPr>
              <w:t>Sujets traités</w:t>
            </w:r>
            <w:bookmarkEnd w:id="11"/>
          </w:p>
        </w:tc>
        <w:tc>
          <w:tcPr>
            <w:tcW w:w="1205" w:type="pct"/>
          </w:tcPr>
          <w:p w14:paraId="74658A6F" w14:textId="23F4C274" w:rsidR="00630E79" w:rsidRPr="001B7347" w:rsidRDefault="00630E79" w:rsidP="007C7A39">
            <w:pPr>
              <w:tabs>
                <w:tab w:val="right" w:pos="9781"/>
              </w:tabs>
              <w:spacing w:before="240" w:after="120"/>
              <w:jc w:val="center"/>
              <w:rPr>
                <w:rFonts w:eastAsia="SimSun"/>
                <w:b/>
                <w:bCs/>
                <w:szCs w:val="24"/>
              </w:rPr>
            </w:pPr>
            <w:bookmarkStart w:id="12" w:name="lt_pId016"/>
            <w:r w:rsidRPr="001B7347">
              <w:rPr>
                <w:b/>
                <w:bCs/>
              </w:rPr>
              <w:t>Documents</w:t>
            </w:r>
            <w:bookmarkEnd w:id="12"/>
          </w:p>
        </w:tc>
      </w:tr>
      <w:tr w:rsidR="00630E79" w:rsidRPr="001B7347" w14:paraId="0925188B" w14:textId="77777777" w:rsidTr="00AF3121">
        <w:trPr>
          <w:jc w:val="center"/>
        </w:trPr>
        <w:tc>
          <w:tcPr>
            <w:tcW w:w="282" w:type="pct"/>
          </w:tcPr>
          <w:p w14:paraId="299DD709" w14:textId="77777777" w:rsidR="00630E79" w:rsidRPr="001B7347" w:rsidRDefault="00630E79" w:rsidP="007C7A39">
            <w:pPr>
              <w:spacing w:after="120"/>
              <w:rPr>
                <w:rFonts w:eastAsia="SimSun"/>
                <w:szCs w:val="24"/>
              </w:rPr>
            </w:pPr>
            <w:r w:rsidRPr="001B7347">
              <w:rPr>
                <w:rFonts w:eastAsia="SimSun"/>
                <w:szCs w:val="24"/>
              </w:rPr>
              <w:t>1</w:t>
            </w:r>
          </w:p>
        </w:tc>
        <w:tc>
          <w:tcPr>
            <w:tcW w:w="3513" w:type="pct"/>
          </w:tcPr>
          <w:p w14:paraId="274F40A0" w14:textId="30549A6A" w:rsidR="00630E79" w:rsidRPr="001B7347" w:rsidRDefault="00630E79" w:rsidP="007C7A39">
            <w:pPr>
              <w:spacing w:after="120"/>
              <w:rPr>
                <w:rFonts w:eastAsia="SimSun"/>
                <w:szCs w:val="24"/>
              </w:rPr>
            </w:pPr>
            <w:r w:rsidRPr="001B7347">
              <w:rPr>
                <w:szCs w:val="24"/>
              </w:rPr>
              <w:t>Révision de la Résolution 125</w:t>
            </w:r>
          </w:p>
        </w:tc>
        <w:tc>
          <w:tcPr>
            <w:tcW w:w="1205" w:type="pct"/>
          </w:tcPr>
          <w:p w14:paraId="266EF120" w14:textId="5602E3EE" w:rsidR="00630E79" w:rsidRPr="001B7347" w:rsidRDefault="00993454" w:rsidP="007C7A39">
            <w:pPr>
              <w:spacing w:after="120"/>
              <w:jc w:val="center"/>
              <w:rPr>
                <w:rFonts w:eastAsia="SimSun"/>
                <w:szCs w:val="24"/>
              </w:rPr>
            </w:pPr>
            <w:hyperlink r:id="rId9" w:history="1">
              <w:r w:rsidR="00630E79" w:rsidRPr="001B7347">
                <w:rPr>
                  <w:rStyle w:val="Hyperlink"/>
                  <w:rFonts w:asciiTheme="minorHAnsi" w:hAnsiTheme="minorHAnsi" w:cs="Arial"/>
                  <w:szCs w:val="24"/>
                </w:rPr>
                <w:t>78(Add.9)(Rév.1)</w:t>
              </w:r>
            </w:hyperlink>
          </w:p>
        </w:tc>
      </w:tr>
      <w:tr w:rsidR="00630E79" w:rsidRPr="001B7347" w14:paraId="4C002D0C" w14:textId="77777777" w:rsidTr="00AF3121">
        <w:trPr>
          <w:jc w:val="center"/>
        </w:trPr>
        <w:tc>
          <w:tcPr>
            <w:tcW w:w="282" w:type="pct"/>
          </w:tcPr>
          <w:p w14:paraId="6F2B3DA6" w14:textId="77777777" w:rsidR="00630E79" w:rsidRPr="001B7347" w:rsidRDefault="00630E79" w:rsidP="007C7A39">
            <w:pPr>
              <w:spacing w:after="120"/>
              <w:rPr>
                <w:rFonts w:eastAsia="SimSun"/>
                <w:szCs w:val="24"/>
              </w:rPr>
            </w:pPr>
            <w:r w:rsidRPr="001B7347">
              <w:rPr>
                <w:rFonts w:eastAsia="SimSun"/>
                <w:szCs w:val="24"/>
              </w:rPr>
              <w:t>2</w:t>
            </w:r>
          </w:p>
        </w:tc>
        <w:tc>
          <w:tcPr>
            <w:tcW w:w="3513" w:type="pct"/>
          </w:tcPr>
          <w:p w14:paraId="68E8E923" w14:textId="14F6FFD7" w:rsidR="00630E79" w:rsidRPr="001B7347" w:rsidRDefault="00403AA0" w:rsidP="007C7A39">
            <w:pPr>
              <w:spacing w:after="120"/>
              <w:rPr>
                <w:rFonts w:eastAsia="SimSun"/>
                <w:szCs w:val="24"/>
              </w:rPr>
            </w:pPr>
            <w:r w:rsidRPr="001B7347">
              <w:rPr>
                <w:szCs w:val="24"/>
              </w:rPr>
              <w:t>Rapport de la Commission des pouvoirs à la séance plénière</w:t>
            </w:r>
          </w:p>
        </w:tc>
        <w:tc>
          <w:tcPr>
            <w:tcW w:w="1205" w:type="pct"/>
          </w:tcPr>
          <w:p w14:paraId="4A44C9D8" w14:textId="77777777" w:rsidR="00630E79" w:rsidRPr="001B7347" w:rsidRDefault="00993454" w:rsidP="007C7A39">
            <w:pPr>
              <w:spacing w:after="120"/>
              <w:jc w:val="center"/>
              <w:rPr>
                <w:rFonts w:eastAsia="SimSun"/>
                <w:szCs w:val="24"/>
              </w:rPr>
            </w:pPr>
            <w:hyperlink r:id="rId10" w:history="1">
              <w:r w:rsidR="00630E79" w:rsidRPr="001B7347">
                <w:rPr>
                  <w:rStyle w:val="Hyperlink"/>
                  <w:rFonts w:asciiTheme="minorHAnsi" w:eastAsiaTheme="minorEastAsia" w:hAnsiTheme="minorHAnsi" w:cstheme="minorBidi"/>
                  <w:szCs w:val="24"/>
                </w:rPr>
                <w:t>126</w:t>
              </w:r>
            </w:hyperlink>
          </w:p>
        </w:tc>
      </w:tr>
      <w:tr w:rsidR="00630E79" w:rsidRPr="001B7347" w14:paraId="603A9632" w14:textId="77777777" w:rsidTr="00AF3121">
        <w:trPr>
          <w:jc w:val="center"/>
        </w:trPr>
        <w:tc>
          <w:tcPr>
            <w:tcW w:w="282" w:type="pct"/>
          </w:tcPr>
          <w:p w14:paraId="3DCD0D6F" w14:textId="77777777" w:rsidR="00630E79" w:rsidRPr="001B7347" w:rsidRDefault="00630E79" w:rsidP="007C7A39">
            <w:pPr>
              <w:spacing w:after="120"/>
              <w:rPr>
                <w:rFonts w:eastAsia="SimSun"/>
                <w:szCs w:val="24"/>
              </w:rPr>
            </w:pPr>
            <w:r w:rsidRPr="001B7347">
              <w:rPr>
                <w:rFonts w:eastAsia="SimSun"/>
                <w:szCs w:val="24"/>
              </w:rPr>
              <w:t>3</w:t>
            </w:r>
          </w:p>
        </w:tc>
        <w:tc>
          <w:tcPr>
            <w:tcW w:w="3513" w:type="pct"/>
          </w:tcPr>
          <w:p w14:paraId="7E8940A0" w14:textId="52C2D00A" w:rsidR="00630E79" w:rsidRPr="001B7347" w:rsidRDefault="00403AA0" w:rsidP="007C7A39">
            <w:pPr>
              <w:spacing w:after="120"/>
              <w:rPr>
                <w:rFonts w:eastAsia="SimSun"/>
                <w:spacing w:val="-2"/>
                <w:szCs w:val="24"/>
              </w:rPr>
            </w:pPr>
            <w:r w:rsidRPr="001B7347">
              <w:rPr>
                <w:rFonts w:cstheme="minorHAnsi"/>
                <w:spacing w:val="-2"/>
                <w:szCs w:val="24"/>
              </w:rPr>
              <w:t>Quatrième série de textes soumis par la Commission de rédaction en première lecture (B4)</w:t>
            </w:r>
          </w:p>
        </w:tc>
        <w:tc>
          <w:tcPr>
            <w:tcW w:w="1205" w:type="pct"/>
          </w:tcPr>
          <w:p w14:paraId="72812A24" w14:textId="77777777" w:rsidR="00630E79" w:rsidRPr="001B7347" w:rsidRDefault="00993454" w:rsidP="007C7A39">
            <w:pPr>
              <w:spacing w:after="120"/>
              <w:jc w:val="center"/>
              <w:rPr>
                <w:rFonts w:eastAsia="SimSun"/>
                <w:szCs w:val="24"/>
              </w:rPr>
            </w:pPr>
            <w:hyperlink r:id="rId11" w:history="1">
              <w:r w:rsidR="00630E79" w:rsidRPr="001B7347">
                <w:rPr>
                  <w:rStyle w:val="Hyperlink"/>
                  <w:rFonts w:asciiTheme="minorHAnsi" w:eastAsiaTheme="minorEastAsia" w:hAnsiTheme="minorHAnsi" w:cstheme="minorBidi"/>
                  <w:szCs w:val="24"/>
                </w:rPr>
                <w:t>128</w:t>
              </w:r>
            </w:hyperlink>
          </w:p>
        </w:tc>
      </w:tr>
      <w:tr w:rsidR="00630E79" w:rsidRPr="001B7347" w14:paraId="3291588D" w14:textId="77777777" w:rsidTr="00AF3121">
        <w:trPr>
          <w:jc w:val="center"/>
        </w:trPr>
        <w:tc>
          <w:tcPr>
            <w:tcW w:w="282" w:type="pct"/>
          </w:tcPr>
          <w:p w14:paraId="42A0E464" w14:textId="77777777" w:rsidR="00630E79" w:rsidRPr="001B7347" w:rsidRDefault="00630E79" w:rsidP="007C7A39">
            <w:pPr>
              <w:spacing w:after="120"/>
              <w:rPr>
                <w:rFonts w:eastAsia="SimSun"/>
                <w:szCs w:val="24"/>
              </w:rPr>
            </w:pPr>
            <w:r w:rsidRPr="001B7347">
              <w:rPr>
                <w:rFonts w:eastAsia="SimSun"/>
                <w:szCs w:val="24"/>
              </w:rPr>
              <w:t>4</w:t>
            </w:r>
          </w:p>
        </w:tc>
        <w:tc>
          <w:tcPr>
            <w:tcW w:w="3513" w:type="pct"/>
          </w:tcPr>
          <w:p w14:paraId="31669D35" w14:textId="12132A6F" w:rsidR="00630E79" w:rsidRPr="001B7347" w:rsidRDefault="00403AA0" w:rsidP="007C7A39">
            <w:pPr>
              <w:spacing w:after="120"/>
              <w:rPr>
                <w:rFonts w:eastAsia="SimSun"/>
                <w:szCs w:val="24"/>
              </w:rPr>
            </w:pPr>
            <w:r w:rsidRPr="001B7347">
              <w:rPr>
                <w:rFonts w:cstheme="minorHAnsi"/>
                <w:spacing w:val="-2"/>
                <w:szCs w:val="24"/>
              </w:rPr>
              <w:t>Quatrième série de textes soumis par la Commission de rédaction – seconde lecture</w:t>
            </w:r>
          </w:p>
        </w:tc>
        <w:tc>
          <w:tcPr>
            <w:tcW w:w="1205" w:type="pct"/>
          </w:tcPr>
          <w:p w14:paraId="48A9BBAB" w14:textId="77777777" w:rsidR="00630E79" w:rsidRPr="001B7347" w:rsidRDefault="00993454" w:rsidP="007C7A39">
            <w:pPr>
              <w:spacing w:after="120"/>
              <w:jc w:val="center"/>
              <w:rPr>
                <w:rFonts w:eastAsia="SimSun"/>
                <w:szCs w:val="24"/>
              </w:rPr>
            </w:pPr>
            <w:hyperlink r:id="rId12" w:history="1">
              <w:r w:rsidR="00630E79" w:rsidRPr="001B7347">
                <w:rPr>
                  <w:rStyle w:val="Hyperlink"/>
                  <w:rFonts w:asciiTheme="minorHAnsi" w:hAnsiTheme="minorHAnsi" w:cstheme="minorBidi"/>
                  <w:szCs w:val="24"/>
                </w:rPr>
                <w:t>128</w:t>
              </w:r>
            </w:hyperlink>
          </w:p>
        </w:tc>
      </w:tr>
      <w:tr w:rsidR="00630E79" w:rsidRPr="001B7347" w14:paraId="686DBBB9" w14:textId="77777777" w:rsidTr="00AF3121">
        <w:trPr>
          <w:jc w:val="center"/>
        </w:trPr>
        <w:tc>
          <w:tcPr>
            <w:tcW w:w="282" w:type="pct"/>
          </w:tcPr>
          <w:p w14:paraId="0CFEF35D" w14:textId="77777777" w:rsidR="00630E79" w:rsidRPr="001B7347" w:rsidRDefault="00630E79" w:rsidP="007C7A39">
            <w:pPr>
              <w:spacing w:after="120"/>
              <w:rPr>
                <w:rFonts w:eastAsia="SimSun"/>
                <w:szCs w:val="24"/>
              </w:rPr>
            </w:pPr>
            <w:r w:rsidRPr="001B7347">
              <w:rPr>
                <w:rFonts w:eastAsia="SimSun"/>
                <w:szCs w:val="24"/>
              </w:rPr>
              <w:t>5</w:t>
            </w:r>
          </w:p>
        </w:tc>
        <w:tc>
          <w:tcPr>
            <w:tcW w:w="3513" w:type="pct"/>
          </w:tcPr>
          <w:p w14:paraId="2BCAFDF8" w14:textId="6B440815" w:rsidR="00630E79" w:rsidRPr="001B7347" w:rsidRDefault="00403AA0" w:rsidP="007C7A39">
            <w:pPr>
              <w:tabs>
                <w:tab w:val="left" w:pos="6"/>
                <w:tab w:val="left" w:pos="668"/>
                <w:tab w:val="left" w:pos="855"/>
              </w:tabs>
              <w:spacing w:after="120"/>
              <w:rPr>
                <w:rFonts w:eastAsia="SimSun"/>
                <w:szCs w:val="24"/>
              </w:rPr>
            </w:pPr>
            <w:r w:rsidRPr="001B7347">
              <w:rPr>
                <w:rFonts w:cstheme="minorHAnsi"/>
                <w:szCs w:val="24"/>
              </w:rPr>
              <w:t>Cinquième série de textes soumis par la Commission de rédaction en première lecture (B5)</w:t>
            </w:r>
          </w:p>
        </w:tc>
        <w:tc>
          <w:tcPr>
            <w:tcW w:w="1205" w:type="pct"/>
          </w:tcPr>
          <w:p w14:paraId="257DDC00" w14:textId="77777777" w:rsidR="00630E79" w:rsidRPr="001B7347" w:rsidRDefault="00993454" w:rsidP="007C7A39">
            <w:pPr>
              <w:spacing w:after="120"/>
              <w:jc w:val="center"/>
              <w:rPr>
                <w:rFonts w:eastAsia="SimSun"/>
                <w:szCs w:val="24"/>
              </w:rPr>
            </w:pPr>
            <w:hyperlink r:id="rId13" w:history="1">
              <w:r w:rsidR="00630E79" w:rsidRPr="001B7347">
                <w:rPr>
                  <w:rStyle w:val="Hyperlink"/>
                  <w:rFonts w:asciiTheme="minorHAnsi" w:eastAsiaTheme="minorEastAsia" w:hAnsiTheme="minorHAnsi" w:cstheme="minorBidi"/>
                  <w:szCs w:val="24"/>
                </w:rPr>
                <w:t>129</w:t>
              </w:r>
            </w:hyperlink>
          </w:p>
        </w:tc>
      </w:tr>
      <w:tr w:rsidR="00630E79" w:rsidRPr="001B7347" w14:paraId="5C1AC169" w14:textId="77777777" w:rsidTr="00AF3121">
        <w:trPr>
          <w:jc w:val="center"/>
        </w:trPr>
        <w:tc>
          <w:tcPr>
            <w:tcW w:w="282" w:type="pct"/>
          </w:tcPr>
          <w:p w14:paraId="54C78C3C" w14:textId="77777777" w:rsidR="00630E79" w:rsidRPr="001B7347" w:rsidRDefault="00630E79" w:rsidP="007C7A39">
            <w:pPr>
              <w:spacing w:after="120"/>
              <w:rPr>
                <w:rFonts w:eastAsia="SimSun"/>
                <w:szCs w:val="24"/>
              </w:rPr>
            </w:pPr>
            <w:r w:rsidRPr="001B7347">
              <w:rPr>
                <w:rFonts w:eastAsia="SimSun"/>
                <w:szCs w:val="24"/>
              </w:rPr>
              <w:t>6</w:t>
            </w:r>
          </w:p>
        </w:tc>
        <w:tc>
          <w:tcPr>
            <w:tcW w:w="3513" w:type="pct"/>
          </w:tcPr>
          <w:p w14:paraId="065BC672" w14:textId="0758C60A" w:rsidR="00630E79" w:rsidRPr="001B7347" w:rsidRDefault="00403AA0" w:rsidP="007C7A39">
            <w:pPr>
              <w:spacing w:after="120"/>
              <w:rPr>
                <w:rFonts w:eastAsia="SimSun"/>
                <w:szCs w:val="24"/>
              </w:rPr>
            </w:pPr>
            <w:r w:rsidRPr="001B7347">
              <w:rPr>
                <w:rFonts w:cstheme="minorHAnsi"/>
                <w:szCs w:val="24"/>
              </w:rPr>
              <w:t>Cinquième série de textes soumis par la Commission de rédaction – seconde lecture</w:t>
            </w:r>
          </w:p>
        </w:tc>
        <w:tc>
          <w:tcPr>
            <w:tcW w:w="1205" w:type="pct"/>
          </w:tcPr>
          <w:p w14:paraId="09D8C56E" w14:textId="77777777" w:rsidR="00630E79" w:rsidRPr="001B7347" w:rsidRDefault="00993454" w:rsidP="007C7A39">
            <w:pPr>
              <w:spacing w:after="120"/>
              <w:jc w:val="center"/>
              <w:rPr>
                <w:rFonts w:eastAsia="SimSun"/>
                <w:szCs w:val="24"/>
              </w:rPr>
            </w:pPr>
            <w:hyperlink r:id="rId14" w:history="1">
              <w:r w:rsidR="00630E79" w:rsidRPr="001B7347">
                <w:rPr>
                  <w:rStyle w:val="Hyperlink"/>
                  <w:rFonts w:asciiTheme="minorHAnsi" w:hAnsiTheme="minorHAnsi" w:cstheme="minorBidi"/>
                  <w:szCs w:val="24"/>
                </w:rPr>
                <w:t>129</w:t>
              </w:r>
            </w:hyperlink>
          </w:p>
        </w:tc>
      </w:tr>
      <w:tr w:rsidR="00630E79" w:rsidRPr="001B7347" w14:paraId="31C369EF" w14:textId="77777777" w:rsidTr="00AF3121">
        <w:trPr>
          <w:jc w:val="center"/>
        </w:trPr>
        <w:tc>
          <w:tcPr>
            <w:tcW w:w="282" w:type="pct"/>
          </w:tcPr>
          <w:p w14:paraId="097AB8AF" w14:textId="77777777" w:rsidR="00630E79" w:rsidRPr="001B7347" w:rsidRDefault="00630E79" w:rsidP="007C7A39">
            <w:pPr>
              <w:spacing w:after="120"/>
              <w:rPr>
                <w:rFonts w:eastAsia="SimSun"/>
                <w:szCs w:val="24"/>
              </w:rPr>
            </w:pPr>
            <w:r w:rsidRPr="001B7347">
              <w:rPr>
                <w:rFonts w:eastAsia="SimSun"/>
                <w:szCs w:val="24"/>
              </w:rPr>
              <w:t>7</w:t>
            </w:r>
          </w:p>
        </w:tc>
        <w:tc>
          <w:tcPr>
            <w:tcW w:w="3513" w:type="pct"/>
          </w:tcPr>
          <w:p w14:paraId="440BB564" w14:textId="7F0B71FC" w:rsidR="00630E79" w:rsidRPr="001B7347" w:rsidRDefault="00403AA0" w:rsidP="007C7A39">
            <w:pPr>
              <w:spacing w:after="120"/>
              <w:rPr>
                <w:rFonts w:eastAsia="SimSun"/>
                <w:szCs w:val="24"/>
              </w:rPr>
            </w:pPr>
            <w:r w:rsidRPr="001B7347">
              <w:rPr>
                <w:rFonts w:cstheme="minorHAnsi"/>
                <w:szCs w:val="24"/>
              </w:rPr>
              <w:t>Sixième série de textes soumis par la Commission de rédaction en première lecture (B6)</w:t>
            </w:r>
          </w:p>
        </w:tc>
        <w:tc>
          <w:tcPr>
            <w:tcW w:w="1205" w:type="pct"/>
          </w:tcPr>
          <w:p w14:paraId="103A906D" w14:textId="77777777" w:rsidR="00630E79" w:rsidRPr="001B7347" w:rsidRDefault="00993454" w:rsidP="007C7A39">
            <w:pPr>
              <w:spacing w:after="120"/>
              <w:jc w:val="center"/>
              <w:rPr>
                <w:szCs w:val="24"/>
              </w:rPr>
            </w:pPr>
            <w:hyperlink r:id="rId15" w:history="1">
              <w:r w:rsidR="00630E79" w:rsidRPr="001B7347">
                <w:rPr>
                  <w:rStyle w:val="Hyperlink"/>
                  <w:rFonts w:asciiTheme="minorHAnsi" w:eastAsiaTheme="minorEastAsia" w:hAnsiTheme="minorHAnsi" w:cstheme="minorBidi"/>
                  <w:szCs w:val="24"/>
                </w:rPr>
                <w:t>130</w:t>
              </w:r>
            </w:hyperlink>
          </w:p>
        </w:tc>
      </w:tr>
      <w:tr w:rsidR="00630E79" w:rsidRPr="001B7347" w14:paraId="20E3F63C" w14:textId="77777777" w:rsidTr="00AF3121">
        <w:trPr>
          <w:jc w:val="center"/>
        </w:trPr>
        <w:tc>
          <w:tcPr>
            <w:tcW w:w="282" w:type="pct"/>
          </w:tcPr>
          <w:p w14:paraId="30C3C27A" w14:textId="77777777" w:rsidR="00630E79" w:rsidRPr="001B7347" w:rsidRDefault="00630E79" w:rsidP="007C7A39">
            <w:pPr>
              <w:spacing w:after="120"/>
              <w:rPr>
                <w:rFonts w:eastAsia="SimSun"/>
                <w:szCs w:val="24"/>
              </w:rPr>
            </w:pPr>
            <w:r w:rsidRPr="001B7347">
              <w:rPr>
                <w:rFonts w:eastAsia="SimSun"/>
                <w:szCs w:val="24"/>
              </w:rPr>
              <w:t>8</w:t>
            </w:r>
          </w:p>
        </w:tc>
        <w:tc>
          <w:tcPr>
            <w:tcW w:w="3513" w:type="pct"/>
          </w:tcPr>
          <w:p w14:paraId="61089530" w14:textId="0849B318" w:rsidR="00630E79" w:rsidRPr="001B7347" w:rsidRDefault="00403AA0" w:rsidP="007C7A39">
            <w:pPr>
              <w:spacing w:after="120"/>
              <w:rPr>
                <w:rFonts w:eastAsia="SimSun"/>
                <w:szCs w:val="24"/>
              </w:rPr>
            </w:pPr>
            <w:r w:rsidRPr="001B7347">
              <w:rPr>
                <w:rFonts w:cstheme="minorHAnsi"/>
                <w:szCs w:val="24"/>
              </w:rPr>
              <w:t>Sixième série de textes soumis par la Commission de rédaction – seconde lecture</w:t>
            </w:r>
          </w:p>
        </w:tc>
        <w:tc>
          <w:tcPr>
            <w:tcW w:w="1205" w:type="pct"/>
          </w:tcPr>
          <w:p w14:paraId="21504E99" w14:textId="77777777" w:rsidR="00630E79" w:rsidRPr="001B7347" w:rsidRDefault="00993454" w:rsidP="007C7A39">
            <w:pPr>
              <w:spacing w:after="120"/>
              <w:jc w:val="center"/>
              <w:rPr>
                <w:szCs w:val="24"/>
              </w:rPr>
            </w:pPr>
            <w:hyperlink r:id="rId16" w:history="1">
              <w:r w:rsidR="00630E79" w:rsidRPr="001B7347">
                <w:rPr>
                  <w:rStyle w:val="Hyperlink"/>
                  <w:rFonts w:asciiTheme="minorHAnsi" w:hAnsiTheme="minorHAnsi" w:cstheme="minorBidi"/>
                  <w:szCs w:val="24"/>
                </w:rPr>
                <w:t>130</w:t>
              </w:r>
            </w:hyperlink>
          </w:p>
        </w:tc>
      </w:tr>
      <w:tr w:rsidR="00630E79" w:rsidRPr="001B7347" w14:paraId="3B4EC9E3" w14:textId="77777777" w:rsidTr="00AF3121">
        <w:trPr>
          <w:jc w:val="center"/>
        </w:trPr>
        <w:tc>
          <w:tcPr>
            <w:tcW w:w="282" w:type="pct"/>
          </w:tcPr>
          <w:p w14:paraId="646A2D8B" w14:textId="77777777" w:rsidR="00630E79" w:rsidRPr="001B7347" w:rsidRDefault="00630E79" w:rsidP="007C7A39">
            <w:pPr>
              <w:spacing w:after="120"/>
              <w:rPr>
                <w:rFonts w:eastAsia="SimSun"/>
                <w:szCs w:val="24"/>
              </w:rPr>
            </w:pPr>
            <w:r w:rsidRPr="001B7347">
              <w:rPr>
                <w:rFonts w:eastAsia="SimSun"/>
                <w:szCs w:val="24"/>
              </w:rPr>
              <w:t>9</w:t>
            </w:r>
          </w:p>
        </w:tc>
        <w:tc>
          <w:tcPr>
            <w:tcW w:w="3513" w:type="pct"/>
          </w:tcPr>
          <w:p w14:paraId="58620DDA" w14:textId="2678242D" w:rsidR="00630E79" w:rsidRPr="001B7347" w:rsidRDefault="00403AA0" w:rsidP="007C7A39">
            <w:pPr>
              <w:spacing w:after="120"/>
              <w:rPr>
                <w:rFonts w:eastAsia="SimSun"/>
                <w:spacing w:val="-4"/>
                <w:szCs w:val="24"/>
              </w:rPr>
            </w:pPr>
            <w:r w:rsidRPr="001B7347">
              <w:rPr>
                <w:rFonts w:cstheme="minorHAnsi"/>
                <w:spacing w:val="-4"/>
                <w:szCs w:val="24"/>
              </w:rPr>
              <w:t>Septième série de textes soumis par la Commission de rédaction en première lecture (B7)</w:t>
            </w:r>
          </w:p>
        </w:tc>
        <w:tc>
          <w:tcPr>
            <w:tcW w:w="1205" w:type="pct"/>
          </w:tcPr>
          <w:p w14:paraId="44BA54AA" w14:textId="77777777" w:rsidR="00630E79" w:rsidRPr="001B7347" w:rsidRDefault="00993454" w:rsidP="007C7A39">
            <w:pPr>
              <w:spacing w:after="120"/>
              <w:jc w:val="center"/>
              <w:rPr>
                <w:szCs w:val="24"/>
              </w:rPr>
            </w:pPr>
            <w:hyperlink r:id="rId17" w:history="1">
              <w:r w:rsidR="00630E79" w:rsidRPr="001B7347">
                <w:rPr>
                  <w:rStyle w:val="Hyperlink"/>
                  <w:rFonts w:asciiTheme="minorHAnsi" w:eastAsiaTheme="minorEastAsia" w:hAnsiTheme="minorHAnsi" w:cstheme="minorBidi"/>
                  <w:szCs w:val="24"/>
                </w:rPr>
                <w:t>133</w:t>
              </w:r>
            </w:hyperlink>
          </w:p>
        </w:tc>
      </w:tr>
      <w:tr w:rsidR="00630E79" w:rsidRPr="001B7347" w14:paraId="1F16ED16" w14:textId="77777777" w:rsidTr="00AF3121">
        <w:trPr>
          <w:jc w:val="center"/>
        </w:trPr>
        <w:tc>
          <w:tcPr>
            <w:tcW w:w="282" w:type="pct"/>
          </w:tcPr>
          <w:p w14:paraId="58A3D1EB" w14:textId="77777777" w:rsidR="00630E79" w:rsidRPr="001B7347" w:rsidRDefault="00630E79" w:rsidP="007C7A39">
            <w:pPr>
              <w:spacing w:after="120"/>
              <w:rPr>
                <w:rFonts w:eastAsia="SimSun"/>
                <w:szCs w:val="24"/>
              </w:rPr>
            </w:pPr>
            <w:r w:rsidRPr="001B7347">
              <w:rPr>
                <w:rFonts w:eastAsiaTheme="minorEastAsia"/>
                <w:szCs w:val="24"/>
              </w:rPr>
              <w:lastRenderedPageBreak/>
              <w:t>10</w:t>
            </w:r>
          </w:p>
        </w:tc>
        <w:tc>
          <w:tcPr>
            <w:tcW w:w="3513" w:type="pct"/>
          </w:tcPr>
          <w:p w14:paraId="1FB91704" w14:textId="5163E826" w:rsidR="00630E79" w:rsidRPr="001B7347" w:rsidRDefault="00403AA0" w:rsidP="007C7A39">
            <w:pPr>
              <w:spacing w:after="120"/>
              <w:rPr>
                <w:rFonts w:cstheme="minorHAnsi"/>
                <w:szCs w:val="24"/>
              </w:rPr>
            </w:pPr>
            <w:r w:rsidRPr="001B7347">
              <w:rPr>
                <w:rFonts w:cstheme="minorHAnsi"/>
                <w:spacing w:val="-4"/>
                <w:szCs w:val="24"/>
              </w:rPr>
              <w:t>Septième série de textes soumis par la Commission de rédaction – seconde lecture</w:t>
            </w:r>
          </w:p>
        </w:tc>
        <w:tc>
          <w:tcPr>
            <w:tcW w:w="1205" w:type="pct"/>
          </w:tcPr>
          <w:p w14:paraId="1AB4A47C" w14:textId="77777777" w:rsidR="00630E79" w:rsidRPr="001B7347" w:rsidRDefault="00993454" w:rsidP="007C7A39">
            <w:pPr>
              <w:spacing w:after="120"/>
              <w:jc w:val="center"/>
              <w:rPr>
                <w:rFonts w:eastAsiaTheme="minorEastAsia"/>
                <w:szCs w:val="24"/>
              </w:rPr>
            </w:pPr>
            <w:hyperlink r:id="rId18" w:history="1">
              <w:r w:rsidR="00630E79" w:rsidRPr="001B7347">
                <w:rPr>
                  <w:rStyle w:val="Hyperlink"/>
                  <w:rFonts w:asciiTheme="minorHAnsi" w:hAnsiTheme="minorHAnsi" w:cstheme="minorBidi"/>
                  <w:szCs w:val="24"/>
                </w:rPr>
                <w:t>133</w:t>
              </w:r>
            </w:hyperlink>
          </w:p>
        </w:tc>
      </w:tr>
      <w:tr w:rsidR="00630E79" w:rsidRPr="001B7347" w14:paraId="51522EB8" w14:textId="77777777" w:rsidTr="00AF3121">
        <w:trPr>
          <w:jc w:val="center"/>
        </w:trPr>
        <w:tc>
          <w:tcPr>
            <w:tcW w:w="282" w:type="pct"/>
          </w:tcPr>
          <w:p w14:paraId="4D9215C5" w14:textId="77777777" w:rsidR="00630E79" w:rsidRPr="001B7347" w:rsidRDefault="00630E79" w:rsidP="007C7A39">
            <w:pPr>
              <w:spacing w:after="120"/>
              <w:rPr>
                <w:rFonts w:eastAsia="SimSun"/>
                <w:szCs w:val="24"/>
              </w:rPr>
            </w:pPr>
            <w:r w:rsidRPr="001B7347">
              <w:rPr>
                <w:rFonts w:eastAsiaTheme="minorEastAsia"/>
                <w:szCs w:val="24"/>
              </w:rPr>
              <w:t>11</w:t>
            </w:r>
          </w:p>
        </w:tc>
        <w:tc>
          <w:tcPr>
            <w:tcW w:w="3513" w:type="pct"/>
          </w:tcPr>
          <w:p w14:paraId="785A09EB" w14:textId="6D290B00" w:rsidR="00630E79" w:rsidRPr="001B7347" w:rsidRDefault="00403AA0" w:rsidP="007C7A39">
            <w:pPr>
              <w:spacing w:after="120"/>
              <w:rPr>
                <w:rFonts w:cstheme="minorHAnsi"/>
                <w:spacing w:val="-2"/>
                <w:szCs w:val="24"/>
              </w:rPr>
            </w:pPr>
            <w:r w:rsidRPr="001B7347">
              <w:rPr>
                <w:rFonts w:cstheme="minorHAnsi"/>
                <w:spacing w:val="-2"/>
                <w:szCs w:val="24"/>
              </w:rPr>
              <w:t>Huitième série de textes soumis par la Commission de rédaction en première lecture (B8)</w:t>
            </w:r>
          </w:p>
        </w:tc>
        <w:tc>
          <w:tcPr>
            <w:tcW w:w="1205" w:type="pct"/>
          </w:tcPr>
          <w:p w14:paraId="313B7708" w14:textId="77777777" w:rsidR="00630E79" w:rsidRPr="001B7347" w:rsidRDefault="00993454" w:rsidP="007C7A39">
            <w:pPr>
              <w:spacing w:after="120"/>
              <w:jc w:val="center"/>
              <w:rPr>
                <w:rFonts w:eastAsiaTheme="minorEastAsia"/>
                <w:szCs w:val="24"/>
              </w:rPr>
            </w:pPr>
            <w:hyperlink r:id="rId19" w:history="1">
              <w:r w:rsidR="00630E79" w:rsidRPr="001B7347">
                <w:rPr>
                  <w:rStyle w:val="Hyperlink"/>
                  <w:rFonts w:asciiTheme="minorHAnsi" w:eastAsiaTheme="minorEastAsia" w:hAnsiTheme="minorHAnsi" w:cstheme="minorBidi"/>
                  <w:szCs w:val="24"/>
                </w:rPr>
                <w:t>134</w:t>
              </w:r>
            </w:hyperlink>
          </w:p>
        </w:tc>
      </w:tr>
      <w:tr w:rsidR="00630E79" w:rsidRPr="001B7347" w14:paraId="38E5BD63" w14:textId="77777777" w:rsidTr="00AF3121">
        <w:trPr>
          <w:jc w:val="center"/>
        </w:trPr>
        <w:tc>
          <w:tcPr>
            <w:tcW w:w="282" w:type="pct"/>
          </w:tcPr>
          <w:p w14:paraId="58D72741" w14:textId="77777777" w:rsidR="00630E79" w:rsidRPr="001B7347" w:rsidRDefault="00630E79" w:rsidP="007C7A39">
            <w:pPr>
              <w:spacing w:after="120"/>
              <w:rPr>
                <w:rFonts w:eastAsia="SimSun"/>
                <w:szCs w:val="24"/>
              </w:rPr>
            </w:pPr>
            <w:r w:rsidRPr="001B7347">
              <w:rPr>
                <w:rFonts w:eastAsiaTheme="minorEastAsia"/>
                <w:szCs w:val="24"/>
              </w:rPr>
              <w:t>12</w:t>
            </w:r>
          </w:p>
        </w:tc>
        <w:tc>
          <w:tcPr>
            <w:tcW w:w="3513" w:type="pct"/>
          </w:tcPr>
          <w:p w14:paraId="5109BD5B" w14:textId="6AA8F5BD" w:rsidR="00630E79" w:rsidRPr="001B7347" w:rsidRDefault="00403AA0" w:rsidP="007C7A39">
            <w:pPr>
              <w:spacing w:after="120"/>
              <w:rPr>
                <w:rFonts w:cstheme="minorHAnsi"/>
                <w:szCs w:val="24"/>
              </w:rPr>
            </w:pPr>
            <w:r w:rsidRPr="001B7347">
              <w:rPr>
                <w:rFonts w:cstheme="minorHAnsi"/>
                <w:spacing w:val="-2"/>
                <w:szCs w:val="24"/>
              </w:rPr>
              <w:t>Huitième série de textes soumis par la Commission de rédaction – seconde lecture</w:t>
            </w:r>
          </w:p>
        </w:tc>
        <w:tc>
          <w:tcPr>
            <w:tcW w:w="1205" w:type="pct"/>
          </w:tcPr>
          <w:p w14:paraId="7DB2369A" w14:textId="77777777" w:rsidR="00630E79" w:rsidRPr="001B7347" w:rsidRDefault="00993454" w:rsidP="007C7A39">
            <w:pPr>
              <w:spacing w:after="120"/>
              <w:jc w:val="center"/>
              <w:rPr>
                <w:rFonts w:eastAsiaTheme="minorEastAsia"/>
                <w:szCs w:val="24"/>
              </w:rPr>
            </w:pPr>
            <w:hyperlink r:id="rId20" w:history="1">
              <w:r w:rsidR="00630E79" w:rsidRPr="001B7347">
                <w:rPr>
                  <w:rStyle w:val="Hyperlink"/>
                  <w:rFonts w:asciiTheme="minorHAnsi" w:hAnsiTheme="minorHAnsi" w:cstheme="minorBidi"/>
                  <w:szCs w:val="24"/>
                </w:rPr>
                <w:t>134</w:t>
              </w:r>
            </w:hyperlink>
          </w:p>
        </w:tc>
      </w:tr>
      <w:tr w:rsidR="00630E79" w:rsidRPr="001B7347" w14:paraId="4BD28B46" w14:textId="77777777" w:rsidTr="00AF3121">
        <w:trPr>
          <w:jc w:val="center"/>
        </w:trPr>
        <w:tc>
          <w:tcPr>
            <w:tcW w:w="282" w:type="pct"/>
          </w:tcPr>
          <w:p w14:paraId="609F5A27" w14:textId="77777777" w:rsidR="00630E79" w:rsidRPr="001B7347" w:rsidRDefault="00630E79" w:rsidP="007C7A39">
            <w:pPr>
              <w:spacing w:after="120"/>
              <w:rPr>
                <w:rFonts w:eastAsia="SimSun"/>
              </w:rPr>
            </w:pPr>
            <w:r w:rsidRPr="001B7347">
              <w:rPr>
                <w:rFonts w:eastAsiaTheme="minorEastAsia"/>
              </w:rPr>
              <w:t>13</w:t>
            </w:r>
          </w:p>
        </w:tc>
        <w:tc>
          <w:tcPr>
            <w:tcW w:w="3513" w:type="pct"/>
          </w:tcPr>
          <w:p w14:paraId="5C52662E" w14:textId="770F1665" w:rsidR="00630E79" w:rsidRPr="001B7347" w:rsidRDefault="00403AA0" w:rsidP="007C7A39">
            <w:pPr>
              <w:spacing w:after="120"/>
              <w:rPr>
                <w:rFonts w:cstheme="minorHAnsi"/>
              </w:rPr>
            </w:pPr>
            <w:r w:rsidRPr="001B7347">
              <w:rPr>
                <w:rFonts w:cstheme="minorHAnsi"/>
              </w:rPr>
              <w:t>Lettre du gouvernement de la Thaïlande concernant la Conférence mondiale de développement des télécommunications de 2025 (CMDT-25)</w:t>
            </w:r>
          </w:p>
        </w:tc>
        <w:tc>
          <w:tcPr>
            <w:tcW w:w="1205" w:type="pct"/>
          </w:tcPr>
          <w:p w14:paraId="6026CEA5" w14:textId="77777777" w:rsidR="00630E79" w:rsidRPr="001B7347" w:rsidRDefault="00993454" w:rsidP="007C7A39">
            <w:pPr>
              <w:spacing w:after="120"/>
              <w:jc w:val="center"/>
              <w:rPr>
                <w:rFonts w:eastAsiaTheme="minorEastAsia"/>
                <w:szCs w:val="24"/>
              </w:rPr>
            </w:pPr>
            <w:hyperlink r:id="rId21" w:history="1">
              <w:r w:rsidR="00630E79" w:rsidRPr="001B7347">
                <w:rPr>
                  <w:rStyle w:val="Hyperlink"/>
                  <w:rFonts w:asciiTheme="minorHAnsi" w:eastAsiaTheme="minorEastAsia" w:hAnsiTheme="minorHAnsi" w:cstheme="minorBidi"/>
                  <w:szCs w:val="24"/>
                </w:rPr>
                <w:t>136</w:t>
              </w:r>
            </w:hyperlink>
          </w:p>
        </w:tc>
      </w:tr>
      <w:tr w:rsidR="00630E79" w:rsidRPr="001B7347" w14:paraId="1F8430EC" w14:textId="77777777" w:rsidTr="00AF3121">
        <w:trPr>
          <w:jc w:val="center"/>
        </w:trPr>
        <w:tc>
          <w:tcPr>
            <w:tcW w:w="282" w:type="pct"/>
          </w:tcPr>
          <w:p w14:paraId="6735D584" w14:textId="77777777" w:rsidR="00630E79" w:rsidRPr="001B7347" w:rsidRDefault="00630E79" w:rsidP="007C7A39">
            <w:pPr>
              <w:spacing w:after="120"/>
              <w:rPr>
                <w:rFonts w:eastAsia="SimSun"/>
                <w:szCs w:val="24"/>
              </w:rPr>
            </w:pPr>
            <w:r w:rsidRPr="001B7347">
              <w:rPr>
                <w:rFonts w:eastAsiaTheme="minorEastAsia"/>
                <w:szCs w:val="24"/>
              </w:rPr>
              <w:t>14</w:t>
            </w:r>
          </w:p>
        </w:tc>
        <w:tc>
          <w:tcPr>
            <w:tcW w:w="3513" w:type="pct"/>
          </w:tcPr>
          <w:p w14:paraId="174D2809" w14:textId="40C7C804" w:rsidR="00630E79" w:rsidRPr="001B7347" w:rsidRDefault="00403AA0" w:rsidP="007C7A39">
            <w:pPr>
              <w:spacing w:after="120"/>
              <w:rPr>
                <w:rFonts w:cstheme="minorHAnsi"/>
                <w:szCs w:val="24"/>
              </w:rPr>
            </w:pPr>
            <w:r w:rsidRPr="001B7347">
              <w:rPr>
                <w:rFonts w:eastAsiaTheme="minorEastAsia"/>
                <w:szCs w:val="24"/>
              </w:rPr>
              <w:t>Remise des certificats de reconnaissance</w:t>
            </w:r>
          </w:p>
        </w:tc>
        <w:tc>
          <w:tcPr>
            <w:tcW w:w="1205" w:type="pct"/>
          </w:tcPr>
          <w:p w14:paraId="06059726" w14:textId="73A5F409" w:rsidR="00630E79" w:rsidRPr="001B7347" w:rsidRDefault="0023547E" w:rsidP="007C7A39">
            <w:pPr>
              <w:spacing w:after="120"/>
              <w:jc w:val="center"/>
              <w:rPr>
                <w:rFonts w:eastAsiaTheme="minorEastAsia"/>
                <w:szCs w:val="24"/>
              </w:rPr>
            </w:pPr>
            <w:r w:rsidRPr="001B7347">
              <w:rPr>
                <w:rFonts w:eastAsiaTheme="minorEastAsia"/>
                <w:szCs w:val="24"/>
              </w:rPr>
              <w:t>–</w:t>
            </w:r>
          </w:p>
        </w:tc>
      </w:tr>
    </w:tbl>
    <w:p w14:paraId="23E5CC14" w14:textId="77777777" w:rsidR="00BD1614" w:rsidRPr="001B7347" w:rsidRDefault="00BD1614" w:rsidP="007C7A39">
      <w:pPr>
        <w:tabs>
          <w:tab w:val="clear" w:pos="567"/>
          <w:tab w:val="clear" w:pos="1134"/>
          <w:tab w:val="clear" w:pos="1701"/>
          <w:tab w:val="clear" w:pos="2268"/>
          <w:tab w:val="clear" w:pos="2835"/>
        </w:tabs>
        <w:overflowPunct/>
        <w:autoSpaceDE/>
        <w:autoSpaceDN/>
        <w:adjustRightInd/>
        <w:spacing w:before="0"/>
        <w:textAlignment w:val="auto"/>
      </w:pPr>
      <w:r w:rsidRPr="001B7347">
        <w:br w:type="page"/>
      </w:r>
    </w:p>
    <w:p w14:paraId="1A2C6D22" w14:textId="6A4A1C9B" w:rsidR="0057620D" w:rsidRPr="001B7347" w:rsidRDefault="0057620D" w:rsidP="007C7A39">
      <w:pPr>
        <w:pStyle w:val="Heading1"/>
        <w:rPr>
          <w:rFonts w:cstheme="minorHAnsi"/>
        </w:rPr>
      </w:pPr>
      <w:r w:rsidRPr="001B7347">
        <w:lastRenderedPageBreak/>
        <w:t>1</w:t>
      </w:r>
      <w:r w:rsidRPr="001B7347">
        <w:tab/>
      </w:r>
      <w:r w:rsidRPr="001B7347">
        <w:rPr>
          <w:szCs w:val="24"/>
        </w:rPr>
        <w:t>Révision de la Résolution 125</w:t>
      </w:r>
      <w:r w:rsidRPr="001B7347">
        <w:t xml:space="preserve"> (</w:t>
      </w:r>
      <w:r w:rsidRPr="001B7347">
        <w:rPr>
          <w:rFonts w:cstheme="minorHAnsi"/>
        </w:rPr>
        <w:t xml:space="preserve">Document </w:t>
      </w:r>
      <w:hyperlink r:id="rId22" w:history="1">
        <w:r w:rsidRPr="001B7347">
          <w:rPr>
            <w:rStyle w:val="Hyperlink"/>
            <w:rFonts w:asciiTheme="minorHAnsi" w:hAnsiTheme="minorHAnsi" w:cstheme="minorHAnsi"/>
            <w:sz w:val="26"/>
            <w:szCs w:val="26"/>
          </w:rPr>
          <w:t>78(Add.9)(Rév.1)</w:t>
        </w:r>
      </w:hyperlink>
      <w:r w:rsidRPr="001B7347">
        <w:rPr>
          <w:rFonts w:cstheme="minorHAnsi"/>
        </w:rPr>
        <w:t>)</w:t>
      </w:r>
    </w:p>
    <w:p w14:paraId="35637E9B" w14:textId="3C5E4559" w:rsidR="0057620D" w:rsidRPr="001B7347" w:rsidRDefault="00961242" w:rsidP="00EB13B8">
      <w:pPr>
        <w:pStyle w:val="Headingb"/>
        <w:ind w:left="0" w:firstLine="0"/>
      </w:pPr>
      <w:r w:rsidRPr="001B7347">
        <w:t xml:space="preserve">Projet de révision de la </w:t>
      </w:r>
      <w:r w:rsidR="0057620D" w:rsidRPr="001B7347">
        <w:t xml:space="preserve">Résolution 125 (Rév. Bucarest, 2022) – </w:t>
      </w:r>
      <w:bookmarkStart w:id="13" w:name="_Toc407016223"/>
      <w:r w:rsidR="0057620D" w:rsidRPr="001B7347">
        <w:t xml:space="preserve">Assistance et appui à </w:t>
      </w:r>
      <w:r w:rsidRPr="001B7347">
        <w:t xml:space="preserve">la </w:t>
      </w:r>
      <w:r w:rsidR="0057620D" w:rsidRPr="001B7347">
        <w:t xml:space="preserve">Palestine </w:t>
      </w:r>
      <w:bookmarkEnd w:id="13"/>
      <w:r w:rsidRPr="001B7347">
        <w:t>pour le développement des infrastructures et le renforcement des capacités dans le secteur des télécommunications et des technologies de l'information</w:t>
      </w:r>
    </w:p>
    <w:p w14:paraId="44FCBE33" w14:textId="655AF9AC" w:rsidR="0057620D" w:rsidRPr="001B7347" w:rsidRDefault="0057620D" w:rsidP="007C7A39">
      <w:pPr>
        <w:rPr>
          <w:b/>
          <w:bCs/>
        </w:rPr>
      </w:pPr>
      <w:r w:rsidRPr="001B7347">
        <w:t>1.1</w:t>
      </w:r>
      <w:r w:rsidRPr="001B7347">
        <w:tab/>
        <w:t xml:space="preserve">Le </w:t>
      </w:r>
      <w:r w:rsidRPr="001B7347">
        <w:rPr>
          <w:b/>
          <w:bCs/>
        </w:rPr>
        <w:t>Président</w:t>
      </w:r>
      <w:r w:rsidRPr="001B7347">
        <w:t xml:space="preserve"> remercie </w:t>
      </w:r>
      <w:r w:rsidR="00961242" w:rsidRPr="001B7347">
        <w:t xml:space="preserve">toutes les parties concernées </w:t>
      </w:r>
      <w:r w:rsidRPr="001B7347">
        <w:t>pour l'esprit de coopération et de compromis remarquable dont ils ont fait preuve en vue de parvenir à un consensus sur le</w:t>
      </w:r>
      <w:r w:rsidR="00961242" w:rsidRPr="001B7347">
        <w:t xml:space="preserve"> </w:t>
      </w:r>
      <w:r w:rsidRPr="001B7347">
        <w:t xml:space="preserve">projet de </w:t>
      </w:r>
      <w:r w:rsidR="00961242" w:rsidRPr="001B7347">
        <w:t xml:space="preserve">révision de la </w:t>
      </w:r>
      <w:r w:rsidRPr="001B7347">
        <w:t xml:space="preserve">Résolution, qui </w:t>
      </w:r>
      <w:r w:rsidR="00961242" w:rsidRPr="001B7347">
        <w:t xml:space="preserve">a </w:t>
      </w:r>
      <w:r w:rsidRPr="001B7347">
        <w:t xml:space="preserve">été soumis à la plénière dans le Document </w:t>
      </w:r>
      <w:bookmarkStart w:id="14" w:name="lt_pId131"/>
      <w:r w:rsidR="00961242" w:rsidRPr="001B7347">
        <w:t>78 (Add.9)(Rév.1)</w:t>
      </w:r>
      <w:r w:rsidRPr="001B7347">
        <w:t>.</w:t>
      </w:r>
      <w:bookmarkEnd w:id="14"/>
      <w:r w:rsidRPr="001B7347">
        <w:t xml:space="preserve"> Notant que le compromis a été trouvé à l'issue de discussions longues et délicates, il dit </w:t>
      </w:r>
      <w:r w:rsidR="00961242" w:rsidRPr="001B7347">
        <w:t>qu'il ne sera pas possible de</w:t>
      </w:r>
      <w:r w:rsidR="00BB6D9D" w:rsidRPr="001B7347">
        <w:t xml:space="preserve"> prendre la parole et de poursuivre la </w:t>
      </w:r>
      <w:r w:rsidRPr="001B7347">
        <w:t>discussion.</w:t>
      </w:r>
    </w:p>
    <w:p w14:paraId="2F1985B7" w14:textId="613B92F6" w:rsidR="0057620D" w:rsidRPr="001B7347" w:rsidRDefault="0057620D" w:rsidP="007C7A39">
      <w:pPr>
        <w:rPr>
          <w:b/>
          <w:bCs/>
        </w:rPr>
      </w:pPr>
      <w:r w:rsidRPr="001B7347">
        <w:t>1.2</w:t>
      </w:r>
      <w:r w:rsidRPr="001B7347">
        <w:tab/>
      </w:r>
      <w:r w:rsidR="00BB6D9D" w:rsidRPr="001B7347">
        <w:t>Le projet de révision de la Résolution</w:t>
      </w:r>
      <w:r w:rsidRPr="001B7347">
        <w:t xml:space="preserve"> </w:t>
      </w:r>
      <w:r w:rsidR="00BB6D9D" w:rsidRPr="001B7347">
        <w:t xml:space="preserve">soumis à la plénière est </w:t>
      </w:r>
      <w:r w:rsidRPr="001B7347">
        <w:rPr>
          <w:b/>
          <w:bCs/>
        </w:rPr>
        <w:t>adopt</w:t>
      </w:r>
      <w:r w:rsidR="00BB6D9D" w:rsidRPr="001B7347">
        <w:rPr>
          <w:b/>
          <w:bCs/>
        </w:rPr>
        <w:t>é</w:t>
      </w:r>
      <w:r w:rsidRPr="001B7347">
        <w:t xml:space="preserve">, </w:t>
      </w:r>
      <w:r w:rsidR="00BB6D9D" w:rsidRPr="001B7347">
        <w:t xml:space="preserve">et le </w:t>
      </w:r>
      <w:r w:rsidRPr="001B7347">
        <w:t>Document 78(Add.1)(R</w:t>
      </w:r>
      <w:r w:rsidR="00BB6D9D" w:rsidRPr="001B7347">
        <w:t>é</w:t>
      </w:r>
      <w:r w:rsidRPr="001B7347">
        <w:t xml:space="preserve">v.1) </w:t>
      </w:r>
      <w:r w:rsidR="00BB6D9D" w:rsidRPr="001B7347">
        <w:t xml:space="preserve">est </w:t>
      </w:r>
      <w:r w:rsidRPr="001B7347">
        <w:rPr>
          <w:b/>
          <w:bCs/>
        </w:rPr>
        <w:t>appro</w:t>
      </w:r>
      <w:r w:rsidR="00BB6D9D" w:rsidRPr="001B7347">
        <w:rPr>
          <w:b/>
          <w:bCs/>
        </w:rPr>
        <w:t xml:space="preserve">uvé </w:t>
      </w:r>
      <w:r w:rsidR="00BB6D9D" w:rsidRPr="001B7347">
        <w:t>en première et en deuxième lecture</w:t>
      </w:r>
      <w:r w:rsidRPr="001B7347">
        <w:t>.</w:t>
      </w:r>
    </w:p>
    <w:p w14:paraId="012B997F" w14:textId="5A214AA1" w:rsidR="0057620D" w:rsidRPr="001B7347" w:rsidRDefault="0057620D" w:rsidP="007C7A39">
      <w:pPr>
        <w:rPr>
          <w:b/>
          <w:bCs/>
        </w:rPr>
      </w:pPr>
      <w:r w:rsidRPr="001B7347">
        <w:t>1.3</w:t>
      </w:r>
      <w:r w:rsidRPr="001B7347">
        <w:tab/>
      </w:r>
      <w:r w:rsidR="00BB6D9D" w:rsidRPr="001B7347">
        <w:t xml:space="preserve">Le </w:t>
      </w:r>
      <w:r w:rsidRPr="001B7347">
        <w:rPr>
          <w:b/>
          <w:bCs/>
        </w:rPr>
        <w:t>Secr</w:t>
      </w:r>
      <w:r w:rsidR="00BB6D9D" w:rsidRPr="001B7347">
        <w:rPr>
          <w:b/>
          <w:bCs/>
        </w:rPr>
        <w:t xml:space="preserve">étaire général </w:t>
      </w:r>
      <w:r w:rsidR="00BB6D9D" w:rsidRPr="001B7347">
        <w:t>se dit heureux qu'un accord ait été trouvé et que la Résolution ait été adoptée</w:t>
      </w:r>
      <w:r w:rsidRPr="001B7347">
        <w:t xml:space="preserve">. </w:t>
      </w:r>
      <w:r w:rsidR="00BB6D9D" w:rsidRPr="001B7347">
        <w:t xml:space="preserve">Il se félicite de l'esprit de </w:t>
      </w:r>
      <w:r w:rsidRPr="001B7347">
        <w:t>coop</w:t>
      </w:r>
      <w:r w:rsidR="00BB6D9D" w:rsidRPr="001B7347">
        <w:t>é</w:t>
      </w:r>
      <w:r w:rsidRPr="001B7347">
        <w:t xml:space="preserve">ration </w:t>
      </w:r>
      <w:r w:rsidR="00BB6D9D" w:rsidRPr="001B7347">
        <w:t xml:space="preserve">entre les </w:t>
      </w:r>
      <w:r w:rsidRPr="001B7347">
        <w:t xml:space="preserve">parties </w:t>
      </w:r>
      <w:r w:rsidR="00BB6D9D" w:rsidRPr="001B7347">
        <w:t>et les partenaires, qui</w:t>
      </w:r>
      <w:r w:rsidR="00823E3B" w:rsidRPr="001B7347">
        <w:t>,</w:t>
      </w:r>
      <w:r w:rsidR="00BB6D9D" w:rsidRPr="001B7347">
        <w:t xml:space="preserve"> ces derniers jours</w:t>
      </w:r>
      <w:r w:rsidR="00823E3B" w:rsidRPr="001B7347">
        <w:t>,</w:t>
      </w:r>
      <w:r w:rsidR="00BB6D9D" w:rsidRPr="001B7347">
        <w:t xml:space="preserve"> ont collaboré sans relâche pour résoudre des problèmes complexes et parvenir à ce résultat</w:t>
      </w:r>
      <w:r w:rsidRPr="001B7347">
        <w:t xml:space="preserve">. </w:t>
      </w:r>
      <w:r w:rsidR="00BB6D9D" w:rsidRPr="001B7347">
        <w:t xml:space="preserve">Il exprime l'espoir que l'accord trouvé permette aux Palestiniens d'avoir accès à de nouveaux services et </w:t>
      </w:r>
      <w:r w:rsidRPr="001B7347">
        <w:t>technologies.</w:t>
      </w:r>
    </w:p>
    <w:p w14:paraId="00AC52B7" w14:textId="7E5A1AB7" w:rsidR="0057620D" w:rsidRPr="001B7347" w:rsidRDefault="0057620D" w:rsidP="007C7A39">
      <w:pPr>
        <w:pStyle w:val="Heading1"/>
      </w:pPr>
      <w:r w:rsidRPr="001B7347">
        <w:t>2</w:t>
      </w:r>
      <w:r w:rsidRPr="001B7347">
        <w:tab/>
      </w:r>
      <w:r w:rsidRPr="001B7347">
        <w:rPr>
          <w:szCs w:val="24"/>
        </w:rPr>
        <w:t xml:space="preserve">Rapport de la Commission </w:t>
      </w:r>
      <w:r w:rsidR="00823E3B" w:rsidRPr="001B7347">
        <w:rPr>
          <w:szCs w:val="24"/>
        </w:rPr>
        <w:t>des pouvoirs</w:t>
      </w:r>
      <w:r w:rsidRPr="001B7347">
        <w:rPr>
          <w:szCs w:val="24"/>
        </w:rPr>
        <w:t xml:space="preserve"> à la séance plénière</w:t>
      </w:r>
      <w:r w:rsidRPr="001B7347">
        <w:br/>
        <w:t xml:space="preserve">(Document </w:t>
      </w:r>
      <w:hyperlink r:id="rId23" w:history="1">
        <w:r w:rsidRPr="001B7347">
          <w:rPr>
            <w:rStyle w:val="Hyperlink"/>
            <w:rFonts w:asciiTheme="minorHAnsi" w:eastAsiaTheme="minorEastAsia" w:hAnsiTheme="minorHAnsi" w:cstheme="minorHAnsi"/>
            <w:szCs w:val="28"/>
          </w:rPr>
          <w:t>126</w:t>
        </w:r>
      </w:hyperlink>
      <w:r w:rsidRPr="001B7347">
        <w:t>)</w:t>
      </w:r>
    </w:p>
    <w:p w14:paraId="6DEDE516" w14:textId="3D2BDA65" w:rsidR="0057620D" w:rsidRPr="001B7347" w:rsidRDefault="0057620D" w:rsidP="007C7A39">
      <w:pPr>
        <w:spacing w:after="120"/>
        <w:rPr>
          <w:rFonts w:cstheme="minorHAnsi"/>
          <w:szCs w:val="24"/>
          <w:lang w:eastAsia="en-GB"/>
        </w:rPr>
      </w:pPr>
      <w:r w:rsidRPr="001B7347">
        <w:rPr>
          <w:rFonts w:cstheme="minorHAnsi"/>
          <w:szCs w:val="24"/>
          <w:lang w:eastAsia="en-GB"/>
        </w:rPr>
        <w:t>2.1</w:t>
      </w:r>
      <w:r w:rsidRPr="001B7347">
        <w:rPr>
          <w:rFonts w:cstheme="minorHAnsi"/>
          <w:szCs w:val="24"/>
          <w:lang w:eastAsia="en-GB"/>
        </w:rPr>
        <w:tab/>
        <w:t>L</w:t>
      </w:r>
      <w:r w:rsidR="008172CE" w:rsidRPr="001B7347">
        <w:rPr>
          <w:rFonts w:cstheme="minorHAnsi"/>
          <w:szCs w:val="24"/>
          <w:lang w:eastAsia="en-GB"/>
        </w:rPr>
        <w:t>e</w:t>
      </w:r>
      <w:r w:rsidRPr="001B7347">
        <w:rPr>
          <w:rFonts w:cstheme="minorHAnsi"/>
          <w:szCs w:val="24"/>
          <w:lang w:eastAsia="en-GB"/>
        </w:rPr>
        <w:t xml:space="preserve"> </w:t>
      </w:r>
      <w:r w:rsidRPr="001B7347">
        <w:rPr>
          <w:rFonts w:cstheme="minorHAnsi"/>
          <w:b/>
          <w:bCs/>
          <w:szCs w:val="24"/>
          <w:lang w:eastAsia="en-GB"/>
        </w:rPr>
        <w:t>Président de la Commission 2</w:t>
      </w:r>
      <w:r w:rsidRPr="001B7347">
        <w:rPr>
          <w:rFonts w:cstheme="minorHAnsi"/>
          <w:szCs w:val="24"/>
          <w:lang w:eastAsia="en-GB"/>
        </w:rPr>
        <w:t xml:space="preserve"> présente le Document 1</w:t>
      </w:r>
      <w:r w:rsidR="008172CE" w:rsidRPr="001B7347">
        <w:rPr>
          <w:rFonts w:cstheme="minorHAnsi"/>
          <w:szCs w:val="24"/>
          <w:lang w:eastAsia="en-GB"/>
        </w:rPr>
        <w:t>2</w:t>
      </w:r>
      <w:r w:rsidRPr="001B7347">
        <w:rPr>
          <w:rFonts w:cstheme="minorHAnsi"/>
          <w:szCs w:val="24"/>
          <w:lang w:eastAsia="en-GB"/>
        </w:rPr>
        <w:t>6. La Commission </w:t>
      </w:r>
      <w:r w:rsidR="00823E3B" w:rsidRPr="001B7347">
        <w:rPr>
          <w:rFonts w:cstheme="minorHAnsi"/>
          <w:szCs w:val="24"/>
          <w:lang w:eastAsia="en-GB"/>
        </w:rPr>
        <w:t xml:space="preserve">des pouvoirs </w:t>
      </w:r>
      <w:r w:rsidRPr="001B7347">
        <w:rPr>
          <w:rFonts w:cstheme="minorHAnsi"/>
          <w:szCs w:val="24"/>
          <w:lang w:eastAsia="en-GB"/>
        </w:rPr>
        <w:t xml:space="preserve">a tenu deux </w:t>
      </w:r>
      <w:r w:rsidR="00BA6A11" w:rsidRPr="001B7347">
        <w:rPr>
          <w:rFonts w:cstheme="minorHAnsi"/>
          <w:szCs w:val="24"/>
          <w:lang w:eastAsia="en-GB"/>
        </w:rPr>
        <w:t>séances</w:t>
      </w:r>
      <w:r w:rsidRPr="001B7347">
        <w:rPr>
          <w:rFonts w:cstheme="minorHAnsi"/>
          <w:szCs w:val="24"/>
          <w:lang w:eastAsia="en-GB"/>
        </w:rPr>
        <w:t xml:space="preserve">, le </w:t>
      </w:r>
      <w:r w:rsidR="008172CE" w:rsidRPr="001B7347">
        <w:rPr>
          <w:rFonts w:cstheme="minorHAnsi"/>
          <w:szCs w:val="24"/>
          <w:lang w:eastAsia="en-GB"/>
        </w:rPr>
        <w:t>27 septembre</w:t>
      </w:r>
      <w:r w:rsidRPr="001B7347">
        <w:rPr>
          <w:rFonts w:cstheme="minorHAnsi"/>
          <w:szCs w:val="24"/>
          <w:lang w:eastAsia="en-GB"/>
        </w:rPr>
        <w:t xml:space="preserve"> et le </w:t>
      </w:r>
      <w:r w:rsidR="008172CE" w:rsidRPr="001B7347">
        <w:rPr>
          <w:rFonts w:cstheme="minorHAnsi"/>
          <w:szCs w:val="24"/>
          <w:lang w:eastAsia="en-GB"/>
        </w:rPr>
        <w:t>5 octobre</w:t>
      </w:r>
      <w:r w:rsidRPr="001B7347">
        <w:rPr>
          <w:rFonts w:cstheme="minorHAnsi"/>
          <w:szCs w:val="24"/>
          <w:lang w:eastAsia="en-GB"/>
        </w:rPr>
        <w:t>, lors desquelles elle a vérifié les pouvoirs, transferts de pouvoirs et procurations des délégations, conformément à l'article 31 de la Convention</w:t>
      </w:r>
      <w:r w:rsidR="008172CE" w:rsidRPr="001B7347">
        <w:rPr>
          <w:rFonts w:cstheme="minorHAnsi"/>
          <w:szCs w:val="24"/>
          <w:lang w:eastAsia="en-GB"/>
        </w:rPr>
        <w:t xml:space="preserve">, et </w:t>
      </w:r>
      <w:r w:rsidR="00823E3B" w:rsidRPr="001B7347">
        <w:rPr>
          <w:rFonts w:cstheme="minorHAnsi"/>
          <w:szCs w:val="24"/>
          <w:lang w:eastAsia="en-GB"/>
        </w:rPr>
        <w:t>pris</w:t>
      </w:r>
      <w:r w:rsidR="008172CE" w:rsidRPr="001B7347">
        <w:rPr>
          <w:rFonts w:cstheme="minorHAnsi"/>
          <w:szCs w:val="24"/>
          <w:lang w:eastAsia="en-GB"/>
        </w:rPr>
        <w:t xml:space="preserve"> note du Document 67(Rév.8) sur la perte du droit de vote</w:t>
      </w:r>
      <w:r w:rsidRPr="001B7347">
        <w:rPr>
          <w:rFonts w:cstheme="minorHAnsi"/>
          <w:szCs w:val="24"/>
          <w:lang w:eastAsia="en-GB"/>
        </w:rPr>
        <w:t>. Les conclusions de la Commission sont présentées dans l</w:t>
      </w:r>
      <w:r w:rsidR="008172CE" w:rsidRPr="001B7347">
        <w:rPr>
          <w:rFonts w:cstheme="minorHAnsi"/>
          <w:szCs w:val="24"/>
          <w:lang w:eastAsia="en-GB"/>
        </w:rPr>
        <w:t xml:space="preserve">es </w:t>
      </w:r>
      <w:r w:rsidRPr="001B7347">
        <w:rPr>
          <w:rFonts w:cstheme="minorHAnsi"/>
          <w:szCs w:val="24"/>
          <w:lang w:eastAsia="en-GB"/>
        </w:rPr>
        <w:t>annexe</w:t>
      </w:r>
      <w:r w:rsidR="008172CE" w:rsidRPr="001B7347">
        <w:rPr>
          <w:rFonts w:cstheme="minorHAnsi"/>
          <w:szCs w:val="24"/>
          <w:lang w:eastAsia="en-GB"/>
        </w:rPr>
        <w:t>s</w:t>
      </w:r>
      <w:r w:rsidRPr="001B7347">
        <w:rPr>
          <w:rFonts w:cstheme="minorHAnsi"/>
          <w:szCs w:val="24"/>
          <w:lang w:eastAsia="en-GB"/>
        </w:rPr>
        <w:t xml:space="preserve"> au Document 1</w:t>
      </w:r>
      <w:r w:rsidR="008172CE" w:rsidRPr="001B7347">
        <w:rPr>
          <w:rFonts w:cstheme="minorHAnsi"/>
          <w:szCs w:val="24"/>
          <w:lang w:eastAsia="en-GB"/>
        </w:rPr>
        <w:t>2</w:t>
      </w:r>
      <w:r w:rsidRPr="001B7347">
        <w:rPr>
          <w:rFonts w:cstheme="minorHAnsi"/>
          <w:szCs w:val="24"/>
          <w:lang w:eastAsia="en-GB"/>
        </w:rPr>
        <w:t>6. L</w:t>
      </w:r>
      <w:r w:rsidR="008172CE" w:rsidRPr="001B7347">
        <w:rPr>
          <w:rFonts w:cstheme="minorHAnsi"/>
          <w:szCs w:val="24"/>
          <w:lang w:eastAsia="en-GB"/>
        </w:rPr>
        <w:t>e</w:t>
      </w:r>
      <w:r w:rsidRPr="001B7347">
        <w:rPr>
          <w:rFonts w:cstheme="minorHAnsi"/>
          <w:szCs w:val="24"/>
          <w:lang w:eastAsia="en-GB"/>
        </w:rPr>
        <w:t xml:space="preserve"> Président attire l'attention sur la recommandation figurant dans la Section 4 du Document 1</w:t>
      </w:r>
      <w:r w:rsidR="008172CE" w:rsidRPr="001B7347">
        <w:rPr>
          <w:rFonts w:cstheme="minorHAnsi"/>
          <w:szCs w:val="24"/>
          <w:lang w:eastAsia="en-GB"/>
        </w:rPr>
        <w:t>2</w:t>
      </w:r>
      <w:r w:rsidRPr="001B7347">
        <w:rPr>
          <w:rFonts w:cstheme="minorHAnsi"/>
          <w:szCs w:val="24"/>
          <w:lang w:eastAsia="en-GB"/>
        </w:rPr>
        <w:t>6</w:t>
      </w:r>
      <w:r w:rsidR="00BA6A11" w:rsidRPr="001B7347">
        <w:rPr>
          <w:rFonts w:cstheme="minorHAnsi"/>
          <w:szCs w:val="24"/>
          <w:lang w:eastAsia="en-GB"/>
        </w:rPr>
        <w:t>,</w:t>
      </w:r>
      <w:r w:rsidRPr="001B7347">
        <w:rPr>
          <w:rFonts w:cstheme="minorHAnsi"/>
          <w:szCs w:val="24"/>
          <w:lang w:eastAsia="en-GB"/>
        </w:rPr>
        <w:t xml:space="preserve"> selon laquelle la plénière devrait l'autoriser, avec l'assistance du secrétariat de la Commission 2, à vérifier les pouvoirs </w:t>
      </w:r>
      <w:r w:rsidR="008172CE" w:rsidRPr="001B7347">
        <w:rPr>
          <w:rFonts w:cstheme="minorHAnsi"/>
          <w:szCs w:val="24"/>
          <w:lang w:eastAsia="en-GB"/>
        </w:rPr>
        <w:t xml:space="preserve">reçus après la date </w:t>
      </w:r>
      <w:r w:rsidRPr="001B7347">
        <w:rPr>
          <w:rFonts w:cstheme="minorHAnsi"/>
          <w:szCs w:val="24"/>
          <w:lang w:eastAsia="en-GB"/>
        </w:rPr>
        <w:t xml:space="preserve">de publication de son rapport et à présenter ses conclusions à la plénière. </w:t>
      </w:r>
      <w:r w:rsidR="008172CE" w:rsidRPr="001B7347">
        <w:rPr>
          <w:rFonts w:cstheme="minorHAnsi"/>
          <w:szCs w:val="24"/>
        </w:rPr>
        <w:t xml:space="preserve">Après la deuxième </w:t>
      </w:r>
      <w:r w:rsidR="00BA6A11" w:rsidRPr="001B7347">
        <w:rPr>
          <w:rFonts w:cstheme="minorHAnsi"/>
          <w:szCs w:val="24"/>
        </w:rPr>
        <w:t xml:space="preserve">séance </w:t>
      </w:r>
      <w:r w:rsidR="008172CE" w:rsidRPr="001B7347">
        <w:rPr>
          <w:rFonts w:cstheme="minorHAnsi"/>
          <w:szCs w:val="24"/>
        </w:rPr>
        <w:t>de la Commission, deux États Membres supplémentaires ont soumis leurs pouvoirs</w:t>
      </w:r>
      <w:r w:rsidRPr="001B7347">
        <w:rPr>
          <w:rFonts w:cstheme="minorHAnsi"/>
          <w:szCs w:val="24"/>
        </w:rPr>
        <w:t xml:space="preserve">, </w:t>
      </w:r>
      <w:r w:rsidR="008172CE" w:rsidRPr="001B7347">
        <w:rPr>
          <w:rFonts w:cstheme="minorHAnsi"/>
          <w:szCs w:val="24"/>
        </w:rPr>
        <w:t>qui seront examinés</w:t>
      </w:r>
      <w:r w:rsidRPr="001B7347">
        <w:rPr>
          <w:rFonts w:cstheme="minorHAnsi"/>
          <w:szCs w:val="24"/>
        </w:rPr>
        <w:t xml:space="preserve">. </w:t>
      </w:r>
      <w:r w:rsidR="008172CE" w:rsidRPr="001B7347">
        <w:rPr>
          <w:rFonts w:cstheme="minorHAnsi"/>
          <w:szCs w:val="24"/>
        </w:rPr>
        <w:t xml:space="preserve">Le rapport de la Commission </w:t>
      </w:r>
      <w:r w:rsidRPr="001B7347">
        <w:rPr>
          <w:rFonts w:cstheme="minorHAnsi"/>
          <w:szCs w:val="24"/>
        </w:rPr>
        <w:t xml:space="preserve">2 (Document 126), </w:t>
      </w:r>
      <w:r w:rsidR="00823E3B" w:rsidRPr="001B7347">
        <w:rPr>
          <w:rFonts w:cstheme="minorHAnsi"/>
          <w:szCs w:val="24"/>
        </w:rPr>
        <w:t xml:space="preserve">actuellement examiné par </w:t>
      </w:r>
      <w:r w:rsidR="008172CE" w:rsidRPr="001B7347">
        <w:rPr>
          <w:rFonts w:cstheme="minorHAnsi"/>
          <w:szCs w:val="24"/>
        </w:rPr>
        <w:t xml:space="preserve">la plénière pour approbation, </w:t>
      </w:r>
      <w:r w:rsidR="00823E3B" w:rsidRPr="001B7347">
        <w:rPr>
          <w:rFonts w:cstheme="minorHAnsi"/>
          <w:szCs w:val="24"/>
        </w:rPr>
        <w:t>pourra</w:t>
      </w:r>
      <w:r w:rsidR="008172CE" w:rsidRPr="001B7347">
        <w:rPr>
          <w:rFonts w:cstheme="minorHAnsi"/>
          <w:szCs w:val="24"/>
        </w:rPr>
        <w:t xml:space="preserve"> donc être révisé en conséquence</w:t>
      </w:r>
      <w:r w:rsidRPr="001B7347">
        <w:rPr>
          <w:rFonts w:cstheme="minorHAnsi"/>
          <w:szCs w:val="24"/>
        </w:rPr>
        <w:t>.</w:t>
      </w:r>
    </w:p>
    <w:p w14:paraId="37656131" w14:textId="65E9BE7F" w:rsidR="00756300" w:rsidRPr="001B7347" w:rsidRDefault="00756300" w:rsidP="007C7A39">
      <w:pPr>
        <w:spacing w:after="120"/>
        <w:rPr>
          <w:rFonts w:cstheme="minorHAnsi"/>
          <w:szCs w:val="24"/>
          <w:lang w:eastAsia="en-GB"/>
        </w:rPr>
      </w:pPr>
      <w:r w:rsidRPr="001B7347">
        <w:rPr>
          <w:rFonts w:cstheme="minorHAnsi"/>
          <w:szCs w:val="24"/>
          <w:lang w:eastAsia="en-GB"/>
        </w:rPr>
        <w:t>2.2</w:t>
      </w:r>
      <w:r w:rsidRPr="001B7347">
        <w:rPr>
          <w:rFonts w:cstheme="minorHAnsi"/>
          <w:szCs w:val="24"/>
          <w:lang w:eastAsia="en-GB"/>
        </w:rPr>
        <w:tab/>
        <w:t xml:space="preserve">Il en est ainsi </w:t>
      </w:r>
      <w:r w:rsidRPr="001B7347">
        <w:rPr>
          <w:rFonts w:cstheme="minorHAnsi"/>
          <w:b/>
          <w:bCs/>
          <w:szCs w:val="24"/>
          <w:lang w:eastAsia="en-GB"/>
        </w:rPr>
        <w:t>décidé</w:t>
      </w:r>
      <w:r w:rsidRPr="001B7347">
        <w:rPr>
          <w:rFonts w:cstheme="minorHAnsi"/>
          <w:szCs w:val="24"/>
          <w:lang w:eastAsia="en-GB"/>
        </w:rPr>
        <w:t>.</w:t>
      </w:r>
    </w:p>
    <w:p w14:paraId="474E54F0" w14:textId="09F0A90A" w:rsidR="00756300" w:rsidRPr="001B7347" w:rsidRDefault="00756300" w:rsidP="007C7A39">
      <w:pPr>
        <w:spacing w:after="120"/>
        <w:rPr>
          <w:rFonts w:cstheme="minorHAnsi"/>
          <w:szCs w:val="24"/>
          <w:lang w:eastAsia="en-GB"/>
        </w:rPr>
      </w:pPr>
      <w:r w:rsidRPr="001B7347">
        <w:rPr>
          <w:rFonts w:cstheme="minorHAnsi"/>
          <w:szCs w:val="24"/>
          <w:lang w:eastAsia="en-GB"/>
        </w:rPr>
        <w:t>2.3</w:t>
      </w:r>
      <w:r w:rsidRPr="001B7347">
        <w:rPr>
          <w:rFonts w:cstheme="minorHAnsi"/>
          <w:szCs w:val="24"/>
          <w:lang w:eastAsia="en-GB"/>
        </w:rPr>
        <w:tab/>
        <w:t>Le rapport de la Commission 2 figurant dans le Document 1</w:t>
      </w:r>
      <w:r w:rsidR="00823E3B" w:rsidRPr="001B7347">
        <w:rPr>
          <w:rFonts w:cstheme="minorHAnsi"/>
          <w:szCs w:val="24"/>
          <w:lang w:eastAsia="en-GB"/>
        </w:rPr>
        <w:t>2</w:t>
      </w:r>
      <w:r w:rsidRPr="001B7347">
        <w:rPr>
          <w:rFonts w:cstheme="minorHAnsi"/>
          <w:szCs w:val="24"/>
          <w:lang w:eastAsia="en-GB"/>
        </w:rPr>
        <w:t xml:space="preserve">6 est </w:t>
      </w:r>
      <w:r w:rsidRPr="001B7347">
        <w:rPr>
          <w:rFonts w:cstheme="minorHAnsi"/>
          <w:b/>
          <w:bCs/>
          <w:szCs w:val="24"/>
          <w:lang w:eastAsia="en-GB"/>
        </w:rPr>
        <w:t>approuvé</w:t>
      </w:r>
      <w:r w:rsidRPr="001B7347">
        <w:rPr>
          <w:rFonts w:cstheme="minorHAnsi"/>
          <w:szCs w:val="24"/>
          <w:lang w:eastAsia="en-GB"/>
        </w:rPr>
        <w:t>.</w:t>
      </w:r>
    </w:p>
    <w:p w14:paraId="70F04E0F" w14:textId="435774AC" w:rsidR="0057620D" w:rsidRPr="001B7347" w:rsidRDefault="00756300" w:rsidP="007C7A39">
      <w:pPr>
        <w:spacing w:after="120"/>
        <w:rPr>
          <w:rFonts w:cstheme="minorHAnsi"/>
          <w:szCs w:val="24"/>
          <w:lang w:eastAsia="en-GB"/>
        </w:rPr>
      </w:pPr>
      <w:r w:rsidRPr="001B7347">
        <w:rPr>
          <w:rFonts w:cstheme="minorHAnsi"/>
          <w:szCs w:val="24"/>
          <w:lang w:eastAsia="en-GB"/>
        </w:rPr>
        <w:t>2.4</w:t>
      </w:r>
      <w:r w:rsidRPr="001B7347">
        <w:rPr>
          <w:rFonts w:cstheme="minorHAnsi"/>
          <w:szCs w:val="24"/>
          <w:lang w:eastAsia="en-GB"/>
        </w:rPr>
        <w:tab/>
        <w:t>Le</w:t>
      </w:r>
      <w:r w:rsidRPr="001B7347">
        <w:rPr>
          <w:rFonts w:cstheme="minorHAnsi"/>
          <w:b/>
          <w:bCs/>
          <w:szCs w:val="24"/>
          <w:lang w:eastAsia="en-GB"/>
        </w:rPr>
        <w:t xml:space="preserve"> Président </w:t>
      </w:r>
      <w:r w:rsidRPr="001B7347">
        <w:rPr>
          <w:rFonts w:cstheme="minorHAnsi"/>
          <w:bCs/>
          <w:szCs w:val="24"/>
          <w:lang w:eastAsia="en-GB"/>
        </w:rPr>
        <w:t>remercie l</w:t>
      </w:r>
      <w:r w:rsidR="008172CE" w:rsidRPr="001B7347">
        <w:rPr>
          <w:rFonts w:cstheme="minorHAnsi"/>
          <w:bCs/>
          <w:szCs w:val="24"/>
          <w:lang w:eastAsia="en-GB"/>
        </w:rPr>
        <w:t>e</w:t>
      </w:r>
      <w:r w:rsidRPr="001B7347">
        <w:rPr>
          <w:rFonts w:cstheme="minorHAnsi"/>
          <w:bCs/>
          <w:szCs w:val="24"/>
          <w:lang w:eastAsia="en-GB"/>
        </w:rPr>
        <w:t xml:space="preserve"> Président de la Commission </w:t>
      </w:r>
      <w:r w:rsidRPr="001B7347">
        <w:rPr>
          <w:rFonts w:cstheme="minorHAnsi"/>
          <w:szCs w:val="24"/>
          <w:lang w:eastAsia="en-GB"/>
        </w:rPr>
        <w:t>2 du travail accompli et l'invite à tenir la plénière informée de tous faits nouveaux pertinents.</w:t>
      </w:r>
    </w:p>
    <w:p w14:paraId="37598F9F" w14:textId="77777777" w:rsidR="006747F6" w:rsidRPr="001B7347" w:rsidRDefault="006747F6" w:rsidP="006747F6">
      <w:pPr>
        <w:pStyle w:val="Heading1"/>
      </w:pPr>
      <w:r w:rsidRPr="001B7347">
        <w:t>3</w:t>
      </w:r>
      <w:r w:rsidRPr="001B7347">
        <w:tab/>
        <w:t>Quatrième série de textes soumis par la Commission de rédaction en première lecture (B4) (Documen</w:t>
      </w:r>
      <w:r w:rsidRPr="001B7347">
        <w:rPr>
          <w:szCs w:val="28"/>
        </w:rPr>
        <w:t xml:space="preserve">t </w:t>
      </w:r>
      <w:hyperlink r:id="rId24" w:history="1">
        <w:r w:rsidRPr="001B7347">
          <w:rPr>
            <w:rStyle w:val="Hyperlink"/>
            <w:rFonts w:asciiTheme="minorHAnsi" w:eastAsiaTheme="minorEastAsia" w:hAnsiTheme="minorHAnsi" w:cstheme="minorBidi"/>
            <w:bCs/>
            <w:szCs w:val="28"/>
          </w:rPr>
          <w:t>128</w:t>
        </w:r>
      </w:hyperlink>
      <w:r w:rsidRPr="001B7347">
        <w:t>)</w:t>
      </w:r>
    </w:p>
    <w:p w14:paraId="01E78D59" w14:textId="77777777" w:rsidR="006747F6" w:rsidRPr="001B7347" w:rsidRDefault="006747F6" w:rsidP="00EB13B8">
      <w:pPr>
        <w:pStyle w:val="Headingb"/>
        <w:ind w:left="0" w:firstLine="0"/>
      </w:pPr>
      <w:r w:rsidRPr="001B7347">
        <w:t xml:space="preserve">Projet de Résolution 175 (Rév. Bucarest, 2022) – </w:t>
      </w:r>
      <w:bookmarkStart w:id="15" w:name="_Toc407016271"/>
      <w:r w:rsidRPr="001B7347">
        <w:t>Accessibilité des télécommunications/technologies de l'information et de la communication pour les personnes handicapées et les personnes ayant des besoins particuliers</w:t>
      </w:r>
      <w:bookmarkEnd w:id="15"/>
    </w:p>
    <w:p w14:paraId="2B2646DB" w14:textId="77777777" w:rsidR="006747F6" w:rsidRPr="001B7347" w:rsidRDefault="006747F6" w:rsidP="006747F6">
      <w:pPr>
        <w:spacing w:after="120"/>
        <w:rPr>
          <w:rFonts w:cstheme="minorHAnsi"/>
          <w:b/>
          <w:szCs w:val="24"/>
        </w:rPr>
      </w:pPr>
      <w:r w:rsidRPr="001B7347">
        <w:rPr>
          <w:rFonts w:cstheme="minorHAnsi"/>
          <w:szCs w:val="24"/>
        </w:rPr>
        <w:t>3.1</w:t>
      </w:r>
      <w:r w:rsidRPr="001B7347">
        <w:rPr>
          <w:rFonts w:cstheme="minorHAnsi"/>
          <w:szCs w:val="24"/>
        </w:rPr>
        <w:tab/>
      </w:r>
      <w:r w:rsidRPr="001B7347">
        <w:rPr>
          <w:rFonts w:cstheme="minorHAnsi"/>
          <w:b/>
          <w:bCs/>
          <w:szCs w:val="24"/>
        </w:rPr>
        <w:t>Adopté</w:t>
      </w:r>
      <w:r w:rsidRPr="001B7347">
        <w:rPr>
          <w:rFonts w:cstheme="minorHAnsi"/>
          <w:szCs w:val="24"/>
        </w:rPr>
        <w:t>.</w:t>
      </w:r>
    </w:p>
    <w:p w14:paraId="767909E3" w14:textId="77777777" w:rsidR="006747F6" w:rsidRPr="001B7347" w:rsidRDefault="006747F6" w:rsidP="006747F6">
      <w:pPr>
        <w:snapToGrid w:val="0"/>
        <w:spacing w:after="120"/>
        <w:rPr>
          <w:rFonts w:cstheme="minorHAnsi"/>
          <w:szCs w:val="24"/>
        </w:rPr>
      </w:pPr>
      <w:r w:rsidRPr="001B7347">
        <w:rPr>
          <w:rFonts w:cstheme="minorHAnsi"/>
          <w:szCs w:val="24"/>
        </w:rPr>
        <w:lastRenderedPageBreak/>
        <w:t>3.2</w:t>
      </w:r>
      <w:r w:rsidRPr="001B7347">
        <w:rPr>
          <w:rFonts w:cstheme="minorHAnsi"/>
          <w:szCs w:val="24"/>
        </w:rPr>
        <w:tab/>
        <w:t xml:space="preserve">La quatrième série de textes soumis par la Commission de rédaction en première lecture (B4) (Document 128) est </w:t>
      </w:r>
      <w:r w:rsidRPr="001B7347">
        <w:rPr>
          <w:rFonts w:cstheme="minorHAnsi"/>
          <w:b/>
          <w:bCs/>
          <w:szCs w:val="24"/>
        </w:rPr>
        <w:t>approuvée</w:t>
      </w:r>
      <w:r w:rsidRPr="001B7347">
        <w:rPr>
          <w:rFonts w:cstheme="minorHAnsi"/>
          <w:szCs w:val="24"/>
        </w:rPr>
        <w:t>.</w:t>
      </w:r>
    </w:p>
    <w:p w14:paraId="1C7D4181" w14:textId="77777777" w:rsidR="006747F6" w:rsidRPr="001B7347" w:rsidRDefault="006747F6" w:rsidP="00F9529C">
      <w:pPr>
        <w:pStyle w:val="Heading1"/>
      </w:pPr>
      <w:r w:rsidRPr="001B7347">
        <w:t>4</w:t>
      </w:r>
      <w:r w:rsidRPr="001B7347">
        <w:tab/>
      </w:r>
      <w:r w:rsidRPr="001B7347">
        <w:rPr>
          <w:spacing w:val="-2"/>
        </w:rPr>
        <w:t xml:space="preserve">Quatrième série de textes soumis par la Commission de rédaction </w:t>
      </w:r>
      <w:r w:rsidRPr="001B7347">
        <w:t xml:space="preserve">– seconde lecture (Document </w:t>
      </w:r>
      <w:hyperlink r:id="rId25" w:history="1">
        <w:r w:rsidRPr="001B7347">
          <w:rPr>
            <w:rStyle w:val="Hyperlink"/>
            <w:rFonts w:asciiTheme="minorHAnsi" w:hAnsiTheme="minorHAnsi" w:cstheme="minorHAnsi"/>
            <w:szCs w:val="28"/>
          </w:rPr>
          <w:t>128</w:t>
        </w:r>
      </w:hyperlink>
      <w:r w:rsidRPr="001B7347">
        <w:rPr>
          <w:szCs w:val="28"/>
        </w:rPr>
        <w:t>)</w:t>
      </w:r>
    </w:p>
    <w:p w14:paraId="0C46A50B" w14:textId="7FA79C90" w:rsidR="006747F6" w:rsidRPr="001B7347" w:rsidRDefault="006747F6" w:rsidP="006747F6">
      <w:pPr>
        <w:snapToGrid w:val="0"/>
        <w:spacing w:after="120"/>
        <w:rPr>
          <w:rFonts w:cstheme="minorHAnsi"/>
          <w:szCs w:val="24"/>
        </w:rPr>
      </w:pPr>
      <w:r w:rsidRPr="001B7347">
        <w:rPr>
          <w:rFonts w:cstheme="minorHAnsi"/>
          <w:szCs w:val="24"/>
        </w:rPr>
        <w:t>4.1</w:t>
      </w:r>
      <w:r w:rsidRPr="001B7347">
        <w:rPr>
          <w:rFonts w:cstheme="minorHAnsi"/>
          <w:szCs w:val="24"/>
        </w:rPr>
        <w:tab/>
        <w:t xml:space="preserve">La quatrième série de textes soumis par la Commission de rédaction (Document 128) est </w:t>
      </w:r>
      <w:r w:rsidRPr="001B7347">
        <w:rPr>
          <w:rFonts w:cstheme="minorHAnsi"/>
          <w:b/>
          <w:bCs/>
          <w:szCs w:val="24"/>
        </w:rPr>
        <w:t>approuvée</w:t>
      </w:r>
      <w:r w:rsidRPr="001B7347">
        <w:rPr>
          <w:rFonts w:cstheme="minorHAnsi"/>
          <w:szCs w:val="24"/>
        </w:rPr>
        <w:t xml:space="preserve"> en seconde lecture.</w:t>
      </w:r>
    </w:p>
    <w:p w14:paraId="0D364CCC" w14:textId="77777777" w:rsidR="006747F6" w:rsidRPr="001B7347" w:rsidRDefault="006747F6" w:rsidP="006747F6">
      <w:pPr>
        <w:pStyle w:val="Heading1"/>
      </w:pPr>
      <w:r w:rsidRPr="001B7347">
        <w:t>5</w:t>
      </w:r>
      <w:r w:rsidRPr="001B7347">
        <w:tab/>
      </w:r>
      <w:r w:rsidRPr="001B7347">
        <w:rPr>
          <w:rFonts w:cstheme="minorHAnsi"/>
          <w:szCs w:val="24"/>
        </w:rPr>
        <w:t xml:space="preserve">Cinquième série de textes soumis par la Commission de rédaction en première lecture </w:t>
      </w:r>
      <w:r w:rsidRPr="001B7347">
        <w:t xml:space="preserve">(B5) (Document </w:t>
      </w:r>
      <w:hyperlink r:id="rId26" w:history="1">
        <w:r w:rsidRPr="001B7347">
          <w:rPr>
            <w:rStyle w:val="Hyperlink"/>
            <w:rFonts w:asciiTheme="minorHAnsi" w:eastAsiaTheme="minorEastAsia" w:hAnsiTheme="minorHAnsi" w:cstheme="minorBidi"/>
            <w:bCs/>
            <w:szCs w:val="28"/>
          </w:rPr>
          <w:t>129</w:t>
        </w:r>
      </w:hyperlink>
      <w:r w:rsidRPr="001B7347">
        <w:rPr>
          <w:szCs w:val="28"/>
        </w:rPr>
        <w:t>)</w:t>
      </w:r>
    </w:p>
    <w:p w14:paraId="772CF19E" w14:textId="77777777" w:rsidR="006747F6" w:rsidRPr="001B7347" w:rsidRDefault="006747F6" w:rsidP="00EB13B8">
      <w:pPr>
        <w:pStyle w:val="Headingb"/>
        <w:ind w:left="0" w:firstLine="0"/>
      </w:pPr>
      <w:r w:rsidRPr="001B7347">
        <w:t xml:space="preserve">Projet de Résolution 136 (Rév. Bucarest, 2022) – </w:t>
      </w:r>
      <w:bookmarkStart w:id="16" w:name="_Toc407016233"/>
      <w:bookmarkStart w:id="17" w:name="_Toc536017966"/>
      <w:r w:rsidRPr="001B7347">
        <w:t>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16"/>
      <w:bookmarkEnd w:id="17"/>
    </w:p>
    <w:p w14:paraId="123E2D7E" w14:textId="77777777" w:rsidR="006747F6" w:rsidRPr="001B7347" w:rsidRDefault="006747F6" w:rsidP="00EB13B8">
      <w:pPr>
        <w:pStyle w:val="Headingb"/>
        <w:ind w:left="0" w:firstLine="0"/>
      </w:pPr>
      <w:r w:rsidRPr="001B7347">
        <w:t xml:space="preserve">Projet de Résolution 138 (Rév. Bucarest, 2022) – </w:t>
      </w:r>
      <w:bookmarkStart w:id="18" w:name="_Toc165351520"/>
      <w:r w:rsidRPr="001B7347">
        <w:t>Colloque mondial des régulateurs</w:t>
      </w:r>
      <w:bookmarkEnd w:id="18"/>
    </w:p>
    <w:p w14:paraId="7663EE3F" w14:textId="77777777" w:rsidR="006747F6" w:rsidRPr="001B7347" w:rsidRDefault="006747F6" w:rsidP="00EB13B8">
      <w:pPr>
        <w:pStyle w:val="Headingb"/>
        <w:ind w:left="0" w:firstLine="0"/>
      </w:pPr>
      <w:r w:rsidRPr="001B7347">
        <w:t xml:space="preserve">Projet de Résolution 209 (Rév. Bucarest, 2022) – </w:t>
      </w:r>
      <w:bookmarkStart w:id="19" w:name="_Toc536018032"/>
      <w:r w:rsidRPr="001B7347">
        <w:t>Encourager la participation des petites et moyennes entreprises aux travaux de l'Union</w:t>
      </w:r>
      <w:bookmarkEnd w:id="19"/>
    </w:p>
    <w:p w14:paraId="72B7DEEB" w14:textId="77777777" w:rsidR="006747F6" w:rsidRPr="001B7347" w:rsidRDefault="006747F6" w:rsidP="006747F6">
      <w:pPr>
        <w:spacing w:after="120"/>
        <w:rPr>
          <w:rFonts w:cstheme="minorHAnsi"/>
          <w:b/>
          <w:szCs w:val="24"/>
        </w:rPr>
      </w:pPr>
      <w:r w:rsidRPr="001B7347">
        <w:rPr>
          <w:rFonts w:cstheme="minorHAnsi"/>
          <w:szCs w:val="24"/>
        </w:rPr>
        <w:t>5.1</w:t>
      </w:r>
      <w:r w:rsidRPr="001B7347">
        <w:rPr>
          <w:rFonts w:cstheme="minorHAnsi"/>
          <w:szCs w:val="24"/>
        </w:rPr>
        <w:tab/>
      </w:r>
      <w:r w:rsidRPr="001B7347">
        <w:rPr>
          <w:rFonts w:cstheme="minorHAnsi"/>
          <w:b/>
          <w:szCs w:val="24"/>
        </w:rPr>
        <w:t>Adoptés</w:t>
      </w:r>
      <w:r w:rsidRPr="001B7347">
        <w:rPr>
          <w:rFonts w:cstheme="minorHAnsi"/>
          <w:bCs/>
          <w:szCs w:val="24"/>
        </w:rPr>
        <w:t>.</w:t>
      </w:r>
    </w:p>
    <w:p w14:paraId="12EFDD47" w14:textId="77777777" w:rsidR="006747F6" w:rsidRPr="001B7347" w:rsidRDefault="006747F6" w:rsidP="006747F6">
      <w:pPr>
        <w:snapToGrid w:val="0"/>
        <w:spacing w:after="120"/>
        <w:rPr>
          <w:rFonts w:cstheme="minorHAnsi"/>
          <w:szCs w:val="24"/>
        </w:rPr>
      </w:pPr>
      <w:bookmarkStart w:id="20" w:name="_Hlk115989638"/>
      <w:r w:rsidRPr="001B7347">
        <w:rPr>
          <w:rFonts w:cstheme="minorHAnsi"/>
          <w:szCs w:val="24"/>
        </w:rPr>
        <w:t>5.2</w:t>
      </w:r>
      <w:r w:rsidRPr="001B7347">
        <w:rPr>
          <w:rFonts w:cstheme="minorHAnsi"/>
          <w:szCs w:val="24"/>
        </w:rPr>
        <w:tab/>
        <w:t xml:space="preserve">La cinquième série de textes soumis par la Commission de rédaction en première lecture (B5) (Document 129) est </w:t>
      </w:r>
      <w:r w:rsidRPr="001B7347">
        <w:rPr>
          <w:rFonts w:cstheme="minorHAnsi"/>
          <w:b/>
          <w:bCs/>
          <w:szCs w:val="24"/>
        </w:rPr>
        <w:t>approuvée</w:t>
      </w:r>
      <w:r w:rsidRPr="001B7347">
        <w:rPr>
          <w:rFonts w:cstheme="minorHAnsi"/>
          <w:szCs w:val="24"/>
        </w:rPr>
        <w:t>.</w:t>
      </w:r>
    </w:p>
    <w:bookmarkEnd w:id="20"/>
    <w:p w14:paraId="1708A2AB" w14:textId="77777777" w:rsidR="006747F6" w:rsidRPr="001B7347" w:rsidRDefault="006747F6" w:rsidP="006747F6">
      <w:pPr>
        <w:pStyle w:val="Heading1"/>
      </w:pPr>
      <w:r w:rsidRPr="001B7347">
        <w:t>6</w:t>
      </w:r>
      <w:r w:rsidRPr="001B7347">
        <w:tab/>
      </w:r>
      <w:r w:rsidRPr="001B7347">
        <w:rPr>
          <w:rFonts w:cstheme="minorHAnsi"/>
          <w:szCs w:val="24"/>
        </w:rPr>
        <w:t xml:space="preserve">Cinquième série de textes soumis par la Commission de rédaction – seconde lecture </w:t>
      </w:r>
      <w:r w:rsidRPr="001B7347">
        <w:t xml:space="preserve">(Document </w:t>
      </w:r>
      <w:hyperlink r:id="rId27" w:history="1">
        <w:r w:rsidRPr="001B7347">
          <w:rPr>
            <w:rStyle w:val="Hyperlink"/>
            <w:rFonts w:asciiTheme="minorHAnsi" w:hAnsiTheme="minorHAnsi" w:cstheme="minorHAnsi"/>
            <w:szCs w:val="28"/>
          </w:rPr>
          <w:t>129</w:t>
        </w:r>
      </w:hyperlink>
      <w:r w:rsidRPr="001B7347">
        <w:rPr>
          <w:szCs w:val="28"/>
        </w:rPr>
        <w:t>)</w:t>
      </w:r>
    </w:p>
    <w:p w14:paraId="4155449A" w14:textId="77777777" w:rsidR="006747F6" w:rsidRPr="001B7347" w:rsidRDefault="006747F6" w:rsidP="006747F6">
      <w:pPr>
        <w:spacing w:after="120"/>
        <w:rPr>
          <w:rFonts w:cstheme="minorHAnsi"/>
          <w:bCs/>
          <w:szCs w:val="24"/>
        </w:rPr>
      </w:pPr>
      <w:r w:rsidRPr="001B7347">
        <w:rPr>
          <w:rFonts w:cstheme="minorHAnsi"/>
          <w:szCs w:val="24"/>
        </w:rPr>
        <w:t>6.1</w:t>
      </w:r>
      <w:r w:rsidRPr="001B7347">
        <w:rPr>
          <w:rFonts w:cstheme="minorHAnsi"/>
          <w:szCs w:val="24"/>
        </w:rPr>
        <w:tab/>
        <w:t xml:space="preserve">La cinquième série de textes soumis par la Commission de rédaction (Document 129) est </w:t>
      </w:r>
      <w:r w:rsidRPr="001B7347">
        <w:rPr>
          <w:rFonts w:cstheme="minorHAnsi"/>
          <w:b/>
          <w:bCs/>
          <w:szCs w:val="24"/>
        </w:rPr>
        <w:t>approuvée</w:t>
      </w:r>
      <w:r w:rsidRPr="001B7347">
        <w:rPr>
          <w:rFonts w:cstheme="minorHAnsi"/>
          <w:szCs w:val="24"/>
        </w:rPr>
        <w:t xml:space="preserve"> en seconde lecture.</w:t>
      </w:r>
    </w:p>
    <w:p w14:paraId="7F35908C" w14:textId="77777777" w:rsidR="006747F6" w:rsidRPr="001B7347" w:rsidRDefault="006747F6" w:rsidP="006747F6">
      <w:pPr>
        <w:pStyle w:val="Heading1"/>
      </w:pPr>
      <w:r w:rsidRPr="001B7347">
        <w:t>7</w:t>
      </w:r>
      <w:r w:rsidRPr="001B7347">
        <w:tab/>
      </w:r>
      <w:r w:rsidRPr="001B7347">
        <w:rPr>
          <w:rFonts w:cstheme="minorHAnsi"/>
          <w:szCs w:val="24"/>
        </w:rPr>
        <w:t xml:space="preserve">Sixième série de textes soumis par la Commission de rédaction en première lecture </w:t>
      </w:r>
      <w:r w:rsidRPr="001B7347">
        <w:t>(B6) (</w:t>
      </w:r>
      <w:r w:rsidRPr="001B7347">
        <w:rPr>
          <w:szCs w:val="28"/>
        </w:rPr>
        <w:t xml:space="preserve">Document </w:t>
      </w:r>
      <w:hyperlink r:id="rId28" w:history="1">
        <w:r w:rsidRPr="001B7347">
          <w:rPr>
            <w:rStyle w:val="Hyperlink"/>
            <w:rFonts w:asciiTheme="minorHAnsi" w:hAnsiTheme="minorHAnsi" w:cstheme="minorBidi"/>
            <w:szCs w:val="28"/>
          </w:rPr>
          <w:t>130</w:t>
        </w:r>
      </w:hyperlink>
      <w:r w:rsidRPr="001B7347">
        <w:rPr>
          <w:szCs w:val="28"/>
        </w:rPr>
        <w:t>)</w:t>
      </w:r>
    </w:p>
    <w:p w14:paraId="44F74B70" w14:textId="77777777" w:rsidR="006747F6" w:rsidRPr="001B7347" w:rsidRDefault="006747F6" w:rsidP="00EB13B8">
      <w:pPr>
        <w:pStyle w:val="Headingb"/>
      </w:pPr>
      <w:r w:rsidRPr="001B7347">
        <w:rPr>
          <w:rFonts w:cstheme="minorHAnsi"/>
        </w:rPr>
        <w:t xml:space="preserve">Projet de Résolution </w:t>
      </w:r>
      <w:r w:rsidRPr="001B7347">
        <w:t xml:space="preserve">66 (Rév. Bucarest, 2022) – </w:t>
      </w:r>
      <w:bookmarkStart w:id="21" w:name="_Toc165351432"/>
      <w:r w:rsidRPr="001B7347">
        <w:t>Documents et publications de l'Union</w:t>
      </w:r>
      <w:bookmarkEnd w:id="21"/>
    </w:p>
    <w:p w14:paraId="5E15D5D6" w14:textId="77777777" w:rsidR="006747F6" w:rsidRPr="001B7347" w:rsidRDefault="006747F6" w:rsidP="006747F6">
      <w:pPr>
        <w:spacing w:after="120"/>
        <w:rPr>
          <w:b/>
          <w:szCs w:val="24"/>
        </w:rPr>
      </w:pPr>
      <w:r w:rsidRPr="001B7347">
        <w:rPr>
          <w:szCs w:val="24"/>
        </w:rPr>
        <w:t>7.1</w:t>
      </w:r>
      <w:r w:rsidRPr="001B7347">
        <w:rPr>
          <w:szCs w:val="24"/>
        </w:rPr>
        <w:tab/>
      </w:r>
      <w:r w:rsidRPr="001B7347">
        <w:rPr>
          <w:b/>
          <w:szCs w:val="24"/>
        </w:rPr>
        <w:t>Adopté</w:t>
      </w:r>
      <w:r w:rsidRPr="001B7347">
        <w:rPr>
          <w:bCs/>
          <w:szCs w:val="24"/>
        </w:rPr>
        <w:t>.</w:t>
      </w:r>
    </w:p>
    <w:p w14:paraId="06B95DE5" w14:textId="77777777" w:rsidR="006747F6" w:rsidRPr="001B7347" w:rsidRDefault="006747F6" w:rsidP="006747F6">
      <w:pPr>
        <w:snapToGrid w:val="0"/>
        <w:spacing w:after="120"/>
        <w:rPr>
          <w:szCs w:val="24"/>
        </w:rPr>
      </w:pPr>
      <w:r w:rsidRPr="001B7347">
        <w:rPr>
          <w:szCs w:val="24"/>
        </w:rPr>
        <w:t>7.2</w:t>
      </w:r>
      <w:r w:rsidRPr="001B7347">
        <w:rPr>
          <w:szCs w:val="24"/>
        </w:rPr>
        <w:tab/>
      </w:r>
      <w:r w:rsidRPr="001B7347">
        <w:rPr>
          <w:rFonts w:cstheme="minorHAnsi"/>
          <w:szCs w:val="24"/>
        </w:rPr>
        <w:t xml:space="preserve">La sixième série de textes soumis par la Commission de rédaction en première lecture (B6) (Document 130) est </w:t>
      </w:r>
      <w:r w:rsidRPr="001B7347">
        <w:rPr>
          <w:rFonts w:cstheme="minorHAnsi"/>
          <w:b/>
          <w:bCs/>
          <w:szCs w:val="24"/>
        </w:rPr>
        <w:t>approuvée</w:t>
      </w:r>
      <w:r w:rsidRPr="001B7347">
        <w:rPr>
          <w:rFonts w:cstheme="minorHAnsi"/>
          <w:szCs w:val="24"/>
        </w:rPr>
        <w:t>.</w:t>
      </w:r>
    </w:p>
    <w:p w14:paraId="1053C3EE" w14:textId="77777777" w:rsidR="006747F6" w:rsidRPr="001B7347" w:rsidRDefault="006747F6" w:rsidP="002923A4">
      <w:pPr>
        <w:pStyle w:val="Heading1"/>
        <w:keepNext w:val="0"/>
        <w:keepLines w:val="0"/>
        <w:rPr>
          <w:szCs w:val="28"/>
        </w:rPr>
      </w:pPr>
      <w:r w:rsidRPr="001B7347">
        <w:t>8</w:t>
      </w:r>
      <w:r w:rsidRPr="001B7347">
        <w:tab/>
      </w:r>
      <w:r w:rsidRPr="001B7347">
        <w:rPr>
          <w:rFonts w:cstheme="minorHAnsi"/>
          <w:szCs w:val="24"/>
        </w:rPr>
        <w:t xml:space="preserve">Sixième série de textes soumis par la Commission de rédaction – seconde lecture </w:t>
      </w:r>
      <w:r w:rsidRPr="001B7347">
        <w:t xml:space="preserve">(Document </w:t>
      </w:r>
      <w:hyperlink r:id="rId29" w:history="1">
        <w:r w:rsidRPr="001B7347">
          <w:rPr>
            <w:rStyle w:val="Hyperlink"/>
            <w:rFonts w:asciiTheme="minorHAnsi" w:hAnsiTheme="minorHAnsi" w:cstheme="minorBidi"/>
            <w:szCs w:val="28"/>
          </w:rPr>
          <w:t>130</w:t>
        </w:r>
      </w:hyperlink>
      <w:r w:rsidRPr="001B7347">
        <w:rPr>
          <w:szCs w:val="28"/>
        </w:rPr>
        <w:t>)</w:t>
      </w:r>
    </w:p>
    <w:p w14:paraId="78903B9A" w14:textId="77777777" w:rsidR="006747F6" w:rsidRPr="001B7347" w:rsidRDefault="006747F6" w:rsidP="002923A4">
      <w:pPr>
        <w:spacing w:after="120"/>
        <w:rPr>
          <w:szCs w:val="24"/>
        </w:rPr>
      </w:pPr>
      <w:r w:rsidRPr="001B7347">
        <w:rPr>
          <w:szCs w:val="24"/>
        </w:rPr>
        <w:t>8.1</w:t>
      </w:r>
      <w:r w:rsidRPr="001B7347">
        <w:rPr>
          <w:szCs w:val="24"/>
        </w:rPr>
        <w:tab/>
      </w:r>
      <w:r w:rsidRPr="001B7347">
        <w:rPr>
          <w:rFonts w:cstheme="minorHAnsi"/>
          <w:szCs w:val="24"/>
        </w:rPr>
        <w:t xml:space="preserve">La sixième série de textes soumis par la Commission de rédaction (Document 130) est </w:t>
      </w:r>
      <w:r w:rsidRPr="001B7347">
        <w:rPr>
          <w:rFonts w:cstheme="minorHAnsi"/>
          <w:b/>
          <w:bCs/>
          <w:szCs w:val="24"/>
        </w:rPr>
        <w:t>approuvée</w:t>
      </w:r>
      <w:r w:rsidRPr="001B7347">
        <w:rPr>
          <w:rFonts w:cstheme="minorHAnsi"/>
          <w:szCs w:val="24"/>
        </w:rPr>
        <w:t xml:space="preserve"> en seconde lecture.</w:t>
      </w:r>
    </w:p>
    <w:p w14:paraId="504B8159" w14:textId="77777777" w:rsidR="006747F6" w:rsidRPr="001B7347" w:rsidRDefault="006747F6" w:rsidP="006747F6">
      <w:pPr>
        <w:pStyle w:val="Heading1"/>
      </w:pPr>
      <w:r w:rsidRPr="001B7347">
        <w:lastRenderedPageBreak/>
        <w:t>9</w:t>
      </w:r>
      <w:r w:rsidRPr="001B7347">
        <w:tab/>
      </w:r>
      <w:r w:rsidRPr="001B7347">
        <w:rPr>
          <w:rFonts w:cstheme="minorHAnsi"/>
          <w:spacing w:val="-4"/>
          <w:szCs w:val="24"/>
        </w:rPr>
        <w:t xml:space="preserve">Septième série de textes soumis par la Commission de rédaction </w:t>
      </w:r>
      <w:r w:rsidRPr="001B7347">
        <w:rPr>
          <w:rFonts w:cstheme="minorHAnsi"/>
          <w:szCs w:val="24"/>
        </w:rPr>
        <w:t>en première lecture</w:t>
      </w:r>
      <w:r w:rsidRPr="001B7347">
        <w:rPr>
          <w:rFonts w:cstheme="minorHAnsi"/>
          <w:spacing w:val="-4"/>
          <w:szCs w:val="24"/>
        </w:rPr>
        <w:t xml:space="preserve"> </w:t>
      </w:r>
      <w:r w:rsidRPr="001B7347">
        <w:t xml:space="preserve">(B7) (Document </w:t>
      </w:r>
      <w:hyperlink r:id="rId30" w:history="1">
        <w:r w:rsidRPr="001B7347">
          <w:rPr>
            <w:rStyle w:val="Hyperlink"/>
            <w:rFonts w:asciiTheme="minorHAnsi" w:hAnsiTheme="minorHAnsi" w:cstheme="minorBidi"/>
            <w:szCs w:val="28"/>
          </w:rPr>
          <w:t>133</w:t>
        </w:r>
      </w:hyperlink>
      <w:r w:rsidRPr="001B7347">
        <w:rPr>
          <w:szCs w:val="28"/>
        </w:rPr>
        <w:t>)</w:t>
      </w:r>
    </w:p>
    <w:p w14:paraId="7BAE1DA7" w14:textId="77777777" w:rsidR="006747F6" w:rsidRPr="001B7347" w:rsidRDefault="006747F6" w:rsidP="00EB13B8">
      <w:pPr>
        <w:pStyle w:val="Headingb"/>
        <w:ind w:left="0" w:firstLine="0"/>
      </w:pPr>
      <w:r w:rsidRPr="001B7347">
        <w:rPr>
          <w:rFonts w:cstheme="minorHAnsi"/>
        </w:rPr>
        <w:t xml:space="preserve">Projet de Résolution </w:t>
      </w:r>
      <w:r w:rsidRPr="001B7347">
        <w:t xml:space="preserve">197 (Rév. Bucarest, 2022) – </w:t>
      </w:r>
      <w:bookmarkStart w:id="22" w:name="_Toc407016308"/>
      <w:bookmarkStart w:id="23" w:name="_Toc536018012"/>
      <w:r w:rsidRPr="001B7347">
        <w:t xml:space="preserve">Faciliter l'avènement de l'Internet des objets </w:t>
      </w:r>
      <w:bookmarkEnd w:id="22"/>
      <w:r w:rsidRPr="001B7347">
        <w:t>et des villes et communautés intelligentes et durables</w:t>
      </w:r>
      <w:bookmarkEnd w:id="23"/>
    </w:p>
    <w:p w14:paraId="61B48634" w14:textId="77777777" w:rsidR="006747F6" w:rsidRPr="001B7347" w:rsidRDefault="006747F6" w:rsidP="00EB13B8">
      <w:pPr>
        <w:pStyle w:val="Headingb"/>
        <w:ind w:left="0" w:firstLine="0"/>
      </w:pPr>
      <w:r w:rsidRPr="001B7347">
        <w:rPr>
          <w:rFonts w:cstheme="minorHAnsi"/>
        </w:rPr>
        <w:t xml:space="preserve">Projet de Résolution </w:t>
      </w:r>
      <w:r w:rsidRPr="001B7347">
        <w:t xml:space="preserve">204 (Rév. Bucarest, 2002) – </w:t>
      </w:r>
      <w:bookmarkStart w:id="24" w:name="_Toc536018022"/>
      <w:r w:rsidRPr="001B7347">
        <w:t>Utilisation des technologies de l'information et de la communication pour réduire les disparités en matière d'inclusion financière</w:t>
      </w:r>
      <w:bookmarkEnd w:id="24"/>
    </w:p>
    <w:p w14:paraId="658D6084" w14:textId="77777777" w:rsidR="006747F6" w:rsidRPr="001B7347" w:rsidRDefault="006747F6" w:rsidP="006747F6">
      <w:pPr>
        <w:keepNext/>
        <w:keepLines/>
        <w:spacing w:after="120"/>
        <w:rPr>
          <w:b/>
          <w:szCs w:val="24"/>
        </w:rPr>
      </w:pPr>
      <w:r w:rsidRPr="001B7347">
        <w:rPr>
          <w:szCs w:val="24"/>
        </w:rPr>
        <w:t>9.1</w:t>
      </w:r>
      <w:r w:rsidRPr="001B7347">
        <w:rPr>
          <w:szCs w:val="24"/>
        </w:rPr>
        <w:tab/>
      </w:r>
      <w:r w:rsidRPr="001B7347">
        <w:rPr>
          <w:b/>
          <w:szCs w:val="24"/>
        </w:rPr>
        <w:t>Adoptés</w:t>
      </w:r>
      <w:r w:rsidRPr="001B7347">
        <w:rPr>
          <w:bCs/>
          <w:szCs w:val="24"/>
        </w:rPr>
        <w:t>.</w:t>
      </w:r>
    </w:p>
    <w:p w14:paraId="7BBC89CE" w14:textId="77777777" w:rsidR="006747F6" w:rsidRPr="001B7347" w:rsidRDefault="006747F6" w:rsidP="006747F6">
      <w:pPr>
        <w:snapToGrid w:val="0"/>
        <w:spacing w:after="120"/>
        <w:rPr>
          <w:szCs w:val="24"/>
        </w:rPr>
      </w:pPr>
      <w:r w:rsidRPr="001B7347">
        <w:rPr>
          <w:szCs w:val="24"/>
        </w:rPr>
        <w:t>9.2</w:t>
      </w:r>
      <w:r w:rsidRPr="001B7347">
        <w:rPr>
          <w:szCs w:val="24"/>
        </w:rPr>
        <w:tab/>
      </w:r>
      <w:r w:rsidRPr="001B7347">
        <w:rPr>
          <w:rFonts w:cstheme="minorHAnsi"/>
          <w:szCs w:val="24"/>
        </w:rPr>
        <w:t xml:space="preserve">La septième série de textes soumis par la Commission de rédaction en première lecture (B7) (Document 133) est </w:t>
      </w:r>
      <w:r w:rsidRPr="001B7347">
        <w:rPr>
          <w:rFonts w:cstheme="minorHAnsi"/>
          <w:b/>
          <w:bCs/>
          <w:szCs w:val="24"/>
        </w:rPr>
        <w:t>approuvée</w:t>
      </w:r>
      <w:r w:rsidRPr="001B7347">
        <w:rPr>
          <w:rFonts w:cstheme="minorHAnsi"/>
          <w:szCs w:val="24"/>
        </w:rPr>
        <w:t>.</w:t>
      </w:r>
    </w:p>
    <w:p w14:paraId="0AFFAC95" w14:textId="77777777" w:rsidR="006747F6" w:rsidRPr="001B7347" w:rsidRDefault="006747F6" w:rsidP="006747F6">
      <w:pPr>
        <w:pStyle w:val="Heading1"/>
      </w:pPr>
      <w:r w:rsidRPr="001B7347">
        <w:t>10</w:t>
      </w:r>
      <w:r w:rsidRPr="001B7347">
        <w:tab/>
      </w:r>
      <w:r w:rsidRPr="001B7347">
        <w:rPr>
          <w:rFonts w:cstheme="minorHAnsi"/>
          <w:spacing w:val="-4"/>
          <w:szCs w:val="24"/>
        </w:rPr>
        <w:t>Septième série de textes soumis par la Commission de rédaction</w:t>
      </w:r>
      <w:r w:rsidRPr="001B7347">
        <w:rPr>
          <w:rFonts w:cstheme="minorHAnsi"/>
          <w:szCs w:val="24"/>
        </w:rPr>
        <w:t xml:space="preserve"> – seconde lecture</w:t>
      </w:r>
      <w:r w:rsidRPr="001B7347">
        <w:t xml:space="preserve"> (Document </w:t>
      </w:r>
      <w:hyperlink r:id="rId31" w:history="1">
        <w:r w:rsidRPr="001B7347">
          <w:rPr>
            <w:rStyle w:val="Hyperlink"/>
            <w:rFonts w:asciiTheme="minorHAnsi" w:hAnsiTheme="minorHAnsi" w:cstheme="minorBidi"/>
            <w:szCs w:val="28"/>
          </w:rPr>
          <w:t>133</w:t>
        </w:r>
      </w:hyperlink>
      <w:r w:rsidRPr="001B7347">
        <w:rPr>
          <w:szCs w:val="28"/>
        </w:rPr>
        <w:t>)</w:t>
      </w:r>
    </w:p>
    <w:p w14:paraId="0D8C96A4" w14:textId="77777777" w:rsidR="006747F6" w:rsidRPr="001B7347" w:rsidRDefault="006747F6" w:rsidP="006747F6">
      <w:pPr>
        <w:spacing w:after="120"/>
        <w:rPr>
          <w:szCs w:val="24"/>
        </w:rPr>
      </w:pPr>
      <w:r w:rsidRPr="001B7347">
        <w:rPr>
          <w:szCs w:val="24"/>
        </w:rPr>
        <w:t>10.1</w:t>
      </w:r>
      <w:r w:rsidRPr="001B7347">
        <w:rPr>
          <w:szCs w:val="24"/>
        </w:rPr>
        <w:tab/>
      </w:r>
      <w:r w:rsidRPr="001B7347">
        <w:rPr>
          <w:rFonts w:cstheme="minorHAnsi"/>
          <w:szCs w:val="24"/>
        </w:rPr>
        <w:t xml:space="preserve">La septième série de textes soumis par la Commission de rédaction (Document 133) est </w:t>
      </w:r>
      <w:r w:rsidRPr="001B7347">
        <w:rPr>
          <w:rFonts w:cstheme="minorHAnsi"/>
          <w:b/>
          <w:bCs/>
          <w:szCs w:val="24"/>
        </w:rPr>
        <w:t>approuvée</w:t>
      </w:r>
      <w:r w:rsidRPr="001B7347">
        <w:rPr>
          <w:rFonts w:cstheme="minorHAnsi"/>
          <w:szCs w:val="24"/>
        </w:rPr>
        <w:t xml:space="preserve"> en seconde lecture.</w:t>
      </w:r>
    </w:p>
    <w:p w14:paraId="657BC221" w14:textId="77777777" w:rsidR="006747F6" w:rsidRPr="001B7347" w:rsidRDefault="006747F6" w:rsidP="006747F6">
      <w:pPr>
        <w:pStyle w:val="Heading1"/>
      </w:pPr>
      <w:r w:rsidRPr="001B7347">
        <w:t>11</w:t>
      </w:r>
      <w:r w:rsidRPr="001B7347">
        <w:tab/>
      </w:r>
      <w:r w:rsidRPr="001B7347">
        <w:rPr>
          <w:rFonts w:cstheme="minorHAnsi"/>
          <w:spacing w:val="-2"/>
          <w:szCs w:val="24"/>
        </w:rPr>
        <w:t xml:space="preserve">Huitième série de textes soumis par la Commission de rédaction </w:t>
      </w:r>
      <w:r w:rsidRPr="001B7347">
        <w:rPr>
          <w:rFonts w:cstheme="minorHAnsi"/>
          <w:szCs w:val="24"/>
        </w:rPr>
        <w:t>en première lecture</w:t>
      </w:r>
      <w:r w:rsidRPr="001B7347">
        <w:rPr>
          <w:rFonts w:cstheme="minorHAnsi"/>
          <w:spacing w:val="-4"/>
          <w:szCs w:val="24"/>
        </w:rPr>
        <w:t xml:space="preserve"> </w:t>
      </w:r>
      <w:r w:rsidRPr="001B7347">
        <w:t xml:space="preserve">(B8) (Document </w:t>
      </w:r>
      <w:hyperlink r:id="rId32" w:history="1">
        <w:r w:rsidRPr="001B7347">
          <w:rPr>
            <w:rStyle w:val="Hyperlink"/>
            <w:rFonts w:asciiTheme="minorHAnsi" w:hAnsiTheme="minorHAnsi" w:cstheme="minorBidi"/>
            <w:szCs w:val="28"/>
          </w:rPr>
          <w:t>134</w:t>
        </w:r>
      </w:hyperlink>
      <w:r w:rsidRPr="001B7347">
        <w:rPr>
          <w:szCs w:val="28"/>
        </w:rPr>
        <w:t>)</w:t>
      </w:r>
    </w:p>
    <w:p w14:paraId="57D360CD" w14:textId="77777777" w:rsidR="006747F6" w:rsidRPr="001B7347" w:rsidRDefault="006747F6" w:rsidP="00EB13B8">
      <w:pPr>
        <w:pStyle w:val="Headingb"/>
        <w:ind w:left="0" w:firstLine="0"/>
      </w:pPr>
      <w:r w:rsidRPr="001B7347">
        <w:rPr>
          <w:rFonts w:cstheme="minorHAnsi"/>
        </w:rPr>
        <w:t xml:space="preserve">Projet de Résolution </w:t>
      </w:r>
      <w:r w:rsidRPr="001B7347">
        <w:t xml:space="preserve">157 (Rév. Bucarest, 2022) – </w:t>
      </w:r>
      <w:bookmarkStart w:id="25" w:name="_Toc407016253"/>
      <w:bookmarkStart w:id="26" w:name="_Toc536017982"/>
      <w:r w:rsidRPr="001B7347">
        <w:t>Renforcer les fonctions d'exécution et de suivi de projets à l'UIT</w:t>
      </w:r>
      <w:bookmarkEnd w:id="25"/>
      <w:bookmarkEnd w:id="26"/>
    </w:p>
    <w:p w14:paraId="63357921" w14:textId="77777777" w:rsidR="006747F6" w:rsidRPr="001B7347" w:rsidRDefault="006747F6" w:rsidP="006747F6">
      <w:pPr>
        <w:spacing w:after="120"/>
        <w:rPr>
          <w:szCs w:val="24"/>
        </w:rPr>
      </w:pPr>
      <w:r w:rsidRPr="001B7347">
        <w:rPr>
          <w:szCs w:val="24"/>
        </w:rPr>
        <w:t>11.1</w:t>
      </w:r>
      <w:r w:rsidRPr="001B7347">
        <w:rPr>
          <w:szCs w:val="24"/>
        </w:rPr>
        <w:tab/>
      </w:r>
      <w:r w:rsidRPr="001B7347">
        <w:rPr>
          <w:b/>
          <w:szCs w:val="24"/>
        </w:rPr>
        <w:t>Adopté</w:t>
      </w:r>
      <w:r w:rsidRPr="001B7347">
        <w:rPr>
          <w:szCs w:val="24"/>
        </w:rPr>
        <w:t>.</w:t>
      </w:r>
    </w:p>
    <w:p w14:paraId="1574CCF8" w14:textId="77777777" w:rsidR="006747F6" w:rsidRPr="001B7347" w:rsidRDefault="006747F6" w:rsidP="006747F6">
      <w:pPr>
        <w:snapToGrid w:val="0"/>
        <w:spacing w:after="120"/>
        <w:rPr>
          <w:szCs w:val="24"/>
        </w:rPr>
      </w:pPr>
      <w:r w:rsidRPr="001B7347">
        <w:rPr>
          <w:szCs w:val="24"/>
        </w:rPr>
        <w:t>11.2</w:t>
      </w:r>
      <w:r w:rsidRPr="001B7347">
        <w:rPr>
          <w:szCs w:val="24"/>
        </w:rPr>
        <w:tab/>
      </w:r>
      <w:r w:rsidRPr="001B7347">
        <w:rPr>
          <w:rFonts w:cstheme="minorHAnsi"/>
          <w:szCs w:val="24"/>
        </w:rPr>
        <w:t xml:space="preserve">La huitième série de textes soumis par la Commission de rédaction en première lecture (B8) (Document 134) est </w:t>
      </w:r>
      <w:r w:rsidRPr="001B7347">
        <w:rPr>
          <w:rFonts w:cstheme="minorHAnsi"/>
          <w:b/>
          <w:bCs/>
          <w:szCs w:val="24"/>
        </w:rPr>
        <w:t>approuvée</w:t>
      </w:r>
      <w:r w:rsidRPr="001B7347">
        <w:rPr>
          <w:rFonts w:cstheme="minorHAnsi"/>
          <w:szCs w:val="24"/>
        </w:rPr>
        <w:t>.</w:t>
      </w:r>
    </w:p>
    <w:p w14:paraId="3CE801BD" w14:textId="77777777" w:rsidR="006747F6" w:rsidRPr="001B7347" w:rsidRDefault="006747F6" w:rsidP="006747F6">
      <w:pPr>
        <w:pStyle w:val="Heading1"/>
      </w:pPr>
      <w:r w:rsidRPr="001B7347">
        <w:t>12</w:t>
      </w:r>
      <w:r w:rsidRPr="001B7347">
        <w:tab/>
      </w:r>
      <w:r w:rsidRPr="001B7347">
        <w:rPr>
          <w:rFonts w:cstheme="minorHAnsi"/>
          <w:spacing w:val="-2"/>
          <w:szCs w:val="24"/>
        </w:rPr>
        <w:t xml:space="preserve">Huitième série de textes soumis par la Commission de rédaction </w:t>
      </w:r>
      <w:r w:rsidRPr="001B7347">
        <w:rPr>
          <w:rFonts w:cstheme="minorHAnsi"/>
          <w:szCs w:val="24"/>
        </w:rPr>
        <w:t xml:space="preserve">– seconde lecture </w:t>
      </w:r>
      <w:r w:rsidRPr="001B7347">
        <w:t xml:space="preserve">(Document </w:t>
      </w:r>
      <w:hyperlink r:id="rId33" w:history="1">
        <w:r w:rsidRPr="001B7347">
          <w:rPr>
            <w:rStyle w:val="Hyperlink"/>
            <w:rFonts w:asciiTheme="minorHAnsi" w:hAnsiTheme="minorHAnsi" w:cstheme="minorBidi"/>
            <w:szCs w:val="28"/>
          </w:rPr>
          <w:t>134</w:t>
        </w:r>
      </w:hyperlink>
      <w:r w:rsidRPr="001B7347">
        <w:rPr>
          <w:szCs w:val="28"/>
        </w:rPr>
        <w:t>)</w:t>
      </w:r>
    </w:p>
    <w:p w14:paraId="2B97799E" w14:textId="77777777" w:rsidR="006747F6" w:rsidRPr="001B7347" w:rsidRDefault="006747F6" w:rsidP="00F9529C">
      <w:r w:rsidRPr="001B7347">
        <w:t>12.1</w:t>
      </w:r>
      <w:r w:rsidRPr="001B7347">
        <w:tab/>
        <w:t xml:space="preserve">La huitième série de textes soumis par la Commission de rédaction (Document 134) est </w:t>
      </w:r>
      <w:r w:rsidRPr="001B7347">
        <w:rPr>
          <w:b/>
          <w:bCs/>
        </w:rPr>
        <w:t>approuvée</w:t>
      </w:r>
      <w:r w:rsidRPr="001B7347">
        <w:t xml:space="preserve"> en seconde lecture.</w:t>
      </w:r>
    </w:p>
    <w:p w14:paraId="6D216096" w14:textId="77777777" w:rsidR="006747F6" w:rsidRPr="001B7347" w:rsidRDefault="006747F6" w:rsidP="006747F6">
      <w:pPr>
        <w:pStyle w:val="Heading1"/>
        <w:rPr>
          <w:rStyle w:val="Strong"/>
        </w:rPr>
      </w:pPr>
      <w:r w:rsidRPr="001B7347">
        <w:t>13</w:t>
      </w:r>
      <w:r w:rsidRPr="001B7347">
        <w:tab/>
        <w:t>Lettre du gouvernement de la Thaïlande concernant la Conférence mondiale de développement des télécommunications de 2025 (CMDT-25)</w:t>
      </w:r>
      <w:r w:rsidRPr="001B7347">
        <w:rPr>
          <w:rStyle w:val="Strong"/>
        </w:rPr>
        <w:t xml:space="preserve"> </w:t>
      </w:r>
      <w:r w:rsidRPr="001B7347">
        <w:rPr>
          <w:rStyle w:val="Strong"/>
          <w:b/>
          <w:bCs w:val="0"/>
        </w:rPr>
        <w:t>(Document </w:t>
      </w:r>
      <w:hyperlink r:id="rId34" w:history="1">
        <w:r w:rsidRPr="001B7347">
          <w:rPr>
            <w:rStyle w:val="Hyperlink"/>
            <w:rFonts w:eastAsiaTheme="minorHAnsi"/>
          </w:rPr>
          <w:t>136</w:t>
        </w:r>
      </w:hyperlink>
      <w:r w:rsidRPr="001B7347">
        <w:rPr>
          <w:rStyle w:val="Hyperlink"/>
          <w:rFonts w:eastAsiaTheme="minorHAnsi"/>
          <w:color w:val="auto"/>
          <w:u w:val="none"/>
        </w:rPr>
        <w:t>)</w:t>
      </w:r>
    </w:p>
    <w:p w14:paraId="3483518E" w14:textId="6E664ECF" w:rsidR="006747F6" w:rsidRPr="001B7347" w:rsidRDefault="006747F6" w:rsidP="00EB13B8">
      <w:r w:rsidRPr="001B7347">
        <w:t>13.1</w:t>
      </w:r>
      <w:r w:rsidRPr="001B7347">
        <w:tab/>
        <w:t xml:space="preserve">Le </w:t>
      </w:r>
      <w:r w:rsidRPr="001B7347">
        <w:rPr>
          <w:b/>
          <w:bCs/>
        </w:rPr>
        <w:t>délégué de la Thaïlande</w:t>
      </w:r>
      <w:r w:rsidRPr="001B7347">
        <w:t xml:space="preserve"> dit qu</w:t>
      </w:r>
      <w:r w:rsidR="00F9529C" w:rsidRPr="001B7347">
        <w:t>'</w:t>
      </w:r>
      <w:r w:rsidRPr="001B7347">
        <w:t>il a le plaisir de confirmer que son gouvernement souhaite accueillir la prochaine Conférence mondiale de développement des télécommunications (CMDT) à Bangkok en 2025, son intérêt préliminaire ayant été indiqué dans le Document 136. En tant que pays en développement ayant la connectivité, l'accessibilité et l'inclusion numérique au cœur de ses politiques, la Thaïlande sera honorée d'accueillir cette manifestation.</w:t>
      </w:r>
    </w:p>
    <w:p w14:paraId="67E2F5EB" w14:textId="77777777" w:rsidR="002923A4" w:rsidRDefault="002923A4" w:rsidP="00EB13B8">
      <w:r>
        <w:br w:type="page"/>
      </w:r>
    </w:p>
    <w:p w14:paraId="2CDC8031" w14:textId="28E4AD8E" w:rsidR="006747F6" w:rsidRPr="001B7347" w:rsidRDefault="006747F6" w:rsidP="00EB13B8">
      <w:r w:rsidRPr="001B7347">
        <w:lastRenderedPageBreak/>
        <w:t>13.2</w:t>
      </w:r>
      <w:r w:rsidRPr="001B7347">
        <w:tab/>
        <w:t xml:space="preserve">Les </w:t>
      </w:r>
      <w:r w:rsidRPr="0075547F">
        <w:rPr>
          <w:b/>
        </w:rPr>
        <w:t>délégués de la Roumanie</w:t>
      </w:r>
      <w:r w:rsidRPr="001B7347">
        <w:t xml:space="preserve">, de la </w:t>
      </w:r>
      <w:r w:rsidRPr="0075547F">
        <w:rPr>
          <w:b/>
        </w:rPr>
        <w:t>Papouasie-Nouvelle-Guinée</w:t>
      </w:r>
      <w:r w:rsidRPr="001B7347">
        <w:t xml:space="preserve">, s'exprimant au nom de l'APT, du </w:t>
      </w:r>
      <w:r w:rsidRPr="0075547F">
        <w:rPr>
          <w:b/>
        </w:rPr>
        <w:t>Canada</w:t>
      </w:r>
      <w:r w:rsidRPr="001B7347">
        <w:t xml:space="preserve">, du </w:t>
      </w:r>
      <w:r w:rsidRPr="0075547F">
        <w:rPr>
          <w:b/>
        </w:rPr>
        <w:t>Kirghizistan</w:t>
      </w:r>
      <w:r w:rsidRPr="001B7347">
        <w:t xml:space="preserve">, s'exprimant également au nom du Kazakhstan et de l'Ouzbékistan, du </w:t>
      </w:r>
      <w:r w:rsidRPr="0075547F">
        <w:rPr>
          <w:b/>
        </w:rPr>
        <w:t>Timor-Leste</w:t>
      </w:r>
      <w:r w:rsidRPr="001B7347">
        <w:t xml:space="preserve">, des </w:t>
      </w:r>
      <w:r w:rsidRPr="0075547F">
        <w:rPr>
          <w:b/>
        </w:rPr>
        <w:t>Philippines</w:t>
      </w:r>
      <w:r w:rsidRPr="001B7347">
        <w:t xml:space="preserve">, de la </w:t>
      </w:r>
      <w:r w:rsidRPr="0075547F">
        <w:rPr>
          <w:b/>
        </w:rPr>
        <w:t>République de Corée</w:t>
      </w:r>
      <w:r w:rsidRPr="001B7347">
        <w:t>, de l'</w:t>
      </w:r>
      <w:r w:rsidRPr="0075547F">
        <w:rPr>
          <w:b/>
        </w:rPr>
        <w:t>Indonésie</w:t>
      </w:r>
      <w:r w:rsidRPr="001B7347">
        <w:t xml:space="preserve">, de la </w:t>
      </w:r>
      <w:r w:rsidRPr="0075547F">
        <w:rPr>
          <w:b/>
        </w:rPr>
        <w:t>Malaisie</w:t>
      </w:r>
      <w:r w:rsidRPr="001B7347">
        <w:t xml:space="preserve">, du </w:t>
      </w:r>
      <w:r w:rsidRPr="0075547F">
        <w:rPr>
          <w:b/>
        </w:rPr>
        <w:t>Koweït</w:t>
      </w:r>
      <w:r w:rsidRPr="001B7347">
        <w:t xml:space="preserve">, du </w:t>
      </w:r>
      <w:r w:rsidRPr="0075547F">
        <w:rPr>
          <w:b/>
        </w:rPr>
        <w:t>Japon</w:t>
      </w:r>
      <w:r w:rsidRPr="001B7347">
        <w:t xml:space="preserve">, des </w:t>
      </w:r>
      <w:r w:rsidRPr="0075547F">
        <w:rPr>
          <w:b/>
        </w:rPr>
        <w:t>États-Unis</w:t>
      </w:r>
      <w:r w:rsidRPr="001B7347">
        <w:t xml:space="preserve">, de la </w:t>
      </w:r>
      <w:r w:rsidRPr="0075547F">
        <w:rPr>
          <w:b/>
        </w:rPr>
        <w:t>France</w:t>
      </w:r>
      <w:r w:rsidRPr="001B7347">
        <w:t xml:space="preserve">, des </w:t>
      </w:r>
      <w:r w:rsidRPr="0075547F">
        <w:rPr>
          <w:b/>
        </w:rPr>
        <w:t>Émirats arabes unis</w:t>
      </w:r>
      <w:r w:rsidRPr="001B7347">
        <w:t>, s'exprimant au nom du Groupe des États arabes, de l'</w:t>
      </w:r>
      <w:r w:rsidRPr="0075547F">
        <w:rPr>
          <w:b/>
        </w:rPr>
        <w:t>Azerbaïdjan</w:t>
      </w:r>
      <w:r w:rsidRPr="001B7347">
        <w:t>, de l'</w:t>
      </w:r>
      <w:r w:rsidRPr="0075547F">
        <w:rPr>
          <w:b/>
        </w:rPr>
        <w:t>Arabie saoudite</w:t>
      </w:r>
      <w:r w:rsidRPr="001B7347">
        <w:t xml:space="preserve">, du </w:t>
      </w:r>
      <w:r w:rsidRPr="0075547F">
        <w:rPr>
          <w:b/>
        </w:rPr>
        <w:t>Brésil</w:t>
      </w:r>
      <w:r w:rsidRPr="001B7347">
        <w:t xml:space="preserve">, de la </w:t>
      </w:r>
      <w:r w:rsidRPr="0075547F">
        <w:rPr>
          <w:b/>
        </w:rPr>
        <w:t>Fédération de Russie</w:t>
      </w:r>
      <w:r w:rsidRPr="001B7347">
        <w:t xml:space="preserve">, s'exprimant également en tant que coordonnateur régional du processus de préparation à la Conférence, le </w:t>
      </w:r>
      <w:r w:rsidRPr="0075547F">
        <w:rPr>
          <w:b/>
        </w:rPr>
        <w:t>Soudan</w:t>
      </w:r>
      <w:r w:rsidRPr="001B7347">
        <w:t xml:space="preserve">, s'exprimant au nom de la région Afrique, de la </w:t>
      </w:r>
      <w:r w:rsidRPr="0075547F">
        <w:rPr>
          <w:b/>
        </w:rPr>
        <w:t>République sudafricaine</w:t>
      </w:r>
      <w:r w:rsidRPr="001B7347">
        <w:t xml:space="preserve">, de la </w:t>
      </w:r>
      <w:r w:rsidRPr="0075547F">
        <w:rPr>
          <w:b/>
        </w:rPr>
        <w:t>Gambie</w:t>
      </w:r>
      <w:r w:rsidRPr="001B7347">
        <w:t xml:space="preserve">, du </w:t>
      </w:r>
      <w:r w:rsidRPr="0075547F">
        <w:rPr>
          <w:b/>
        </w:rPr>
        <w:t>Rwanda</w:t>
      </w:r>
      <w:r w:rsidRPr="001B7347">
        <w:t xml:space="preserve"> et de la </w:t>
      </w:r>
      <w:r w:rsidRPr="0075547F">
        <w:rPr>
          <w:b/>
        </w:rPr>
        <w:t>Chine</w:t>
      </w:r>
      <w:r w:rsidRPr="001B7347">
        <w:t>, remercient la Thaïlande pour sa généreuse invitation. Ils félicitent la Thaïlande pour son engagement sans faille envers l'UIT, son grand sens d</w:t>
      </w:r>
      <w:r w:rsidR="00EB13B8" w:rsidRPr="001B7347">
        <w:t>e</w:t>
      </w:r>
      <w:r w:rsidRPr="001B7347">
        <w:t xml:space="preserve"> l</w:t>
      </w:r>
      <w:r w:rsidR="00F9529C" w:rsidRPr="001B7347">
        <w:t>'</w:t>
      </w:r>
      <w:r w:rsidRPr="001B7347">
        <w:t>hospitalité et son expérience incontestable en matière d</w:t>
      </w:r>
      <w:r w:rsidR="00F9529C" w:rsidRPr="001B7347">
        <w:t>'o</w:t>
      </w:r>
      <w:r w:rsidRPr="001B7347">
        <w:t>rganisation de conférences internationales.</w:t>
      </w:r>
    </w:p>
    <w:p w14:paraId="222E95D8" w14:textId="57555310" w:rsidR="006747F6" w:rsidRPr="001B7347" w:rsidRDefault="006747F6" w:rsidP="00EB13B8">
      <w:r w:rsidRPr="001B7347">
        <w:t>13.3</w:t>
      </w:r>
      <w:r w:rsidRPr="001B7347">
        <w:tab/>
        <w:t xml:space="preserve">Le </w:t>
      </w:r>
      <w:r w:rsidRPr="001B7347">
        <w:rPr>
          <w:b/>
          <w:bCs/>
        </w:rPr>
        <w:t>Président</w:t>
      </w:r>
      <w:r w:rsidRPr="001B7347">
        <w:t xml:space="preserve"> prend note de la large adhésion suscitée par l'offre très généreuse de la Thaïlande. Il considère que la plénière approuve la proposition visant à ce que la prochaine CMDT se tienne à Bangkok (Thaïlande) en 2025, et indique que la Résolution 77 (Rév.</w:t>
      </w:r>
      <w:r w:rsidR="007B527A" w:rsidRPr="001B7347">
        <w:t> </w:t>
      </w:r>
      <w:r w:rsidRPr="001B7347">
        <w:t>Dubaï,</w:t>
      </w:r>
      <w:r w:rsidR="007B527A" w:rsidRPr="001B7347">
        <w:t> </w:t>
      </w:r>
      <w:r w:rsidRPr="001B7347">
        <w:t xml:space="preserve">2018) sera révisée en ce sens. </w:t>
      </w:r>
    </w:p>
    <w:p w14:paraId="7037423A" w14:textId="77777777" w:rsidR="006747F6" w:rsidRPr="001B7347" w:rsidRDefault="006747F6" w:rsidP="00EB13B8">
      <w:r w:rsidRPr="001B7347">
        <w:t>13.4</w:t>
      </w:r>
      <w:r w:rsidRPr="001B7347">
        <w:tab/>
        <w:t xml:space="preserve">Il en est ainsi </w:t>
      </w:r>
      <w:r w:rsidRPr="001B7347">
        <w:rPr>
          <w:b/>
          <w:bCs/>
        </w:rPr>
        <w:t>décidé</w:t>
      </w:r>
      <w:r w:rsidRPr="001B7347">
        <w:t>.</w:t>
      </w:r>
    </w:p>
    <w:p w14:paraId="12F4A535" w14:textId="0B7FFD55" w:rsidR="006747F6" w:rsidRPr="001B7347" w:rsidRDefault="006747F6" w:rsidP="00EB13B8">
      <w:r w:rsidRPr="001B7347">
        <w:t>13.5</w:t>
      </w:r>
      <w:r w:rsidRPr="001B7347">
        <w:tab/>
        <w:t xml:space="preserve">Le </w:t>
      </w:r>
      <w:r w:rsidRPr="001B7347">
        <w:rPr>
          <w:b/>
          <w:bCs/>
        </w:rPr>
        <w:t>Secrétaire général</w:t>
      </w:r>
      <w:r w:rsidRPr="001B7347">
        <w:t xml:space="preserve"> se félicite de l'acceptation unanime par la plénière de l'invitation de la Thaïlande en vue d</w:t>
      </w:r>
      <w:r w:rsidR="00F9529C" w:rsidRPr="001B7347">
        <w:t>'</w:t>
      </w:r>
      <w:r w:rsidRPr="001B7347">
        <w:t>accueillir la CMDT-25. Il ne doute pas que la Thaïlande sera un pays hôte formidable, comme elle l'a été pour ITU Telecom World en 2013 et 2016; les travaux préparatoires bilatéraux en vue de la CMDT-25 débuteront prochainement.</w:t>
      </w:r>
    </w:p>
    <w:p w14:paraId="4E7298BA" w14:textId="261D7AF2" w:rsidR="006747F6" w:rsidRPr="001B7347" w:rsidRDefault="006747F6" w:rsidP="006747F6">
      <w:pPr>
        <w:pStyle w:val="Heading1"/>
      </w:pPr>
      <w:r w:rsidRPr="001B7347">
        <w:t>14</w:t>
      </w:r>
      <w:r w:rsidRPr="001B7347">
        <w:tab/>
        <w:t>Remise des certificats de reconnaissance</w:t>
      </w:r>
    </w:p>
    <w:p w14:paraId="1D59F36F" w14:textId="478CFE87" w:rsidR="006747F6" w:rsidRPr="001B7347" w:rsidRDefault="006747F6" w:rsidP="006747F6">
      <w:pPr>
        <w:rPr>
          <w:rFonts w:cstheme="minorBidi"/>
        </w:rPr>
      </w:pPr>
      <w:r w:rsidRPr="001B7347">
        <w:t>14.1</w:t>
      </w:r>
      <w:r w:rsidRPr="001B7347">
        <w:tab/>
        <w:t xml:space="preserve">Le </w:t>
      </w:r>
      <w:r w:rsidRPr="001B7347">
        <w:rPr>
          <w:b/>
          <w:bCs/>
        </w:rPr>
        <w:t>Secrétaire général</w:t>
      </w:r>
      <w:r w:rsidRPr="001B7347">
        <w:t xml:space="preserve"> remet des certificats de reconnaissance aux coordonnateurs régionaux suivants présents à la Conférence pour leur travail considérable et le dévouement dont ils ont fait preuve lors de la préparation de la PP-22: M. John Omo, Secrétaire général, UAT (région Afrique); M. Santiago Reyes-Borda, Canada (région Amériques); M. Tariq Al-Awadhi, Émirats arabes unis, et au nom de la Ligue des États arabes (région des États arabes); Mme Caroline Greenway, Papouasie-Nouvelle-Guinée, et M. Masanori Kondo, Secrétaire général, APT (région</w:t>
      </w:r>
      <w:r w:rsidR="007B527A" w:rsidRPr="001B7347">
        <w:t> </w:t>
      </w:r>
      <w:r w:rsidRPr="001B7347">
        <w:t>Asie</w:t>
      </w:r>
      <w:r w:rsidR="007B527A" w:rsidRPr="001B7347">
        <w:noBreakHyphen/>
      </w:r>
      <w:r w:rsidRPr="001B7347">
        <w:t>Pacifique); M. Alexey Borodin, Fédération de Russie, et M. Nurudin Mukhitdinov, Directeur général de la RCC (région de la CEI); Mme Cristiana Flutur, Roumanie, CEPT (région</w:t>
      </w:r>
      <w:r w:rsidR="001B7347" w:rsidRPr="001B7347">
        <w:t> </w:t>
      </w:r>
      <w:r w:rsidRPr="001B7347">
        <w:t>Europe). M.</w:t>
      </w:r>
      <w:r w:rsidR="007B527A" w:rsidRPr="001B7347">
        <w:t> </w:t>
      </w:r>
      <w:r w:rsidRPr="001B7347">
        <w:t xml:space="preserve">Oscar Leon, Secrétaire exécutif (CITEL), recevra son certificat dès que possible. Le Secrétaire général adresse des remerciements tout particuliers à Mme </w:t>
      </w:r>
      <w:bookmarkStart w:id="27" w:name="_Hlk116205114"/>
      <w:r w:rsidRPr="001B7347">
        <w:t>Reyam El Mayet (Coordinatrice, Ligue des États arabes)</w:t>
      </w:r>
      <w:bookmarkEnd w:id="27"/>
      <w:r w:rsidRPr="001B7347">
        <w:t>, à M. Wojciech Berezowski, Pologne, et à M. Oli Bird, Royaume-Uni (CEPT).</w:t>
      </w:r>
    </w:p>
    <w:p w14:paraId="1EDCB754" w14:textId="77777777" w:rsidR="006747F6" w:rsidRPr="001B7347" w:rsidRDefault="006747F6" w:rsidP="006747F6">
      <w:pPr>
        <w:snapToGrid w:val="0"/>
        <w:spacing w:after="120"/>
        <w:rPr>
          <w:b/>
          <w:szCs w:val="24"/>
        </w:rPr>
      </w:pPr>
      <w:bookmarkStart w:id="28" w:name="lt_pId169"/>
      <w:r w:rsidRPr="001B7347">
        <w:rPr>
          <w:b/>
          <w:szCs w:val="24"/>
        </w:rPr>
        <w:t>La séance est levée à 17 h 00.</w:t>
      </w:r>
      <w:bookmarkEnd w:id="28"/>
    </w:p>
    <w:p w14:paraId="1471C85E" w14:textId="77777777" w:rsidR="006747F6" w:rsidRPr="001B7347" w:rsidRDefault="006747F6" w:rsidP="006747F6">
      <w:pPr>
        <w:keepNext/>
        <w:keepLines/>
        <w:widowControl w:val="0"/>
        <w:tabs>
          <w:tab w:val="clear" w:pos="567"/>
          <w:tab w:val="clear" w:pos="1134"/>
          <w:tab w:val="clear" w:pos="1701"/>
          <w:tab w:val="clear" w:pos="2268"/>
          <w:tab w:val="clear" w:pos="2835"/>
          <w:tab w:val="left" w:pos="7088"/>
        </w:tabs>
        <w:overflowPunct/>
        <w:autoSpaceDE/>
        <w:snapToGrid w:val="0"/>
        <w:spacing w:before="840"/>
      </w:pPr>
      <w:bookmarkStart w:id="29" w:name="lt_pId170"/>
      <w:r w:rsidRPr="001B7347">
        <w:t>Le Secrétaire génér</w:t>
      </w:r>
      <w:bookmarkStart w:id="30" w:name="_GoBack"/>
      <w:bookmarkEnd w:id="30"/>
      <w:r w:rsidRPr="001B7347">
        <w:t>al:</w:t>
      </w:r>
      <w:bookmarkEnd w:id="29"/>
      <w:r w:rsidRPr="001B7347">
        <w:tab/>
      </w:r>
      <w:bookmarkStart w:id="31" w:name="lt_pId171"/>
      <w:r w:rsidRPr="001B7347">
        <w:t>Le Président:</w:t>
      </w:r>
      <w:bookmarkEnd w:id="31"/>
    </w:p>
    <w:p w14:paraId="6C207020" w14:textId="77777777" w:rsidR="006747F6" w:rsidRPr="001B7347" w:rsidRDefault="006747F6" w:rsidP="006747F6">
      <w:pPr>
        <w:keepNext/>
        <w:keepLines/>
        <w:widowControl w:val="0"/>
        <w:tabs>
          <w:tab w:val="clear" w:pos="567"/>
          <w:tab w:val="clear" w:pos="1134"/>
          <w:tab w:val="clear" w:pos="1701"/>
          <w:tab w:val="clear" w:pos="2268"/>
          <w:tab w:val="clear" w:pos="2835"/>
          <w:tab w:val="left" w:pos="7088"/>
        </w:tabs>
        <w:overflowPunct/>
        <w:autoSpaceDE/>
        <w:snapToGrid w:val="0"/>
        <w:spacing w:before="0"/>
      </w:pPr>
      <w:bookmarkStart w:id="32" w:name="lt_pId172"/>
      <w:r w:rsidRPr="001B7347">
        <w:t>H.</w:t>
      </w:r>
      <w:bookmarkEnd w:id="32"/>
      <w:r w:rsidRPr="001B7347">
        <w:t xml:space="preserve"> </w:t>
      </w:r>
      <w:bookmarkStart w:id="33" w:name="lt_pId173"/>
      <w:r w:rsidRPr="001B7347">
        <w:t>ZHAO</w:t>
      </w:r>
      <w:bookmarkEnd w:id="33"/>
      <w:r w:rsidRPr="001B7347">
        <w:tab/>
        <w:t>S. SĂRMAŞ</w:t>
      </w:r>
    </w:p>
    <w:sectPr w:rsidR="006747F6" w:rsidRPr="001B7347" w:rsidSect="002923A4">
      <w:headerReference w:type="default" r:id="rId35"/>
      <w:footerReference w:type="default" r:id="rId36"/>
      <w:footerReference w:type="first" r:id="rId37"/>
      <w:type w:val="continuous"/>
      <w:pgSz w:w="11913" w:h="16834"/>
      <w:pgMar w:top="1304" w:right="1134" w:bottom="1304" w:left="1134" w:header="720" w:footer="720"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645D" w14:textId="77777777" w:rsidR="00696B2D" w:rsidRDefault="00696B2D">
      <w:r>
        <w:separator/>
      </w:r>
    </w:p>
  </w:endnote>
  <w:endnote w:type="continuationSeparator" w:id="0">
    <w:p w14:paraId="171487AF" w14:textId="77777777" w:rsidR="00696B2D" w:rsidRDefault="0069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9E43" w14:textId="59B06F21" w:rsidR="0023547E" w:rsidRPr="0023547E" w:rsidRDefault="00993454" w:rsidP="007C1779">
    <w:pPr>
      <w:pStyle w:val="Footer"/>
      <w:rPr>
        <w:lang w:val="en-US"/>
      </w:rPr>
    </w:pPr>
    <w:r>
      <w:fldChar w:fldCharType="begin"/>
    </w:r>
    <w:r>
      <w:instrText xml:space="preserve"> FILENAME \p  \* MERGEFORMAT </w:instrText>
    </w:r>
    <w:r>
      <w:fldChar w:fldCharType="separate"/>
    </w:r>
    <w:r>
      <w:t>P:\FRA\SG\CONF-SG\PP22\100\168V2F.docx</w:t>
    </w:r>
    <w:r>
      <w:fldChar w:fldCharType="end"/>
    </w:r>
    <w:r w:rsidR="007C1779">
      <w:t xml:space="preserve"> </w:t>
    </w:r>
    <w:r w:rsidR="0023547E" w:rsidRPr="0023547E">
      <w:rPr>
        <w:lang w:val="en-US"/>
      </w:rPr>
      <w:t xml:space="preserve"> (</w:t>
    </w:r>
    <w:r w:rsidR="0023547E">
      <w:rPr>
        <w:lang w:val="en-US"/>
      </w:rPr>
      <w:t>514304</w:t>
    </w:r>
    <w:r w:rsidR="0023547E" w:rsidRPr="0023547E">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E860" w14:textId="35386948" w:rsidR="000D15FB" w:rsidRDefault="000D15FB" w:rsidP="006359E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D8F5" w14:textId="77777777" w:rsidR="00696B2D" w:rsidRDefault="00696B2D">
      <w:r>
        <w:t>____________________</w:t>
      </w:r>
    </w:p>
  </w:footnote>
  <w:footnote w:type="continuationSeparator" w:id="0">
    <w:p w14:paraId="38068C51" w14:textId="77777777" w:rsidR="00696B2D" w:rsidRDefault="00696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70B73886" w:rsidR="00BD1614" w:rsidRDefault="00BD1614" w:rsidP="00BD1614">
    <w:pPr>
      <w:pStyle w:val="Header"/>
    </w:pPr>
    <w:r>
      <w:fldChar w:fldCharType="begin"/>
    </w:r>
    <w:r>
      <w:instrText xml:space="preserve"> PAGE </w:instrText>
    </w:r>
    <w:r>
      <w:fldChar w:fldCharType="separate"/>
    </w:r>
    <w:r w:rsidR="00993454">
      <w:rPr>
        <w:noProof/>
      </w:rPr>
      <w:t>6</w:t>
    </w:r>
    <w:r>
      <w:fldChar w:fldCharType="end"/>
    </w:r>
  </w:p>
  <w:p w14:paraId="650D8FD2" w14:textId="4940B4C2" w:rsidR="00BD1614" w:rsidRDefault="00BD1614" w:rsidP="001E2226">
    <w:pPr>
      <w:pStyle w:val="Header"/>
    </w:pPr>
    <w:r>
      <w:t>PP</w:t>
    </w:r>
    <w:r w:rsidR="002A7A1D">
      <w:t>22</w:t>
    </w:r>
    <w:r>
      <w:t>/</w:t>
    </w:r>
    <w:r w:rsidR="00AC20F8">
      <w:t>168</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C8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76B9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63A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F2E1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86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09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E47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C63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8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123D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B7347"/>
    <w:rsid w:val="001D31B2"/>
    <w:rsid w:val="001E1B9B"/>
    <w:rsid w:val="001E2226"/>
    <w:rsid w:val="001F6233"/>
    <w:rsid w:val="0023547E"/>
    <w:rsid w:val="002355CD"/>
    <w:rsid w:val="00270B2F"/>
    <w:rsid w:val="002923A4"/>
    <w:rsid w:val="002A0E1B"/>
    <w:rsid w:val="002A7A1D"/>
    <w:rsid w:val="002C1059"/>
    <w:rsid w:val="002C2F9C"/>
    <w:rsid w:val="002F11EA"/>
    <w:rsid w:val="00322DEA"/>
    <w:rsid w:val="00355FBD"/>
    <w:rsid w:val="00381461"/>
    <w:rsid w:val="00391C12"/>
    <w:rsid w:val="003A0B7D"/>
    <w:rsid w:val="003A45C2"/>
    <w:rsid w:val="003C4BE2"/>
    <w:rsid w:val="003C4E9C"/>
    <w:rsid w:val="003D147D"/>
    <w:rsid w:val="003D637A"/>
    <w:rsid w:val="00403AA0"/>
    <w:rsid w:val="00404B4E"/>
    <w:rsid w:val="00420EF8"/>
    <w:rsid w:val="00430015"/>
    <w:rsid w:val="004678D0"/>
    <w:rsid w:val="00482954"/>
    <w:rsid w:val="004951C0"/>
    <w:rsid w:val="004C7646"/>
    <w:rsid w:val="004F0EF8"/>
    <w:rsid w:val="00521781"/>
    <w:rsid w:val="00524001"/>
    <w:rsid w:val="005240D6"/>
    <w:rsid w:val="00564B63"/>
    <w:rsid w:val="00575DC7"/>
    <w:rsid w:val="0057620D"/>
    <w:rsid w:val="005836C2"/>
    <w:rsid w:val="005A4EFD"/>
    <w:rsid w:val="005A5ABE"/>
    <w:rsid w:val="005C2ECC"/>
    <w:rsid w:val="005C6744"/>
    <w:rsid w:val="005E419E"/>
    <w:rsid w:val="005E63C4"/>
    <w:rsid w:val="005F63BD"/>
    <w:rsid w:val="00611CF1"/>
    <w:rsid w:val="006201D9"/>
    <w:rsid w:val="006277DB"/>
    <w:rsid w:val="00630E79"/>
    <w:rsid w:val="006359EF"/>
    <w:rsid w:val="00635B7B"/>
    <w:rsid w:val="00655B98"/>
    <w:rsid w:val="006710E6"/>
    <w:rsid w:val="006747F6"/>
    <w:rsid w:val="00686973"/>
    <w:rsid w:val="00696B2D"/>
    <w:rsid w:val="006A2656"/>
    <w:rsid w:val="006A3475"/>
    <w:rsid w:val="006A6342"/>
    <w:rsid w:val="006A7FBC"/>
    <w:rsid w:val="006B6C9C"/>
    <w:rsid w:val="006C7AE3"/>
    <w:rsid w:val="006D55E8"/>
    <w:rsid w:val="006E1921"/>
    <w:rsid w:val="006F36F9"/>
    <w:rsid w:val="006F42D7"/>
    <w:rsid w:val="0070576B"/>
    <w:rsid w:val="00713335"/>
    <w:rsid w:val="00727C2F"/>
    <w:rsid w:val="00735F13"/>
    <w:rsid w:val="0075547F"/>
    <w:rsid w:val="00756300"/>
    <w:rsid w:val="007717F2"/>
    <w:rsid w:val="00772E3B"/>
    <w:rsid w:val="0078134C"/>
    <w:rsid w:val="007A5830"/>
    <w:rsid w:val="007B527A"/>
    <w:rsid w:val="007C1779"/>
    <w:rsid w:val="007C7A39"/>
    <w:rsid w:val="007D21FB"/>
    <w:rsid w:val="00801256"/>
    <w:rsid w:val="008172CE"/>
    <w:rsid w:val="00823E3B"/>
    <w:rsid w:val="008703CB"/>
    <w:rsid w:val="008B61AF"/>
    <w:rsid w:val="008C33C2"/>
    <w:rsid w:val="008C6137"/>
    <w:rsid w:val="008E2DB4"/>
    <w:rsid w:val="00901DD5"/>
    <w:rsid w:val="0090735B"/>
    <w:rsid w:val="00912D5E"/>
    <w:rsid w:val="00934340"/>
    <w:rsid w:val="00955261"/>
    <w:rsid w:val="00956DC7"/>
    <w:rsid w:val="00961242"/>
    <w:rsid w:val="00966CD3"/>
    <w:rsid w:val="00987A20"/>
    <w:rsid w:val="00993454"/>
    <w:rsid w:val="009A0E15"/>
    <w:rsid w:val="009D4037"/>
    <w:rsid w:val="009F0592"/>
    <w:rsid w:val="00A20E72"/>
    <w:rsid w:val="00A246DC"/>
    <w:rsid w:val="00A47BAF"/>
    <w:rsid w:val="00A542D3"/>
    <w:rsid w:val="00A5784F"/>
    <w:rsid w:val="00A8436E"/>
    <w:rsid w:val="00A95B66"/>
    <w:rsid w:val="00AC20F8"/>
    <w:rsid w:val="00AE0667"/>
    <w:rsid w:val="00AF3121"/>
    <w:rsid w:val="00B41E0A"/>
    <w:rsid w:val="00B56DE0"/>
    <w:rsid w:val="00B71F12"/>
    <w:rsid w:val="00B76FEC"/>
    <w:rsid w:val="00B96B1E"/>
    <w:rsid w:val="00BA6A11"/>
    <w:rsid w:val="00BB2A6F"/>
    <w:rsid w:val="00BB6D9D"/>
    <w:rsid w:val="00BD1614"/>
    <w:rsid w:val="00BD382C"/>
    <w:rsid w:val="00BD4E01"/>
    <w:rsid w:val="00BD5DA6"/>
    <w:rsid w:val="00BF7D25"/>
    <w:rsid w:val="00C010C0"/>
    <w:rsid w:val="00C40CB5"/>
    <w:rsid w:val="00C54CE6"/>
    <w:rsid w:val="00C575E2"/>
    <w:rsid w:val="00C647BB"/>
    <w:rsid w:val="00C7368B"/>
    <w:rsid w:val="00C92746"/>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B13B8"/>
    <w:rsid w:val="00ED2CD9"/>
    <w:rsid w:val="00EE3E13"/>
    <w:rsid w:val="00F07DA7"/>
    <w:rsid w:val="00F551A5"/>
    <w:rsid w:val="00F564C1"/>
    <w:rsid w:val="00F77FA2"/>
    <w:rsid w:val="00F8357A"/>
    <w:rsid w:val="00F9529C"/>
    <w:rsid w:val="00FA1B77"/>
    <w:rsid w:val="00FB4B65"/>
    <w:rsid w:val="00FB74B8"/>
    <w:rsid w:val="00FC036F"/>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character" w:styleId="Strong">
    <w:name w:val="Strong"/>
    <w:basedOn w:val="DefaultParagraphFont"/>
    <w:uiPriority w:val="22"/>
    <w:qFormat/>
    <w:rsid w:val="00630E79"/>
    <w:rPr>
      <w:b/>
      <w:bCs/>
    </w:rPr>
  </w:style>
  <w:style w:type="table" w:styleId="TableGrid">
    <w:name w:val="Table Grid"/>
    <w:basedOn w:val="TableNormal"/>
    <w:rsid w:val="0023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20D"/>
    <w:pPr>
      <w:ind w:left="720"/>
      <w:contextualSpacing/>
      <w:textAlignment w:val="auto"/>
    </w:pPr>
    <w:rPr>
      <w:rFonts w:eastAsia="SimSun"/>
      <w:lang w:val="en-GB"/>
    </w:rPr>
  </w:style>
  <w:style w:type="paragraph" w:styleId="Title">
    <w:name w:val="Title"/>
    <w:basedOn w:val="Normal"/>
    <w:link w:val="TitleChar"/>
    <w:qFormat/>
    <w:rsid w:val="0057620D"/>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hAnsi="Arial"/>
      <w:b/>
      <w:bCs/>
      <w:sz w:val="22"/>
      <w:szCs w:val="24"/>
      <w:lang w:val="en-US"/>
    </w:rPr>
  </w:style>
  <w:style w:type="character" w:customStyle="1" w:styleId="TitleChar">
    <w:name w:val="Title Char"/>
    <w:basedOn w:val="DefaultParagraphFont"/>
    <w:link w:val="Title"/>
    <w:rsid w:val="0057620D"/>
    <w:rPr>
      <w:rFonts w:ascii="Arial" w:hAnsi="Arial"/>
      <w:b/>
      <w:bCs/>
      <w:sz w:val="22"/>
      <w:szCs w:val="24"/>
      <w:lang w:eastAsia="en-US"/>
    </w:rPr>
  </w:style>
  <w:style w:type="paragraph" w:customStyle="1" w:styleId="pf0">
    <w:name w:val="pf0"/>
    <w:basedOn w:val="Normal"/>
    <w:rsid w:val="0057620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cf01">
    <w:name w:val="cf01"/>
    <w:basedOn w:val="DefaultParagraphFont"/>
    <w:rsid w:val="0057620D"/>
    <w:rPr>
      <w:rFonts w:ascii="Segoe UI" w:hAnsi="Segoe UI" w:cs="Segoe UI" w:hint="default"/>
      <w:b/>
      <w:bCs/>
      <w:sz w:val="18"/>
      <w:szCs w:val="18"/>
    </w:rPr>
  </w:style>
  <w:style w:type="paragraph" w:styleId="Revision">
    <w:name w:val="Revision"/>
    <w:hidden/>
    <w:uiPriority w:val="99"/>
    <w:semiHidden/>
    <w:rsid w:val="00BA6A1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10525">
      <w:bodyDiv w:val="1"/>
      <w:marLeft w:val="0"/>
      <w:marRight w:val="0"/>
      <w:marTop w:val="0"/>
      <w:marBottom w:val="0"/>
      <w:divBdr>
        <w:top w:val="none" w:sz="0" w:space="0" w:color="auto"/>
        <w:left w:val="none" w:sz="0" w:space="0" w:color="auto"/>
        <w:bottom w:val="none" w:sz="0" w:space="0" w:color="auto"/>
        <w:right w:val="none" w:sz="0" w:space="0" w:color="auto"/>
      </w:divBdr>
    </w:div>
    <w:div w:id="1762332344">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29/en" TargetMode="External"/><Relationship Id="rId18" Type="http://schemas.openxmlformats.org/officeDocument/2006/relationships/hyperlink" Target="https://www.itu.int/md/S22-PP-C-0133/en" TargetMode="External"/><Relationship Id="rId26" Type="http://schemas.openxmlformats.org/officeDocument/2006/relationships/hyperlink" Target="https://www.itu.int/md/S22-PP-C-0129/en" TargetMode="External"/><Relationship Id="rId39" Type="http://schemas.openxmlformats.org/officeDocument/2006/relationships/theme" Target="theme/theme1.xml"/><Relationship Id="rId21" Type="http://schemas.openxmlformats.org/officeDocument/2006/relationships/hyperlink" Target="https://www.itu.int/md/S22-PP-C-0136/en" TargetMode="External"/><Relationship Id="rId34" Type="http://schemas.openxmlformats.org/officeDocument/2006/relationships/hyperlink" Target="https://www.itu.int/md/S22-PP-C-0136/en" TargetMode="External"/><Relationship Id="rId7" Type="http://schemas.openxmlformats.org/officeDocument/2006/relationships/endnotes" Target="endnotes.xml"/><Relationship Id="rId12" Type="http://schemas.openxmlformats.org/officeDocument/2006/relationships/hyperlink" Target="https://www.itu.int/md/S22-PP-C-0128/en" TargetMode="External"/><Relationship Id="rId17" Type="http://schemas.openxmlformats.org/officeDocument/2006/relationships/hyperlink" Target="https://www.itu.int/md/S22-PP-C-0133/en" TargetMode="External"/><Relationship Id="rId25" Type="http://schemas.openxmlformats.org/officeDocument/2006/relationships/hyperlink" Target="https://www.itu.int/md/S22-PP-C-0128/en" TargetMode="External"/><Relationship Id="rId33" Type="http://schemas.openxmlformats.org/officeDocument/2006/relationships/hyperlink" Target="https://www.itu.int/md/S22-PP-C-0134/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PP-C-0130/en" TargetMode="External"/><Relationship Id="rId20" Type="http://schemas.openxmlformats.org/officeDocument/2006/relationships/hyperlink" Target="https://www.itu.int/md/S22-PP-C-0134/en" TargetMode="External"/><Relationship Id="rId29" Type="http://schemas.openxmlformats.org/officeDocument/2006/relationships/hyperlink" Target="https://www.itu.int/md/S22-PP-C-0130/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28/en" TargetMode="External"/><Relationship Id="rId24" Type="http://schemas.openxmlformats.org/officeDocument/2006/relationships/hyperlink" Target="https://www.itu.int/md/S22-PP-C-0128/en" TargetMode="External"/><Relationship Id="rId32" Type="http://schemas.openxmlformats.org/officeDocument/2006/relationships/hyperlink" Target="https://www.itu.int/md/S22-PP-C-0134/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2-PP-C-0130/en" TargetMode="External"/><Relationship Id="rId23" Type="http://schemas.openxmlformats.org/officeDocument/2006/relationships/hyperlink" Target="https://www.itu.int/md/S22-PP-C-0126/en" TargetMode="External"/><Relationship Id="rId28" Type="http://schemas.openxmlformats.org/officeDocument/2006/relationships/hyperlink" Target="https://www.itu.int/md/S22-PP-C-0130/en" TargetMode="External"/><Relationship Id="rId36" Type="http://schemas.openxmlformats.org/officeDocument/2006/relationships/footer" Target="footer1.xml"/><Relationship Id="rId10" Type="http://schemas.openxmlformats.org/officeDocument/2006/relationships/hyperlink" Target="https://www.itu.int/md/S22-PP-C-0126/en" TargetMode="External"/><Relationship Id="rId19" Type="http://schemas.openxmlformats.org/officeDocument/2006/relationships/hyperlink" Target="https://www.itu.int/md/S22-PP-C-0134/en" TargetMode="External"/><Relationship Id="rId31" Type="http://schemas.openxmlformats.org/officeDocument/2006/relationships/hyperlink" Target="https://www.itu.int/md/S22-PP-C-0133/en" TargetMode="External"/><Relationship Id="rId4" Type="http://schemas.openxmlformats.org/officeDocument/2006/relationships/settings" Target="settings.xml"/><Relationship Id="rId9" Type="http://schemas.openxmlformats.org/officeDocument/2006/relationships/hyperlink" Target="https://www.itu.int/md/S22-PP-C-0078/en" TargetMode="External"/><Relationship Id="rId14" Type="http://schemas.openxmlformats.org/officeDocument/2006/relationships/hyperlink" Target="https://www.itu.int/md/S22-PP-C-0129/en" TargetMode="External"/><Relationship Id="rId22" Type="http://schemas.openxmlformats.org/officeDocument/2006/relationships/hyperlink" Target="https://www.itu.int/md/S22-PP-C-0078/en" TargetMode="External"/><Relationship Id="rId27" Type="http://schemas.openxmlformats.org/officeDocument/2006/relationships/hyperlink" Target="https://www.itu.int/md/S22-PP-C-0129/en" TargetMode="External"/><Relationship Id="rId30" Type="http://schemas.openxmlformats.org/officeDocument/2006/relationships/hyperlink" Target="https://www.itu.int/md/S22-PP-C-0133/e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1737</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(PP-22)</dc:subject>
  <dc:creator>Manias, Michel</dc:creator>
  <cp:keywords/>
  <dc:description/>
  <cp:lastModifiedBy>Royer, Veronique</cp:lastModifiedBy>
  <cp:revision>7</cp:revision>
  <dcterms:created xsi:type="dcterms:W3CDTF">2022-10-11T19:30:00Z</dcterms:created>
  <dcterms:modified xsi:type="dcterms:W3CDTF">2022-10-12T14:54:00Z</dcterms:modified>
  <cp:category>Conference document</cp:category>
</cp:coreProperties>
</file>