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24729D" w14:paraId="53E2F3C9" w14:textId="77777777" w:rsidTr="00682B62">
        <w:trPr>
          <w:cantSplit/>
        </w:trPr>
        <w:tc>
          <w:tcPr>
            <w:tcW w:w="6911" w:type="dxa"/>
          </w:tcPr>
          <w:p w14:paraId="1A0FEE8F" w14:textId="27F7A80E" w:rsidR="00255FA1" w:rsidRPr="0024729D" w:rsidRDefault="00255FA1" w:rsidP="009D1BE0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24729D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</w:t>
            </w:r>
            <w:r w:rsidR="009D1BE0" w:rsidRPr="0024729D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22</w:t>
            </w:r>
            <w:r w:rsidRPr="0024729D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)</w:t>
            </w:r>
            <w:r w:rsidRPr="0024729D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="009D1BE0" w:rsidRPr="0024729D">
              <w:rPr>
                <w:b/>
                <w:bCs/>
                <w:szCs w:val="24"/>
                <w:lang w:val="es-ES"/>
              </w:rPr>
              <w:t>Bucarest</w:t>
            </w:r>
            <w:r w:rsidRPr="0024729D">
              <w:rPr>
                <w:rStyle w:val="PageNumber"/>
                <w:b/>
                <w:bCs/>
                <w:szCs w:val="24"/>
                <w:lang w:val="es-ES"/>
              </w:rPr>
              <w:t xml:space="preserve">, </w:t>
            </w:r>
            <w:r w:rsidRPr="0024729D">
              <w:rPr>
                <w:rStyle w:val="PageNumber"/>
                <w:b/>
                <w:szCs w:val="24"/>
                <w:lang w:val="es-ES"/>
              </w:rPr>
              <w:t>2</w:t>
            </w:r>
            <w:r w:rsidR="009D1BE0" w:rsidRPr="0024729D">
              <w:rPr>
                <w:rStyle w:val="PageNumber"/>
                <w:b/>
                <w:szCs w:val="24"/>
                <w:lang w:val="es-ES"/>
              </w:rPr>
              <w:t>6</w:t>
            </w:r>
            <w:r w:rsidRPr="0024729D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="009D1BE0" w:rsidRPr="0024729D">
              <w:rPr>
                <w:rStyle w:val="PageNumber"/>
                <w:b/>
                <w:szCs w:val="24"/>
                <w:lang w:val="es-ES"/>
              </w:rPr>
              <w:t>septiembre</w:t>
            </w:r>
            <w:r w:rsidRPr="0024729D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491A25" w:rsidRPr="0024729D">
              <w:rPr>
                <w:rStyle w:val="PageNumber"/>
                <w:b/>
                <w:szCs w:val="24"/>
                <w:lang w:val="es-ES"/>
              </w:rPr>
              <w:t>–</w:t>
            </w:r>
            <w:r w:rsidRPr="0024729D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C43474" w:rsidRPr="0024729D">
              <w:rPr>
                <w:rStyle w:val="PageNumber"/>
                <w:b/>
                <w:szCs w:val="24"/>
                <w:lang w:val="es-ES"/>
              </w:rPr>
              <w:t>1</w:t>
            </w:r>
            <w:r w:rsidR="009D1BE0" w:rsidRPr="0024729D">
              <w:rPr>
                <w:rStyle w:val="PageNumber"/>
                <w:b/>
                <w:szCs w:val="24"/>
                <w:lang w:val="es-ES"/>
              </w:rPr>
              <w:t>4</w:t>
            </w:r>
            <w:r w:rsidRPr="0024729D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 w:rsidR="009D1BE0" w:rsidRPr="0024729D">
              <w:rPr>
                <w:rStyle w:val="PageNumber"/>
                <w:b/>
                <w:szCs w:val="24"/>
                <w:lang w:val="es-ES"/>
              </w:rPr>
              <w:t>octubre</w:t>
            </w:r>
            <w:r w:rsidRPr="0024729D">
              <w:rPr>
                <w:rStyle w:val="PageNumber"/>
                <w:b/>
                <w:szCs w:val="24"/>
                <w:lang w:val="es-ES"/>
              </w:rPr>
              <w:t xml:space="preserve"> de 2</w:t>
            </w:r>
            <w:r w:rsidR="009D1BE0" w:rsidRPr="0024729D">
              <w:rPr>
                <w:rStyle w:val="PageNumber"/>
                <w:b/>
                <w:szCs w:val="24"/>
                <w:lang w:val="es-ES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24729D" w:rsidRDefault="009D1BE0" w:rsidP="00682B62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24729D">
              <w:rPr>
                <w:noProof/>
                <w:lang w:eastAsia="es-ES_tradnl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24729D" w14:paraId="7936D6CB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24729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24729D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</w:tr>
      <w:tr w:rsidR="00255FA1" w:rsidRPr="0024729D" w14:paraId="420A698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24729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24729D" w:rsidRDefault="00255FA1" w:rsidP="004F4BB1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255FA1" w:rsidRPr="0024729D" w14:paraId="6E5D99D3" w14:textId="77777777" w:rsidTr="00682B62">
        <w:trPr>
          <w:cantSplit/>
        </w:trPr>
        <w:tc>
          <w:tcPr>
            <w:tcW w:w="6911" w:type="dxa"/>
          </w:tcPr>
          <w:p w14:paraId="248001A5" w14:textId="6D21E375" w:rsidR="00255FA1" w:rsidRPr="0024729D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"/>
              </w:rPr>
            </w:pPr>
            <w:r w:rsidRPr="0024729D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14:paraId="5DCBCBFD" w14:textId="18E120BA" w:rsidR="00255FA1" w:rsidRPr="0024729D" w:rsidRDefault="009A443B" w:rsidP="004F4BB1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24729D">
              <w:rPr>
                <w:rFonts w:cstheme="minorHAnsi"/>
                <w:b/>
                <w:szCs w:val="24"/>
                <w:lang w:val="es-ES"/>
              </w:rPr>
              <w:t xml:space="preserve">Documento </w:t>
            </w:r>
            <w:r w:rsidR="0024729D">
              <w:rPr>
                <w:rFonts w:cstheme="minorHAnsi"/>
                <w:b/>
                <w:szCs w:val="24"/>
                <w:lang w:val="es-ES"/>
              </w:rPr>
              <w:t>168</w:t>
            </w:r>
            <w:r w:rsidRPr="0024729D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24729D" w14:paraId="483D078B" w14:textId="77777777" w:rsidTr="00682B62">
        <w:trPr>
          <w:cantSplit/>
        </w:trPr>
        <w:tc>
          <w:tcPr>
            <w:tcW w:w="6911" w:type="dxa"/>
          </w:tcPr>
          <w:p w14:paraId="17E32998" w14:textId="03E0A90A" w:rsidR="00255FA1" w:rsidRPr="0024729D" w:rsidRDefault="00255FA1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14:paraId="00BF5C1A" w14:textId="30EE302A" w:rsidR="00255FA1" w:rsidRPr="0024729D" w:rsidRDefault="0024729D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Style w:val="PageNumber"/>
                <w:b/>
                <w:szCs w:val="24"/>
                <w:lang w:val="es-ES"/>
              </w:rPr>
              <w:t>10</w:t>
            </w:r>
            <w:r w:rsidR="009A443B" w:rsidRPr="0024729D">
              <w:rPr>
                <w:rStyle w:val="PageNumber"/>
                <w:b/>
                <w:szCs w:val="24"/>
                <w:lang w:val="es-ES"/>
              </w:rPr>
              <w:t xml:space="preserve"> de </w:t>
            </w:r>
            <w:r>
              <w:rPr>
                <w:rStyle w:val="PageNumber"/>
                <w:b/>
                <w:szCs w:val="24"/>
                <w:lang w:val="es-ES"/>
              </w:rPr>
              <w:t>octubre</w:t>
            </w:r>
            <w:r w:rsidR="009A443B" w:rsidRPr="0024729D">
              <w:rPr>
                <w:rStyle w:val="PageNumber"/>
                <w:b/>
                <w:szCs w:val="24"/>
                <w:lang w:val="es-ES"/>
              </w:rPr>
              <w:t xml:space="preserve"> </w:t>
            </w:r>
            <w:r w:rsidR="009A443B" w:rsidRPr="0024729D">
              <w:rPr>
                <w:rFonts w:cstheme="minorHAnsi"/>
                <w:b/>
                <w:szCs w:val="24"/>
                <w:lang w:val="es-ES"/>
              </w:rPr>
              <w:t>de 202</w:t>
            </w:r>
            <w:r>
              <w:rPr>
                <w:rFonts w:cstheme="minorHAnsi"/>
                <w:b/>
                <w:szCs w:val="24"/>
                <w:lang w:val="es-ES"/>
              </w:rPr>
              <w:t>2</w:t>
            </w:r>
          </w:p>
        </w:tc>
      </w:tr>
      <w:tr w:rsidR="00255FA1" w:rsidRPr="0024729D" w14:paraId="7EE17784" w14:textId="77777777" w:rsidTr="00682B62">
        <w:trPr>
          <w:cantSplit/>
        </w:trPr>
        <w:tc>
          <w:tcPr>
            <w:tcW w:w="6911" w:type="dxa"/>
          </w:tcPr>
          <w:p w14:paraId="68573EE1" w14:textId="77777777" w:rsidR="00255FA1" w:rsidRPr="0024729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14:paraId="76142BCE" w14:textId="3C72C0F4" w:rsidR="00255FA1" w:rsidRPr="0024729D" w:rsidRDefault="009A443B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24729D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255FA1" w:rsidRPr="0024729D" w14:paraId="3075E850" w14:textId="77777777" w:rsidTr="00682B62">
        <w:trPr>
          <w:cantSplit/>
        </w:trPr>
        <w:tc>
          <w:tcPr>
            <w:tcW w:w="10031" w:type="dxa"/>
            <w:gridSpan w:val="2"/>
          </w:tcPr>
          <w:p w14:paraId="2AB3028F" w14:textId="77777777" w:rsidR="00255FA1" w:rsidRPr="0024729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255FA1" w:rsidRPr="0024729D" w14:paraId="6C060127" w14:textId="77777777" w:rsidTr="00682B62">
        <w:trPr>
          <w:cantSplit/>
        </w:trPr>
        <w:tc>
          <w:tcPr>
            <w:tcW w:w="10031" w:type="dxa"/>
            <w:gridSpan w:val="2"/>
          </w:tcPr>
          <w:p w14:paraId="02545C39" w14:textId="77777777" w:rsidR="00255FA1" w:rsidRPr="0024729D" w:rsidRDefault="00056C11" w:rsidP="00682B62">
            <w:pPr>
              <w:pStyle w:val="Title1"/>
              <w:rPr>
                <w:lang w:val="es-ES"/>
              </w:rPr>
            </w:pPr>
            <w:bookmarkStart w:id="4" w:name="dtitle1" w:colFirst="0" w:colLast="0"/>
            <w:bookmarkEnd w:id="3"/>
            <w:r w:rsidRPr="0024729D">
              <w:rPr>
                <w:lang w:val="es-ES"/>
              </w:rPr>
              <w:t xml:space="preserve">actas </w:t>
            </w:r>
          </w:p>
          <w:p w14:paraId="1E1A1ED4" w14:textId="77777777" w:rsidR="00056C11" w:rsidRPr="0024729D" w:rsidRDefault="00056C11" w:rsidP="00056C11">
            <w:pPr>
              <w:pStyle w:val="Title1"/>
              <w:rPr>
                <w:lang w:val="es-ES"/>
              </w:rPr>
            </w:pPr>
            <w:r w:rsidRPr="0024729D">
              <w:rPr>
                <w:lang w:val="es-ES"/>
              </w:rPr>
              <w:t>de la</w:t>
            </w:r>
          </w:p>
          <w:p w14:paraId="0A048F9C" w14:textId="1E09B691" w:rsidR="00056C11" w:rsidRPr="0024729D" w:rsidRDefault="00056C11" w:rsidP="00056C11">
            <w:pPr>
              <w:pStyle w:val="Title1"/>
              <w:rPr>
                <w:caps w:val="0"/>
                <w:lang w:val="es-ES"/>
              </w:rPr>
            </w:pPr>
            <w:r w:rsidRPr="0024729D">
              <w:rPr>
                <w:lang w:val="es-ES"/>
              </w:rPr>
              <w:t>duodécima sesión plenaria</w:t>
            </w:r>
          </w:p>
        </w:tc>
      </w:tr>
      <w:tr w:rsidR="00255FA1" w:rsidRPr="0024729D" w14:paraId="3730209C" w14:textId="77777777" w:rsidTr="00682B62">
        <w:trPr>
          <w:cantSplit/>
        </w:trPr>
        <w:tc>
          <w:tcPr>
            <w:tcW w:w="10031" w:type="dxa"/>
            <w:gridSpan w:val="2"/>
          </w:tcPr>
          <w:p w14:paraId="3D6718D3" w14:textId="14664802" w:rsidR="00255FA1" w:rsidRPr="00D7704D" w:rsidRDefault="00056C11" w:rsidP="00682B62">
            <w:pPr>
              <w:pStyle w:val="Title2"/>
              <w:rPr>
                <w:caps w:val="0"/>
                <w:sz w:val="24"/>
                <w:szCs w:val="24"/>
                <w:lang w:val="es-ES"/>
              </w:rPr>
            </w:pPr>
            <w:bookmarkStart w:id="5" w:name="dtitle2" w:colFirst="0" w:colLast="0"/>
            <w:bookmarkEnd w:id="4"/>
            <w:r w:rsidRPr="00D7704D">
              <w:rPr>
                <w:caps w:val="0"/>
                <w:sz w:val="24"/>
                <w:szCs w:val="24"/>
                <w:lang w:val="es-ES"/>
              </w:rPr>
              <w:t>Jueves 6 de octubre de 2022, a las 16.10 horas</w:t>
            </w:r>
          </w:p>
        </w:tc>
      </w:tr>
      <w:tr w:rsidR="00255FA1" w:rsidRPr="0024729D" w14:paraId="1029F4FC" w14:textId="77777777" w:rsidTr="00682B62">
        <w:trPr>
          <w:cantSplit/>
        </w:trPr>
        <w:tc>
          <w:tcPr>
            <w:tcW w:w="10031" w:type="dxa"/>
            <w:gridSpan w:val="2"/>
          </w:tcPr>
          <w:p w14:paraId="4C5FBEDD" w14:textId="2CBF0780" w:rsidR="00255FA1" w:rsidRPr="0024729D" w:rsidRDefault="00056C11" w:rsidP="00056C11">
            <w:pPr>
              <w:jc w:val="center"/>
              <w:rPr>
                <w:lang w:val="es-ES"/>
              </w:rPr>
            </w:pPr>
            <w:bookmarkStart w:id="6" w:name="dtitle3" w:colFirst="0" w:colLast="0"/>
            <w:bookmarkEnd w:id="5"/>
            <w:r w:rsidRPr="0024729D">
              <w:rPr>
                <w:b/>
                <w:bCs/>
                <w:lang w:val="es-ES"/>
              </w:rPr>
              <w:t>Presidente:</w:t>
            </w:r>
            <w:r w:rsidR="0024729D" w:rsidRPr="0024729D">
              <w:rPr>
                <w:lang w:val="es-ES"/>
              </w:rPr>
              <w:t xml:space="preserve"> </w:t>
            </w:r>
            <w:r w:rsidRPr="0024729D">
              <w:rPr>
                <w:lang w:val="es-ES"/>
              </w:rPr>
              <w:t>Sr</w:t>
            </w:r>
            <w:r w:rsidR="00D7704D">
              <w:rPr>
                <w:lang w:val="es-ES"/>
              </w:rPr>
              <w:t>.</w:t>
            </w:r>
            <w:r w:rsidRPr="0024729D">
              <w:rPr>
                <w:lang w:val="es-ES"/>
              </w:rPr>
              <w:t xml:space="preserve"> S. SĂRMAȘ (Rumania)</w:t>
            </w:r>
          </w:p>
        </w:tc>
      </w:tr>
      <w:bookmarkEnd w:id="6"/>
    </w:tbl>
    <w:p w14:paraId="34A83313" w14:textId="74394121" w:rsidR="00504FD4" w:rsidRPr="0024729D" w:rsidRDefault="00504FD4" w:rsidP="00930E84">
      <w:pPr>
        <w:rPr>
          <w:lang w:val="es-ES"/>
        </w:rPr>
      </w:pPr>
    </w:p>
    <w:tbl>
      <w:tblPr>
        <w:tblW w:w="5215" w:type="pct"/>
        <w:tblLook w:val="0000" w:firstRow="0" w:lastRow="0" w:firstColumn="0" w:lastColumn="0" w:noHBand="0" w:noVBand="0"/>
      </w:tblPr>
      <w:tblGrid>
        <w:gridCol w:w="445"/>
        <w:gridCol w:w="7888"/>
        <w:gridCol w:w="1727"/>
      </w:tblGrid>
      <w:tr w:rsidR="00441EFC" w:rsidRPr="0024729D" w14:paraId="04163661" w14:textId="77777777" w:rsidTr="00F76A8B">
        <w:trPr>
          <w:trHeight w:val="667"/>
        </w:trPr>
        <w:tc>
          <w:tcPr>
            <w:tcW w:w="229" w:type="pct"/>
          </w:tcPr>
          <w:p w14:paraId="1B73EACB" w14:textId="77777777" w:rsidR="00441EFC" w:rsidRPr="006C15D3" w:rsidRDefault="00441EFC" w:rsidP="006C15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before="240" w:after="120"/>
              <w:jc w:val="both"/>
              <w:rPr>
                <w:rFonts w:eastAsia="SimSun"/>
                <w:b/>
                <w:szCs w:val="24"/>
                <w:lang w:val="es-ES"/>
              </w:rPr>
            </w:pPr>
            <w:r w:rsidRPr="006C15D3">
              <w:rPr>
                <w:rFonts w:eastAsia="SimSun"/>
                <w:szCs w:val="24"/>
                <w:lang w:val="es-ES"/>
              </w:rPr>
              <w:br w:type="page"/>
            </w:r>
            <w:r w:rsidRPr="006C15D3">
              <w:rPr>
                <w:rFonts w:eastAsia="SimSun"/>
                <w:szCs w:val="24"/>
                <w:lang w:val="es-ES"/>
              </w:rPr>
              <w:br w:type="page"/>
            </w:r>
          </w:p>
        </w:tc>
        <w:tc>
          <w:tcPr>
            <w:tcW w:w="3928" w:type="pct"/>
          </w:tcPr>
          <w:p w14:paraId="49033C1F" w14:textId="77777777" w:rsidR="00441EFC" w:rsidRPr="006C15D3" w:rsidRDefault="00441EFC" w:rsidP="006C15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before="240" w:after="120"/>
              <w:jc w:val="both"/>
              <w:rPr>
                <w:rFonts w:eastAsia="SimSun"/>
                <w:szCs w:val="24"/>
                <w:lang w:val="es-ES"/>
              </w:rPr>
            </w:pPr>
            <w:r w:rsidRPr="006C15D3">
              <w:rPr>
                <w:rFonts w:eastAsia="SimSun"/>
                <w:b/>
                <w:szCs w:val="24"/>
                <w:lang w:val="en-CA"/>
              </w:rPr>
              <w:t>Asuntos</w:t>
            </w:r>
            <w:r w:rsidRPr="006C15D3">
              <w:rPr>
                <w:rFonts w:eastAsia="SimSun"/>
                <w:szCs w:val="24"/>
                <w:lang w:val="es-ES"/>
              </w:rPr>
              <w:t xml:space="preserve"> </w:t>
            </w:r>
            <w:r w:rsidRPr="006C15D3">
              <w:rPr>
                <w:rFonts w:eastAsia="SimSun"/>
                <w:b/>
                <w:bCs/>
                <w:szCs w:val="24"/>
                <w:lang w:val="es-ES"/>
              </w:rPr>
              <w:t>tratados</w:t>
            </w:r>
          </w:p>
        </w:tc>
        <w:tc>
          <w:tcPr>
            <w:tcW w:w="843" w:type="pct"/>
          </w:tcPr>
          <w:p w14:paraId="1C264AF4" w14:textId="77777777" w:rsidR="00441EFC" w:rsidRPr="0024729D" w:rsidRDefault="00441EFC" w:rsidP="006C15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before="240" w:after="120"/>
              <w:jc w:val="center"/>
              <w:rPr>
                <w:rFonts w:eastAsia="SimSun"/>
                <w:b/>
                <w:szCs w:val="24"/>
                <w:lang w:val="es-ES"/>
              </w:rPr>
            </w:pPr>
            <w:r w:rsidRPr="006C15D3">
              <w:rPr>
                <w:rFonts w:eastAsia="SimSun"/>
                <w:b/>
                <w:szCs w:val="24"/>
                <w:lang w:val="en-CA"/>
              </w:rPr>
              <w:t>Documentos</w:t>
            </w:r>
          </w:p>
        </w:tc>
      </w:tr>
      <w:tr w:rsidR="00441EFC" w:rsidRPr="0024729D" w14:paraId="20D60E44" w14:textId="77777777" w:rsidTr="00F76A8B">
        <w:trPr>
          <w:trHeight w:val="20"/>
        </w:trPr>
        <w:tc>
          <w:tcPr>
            <w:tcW w:w="229" w:type="pct"/>
          </w:tcPr>
          <w:p w14:paraId="6330E281" w14:textId="77777777" w:rsidR="00441EFC" w:rsidRPr="009A30A0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</w:pPr>
            <w:r w:rsidRPr="009A30A0"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  <w:t>1</w:t>
            </w:r>
          </w:p>
        </w:tc>
        <w:tc>
          <w:tcPr>
            <w:tcW w:w="3928" w:type="pct"/>
          </w:tcPr>
          <w:p w14:paraId="656E62B3" w14:textId="77777777" w:rsidR="00441EFC" w:rsidRPr="006C15D3" w:rsidRDefault="00441EFC" w:rsidP="00F76A8B">
            <w:pPr>
              <w:spacing w:before="0" w:after="120"/>
              <w:rPr>
                <w:sz w:val="22"/>
                <w:szCs w:val="22"/>
                <w:lang w:val="es-ES"/>
              </w:rPr>
            </w:pPr>
            <w:r w:rsidRPr="009A30A0"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  <w:t>Revisión</w:t>
            </w:r>
            <w:r w:rsidRPr="006C15D3">
              <w:rPr>
                <w:sz w:val="22"/>
                <w:szCs w:val="22"/>
                <w:lang w:val="es-ES"/>
              </w:rPr>
              <w:t xml:space="preserve"> de la Resolución 125</w:t>
            </w:r>
          </w:p>
        </w:tc>
        <w:tc>
          <w:tcPr>
            <w:tcW w:w="843" w:type="pct"/>
          </w:tcPr>
          <w:p w14:paraId="56CD662F" w14:textId="77777777" w:rsidR="00441EFC" w:rsidRPr="006C15D3" w:rsidRDefault="00F76A8B" w:rsidP="009F1944">
            <w:pPr>
              <w:spacing w:after="120"/>
              <w:jc w:val="center"/>
              <w:rPr>
                <w:rFonts w:eastAsia="SimSun"/>
                <w:sz w:val="22"/>
                <w:szCs w:val="22"/>
                <w:lang w:val="es-ES"/>
              </w:rPr>
            </w:pPr>
            <w:hyperlink r:id="rId8" w:history="1">
              <w:r w:rsidR="00441EFC" w:rsidRPr="006C15D3">
                <w:rPr>
                  <w:rStyle w:val="Hyperlink"/>
                  <w:rFonts w:asciiTheme="minorHAnsi" w:hAnsiTheme="minorHAnsi" w:cs="Arial"/>
                  <w:sz w:val="22"/>
                  <w:szCs w:val="22"/>
                  <w:lang w:val="es-ES"/>
                </w:rPr>
                <w:t>78(Add.9)(Rev.1)</w:t>
              </w:r>
            </w:hyperlink>
          </w:p>
        </w:tc>
      </w:tr>
      <w:tr w:rsidR="00441EFC" w:rsidRPr="0024729D" w14:paraId="394ED76C" w14:textId="77777777" w:rsidTr="00F76A8B">
        <w:trPr>
          <w:trHeight w:val="20"/>
        </w:trPr>
        <w:tc>
          <w:tcPr>
            <w:tcW w:w="229" w:type="pct"/>
          </w:tcPr>
          <w:p w14:paraId="4EEDFD7A" w14:textId="77777777" w:rsidR="00441EFC" w:rsidRPr="009A30A0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</w:pPr>
            <w:r w:rsidRPr="009A30A0"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  <w:t>2</w:t>
            </w:r>
          </w:p>
        </w:tc>
        <w:tc>
          <w:tcPr>
            <w:tcW w:w="3928" w:type="pct"/>
          </w:tcPr>
          <w:p w14:paraId="1B2202B2" w14:textId="77777777" w:rsidR="00441EFC" w:rsidRPr="00F76A8B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</w:pPr>
            <w:r w:rsidRPr="00F76A8B"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  <w:t>Informe de la Comisión de Credenciales a la Sesión Plenaria</w:t>
            </w:r>
          </w:p>
        </w:tc>
        <w:tc>
          <w:tcPr>
            <w:tcW w:w="843" w:type="pct"/>
          </w:tcPr>
          <w:p w14:paraId="02CE242F" w14:textId="77777777" w:rsidR="00441EFC" w:rsidRPr="006C15D3" w:rsidRDefault="00F76A8B" w:rsidP="009F1944">
            <w:pPr>
              <w:spacing w:after="120" w:line="276" w:lineRule="auto"/>
              <w:jc w:val="center"/>
              <w:rPr>
                <w:rFonts w:eastAsia="SimSun"/>
                <w:sz w:val="22"/>
                <w:szCs w:val="22"/>
                <w:lang w:val="es-ES"/>
              </w:rPr>
            </w:pPr>
            <w:hyperlink r:id="rId9" w:history="1">
              <w:r w:rsidR="00441EFC" w:rsidRPr="006C15D3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val="es-ES"/>
                </w:rPr>
                <w:t>126</w:t>
              </w:r>
            </w:hyperlink>
          </w:p>
        </w:tc>
      </w:tr>
      <w:tr w:rsidR="00441EFC" w:rsidRPr="0024729D" w14:paraId="5DCC9A3A" w14:textId="77777777" w:rsidTr="00F76A8B">
        <w:trPr>
          <w:trHeight w:val="20"/>
        </w:trPr>
        <w:tc>
          <w:tcPr>
            <w:tcW w:w="229" w:type="pct"/>
          </w:tcPr>
          <w:p w14:paraId="20AB147E" w14:textId="77777777" w:rsidR="00441EFC" w:rsidRPr="009A30A0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</w:pPr>
            <w:r w:rsidRPr="009A30A0"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  <w:t>3</w:t>
            </w:r>
          </w:p>
        </w:tc>
        <w:tc>
          <w:tcPr>
            <w:tcW w:w="3928" w:type="pct"/>
          </w:tcPr>
          <w:p w14:paraId="5E3DF07A" w14:textId="77777777" w:rsidR="00441EFC" w:rsidRPr="00F76A8B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</w:pPr>
            <w:r w:rsidRPr="00F76A8B"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  <w:t>Cuarta serie de textos sometidos por la Comisión de Redacción en primera lectura (B4)</w:t>
            </w:r>
          </w:p>
        </w:tc>
        <w:tc>
          <w:tcPr>
            <w:tcW w:w="843" w:type="pct"/>
          </w:tcPr>
          <w:p w14:paraId="093F55D6" w14:textId="77777777" w:rsidR="00441EFC" w:rsidRPr="006C15D3" w:rsidRDefault="00F76A8B" w:rsidP="009F1944">
            <w:pPr>
              <w:spacing w:after="120"/>
              <w:jc w:val="center"/>
              <w:rPr>
                <w:rFonts w:eastAsia="SimSun"/>
                <w:sz w:val="22"/>
                <w:szCs w:val="22"/>
                <w:lang w:val="es-ES"/>
              </w:rPr>
            </w:pPr>
            <w:hyperlink r:id="rId10" w:history="1">
              <w:r w:rsidR="00441EFC" w:rsidRPr="006C15D3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val="es-ES"/>
                </w:rPr>
                <w:t>128</w:t>
              </w:r>
            </w:hyperlink>
          </w:p>
        </w:tc>
      </w:tr>
      <w:tr w:rsidR="00441EFC" w:rsidRPr="0024729D" w14:paraId="09C1EF62" w14:textId="77777777" w:rsidTr="00F76A8B">
        <w:trPr>
          <w:trHeight w:val="20"/>
        </w:trPr>
        <w:tc>
          <w:tcPr>
            <w:tcW w:w="229" w:type="pct"/>
          </w:tcPr>
          <w:p w14:paraId="0D4598B6" w14:textId="77777777" w:rsidR="00441EFC" w:rsidRPr="009A30A0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</w:pPr>
            <w:r w:rsidRPr="009A30A0"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  <w:t>4</w:t>
            </w:r>
          </w:p>
        </w:tc>
        <w:tc>
          <w:tcPr>
            <w:tcW w:w="3928" w:type="pct"/>
          </w:tcPr>
          <w:p w14:paraId="42003856" w14:textId="77777777" w:rsidR="00441EFC" w:rsidRPr="00F76A8B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</w:pPr>
            <w:r w:rsidRPr="00F76A8B"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  <w:t>Cuarta serie de textos sometidos por la Comisión de Redacción – segunda lectura</w:t>
            </w:r>
          </w:p>
        </w:tc>
        <w:tc>
          <w:tcPr>
            <w:tcW w:w="843" w:type="pct"/>
          </w:tcPr>
          <w:p w14:paraId="1D7E1A41" w14:textId="77777777" w:rsidR="00441EFC" w:rsidRPr="006C15D3" w:rsidRDefault="00F76A8B" w:rsidP="009F1944">
            <w:pPr>
              <w:spacing w:after="120"/>
              <w:jc w:val="center"/>
              <w:rPr>
                <w:rFonts w:eastAsia="SimSun"/>
                <w:sz w:val="22"/>
                <w:szCs w:val="22"/>
                <w:lang w:val="es-ES"/>
              </w:rPr>
            </w:pPr>
            <w:hyperlink r:id="rId11" w:history="1">
              <w:r w:rsidR="00441EFC" w:rsidRPr="006C15D3">
                <w:rPr>
                  <w:rStyle w:val="Hyperlink"/>
                  <w:rFonts w:asciiTheme="minorHAnsi" w:hAnsiTheme="minorHAnsi" w:cstheme="minorBidi"/>
                  <w:sz w:val="22"/>
                  <w:szCs w:val="22"/>
                  <w:lang w:val="es-ES"/>
                </w:rPr>
                <w:t>128</w:t>
              </w:r>
            </w:hyperlink>
          </w:p>
        </w:tc>
      </w:tr>
      <w:tr w:rsidR="00441EFC" w:rsidRPr="0024729D" w14:paraId="6F69CDDC" w14:textId="77777777" w:rsidTr="00F76A8B">
        <w:trPr>
          <w:trHeight w:val="20"/>
        </w:trPr>
        <w:tc>
          <w:tcPr>
            <w:tcW w:w="229" w:type="pct"/>
          </w:tcPr>
          <w:p w14:paraId="700925D1" w14:textId="77777777" w:rsidR="00441EFC" w:rsidRPr="009A30A0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</w:pPr>
            <w:r w:rsidRPr="009A30A0"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  <w:t>5</w:t>
            </w:r>
          </w:p>
        </w:tc>
        <w:tc>
          <w:tcPr>
            <w:tcW w:w="3928" w:type="pct"/>
          </w:tcPr>
          <w:p w14:paraId="29FCAB01" w14:textId="77777777" w:rsidR="00441EFC" w:rsidRPr="00F76A8B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</w:pPr>
            <w:r w:rsidRPr="00F76A8B"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  <w:t>Quinta serie de textos sometidos por la Comisión de Redacción en primera lectura (B5)</w:t>
            </w:r>
          </w:p>
        </w:tc>
        <w:tc>
          <w:tcPr>
            <w:tcW w:w="843" w:type="pct"/>
          </w:tcPr>
          <w:p w14:paraId="5D390460" w14:textId="77777777" w:rsidR="00441EFC" w:rsidRPr="006C15D3" w:rsidRDefault="00F76A8B" w:rsidP="009F1944">
            <w:pPr>
              <w:spacing w:after="120"/>
              <w:jc w:val="center"/>
              <w:rPr>
                <w:rFonts w:eastAsia="SimSun"/>
                <w:sz w:val="22"/>
                <w:szCs w:val="22"/>
                <w:lang w:val="es-ES"/>
              </w:rPr>
            </w:pPr>
            <w:hyperlink r:id="rId12" w:history="1">
              <w:r w:rsidR="00441EFC" w:rsidRPr="006C15D3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val="es-ES"/>
                </w:rPr>
                <w:t>129</w:t>
              </w:r>
            </w:hyperlink>
          </w:p>
        </w:tc>
      </w:tr>
      <w:tr w:rsidR="00441EFC" w:rsidRPr="0024729D" w14:paraId="36C4E188" w14:textId="77777777" w:rsidTr="00F76A8B">
        <w:trPr>
          <w:trHeight w:val="20"/>
        </w:trPr>
        <w:tc>
          <w:tcPr>
            <w:tcW w:w="229" w:type="pct"/>
          </w:tcPr>
          <w:p w14:paraId="490B5BD8" w14:textId="77777777" w:rsidR="00441EFC" w:rsidRPr="009A30A0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</w:pPr>
            <w:r w:rsidRPr="009A30A0"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  <w:t>6</w:t>
            </w:r>
          </w:p>
        </w:tc>
        <w:tc>
          <w:tcPr>
            <w:tcW w:w="3928" w:type="pct"/>
          </w:tcPr>
          <w:p w14:paraId="53CF4F19" w14:textId="77777777" w:rsidR="00441EFC" w:rsidRPr="00F76A8B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</w:pPr>
            <w:r w:rsidRPr="00F76A8B"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  <w:t>Quinta serie de textos sometidos por la Comisión de Redacción – segunda lectura</w:t>
            </w:r>
          </w:p>
        </w:tc>
        <w:tc>
          <w:tcPr>
            <w:tcW w:w="843" w:type="pct"/>
          </w:tcPr>
          <w:p w14:paraId="531A65EC" w14:textId="77777777" w:rsidR="00441EFC" w:rsidRPr="006C15D3" w:rsidRDefault="00F76A8B" w:rsidP="009F1944">
            <w:pPr>
              <w:spacing w:after="120"/>
              <w:jc w:val="center"/>
              <w:rPr>
                <w:rFonts w:eastAsia="SimSun"/>
                <w:sz w:val="22"/>
                <w:szCs w:val="22"/>
                <w:lang w:val="es-ES"/>
              </w:rPr>
            </w:pPr>
            <w:hyperlink r:id="rId13" w:history="1">
              <w:r w:rsidR="00441EFC" w:rsidRPr="006C15D3">
                <w:rPr>
                  <w:rStyle w:val="Hyperlink"/>
                  <w:rFonts w:asciiTheme="minorHAnsi" w:hAnsiTheme="minorHAnsi" w:cstheme="minorBidi"/>
                  <w:sz w:val="22"/>
                  <w:szCs w:val="22"/>
                  <w:lang w:val="es-ES"/>
                </w:rPr>
                <w:t>129</w:t>
              </w:r>
            </w:hyperlink>
          </w:p>
        </w:tc>
      </w:tr>
      <w:tr w:rsidR="00441EFC" w:rsidRPr="0024729D" w14:paraId="457A3F06" w14:textId="77777777" w:rsidTr="00F76A8B">
        <w:trPr>
          <w:trHeight w:val="20"/>
        </w:trPr>
        <w:tc>
          <w:tcPr>
            <w:tcW w:w="229" w:type="pct"/>
          </w:tcPr>
          <w:p w14:paraId="3A0CED3B" w14:textId="77777777" w:rsidR="00441EFC" w:rsidRPr="009A30A0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</w:pPr>
            <w:r w:rsidRPr="009A30A0"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  <w:t>7</w:t>
            </w:r>
          </w:p>
        </w:tc>
        <w:tc>
          <w:tcPr>
            <w:tcW w:w="3928" w:type="pct"/>
          </w:tcPr>
          <w:p w14:paraId="1CF5CD92" w14:textId="77777777" w:rsidR="00441EFC" w:rsidRPr="00F76A8B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</w:pPr>
            <w:r w:rsidRPr="00F76A8B"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  <w:t>Sexta serie de textos sometidos por la Comisión de Redacción en primera lectura (B6)</w:t>
            </w:r>
          </w:p>
        </w:tc>
        <w:tc>
          <w:tcPr>
            <w:tcW w:w="843" w:type="pct"/>
          </w:tcPr>
          <w:p w14:paraId="1CDC2B6A" w14:textId="77777777" w:rsidR="00441EFC" w:rsidRPr="006C15D3" w:rsidRDefault="00F76A8B" w:rsidP="009F1944">
            <w:pPr>
              <w:spacing w:after="120"/>
              <w:jc w:val="center"/>
              <w:rPr>
                <w:sz w:val="22"/>
                <w:szCs w:val="22"/>
                <w:lang w:val="es-ES"/>
              </w:rPr>
            </w:pPr>
            <w:hyperlink r:id="rId14" w:history="1">
              <w:r w:rsidR="00441EFC" w:rsidRPr="006C15D3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val="es-ES"/>
                </w:rPr>
                <w:t>130</w:t>
              </w:r>
            </w:hyperlink>
          </w:p>
        </w:tc>
      </w:tr>
      <w:tr w:rsidR="00441EFC" w:rsidRPr="0024729D" w14:paraId="3A1E8FC0" w14:textId="77777777" w:rsidTr="00F76A8B">
        <w:trPr>
          <w:trHeight w:val="20"/>
        </w:trPr>
        <w:tc>
          <w:tcPr>
            <w:tcW w:w="229" w:type="pct"/>
          </w:tcPr>
          <w:p w14:paraId="7DD0A7E3" w14:textId="77777777" w:rsidR="00441EFC" w:rsidRPr="009A30A0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</w:pPr>
            <w:r w:rsidRPr="009A30A0"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  <w:t>8</w:t>
            </w:r>
          </w:p>
        </w:tc>
        <w:tc>
          <w:tcPr>
            <w:tcW w:w="3928" w:type="pct"/>
          </w:tcPr>
          <w:p w14:paraId="48C5A015" w14:textId="77777777" w:rsidR="00441EFC" w:rsidRPr="00F76A8B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</w:pPr>
            <w:r w:rsidRPr="00F76A8B"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  <w:t>Sexta serie de textos sometidos por la Comisión de Redacción – segunda lectura</w:t>
            </w:r>
          </w:p>
        </w:tc>
        <w:tc>
          <w:tcPr>
            <w:tcW w:w="843" w:type="pct"/>
          </w:tcPr>
          <w:p w14:paraId="609B1FC4" w14:textId="77777777" w:rsidR="00441EFC" w:rsidRPr="006C15D3" w:rsidRDefault="00F76A8B" w:rsidP="009F1944">
            <w:pPr>
              <w:spacing w:after="120"/>
              <w:jc w:val="center"/>
              <w:rPr>
                <w:sz w:val="22"/>
                <w:szCs w:val="22"/>
                <w:lang w:val="es-ES"/>
              </w:rPr>
            </w:pPr>
            <w:hyperlink r:id="rId15" w:history="1">
              <w:r w:rsidR="00441EFC" w:rsidRPr="006C15D3">
                <w:rPr>
                  <w:rStyle w:val="Hyperlink"/>
                  <w:rFonts w:asciiTheme="minorHAnsi" w:hAnsiTheme="minorHAnsi" w:cstheme="minorBidi"/>
                  <w:sz w:val="22"/>
                  <w:szCs w:val="22"/>
                  <w:lang w:val="es-ES"/>
                </w:rPr>
                <w:t>130</w:t>
              </w:r>
            </w:hyperlink>
          </w:p>
        </w:tc>
      </w:tr>
      <w:tr w:rsidR="00441EFC" w:rsidRPr="0024729D" w14:paraId="353D42BA" w14:textId="77777777" w:rsidTr="00F76A8B">
        <w:trPr>
          <w:trHeight w:val="20"/>
        </w:trPr>
        <w:tc>
          <w:tcPr>
            <w:tcW w:w="229" w:type="pct"/>
          </w:tcPr>
          <w:p w14:paraId="417D81A8" w14:textId="77777777" w:rsidR="00441EFC" w:rsidRPr="009A30A0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</w:pPr>
            <w:r w:rsidRPr="009A30A0"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  <w:t>9</w:t>
            </w:r>
          </w:p>
        </w:tc>
        <w:tc>
          <w:tcPr>
            <w:tcW w:w="3928" w:type="pct"/>
          </w:tcPr>
          <w:p w14:paraId="06E3D9C2" w14:textId="77777777" w:rsidR="00441EFC" w:rsidRPr="00F76A8B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</w:pPr>
            <w:r w:rsidRPr="00F76A8B"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  <w:t>Séptima serie de textos sometidos por la Comisión de Redacción en primera lectura (B7)</w:t>
            </w:r>
          </w:p>
        </w:tc>
        <w:tc>
          <w:tcPr>
            <w:tcW w:w="843" w:type="pct"/>
          </w:tcPr>
          <w:p w14:paraId="6E25A524" w14:textId="77777777" w:rsidR="00441EFC" w:rsidRPr="006C15D3" w:rsidRDefault="00F76A8B" w:rsidP="009F1944">
            <w:pPr>
              <w:spacing w:after="120"/>
              <w:jc w:val="center"/>
              <w:rPr>
                <w:sz w:val="22"/>
                <w:szCs w:val="22"/>
                <w:lang w:val="es-ES"/>
              </w:rPr>
            </w:pPr>
            <w:hyperlink r:id="rId16" w:history="1">
              <w:r w:rsidR="00441EFC" w:rsidRPr="006C15D3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val="es-ES"/>
                </w:rPr>
                <w:t>133</w:t>
              </w:r>
            </w:hyperlink>
          </w:p>
        </w:tc>
      </w:tr>
      <w:tr w:rsidR="00441EFC" w:rsidRPr="0024729D" w14:paraId="36BBC494" w14:textId="77777777" w:rsidTr="00F76A8B">
        <w:trPr>
          <w:trHeight w:val="20"/>
        </w:trPr>
        <w:tc>
          <w:tcPr>
            <w:tcW w:w="229" w:type="pct"/>
          </w:tcPr>
          <w:p w14:paraId="0A359BBC" w14:textId="77777777" w:rsidR="00441EFC" w:rsidRPr="009A30A0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</w:pPr>
            <w:r w:rsidRPr="009A30A0"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  <w:t>10</w:t>
            </w:r>
          </w:p>
        </w:tc>
        <w:tc>
          <w:tcPr>
            <w:tcW w:w="3928" w:type="pct"/>
          </w:tcPr>
          <w:p w14:paraId="45A43DAF" w14:textId="77777777" w:rsidR="00441EFC" w:rsidRPr="00F76A8B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</w:pPr>
            <w:r w:rsidRPr="00F76A8B"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  <w:t>Séptima serie de textos sometidos por la Comisión de Redacción – segunda lectura</w:t>
            </w:r>
          </w:p>
        </w:tc>
        <w:tc>
          <w:tcPr>
            <w:tcW w:w="843" w:type="pct"/>
          </w:tcPr>
          <w:p w14:paraId="48DF39DE" w14:textId="77777777" w:rsidR="00441EFC" w:rsidRPr="009A30A0" w:rsidRDefault="00F76A8B" w:rsidP="009F1944">
            <w:pPr>
              <w:spacing w:after="120"/>
              <w:jc w:val="center"/>
              <w:rPr>
                <w:rFonts w:eastAsiaTheme="minorEastAsia"/>
                <w:sz w:val="22"/>
                <w:szCs w:val="22"/>
                <w:lang w:val="es-ES"/>
              </w:rPr>
            </w:pPr>
            <w:hyperlink r:id="rId17" w:history="1">
              <w:r w:rsidR="00441EFC" w:rsidRPr="009A30A0">
                <w:rPr>
                  <w:rStyle w:val="Hyperlink"/>
                  <w:rFonts w:asciiTheme="minorHAnsi" w:hAnsiTheme="minorHAnsi" w:cstheme="minorBidi"/>
                  <w:sz w:val="22"/>
                  <w:szCs w:val="22"/>
                  <w:lang w:val="es-ES"/>
                </w:rPr>
                <w:t>133</w:t>
              </w:r>
            </w:hyperlink>
          </w:p>
        </w:tc>
      </w:tr>
      <w:tr w:rsidR="00441EFC" w:rsidRPr="0024729D" w14:paraId="20DBD865" w14:textId="77777777" w:rsidTr="00F76A8B">
        <w:trPr>
          <w:trHeight w:val="20"/>
        </w:trPr>
        <w:tc>
          <w:tcPr>
            <w:tcW w:w="229" w:type="pct"/>
          </w:tcPr>
          <w:p w14:paraId="5C712DD1" w14:textId="77777777" w:rsidR="00441EFC" w:rsidRPr="009A30A0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</w:pPr>
            <w:r w:rsidRPr="009A30A0"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  <w:t>11</w:t>
            </w:r>
          </w:p>
        </w:tc>
        <w:tc>
          <w:tcPr>
            <w:tcW w:w="3928" w:type="pct"/>
          </w:tcPr>
          <w:p w14:paraId="7CF792C6" w14:textId="77777777" w:rsidR="00441EFC" w:rsidRPr="00F76A8B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</w:pPr>
            <w:r w:rsidRPr="00F76A8B"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  <w:t>Octava serie de textos sometidos por la Comisión de Redacción en primera lectura (B8)</w:t>
            </w:r>
          </w:p>
        </w:tc>
        <w:tc>
          <w:tcPr>
            <w:tcW w:w="843" w:type="pct"/>
          </w:tcPr>
          <w:p w14:paraId="40C6ACB1" w14:textId="77777777" w:rsidR="00441EFC" w:rsidRPr="009A30A0" w:rsidRDefault="00F76A8B" w:rsidP="009F1944">
            <w:pPr>
              <w:spacing w:after="120"/>
              <w:jc w:val="center"/>
              <w:rPr>
                <w:rFonts w:eastAsiaTheme="minorEastAsia"/>
                <w:sz w:val="22"/>
                <w:szCs w:val="22"/>
                <w:lang w:val="es-ES"/>
              </w:rPr>
            </w:pPr>
            <w:hyperlink r:id="rId18" w:history="1">
              <w:r w:rsidR="00441EFC" w:rsidRPr="009A30A0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val="es-ES"/>
                </w:rPr>
                <w:t>134</w:t>
              </w:r>
            </w:hyperlink>
          </w:p>
        </w:tc>
      </w:tr>
      <w:tr w:rsidR="00441EFC" w:rsidRPr="0024729D" w14:paraId="147B73A4" w14:textId="77777777" w:rsidTr="00F76A8B">
        <w:trPr>
          <w:trHeight w:val="20"/>
        </w:trPr>
        <w:tc>
          <w:tcPr>
            <w:tcW w:w="229" w:type="pct"/>
          </w:tcPr>
          <w:p w14:paraId="2D096938" w14:textId="77777777" w:rsidR="00441EFC" w:rsidRPr="009A30A0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</w:pPr>
            <w:r w:rsidRPr="009A30A0"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  <w:t>12</w:t>
            </w:r>
          </w:p>
        </w:tc>
        <w:tc>
          <w:tcPr>
            <w:tcW w:w="3928" w:type="pct"/>
          </w:tcPr>
          <w:p w14:paraId="5D164A9B" w14:textId="77777777" w:rsidR="00441EFC" w:rsidRPr="00F76A8B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</w:pPr>
            <w:r w:rsidRPr="00F76A8B"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  <w:t>Octava serie de textos sometidos por la Comisión de Redacción – segunda lectura</w:t>
            </w:r>
          </w:p>
        </w:tc>
        <w:tc>
          <w:tcPr>
            <w:tcW w:w="843" w:type="pct"/>
          </w:tcPr>
          <w:p w14:paraId="3B38FE2A" w14:textId="77777777" w:rsidR="00441EFC" w:rsidRPr="009A30A0" w:rsidRDefault="00F76A8B" w:rsidP="009F1944">
            <w:pPr>
              <w:spacing w:after="120"/>
              <w:jc w:val="center"/>
              <w:rPr>
                <w:rFonts w:eastAsiaTheme="minorEastAsia"/>
                <w:sz w:val="22"/>
                <w:szCs w:val="22"/>
                <w:lang w:val="es-ES"/>
              </w:rPr>
            </w:pPr>
            <w:hyperlink r:id="rId19" w:history="1">
              <w:r w:rsidR="00441EFC" w:rsidRPr="009A30A0">
                <w:rPr>
                  <w:rStyle w:val="Hyperlink"/>
                  <w:rFonts w:asciiTheme="minorHAnsi" w:hAnsiTheme="minorHAnsi" w:cstheme="minorBidi"/>
                  <w:sz w:val="22"/>
                  <w:szCs w:val="22"/>
                  <w:lang w:val="es-ES"/>
                </w:rPr>
                <w:t>134</w:t>
              </w:r>
            </w:hyperlink>
          </w:p>
        </w:tc>
      </w:tr>
      <w:tr w:rsidR="00441EFC" w:rsidRPr="0024729D" w14:paraId="3C6DB52D" w14:textId="77777777" w:rsidTr="00F76A8B">
        <w:trPr>
          <w:trHeight w:val="20"/>
        </w:trPr>
        <w:tc>
          <w:tcPr>
            <w:tcW w:w="229" w:type="pct"/>
          </w:tcPr>
          <w:p w14:paraId="5F102102" w14:textId="77777777" w:rsidR="00441EFC" w:rsidRPr="009A30A0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</w:pPr>
            <w:r w:rsidRPr="009A30A0"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  <w:t>13</w:t>
            </w:r>
          </w:p>
        </w:tc>
        <w:tc>
          <w:tcPr>
            <w:tcW w:w="3928" w:type="pct"/>
          </w:tcPr>
          <w:p w14:paraId="08CF400B" w14:textId="77777777" w:rsidR="00441EFC" w:rsidRPr="00F76A8B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</w:pPr>
            <w:r w:rsidRPr="00F76A8B"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  <w:t>Carta del Gobierno de Tailandia relativa a la Conferencia Mundial de Desarrollo de las Telecomunicaciones de 2025 (CMDT-25)</w:t>
            </w:r>
          </w:p>
        </w:tc>
        <w:tc>
          <w:tcPr>
            <w:tcW w:w="843" w:type="pct"/>
          </w:tcPr>
          <w:p w14:paraId="11D89235" w14:textId="77777777" w:rsidR="00441EFC" w:rsidRPr="009A30A0" w:rsidRDefault="00F76A8B" w:rsidP="009F1944">
            <w:pPr>
              <w:spacing w:after="120"/>
              <w:jc w:val="center"/>
              <w:rPr>
                <w:rFonts w:eastAsiaTheme="minorEastAsia"/>
                <w:sz w:val="22"/>
                <w:szCs w:val="22"/>
                <w:lang w:val="es-ES"/>
              </w:rPr>
            </w:pPr>
            <w:hyperlink r:id="rId20" w:history="1">
              <w:r w:rsidR="00441EFC" w:rsidRPr="009A30A0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val="es-ES"/>
                </w:rPr>
                <w:t>136</w:t>
              </w:r>
            </w:hyperlink>
          </w:p>
        </w:tc>
      </w:tr>
      <w:tr w:rsidR="00441EFC" w:rsidRPr="0024729D" w14:paraId="0E158C1A" w14:textId="77777777" w:rsidTr="00F76A8B">
        <w:trPr>
          <w:trHeight w:val="20"/>
        </w:trPr>
        <w:tc>
          <w:tcPr>
            <w:tcW w:w="229" w:type="pct"/>
          </w:tcPr>
          <w:p w14:paraId="57CC427B" w14:textId="77777777" w:rsidR="00441EFC" w:rsidRPr="009A30A0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</w:pPr>
            <w:r w:rsidRPr="009A30A0">
              <w:rPr>
                <w:rFonts w:asciiTheme="minorHAnsi" w:eastAsiaTheme="minorHAnsi" w:hAnsiTheme="minorHAnsi" w:cstheme="minorHAnsi"/>
                <w:sz w:val="22"/>
                <w:szCs w:val="24"/>
                <w:lang w:val="en-GB"/>
              </w:rPr>
              <w:t>14</w:t>
            </w:r>
          </w:p>
        </w:tc>
        <w:tc>
          <w:tcPr>
            <w:tcW w:w="3928" w:type="pct"/>
          </w:tcPr>
          <w:p w14:paraId="521F5F4B" w14:textId="77777777" w:rsidR="00441EFC" w:rsidRPr="00F76A8B" w:rsidRDefault="00441EFC" w:rsidP="00F76A8B">
            <w:pPr>
              <w:spacing w:before="0" w:after="120"/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</w:pPr>
            <w:r w:rsidRPr="00F76A8B">
              <w:rPr>
                <w:rFonts w:asciiTheme="minorHAnsi" w:eastAsiaTheme="minorHAnsi" w:hAnsiTheme="minorHAnsi" w:cstheme="minorHAnsi"/>
                <w:sz w:val="22"/>
                <w:szCs w:val="24"/>
                <w:lang w:val="es-MX"/>
              </w:rPr>
              <w:t>Entrega de certificados de reconocimiento</w:t>
            </w:r>
          </w:p>
        </w:tc>
        <w:tc>
          <w:tcPr>
            <w:tcW w:w="843" w:type="pct"/>
          </w:tcPr>
          <w:p w14:paraId="1897AEB1" w14:textId="50FD37D6" w:rsidR="00441EFC" w:rsidRPr="0024729D" w:rsidRDefault="00F76A8B" w:rsidP="00056C11">
            <w:pPr>
              <w:pStyle w:val="Tabletext"/>
              <w:jc w:val="center"/>
              <w:rPr>
                <w:lang w:val="es-ES"/>
              </w:rPr>
            </w:pPr>
            <w:r w:rsidRPr="00F76A8B">
              <w:rPr>
                <w:lang w:val="es-ES"/>
              </w:rPr>
              <w:t>–</w:t>
            </w:r>
          </w:p>
        </w:tc>
      </w:tr>
    </w:tbl>
    <w:p w14:paraId="2EB9FAD9" w14:textId="7A3B05D1" w:rsidR="00056C11" w:rsidRPr="0024729D" w:rsidRDefault="00056C11" w:rsidP="009A30A0">
      <w:pPr>
        <w:pStyle w:val="Heading1"/>
        <w:rPr>
          <w:rFonts w:cstheme="minorHAnsi"/>
          <w:lang w:val="es-ES"/>
        </w:rPr>
      </w:pPr>
      <w:r w:rsidRPr="0024729D">
        <w:rPr>
          <w:lang w:val="es-ES"/>
        </w:rPr>
        <w:lastRenderedPageBreak/>
        <w:t>1</w:t>
      </w:r>
      <w:r w:rsidRPr="0024729D">
        <w:rPr>
          <w:lang w:val="es-ES"/>
        </w:rPr>
        <w:tab/>
        <w:t>Revisión de la Resolución 125 (</w:t>
      </w:r>
      <w:r w:rsidRPr="0024729D">
        <w:rPr>
          <w:rFonts w:cstheme="minorHAnsi"/>
          <w:lang w:val="es-ES"/>
        </w:rPr>
        <w:t xml:space="preserve">Documento </w:t>
      </w:r>
      <w:hyperlink r:id="rId21" w:history="1">
        <w:r w:rsidRPr="0024729D">
          <w:rPr>
            <w:rStyle w:val="Hyperlink"/>
            <w:rFonts w:asciiTheme="minorHAnsi" w:hAnsiTheme="minorHAnsi" w:cstheme="minorHAnsi"/>
            <w:szCs w:val="28"/>
            <w:lang w:val="es-ES"/>
          </w:rPr>
          <w:t>78</w:t>
        </w:r>
        <w:r w:rsidRPr="0024729D">
          <w:rPr>
            <w:rStyle w:val="Hyperlink"/>
            <w:rFonts w:asciiTheme="minorHAnsi" w:hAnsiTheme="minorHAnsi" w:cstheme="minorHAnsi"/>
            <w:sz w:val="26"/>
            <w:szCs w:val="26"/>
            <w:lang w:val="es-ES"/>
          </w:rPr>
          <w:t>(</w:t>
        </w:r>
        <w:r w:rsidRPr="0024729D">
          <w:rPr>
            <w:rStyle w:val="Hyperlink"/>
            <w:rFonts w:asciiTheme="minorHAnsi" w:hAnsiTheme="minorHAnsi" w:cstheme="minorHAnsi"/>
            <w:szCs w:val="28"/>
            <w:lang w:val="es-ES"/>
          </w:rPr>
          <w:t>Add</w:t>
        </w:r>
        <w:r w:rsidRPr="0024729D">
          <w:rPr>
            <w:rStyle w:val="Hyperlink"/>
            <w:rFonts w:asciiTheme="minorHAnsi" w:hAnsiTheme="minorHAnsi" w:cstheme="minorHAnsi"/>
            <w:sz w:val="26"/>
            <w:szCs w:val="26"/>
            <w:lang w:val="es-ES"/>
          </w:rPr>
          <w:t>.9)(</w:t>
        </w:r>
        <w:r w:rsidRPr="0024729D">
          <w:rPr>
            <w:rStyle w:val="Hyperlink"/>
            <w:rFonts w:asciiTheme="minorHAnsi" w:hAnsiTheme="minorHAnsi" w:cstheme="minorHAnsi"/>
            <w:szCs w:val="28"/>
            <w:lang w:val="es-ES"/>
          </w:rPr>
          <w:t>Rev</w:t>
        </w:r>
        <w:r w:rsidRPr="0024729D">
          <w:rPr>
            <w:rStyle w:val="Hyperlink"/>
            <w:rFonts w:asciiTheme="minorHAnsi" w:hAnsiTheme="minorHAnsi" w:cstheme="minorHAnsi"/>
            <w:sz w:val="26"/>
            <w:szCs w:val="26"/>
            <w:lang w:val="es-ES"/>
          </w:rPr>
          <w:t>.1)</w:t>
        </w:r>
      </w:hyperlink>
      <w:r w:rsidRPr="0024729D">
        <w:rPr>
          <w:rFonts w:cstheme="minorHAnsi"/>
          <w:lang w:val="es-ES"/>
        </w:rPr>
        <w:t>)</w:t>
      </w:r>
    </w:p>
    <w:p w14:paraId="2FD921D6" w14:textId="77777777" w:rsidR="00056C11" w:rsidRPr="0024729D" w:rsidRDefault="00056C11" w:rsidP="000A194B">
      <w:pPr>
        <w:pStyle w:val="Headingb"/>
        <w:tabs>
          <w:tab w:val="clear" w:pos="567"/>
        </w:tabs>
        <w:ind w:left="0" w:firstLine="0"/>
        <w:rPr>
          <w:lang w:val="es-ES"/>
        </w:rPr>
      </w:pPr>
      <w:r w:rsidRPr="0024729D">
        <w:rPr>
          <w:lang w:val="es-ES"/>
        </w:rPr>
        <w:t xml:space="preserve">Proyecto de revisión de la Resolución </w:t>
      </w:r>
      <w:r w:rsidRPr="0024729D">
        <w:rPr>
          <w:rStyle w:val="cf01"/>
          <w:rFonts w:ascii="Calibri" w:hAnsi="Calibri" w:cs="Times New Roman"/>
          <w:b/>
          <w:bCs w:val="0"/>
          <w:sz w:val="24"/>
          <w:szCs w:val="20"/>
          <w:lang w:val="es-ES"/>
        </w:rPr>
        <w:t>125 (Rev. Bucarest, 2022) – Asistencia y ayuda a Palestina para el desarrollo de infraestructuras y la capacitación en el sector de las telecomunicaciones y las tecnologías de la información</w:t>
      </w:r>
    </w:p>
    <w:p w14:paraId="37F3E1C3" w14:textId="13E1D3D5" w:rsidR="00056C11" w:rsidRPr="0024729D" w:rsidRDefault="00056C11" w:rsidP="00056C11">
      <w:pPr>
        <w:rPr>
          <w:b/>
          <w:bCs/>
          <w:lang w:val="es-ES"/>
        </w:rPr>
      </w:pPr>
      <w:r w:rsidRPr="0024729D">
        <w:rPr>
          <w:lang w:val="es-ES"/>
        </w:rPr>
        <w:t>1.1</w:t>
      </w:r>
      <w:r w:rsidRPr="0024729D">
        <w:rPr>
          <w:lang w:val="es-ES"/>
        </w:rPr>
        <w:tab/>
        <w:t xml:space="preserve">El </w:t>
      </w:r>
      <w:r w:rsidRPr="0024729D">
        <w:rPr>
          <w:b/>
          <w:bCs/>
          <w:lang w:val="es-ES"/>
        </w:rPr>
        <w:t>Presidente</w:t>
      </w:r>
      <w:r w:rsidRPr="0024729D">
        <w:rPr>
          <w:lang w:val="es-ES"/>
        </w:rPr>
        <w:t xml:space="preserve"> agradece a todas las partes pertinentes el excepcional espíritu de cooperación y compromiso que han demostrado para llegar a un consenso sobre el proyecto de Resolución revisada, que se presentó a la Plenaria en el Documento 78(Add.9)(Rev.1). Tras señalar que el compromiso se ha alcanzado después </w:t>
      </w:r>
      <w:r w:rsidR="00B82236">
        <w:rPr>
          <w:lang w:val="es-ES"/>
        </w:rPr>
        <w:t xml:space="preserve">de </w:t>
      </w:r>
      <w:r w:rsidRPr="0024729D">
        <w:rPr>
          <w:lang w:val="es-ES"/>
        </w:rPr>
        <w:t>un prolongado y delicado debate, el orador declara que no se abrirá el debate de nuevo.</w:t>
      </w:r>
    </w:p>
    <w:p w14:paraId="2228D992" w14:textId="77777777" w:rsidR="00056C11" w:rsidRPr="0024729D" w:rsidRDefault="00056C11" w:rsidP="00056C11">
      <w:pPr>
        <w:rPr>
          <w:rFonts w:asciiTheme="minorHAnsi" w:hAnsiTheme="minorHAnsi"/>
          <w:b/>
          <w:bCs/>
          <w:lang w:val="es-ES"/>
        </w:rPr>
      </w:pPr>
      <w:r w:rsidRPr="0024729D">
        <w:rPr>
          <w:rFonts w:asciiTheme="minorHAnsi" w:hAnsiTheme="minorHAnsi"/>
          <w:lang w:val="es-ES"/>
        </w:rPr>
        <w:t>1.2</w:t>
      </w:r>
      <w:r w:rsidRPr="0024729D">
        <w:rPr>
          <w:rFonts w:asciiTheme="minorHAnsi" w:hAnsiTheme="minorHAnsi"/>
          <w:lang w:val="es-ES"/>
        </w:rPr>
        <w:tab/>
      </w:r>
      <w:r w:rsidRPr="0024729D">
        <w:rPr>
          <w:rFonts w:asciiTheme="minorHAnsi" w:hAnsiTheme="minorHAnsi"/>
          <w:b/>
          <w:bCs/>
          <w:lang w:val="es-ES"/>
        </w:rPr>
        <w:t>Se adopta</w:t>
      </w:r>
      <w:r w:rsidRPr="0024729D">
        <w:rPr>
          <w:rFonts w:asciiTheme="minorHAnsi" w:hAnsiTheme="minorHAnsi"/>
          <w:lang w:val="es-ES"/>
        </w:rPr>
        <w:t xml:space="preserve"> el proyecto de Resolución revisada que se sometió a la Plenaria, y </w:t>
      </w:r>
      <w:r w:rsidRPr="0024729D">
        <w:rPr>
          <w:rFonts w:asciiTheme="minorHAnsi" w:hAnsiTheme="minorHAnsi"/>
          <w:b/>
          <w:bCs/>
          <w:lang w:val="es-ES"/>
        </w:rPr>
        <w:t>se aprueba</w:t>
      </w:r>
      <w:r w:rsidRPr="0024729D">
        <w:rPr>
          <w:rFonts w:asciiTheme="minorHAnsi" w:hAnsiTheme="minorHAnsi"/>
          <w:lang w:val="es-ES"/>
        </w:rPr>
        <w:t xml:space="preserve"> en primera y segunda lecturas el Documento 78(Add.1)(Rev.1).</w:t>
      </w:r>
    </w:p>
    <w:p w14:paraId="142F86D1" w14:textId="6D9E1114" w:rsidR="00056C11" w:rsidRPr="0024729D" w:rsidRDefault="00056C11" w:rsidP="00056C11">
      <w:pPr>
        <w:rPr>
          <w:rFonts w:asciiTheme="minorHAnsi" w:hAnsiTheme="minorHAnsi"/>
          <w:b/>
          <w:bCs/>
          <w:lang w:val="es-ES"/>
        </w:rPr>
      </w:pPr>
      <w:r w:rsidRPr="0024729D">
        <w:rPr>
          <w:rFonts w:asciiTheme="minorHAnsi" w:hAnsiTheme="minorHAnsi"/>
          <w:lang w:val="es-ES"/>
        </w:rPr>
        <w:t>1.3</w:t>
      </w:r>
      <w:r w:rsidRPr="0024729D">
        <w:rPr>
          <w:rFonts w:asciiTheme="minorHAnsi" w:hAnsiTheme="minorHAnsi"/>
          <w:lang w:val="es-ES"/>
        </w:rPr>
        <w:tab/>
        <w:t xml:space="preserve">El </w:t>
      </w:r>
      <w:r w:rsidRPr="0024729D">
        <w:rPr>
          <w:rFonts w:asciiTheme="minorHAnsi" w:hAnsiTheme="minorHAnsi"/>
          <w:b/>
          <w:bCs/>
          <w:lang w:val="es-ES"/>
        </w:rPr>
        <w:t>Secretario General</w:t>
      </w:r>
      <w:r w:rsidRPr="0024729D">
        <w:rPr>
          <w:rFonts w:asciiTheme="minorHAnsi" w:hAnsiTheme="minorHAnsi"/>
          <w:lang w:val="es-ES"/>
        </w:rPr>
        <w:t xml:space="preserve"> se congratula de que se haya alcanzado un acuerdo y se haya adoptado la Resolución. Expresa su agradecimiento por el espíritu de cooperación entre las partes y los asociados que en los últimos días han trabajado sin descanso y de forma conjunta para resolver cuestiones complejas y lograr ese resultado. Espera que el acuerdo alcanzado aporte nuevas tecnologías y servicios a los palestinos.</w:t>
      </w:r>
    </w:p>
    <w:p w14:paraId="7E53AC0E" w14:textId="77777777" w:rsidR="00056C11" w:rsidRPr="0024729D" w:rsidRDefault="00056C11" w:rsidP="000A194B">
      <w:pPr>
        <w:pStyle w:val="Heading1"/>
        <w:rPr>
          <w:lang w:val="es-ES"/>
        </w:rPr>
      </w:pPr>
      <w:r w:rsidRPr="0024729D">
        <w:rPr>
          <w:lang w:val="es-ES"/>
        </w:rPr>
        <w:t>2</w:t>
      </w:r>
      <w:r w:rsidRPr="0024729D">
        <w:rPr>
          <w:lang w:val="es-ES"/>
        </w:rPr>
        <w:tab/>
        <w:t xml:space="preserve">Informe de la Comisión de Credenciales a la Sesión Plenaria </w:t>
      </w:r>
      <w:r w:rsidRPr="0024729D">
        <w:rPr>
          <w:lang w:val="es-ES"/>
        </w:rPr>
        <w:br/>
        <w:t xml:space="preserve">(Documento </w:t>
      </w:r>
      <w:hyperlink r:id="rId22" w:history="1">
        <w:r w:rsidRPr="0024729D">
          <w:rPr>
            <w:rStyle w:val="Hyperlink"/>
            <w:rFonts w:asciiTheme="minorHAnsi" w:eastAsiaTheme="minorEastAsia" w:hAnsiTheme="minorHAnsi" w:cstheme="minorHAnsi"/>
            <w:szCs w:val="28"/>
            <w:lang w:val="es-ES"/>
          </w:rPr>
          <w:t>126</w:t>
        </w:r>
      </w:hyperlink>
      <w:r w:rsidRPr="0024729D">
        <w:rPr>
          <w:lang w:val="es-ES"/>
        </w:rPr>
        <w:t>)</w:t>
      </w:r>
    </w:p>
    <w:p w14:paraId="6AFC94C3" w14:textId="2E3F3D9B" w:rsidR="00056C11" w:rsidRPr="0024729D" w:rsidRDefault="00056C11" w:rsidP="000A194B">
      <w:pPr>
        <w:rPr>
          <w:rFonts w:cstheme="minorHAnsi"/>
          <w:szCs w:val="24"/>
          <w:lang w:val="es-ES" w:eastAsia="en-GB"/>
        </w:rPr>
      </w:pPr>
      <w:r w:rsidRPr="0024729D">
        <w:rPr>
          <w:rFonts w:cstheme="minorHAnsi"/>
          <w:szCs w:val="24"/>
          <w:lang w:val="es-ES" w:eastAsia="en-GB"/>
        </w:rPr>
        <w:t>2.1</w:t>
      </w:r>
      <w:r w:rsidRPr="0024729D">
        <w:rPr>
          <w:rFonts w:cstheme="minorHAnsi"/>
          <w:szCs w:val="24"/>
          <w:lang w:val="es-ES" w:eastAsia="en-GB"/>
        </w:rPr>
        <w:tab/>
        <w:t xml:space="preserve">El </w:t>
      </w:r>
      <w:r w:rsidRPr="0024729D">
        <w:rPr>
          <w:rFonts w:cstheme="minorHAnsi"/>
          <w:b/>
          <w:szCs w:val="24"/>
          <w:lang w:val="es-ES" w:eastAsia="en-GB"/>
        </w:rPr>
        <w:t>Presidente de la Comisión 2</w:t>
      </w:r>
      <w:r w:rsidRPr="0024729D">
        <w:rPr>
          <w:rFonts w:cstheme="minorHAnsi"/>
          <w:szCs w:val="24"/>
          <w:lang w:val="es-ES" w:eastAsia="en-GB"/>
        </w:rPr>
        <w:t xml:space="preserve"> presenta el Documento 126. La Comisión de Credenciales ha celebrado dos reuniones, el 27 de septiembre y el 5 de octubre, en las que se procedió a la verificación de las credenciales y de la delegación de poderes de las delegaciones, de conformidad con el Artículo 31 del Convenio, y se tomó nota del Documento 67 (Rev.8) sobre pérdida del derecho de voto. Las conclusiones de la Comisión figuran en los anexos al Documento 126. El Presidente hace referencia a la recomendación, que figura en la sección 4 del Documento 126, de que la Plenaria lo autorice a verificar las credenciales recibidas después de la fecha de publicación de su informe, con ayuda de la secretaría de la Comisión 2, y a someter sus conclusiones a la Plenaria. Tras la segunda reunión de la Comisión, otros dos Estados Miembros presentaron credenciales, que serán examinadas. Por lo tanto, el informe de la Comisión 2 (Documento 126), sometido a la aprobación de la Plenaria, podría revisarse en consecuencia.</w:t>
      </w:r>
    </w:p>
    <w:p w14:paraId="76E3EA75" w14:textId="77777777" w:rsidR="00056C11" w:rsidRPr="0024729D" w:rsidRDefault="00056C11" w:rsidP="000A194B">
      <w:pPr>
        <w:rPr>
          <w:rFonts w:cstheme="minorHAnsi"/>
          <w:szCs w:val="24"/>
          <w:lang w:val="es-ES" w:eastAsia="en-GB"/>
        </w:rPr>
      </w:pPr>
      <w:r w:rsidRPr="0024729D">
        <w:rPr>
          <w:rFonts w:cstheme="minorHAnsi"/>
          <w:szCs w:val="24"/>
          <w:lang w:val="es-ES" w:eastAsia="en-GB"/>
        </w:rPr>
        <w:t>2.2</w:t>
      </w:r>
      <w:r w:rsidRPr="0024729D">
        <w:rPr>
          <w:rFonts w:cstheme="minorHAnsi"/>
          <w:szCs w:val="24"/>
          <w:lang w:val="es-ES" w:eastAsia="en-GB"/>
        </w:rPr>
        <w:tab/>
        <w:t xml:space="preserve">Así </w:t>
      </w:r>
      <w:r w:rsidRPr="0024729D">
        <w:rPr>
          <w:rFonts w:cstheme="minorHAnsi"/>
          <w:b/>
          <w:szCs w:val="24"/>
          <w:lang w:val="es-ES" w:eastAsia="en-GB"/>
        </w:rPr>
        <w:t>se acuerda</w:t>
      </w:r>
      <w:r w:rsidRPr="008354D8">
        <w:rPr>
          <w:rFonts w:cstheme="minorHAnsi"/>
          <w:szCs w:val="24"/>
          <w:lang w:val="es-ES" w:eastAsia="en-GB"/>
        </w:rPr>
        <w:t>.</w:t>
      </w:r>
    </w:p>
    <w:p w14:paraId="20A680D1" w14:textId="77777777" w:rsidR="00056C11" w:rsidRPr="0024729D" w:rsidRDefault="00056C11" w:rsidP="000A194B">
      <w:pPr>
        <w:rPr>
          <w:rFonts w:cstheme="minorHAnsi"/>
          <w:szCs w:val="24"/>
          <w:lang w:val="es-ES" w:eastAsia="en-GB"/>
        </w:rPr>
      </w:pPr>
      <w:r w:rsidRPr="0024729D">
        <w:rPr>
          <w:rFonts w:cstheme="minorHAnsi"/>
          <w:szCs w:val="24"/>
          <w:lang w:val="es-ES" w:eastAsia="en-GB"/>
        </w:rPr>
        <w:t>2.3</w:t>
      </w:r>
      <w:r w:rsidRPr="0024729D">
        <w:rPr>
          <w:rFonts w:cstheme="minorHAnsi"/>
          <w:szCs w:val="24"/>
          <w:lang w:val="es-ES" w:eastAsia="en-GB"/>
        </w:rPr>
        <w:tab/>
      </w:r>
      <w:r w:rsidRPr="0024729D">
        <w:rPr>
          <w:rFonts w:cstheme="minorHAnsi"/>
          <w:b/>
          <w:szCs w:val="24"/>
          <w:lang w:val="es-ES" w:eastAsia="en-GB"/>
        </w:rPr>
        <w:t>Se aprueba</w:t>
      </w:r>
      <w:r w:rsidRPr="0024729D">
        <w:rPr>
          <w:rFonts w:cstheme="minorHAnsi"/>
          <w:szCs w:val="24"/>
          <w:lang w:val="es-ES" w:eastAsia="en-GB"/>
        </w:rPr>
        <w:t xml:space="preserve"> el informe de la Comisión 2 recogido en el Documento 126.</w:t>
      </w:r>
    </w:p>
    <w:p w14:paraId="2EA8A493" w14:textId="77777777" w:rsidR="00056C11" w:rsidRPr="0024729D" w:rsidRDefault="00056C11" w:rsidP="000A194B">
      <w:pPr>
        <w:rPr>
          <w:rFonts w:cstheme="minorHAnsi"/>
          <w:szCs w:val="24"/>
          <w:lang w:val="es-ES" w:eastAsia="en-GB"/>
        </w:rPr>
      </w:pPr>
      <w:r w:rsidRPr="0024729D">
        <w:rPr>
          <w:rFonts w:cstheme="minorHAnsi"/>
          <w:szCs w:val="24"/>
          <w:lang w:val="es-ES" w:eastAsia="en-GB"/>
        </w:rPr>
        <w:t>2.4</w:t>
      </w:r>
      <w:r w:rsidRPr="0024729D">
        <w:rPr>
          <w:rFonts w:cstheme="minorHAnsi"/>
          <w:szCs w:val="24"/>
          <w:lang w:val="es-ES" w:eastAsia="en-GB"/>
        </w:rPr>
        <w:tab/>
        <w:t xml:space="preserve">El </w:t>
      </w:r>
      <w:r w:rsidRPr="0024729D">
        <w:rPr>
          <w:rFonts w:cstheme="minorHAnsi"/>
          <w:b/>
          <w:szCs w:val="24"/>
          <w:lang w:val="es-ES" w:eastAsia="en-GB"/>
        </w:rPr>
        <w:t>Presidente</w:t>
      </w:r>
      <w:r w:rsidRPr="0024729D">
        <w:rPr>
          <w:rFonts w:cstheme="minorHAnsi"/>
          <w:szCs w:val="24"/>
          <w:lang w:val="es-ES" w:eastAsia="en-GB"/>
        </w:rPr>
        <w:t xml:space="preserve"> agradece al Presidente de la Comisión 2 la labor realizada y lo invita a mantener informada a la Plenaria de cualquier otra novedad.</w:t>
      </w:r>
    </w:p>
    <w:p w14:paraId="16BE5C4B" w14:textId="77777777" w:rsidR="00056C11" w:rsidRPr="0024729D" w:rsidRDefault="00056C11" w:rsidP="008354D8">
      <w:pPr>
        <w:pStyle w:val="Heading1"/>
        <w:rPr>
          <w:lang w:val="es-ES"/>
        </w:rPr>
      </w:pPr>
      <w:r w:rsidRPr="0024729D">
        <w:rPr>
          <w:lang w:val="es-ES"/>
        </w:rPr>
        <w:t>3</w:t>
      </w:r>
      <w:r w:rsidRPr="0024729D">
        <w:rPr>
          <w:lang w:val="es-ES"/>
        </w:rPr>
        <w:tab/>
        <w:t xml:space="preserve">Cuarta </w:t>
      </w:r>
      <w:r w:rsidRPr="008354D8">
        <w:t>serie</w:t>
      </w:r>
      <w:r w:rsidRPr="0024729D">
        <w:rPr>
          <w:lang w:val="es-ES"/>
        </w:rPr>
        <w:t xml:space="preserve"> de textos sometidos por la Comisión de Redacción en primera lectura (B4) (Documento </w:t>
      </w:r>
      <w:hyperlink r:id="rId23" w:history="1">
        <w:r w:rsidRPr="0024729D">
          <w:rPr>
            <w:rStyle w:val="Hyperlink"/>
            <w:rFonts w:asciiTheme="minorHAnsi" w:eastAsiaTheme="minorEastAsia" w:hAnsiTheme="minorHAnsi" w:cstheme="minorBidi"/>
            <w:bCs/>
            <w:szCs w:val="28"/>
            <w:lang w:val="es-ES"/>
          </w:rPr>
          <w:t>128</w:t>
        </w:r>
      </w:hyperlink>
      <w:r w:rsidRPr="0024729D">
        <w:rPr>
          <w:lang w:val="es-ES"/>
        </w:rPr>
        <w:t>)</w:t>
      </w:r>
    </w:p>
    <w:p w14:paraId="1FE76843" w14:textId="77777777" w:rsidR="00056C11" w:rsidRPr="0024729D" w:rsidRDefault="00056C11" w:rsidP="000A194B">
      <w:pPr>
        <w:pStyle w:val="Headingb"/>
        <w:tabs>
          <w:tab w:val="clear" w:pos="567"/>
        </w:tabs>
        <w:ind w:left="0" w:firstLine="0"/>
        <w:rPr>
          <w:lang w:val="es-ES"/>
        </w:rPr>
      </w:pPr>
      <w:r w:rsidRPr="0024729D">
        <w:rPr>
          <w:lang w:val="es-ES"/>
        </w:rPr>
        <w:t>Proyecto de Resolución 175 (Rev. Bucarest, 2022) – Accesibilidad de las telecomunicaciones/tecnologías de la información y la comunicación para las personas con discapacidad y personas con necesidades específicas</w:t>
      </w:r>
    </w:p>
    <w:p w14:paraId="0B97A2F7" w14:textId="77777777" w:rsidR="00056C11" w:rsidRPr="008354D8" w:rsidRDefault="00056C11" w:rsidP="0024729D">
      <w:pPr>
        <w:rPr>
          <w:lang w:val="es-ES"/>
        </w:rPr>
      </w:pPr>
      <w:r w:rsidRPr="0024729D">
        <w:rPr>
          <w:lang w:val="es-ES"/>
        </w:rPr>
        <w:t>3.1</w:t>
      </w:r>
      <w:r w:rsidRPr="0024729D">
        <w:rPr>
          <w:lang w:val="es-ES"/>
        </w:rPr>
        <w:tab/>
      </w:r>
      <w:r w:rsidRPr="0024729D">
        <w:rPr>
          <w:b/>
          <w:bCs/>
          <w:lang w:val="es-ES"/>
        </w:rPr>
        <w:t>Se adopta</w:t>
      </w:r>
      <w:r w:rsidRPr="008354D8">
        <w:rPr>
          <w:lang w:val="es-ES"/>
        </w:rPr>
        <w:t>.</w:t>
      </w:r>
    </w:p>
    <w:p w14:paraId="5353A24A" w14:textId="77777777" w:rsidR="00056C11" w:rsidRPr="0024729D" w:rsidRDefault="00056C11" w:rsidP="000A194B">
      <w:pPr>
        <w:rPr>
          <w:lang w:val="es-ES"/>
        </w:rPr>
      </w:pPr>
      <w:r w:rsidRPr="0024729D">
        <w:rPr>
          <w:lang w:val="es-ES"/>
        </w:rPr>
        <w:lastRenderedPageBreak/>
        <w:t>3.2</w:t>
      </w:r>
      <w:r w:rsidRPr="0024729D">
        <w:rPr>
          <w:lang w:val="es-ES"/>
        </w:rPr>
        <w:tab/>
      </w:r>
      <w:r w:rsidRPr="0024729D">
        <w:rPr>
          <w:b/>
          <w:bCs/>
          <w:lang w:val="es-ES"/>
        </w:rPr>
        <w:t xml:space="preserve">Se </w:t>
      </w:r>
      <w:r w:rsidRPr="0024729D">
        <w:rPr>
          <w:b/>
          <w:lang w:val="es-ES"/>
        </w:rPr>
        <w:t>aprueba</w:t>
      </w:r>
      <w:r w:rsidRPr="0024729D">
        <w:rPr>
          <w:lang w:val="es-ES"/>
        </w:rPr>
        <w:t xml:space="preserve"> en primera lectura la cuarta serie de textos sometidos por la Comisión de Redacción (B4) (Documento 128).</w:t>
      </w:r>
    </w:p>
    <w:p w14:paraId="4A85D270" w14:textId="4B2B1D01" w:rsidR="00056C11" w:rsidRPr="0024729D" w:rsidRDefault="00056C11" w:rsidP="000A194B">
      <w:pPr>
        <w:pStyle w:val="Heading1"/>
        <w:rPr>
          <w:lang w:val="es-ES"/>
        </w:rPr>
      </w:pPr>
      <w:r w:rsidRPr="0024729D">
        <w:rPr>
          <w:lang w:val="es-ES"/>
        </w:rPr>
        <w:t>4</w:t>
      </w:r>
      <w:r w:rsidRPr="0024729D">
        <w:rPr>
          <w:lang w:val="es-ES"/>
        </w:rPr>
        <w:tab/>
        <w:t>Cuarta serie de textos sometidos por la Comisión de Redacción</w:t>
      </w:r>
      <w:r w:rsidR="008354D8">
        <w:rPr>
          <w:lang w:val="es-ES"/>
        </w:rPr>
        <w:t xml:space="preserve"> </w:t>
      </w:r>
      <w:r w:rsidRPr="0024729D">
        <w:rPr>
          <w:lang w:val="es-ES"/>
        </w:rPr>
        <w:t xml:space="preserve">– segunda lectura (Documento </w:t>
      </w:r>
      <w:hyperlink r:id="rId24" w:history="1">
        <w:r w:rsidRPr="0024729D">
          <w:rPr>
            <w:rStyle w:val="Hyperlink"/>
            <w:rFonts w:asciiTheme="minorHAnsi" w:hAnsiTheme="minorHAnsi" w:cstheme="minorHAnsi"/>
            <w:szCs w:val="28"/>
            <w:lang w:val="es-ES"/>
          </w:rPr>
          <w:t>128</w:t>
        </w:r>
      </w:hyperlink>
      <w:r w:rsidRPr="0024729D">
        <w:rPr>
          <w:lang w:val="es-ES"/>
        </w:rPr>
        <w:t>)</w:t>
      </w:r>
    </w:p>
    <w:p w14:paraId="0AE6FF90" w14:textId="77777777" w:rsidR="00056C11" w:rsidRPr="0024729D" w:rsidRDefault="00056C11" w:rsidP="000A194B">
      <w:pPr>
        <w:rPr>
          <w:lang w:val="es-ES"/>
        </w:rPr>
      </w:pPr>
      <w:r w:rsidRPr="0024729D">
        <w:rPr>
          <w:lang w:val="es-ES"/>
        </w:rPr>
        <w:t>4.1</w:t>
      </w:r>
      <w:r w:rsidRPr="0024729D">
        <w:rPr>
          <w:lang w:val="es-ES"/>
        </w:rPr>
        <w:tab/>
      </w:r>
      <w:r w:rsidRPr="0024729D">
        <w:rPr>
          <w:b/>
          <w:bCs/>
          <w:lang w:val="es-ES"/>
        </w:rPr>
        <w:t>Se a</w:t>
      </w:r>
      <w:r w:rsidRPr="0024729D">
        <w:rPr>
          <w:b/>
          <w:lang w:val="es-ES"/>
        </w:rPr>
        <w:t>prueba</w:t>
      </w:r>
      <w:r w:rsidRPr="0024729D">
        <w:rPr>
          <w:lang w:val="es-ES"/>
        </w:rPr>
        <w:t xml:space="preserve"> en segunda lectura la cuarta serie de textos sometidos por la Comisión de Redacción (Documento 128).</w:t>
      </w:r>
    </w:p>
    <w:p w14:paraId="5AE6E7DD" w14:textId="77777777" w:rsidR="00056C11" w:rsidRPr="0024729D" w:rsidRDefault="00056C11" w:rsidP="000A194B">
      <w:pPr>
        <w:pStyle w:val="Heading1"/>
        <w:rPr>
          <w:rFonts w:cstheme="minorHAnsi"/>
          <w:b w:val="0"/>
          <w:sz w:val="26"/>
          <w:szCs w:val="26"/>
          <w:lang w:val="es-ES"/>
        </w:rPr>
      </w:pPr>
      <w:r w:rsidRPr="0024729D">
        <w:rPr>
          <w:lang w:val="es-ES"/>
        </w:rPr>
        <w:t>5</w:t>
      </w:r>
      <w:r w:rsidRPr="0024729D">
        <w:rPr>
          <w:lang w:val="es-ES"/>
        </w:rPr>
        <w:tab/>
        <w:t xml:space="preserve">Quinta serie de textos sometidos por la Comisión de Redacción en primera lectura (B5) (Documento </w:t>
      </w:r>
      <w:hyperlink r:id="rId25" w:history="1">
        <w:r w:rsidRPr="0024729D">
          <w:rPr>
            <w:rStyle w:val="Hyperlink"/>
            <w:rFonts w:asciiTheme="minorHAnsi" w:eastAsiaTheme="minorEastAsia" w:hAnsiTheme="minorHAnsi" w:cstheme="minorBidi"/>
            <w:bCs/>
            <w:szCs w:val="28"/>
            <w:lang w:val="es-ES"/>
          </w:rPr>
          <w:t>129</w:t>
        </w:r>
      </w:hyperlink>
      <w:r w:rsidRPr="0024729D">
        <w:rPr>
          <w:rFonts w:cstheme="minorHAnsi"/>
          <w:szCs w:val="28"/>
          <w:lang w:val="es-ES"/>
        </w:rPr>
        <w:t>)</w:t>
      </w:r>
    </w:p>
    <w:p w14:paraId="6759FE19" w14:textId="77777777" w:rsidR="00056C11" w:rsidRPr="0024729D" w:rsidRDefault="00056C11" w:rsidP="000A194B">
      <w:pPr>
        <w:pStyle w:val="Headingb"/>
        <w:tabs>
          <w:tab w:val="clear" w:pos="567"/>
        </w:tabs>
        <w:ind w:left="0" w:firstLine="0"/>
        <w:rPr>
          <w:lang w:val="es-ES"/>
        </w:rPr>
      </w:pPr>
      <w:r w:rsidRPr="0024729D">
        <w:rPr>
          <w:lang w:val="es-ES"/>
        </w:rPr>
        <w:t>Proyecto de Resolución 136 (Rev. Bucarest, 2022) – Utilización de las telecomunicaciones/tecnologías de la información y la comunicación para la asistencia humanitaria y en el control y la gestión de situaciones de emergencia y catástrofes, incluidas las situaciones de emergencia sanitaria, la alerta temprana, la prevención, la mitigación y las operaciones de socorro</w:t>
      </w:r>
    </w:p>
    <w:p w14:paraId="0275E5BE" w14:textId="77777777" w:rsidR="00056C11" w:rsidRPr="0024729D" w:rsidRDefault="00056C11" w:rsidP="000A194B">
      <w:pPr>
        <w:pStyle w:val="Headingb"/>
        <w:tabs>
          <w:tab w:val="clear" w:pos="567"/>
        </w:tabs>
        <w:ind w:left="0" w:firstLine="0"/>
        <w:rPr>
          <w:rFonts w:cstheme="minorHAnsi"/>
          <w:b w:val="0"/>
          <w:szCs w:val="24"/>
          <w:lang w:val="es-ES"/>
        </w:rPr>
      </w:pPr>
      <w:r w:rsidRPr="0024729D">
        <w:rPr>
          <w:rFonts w:cstheme="minorHAnsi"/>
          <w:szCs w:val="24"/>
          <w:lang w:val="es-ES"/>
        </w:rPr>
        <w:t>Proyecto de Resolución 138 (Rev. Bucarest, 2022) – Simposio Mundial para Reguladores</w:t>
      </w:r>
    </w:p>
    <w:p w14:paraId="7FFB69A2" w14:textId="77777777" w:rsidR="00056C11" w:rsidRPr="0024729D" w:rsidRDefault="00056C11" w:rsidP="000A194B">
      <w:pPr>
        <w:pStyle w:val="Headingb"/>
        <w:tabs>
          <w:tab w:val="clear" w:pos="567"/>
        </w:tabs>
        <w:ind w:left="0" w:firstLine="0"/>
        <w:rPr>
          <w:rFonts w:cstheme="minorHAnsi"/>
          <w:b w:val="0"/>
          <w:szCs w:val="24"/>
          <w:lang w:val="es-ES"/>
        </w:rPr>
      </w:pPr>
      <w:r w:rsidRPr="0024729D">
        <w:rPr>
          <w:rFonts w:cstheme="minorHAnsi"/>
          <w:szCs w:val="24"/>
          <w:lang w:val="es-ES"/>
        </w:rPr>
        <w:t>Proyecto de Resolución 209 (Rev. Bucarest, 2022) – Fomento de la participación de pequeñas y medianas empresas en los trabajos de la Unión</w:t>
      </w:r>
    </w:p>
    <w:p w14:paraId="6B107439" w14:textId="77777777" w:rsidR="00056C11" w:rsidRPr="0024729D" w:rsidRDefault="00056C11" w:rsidP="000A194B">
      <w:pPr>
        <w:rPr>
          <w:rFonts w:cstheme="minorHAnsi"/>
          <w:b/>
          <w:szCs w:val="24"/>
          <w:lang w:val="es-ES"/>
        </w:rPr>
      </w:pPr>
      <w:r w:rsidRPr="0024729D">
        <w:rPr>
          <w:rFonts w:cstheme="minorHAnsi"/>
          <w:szCs w:val="24"/>
          <w:lang w:val="es-ES"/>
        </w:rPr>
        <w:t>5.1</w:t>
      </w:r>
      <w:r w:rsidRPr="0024729D">
        <w:rPr>
          <w:rFonts w:cstheme="minorHAnsi"/>
          <w:szCs w:val="24"/>
          <w:lang w:val="es-ES"/>
        </w:rPr>
        <w:tab/>
      </w:r>
      <w:r w:rsidRPr="0024729D">
        <w:rPr>
          <w:rFonts w:cstheme="minorHAnsi"/>
          <w:b/>
          <w:szCs w:val="24"/>
          <w:lang w:val="es-ES"/>
        </w:rPr>
        <w:t>Se adoptan</w:t>
      </w:r>
      <w:r w:rsidRPr="008354D8">
        <w:rPr>
          <w:rFonts w:cstheme="minorHAnsi"/>
          <w:bCs/>
          <w:szCs w:val="24"/>
          <w:lang w:val="es-ES"/>
        </w:rPr>
        <w:t>.</w:t>
      </w:r>
    </w:p>
    <w:p w14:paraId="71478FBD" w14:textId="77777777" w:rsidR="00056C11" w:rsidRPr="0024729D" w:rsidRDefault="00056C11" w:rsidP="000A194B">
      <w:pPr>
        <w:rPr>
          <w:rFonts w:cstheme="minorHAnsi"/>
          <w:szCs w:val="24"/>
          <w:lang w:val="es-ES"/>
        </w:rPr>
      </w:pPr>
      <w:bookmarkStart w:id="7" w:name="_Hlk115989638"/>
      <w:r w:rsidRPr="0024729D">
        <w:rPr>
          <w:rFonts w:cstheme="minorHAnsi"/>
          <w:szCs w:val="24"/>
          <w:lang w:val="es-ES"/>
        </w:rPr>
        <w:t>5.2</w:t>
      </w:r>
      <w:r w:rsidRPr="0024729D">
        <w:rPr>
          <w:rFonts w:cstheme="minorHAnsi"/>
          <w:szCs w:val="24"/>
          <w:lang w:val="es-ES"/>
        </w:rPr>
        <w:tab/>
      </w:r>
      <w:r w:rsidRPr="0024729D">
        <w:rPr>
          <w:rFonts w:cstheme="minorHAnsi"/>
          <w:b/>
          <w:bCs/>
          <w:szCs w:val="24"/>
          <w:lang w:val="es-ES"/>
        </w:rPr>
        <w:t xml:space="preserve">Se </w:t>
      </w:r>
      <w:r w:rsidRPr="0024729D">
        <w:rPr>
          <w:rFonts w:cstheme="minorHAnsi"/>
          <w:b/>
          <w:szCs w:val="24"/>
          <w:lang w:val="es-ES"/>
        </w:rPr>
        <w:t>aprueba</w:t>
      </w:r>
      <w:r w:rsidRPr="0024729D">
        <w:rPr>
          <w:rFonts w:cstheme="minorHAnsi"/>
          <w:szCs w:val="24"/>
          <w:lang w:val="es-ES"/>
        </w:rPr>
        <w:t xml:space="preserve"> en primera lectura la quinta serie de textos sometidos por la Comisión de Redacción (B5) (Documento 129).</w:t>
      </w:r>
    </w:p>
    <w:bookmarkEnd w:id="7"/>
    <w:p w14:paraId="61622830" w14:textId="77777777" w:rsidR="00056C11" w:rsidRPr="0024729D" w:rsidRDefault="00056C11" w:rsidP="000A194B">
      <w:pPr>
        <w:pStyle w:val="Heading1"/>
        <w:rPr>
          <w:rFonts w:cstheme="minorHAnsi"/>
          <w:b w:val="0"/>
          <w:sz w:val="26"/>
          <w:szCs w:val="26"/>
          <w:lang w:val="es-ES"/>
        </w:rPr>
      </w:pPr>
      <w:r w:rsidRPr="0024729D">
        <w:rPr>
          <w:lang w:val="es-ES"/>
        </w:rPr>
        <w:t>6</w:t>
      </w:r>
      <w:r w:rsidRPr="0024729D">
        <w:rPr>
          <w:lang w:val="es-ES"/>
        </w:rPr>
        <w:tab/>
        <w:t>Quinta serie de textos sometidos por la Comisión de Redacción – segunda lectura (Documento</w:t>
      </w:r>
      <w:r w:rsidRPr="0024729D">
        <w:rPr>
          <w:rFonts w:cstheme="minorHAnsi"/>
          <w:sz w:val="26"/>
          <w:szCs w:val="26"/>
          <w:lang w:val="es-ES"/>
        </w:rPr>
        <w:t xml:space="preserve"> </w:t>
      </w:r>
      <w:hyperlink r:id="rId26" w:history="1">
        <w:r w:rsidRPr="0024729D">
          <w:rPr>
            <w:rStyle w:val="Hyperlink"/>
            <w:rFonts w:asciiTheme="minorHAnsi" w:hAnsiTheme="minorHAnsi" w:cstheme="minorHAnsi"/>
            <w:szCs w:val="28"/>
            <w:lang w:val="es-ES"/>
          </w:rPr>
          <w:t>129</w:t>
        </w:r>
      </w:hyperlink>
      <w:r w:rsidRPr="0024729D">
        <w:rPr>
          <w:lang w:val="es-ES"/>
        </w:rPr>
        <w:t>)</w:t>
      </w:r>
    </w:p>
    <w:p w14:paraId="0DACB440" w14:textId="77777777" w:rsidR="00056C11" w:rsidRPr="0024729D" w:rsidRDefault="00056C11" w:rsidP="000A194B">
      <w:pPr>
        <w:rPr>
          <w:rFonts w:cstheme="minorHAnsi"/>
          <w:bCs/>
          <w:szCs w:val="24"/>
          <w:lang w:val="es-ES"/>
        </w:rPr>
      </w:pPr>
      <w:r w:rsidRPr="0024729D">
        <w:rPr>
          <w:rFonts w:cstheme="minorHAnsi"/>
          <w:szCs w:val="24"/>
          <w:lang w:val="es-ES"/>
        </w:rPr>
        <w:t>6.1</w:t>
      </w:r>
      <w:r w:rsidRPr="0024729D">
        <w:rPr>
          <w:rFonts w:cstheme="minorHAnsi"/>
          <w:szCs w:val="24"/>
          <w:lang w:val="es-ES"/>
        </w:rPr>
        <w:tab/>
        <w:t xml:space="preserve">Se </w:t>
      </w:r>
      <w:r w:rsidRPr="0024729D">
        <w:rPr>
          <w:rFonts w:cstheme="minorHAnsi"/>
          <w:b/>
          <w:szCs w:val="24"/>
          <w:lang w:val="es-ES"/>
        </w:rPr>
        <w:t>aprueba</w:t>
      </w:r>
      <w:r w:rsidRPr="0024729D">
        <w:rPr>
          <w:rFonts w:cstheme="minorHAnsi"/>
          <w:szCs w:val="24"/>
          <w:lang w:val="es-ES"/>
        </w:rPr>
        <w:t xml:space="preserve"> en segunda lectura la quinta serie de textos sometidos por la Comisión de Redacción (Documento 129).</w:t>
      </w:r>
    </w:p>
    <w:p w14:paraId="358BA390" w14:textId="77777777" w:rsidR="00056C11" w:rsidRPr="0024729D" w:rsidRDefault="00056C11" w:rsidP="000A194B">
      <w:pPr>
        <w:pStyle w:val="Heading1"/>
        <w:rPr>
          <w:b w:val="0"/>
          <w:sz w:val="26"/>
          <w:szCs w:val="26"/>
          <w:lang w:val="es-ES"/>
        </w:rPr>
      </w:pPr>
      <w:r w:rsidRPr="0024729D">
        <w:rPr>
          <w:lang w:val="es-ES"/>
        </w:rPr>
        <w:t>7</w:t>
      </w:r>
      <w:r w:rsidRPr="0024729D">
        <w:rPr>
          <w:lang w:val="es-ES"/>
        </w:rPr>
        <w:tab/>
        <w:t xml:space="preserve">Sexta serie de textos sometidos por la Comisión de Redacción en primera lectura (B6) (Documento </w:t>
      </w:r>
      <w:hyperlink r:id="rId27" w:history="1">
        <w:r w:rsidRPr="0024729D">
          <w:rPr>
            <w:rStyle w:val="Hyperlink"/>
            <w:rFonts w:asciiTheme="minorHAnsi" w:hAnsiTheme="minorHAnsi" w:cstheme="minorBidi"/>
            <w:szCs w:val="28"/>
            <w:lang w:val="es-ES"/>
          </w:rPr>
          <w:t>130</w:t>
        </w:r>
      </w:hyperlink>
      <w:r w:rsidRPr="0024729D">
        <w:rPr>
          <w:lang w:val="es-ES"/>
        </w:rPr>
        <w:t>)</w:t>
      </w:r>
    </w:p>
    <w:p w14:paraId="490E9A83" w14:textId="77777777" w:rsidR="00056C11" w:rsidRPr="0024729D" w:rsidRDefault="00056C11" w:rsidP="000A194B">
      <w:pPr>
        <w:pStyle w:val="Headingb"/>
        <w:tabs>
          <w:tab w:val="clear" w:pos="567"/>
        </w:tabs>
        <w:ind w:left="0" w:firstLine="0"/>
        <w:rPr>
          <w:b w:val="0"/>
          <w:szCs w:val="24"/>
          <w:lang w:val="es-ES"/>
        </w:rPr>
      </w:pPr>
      <w:r w:rsidRPr="0024729D">
        <w:rPr>
          <w:szCs w:val="24"/>
          <w:lang w:val="es-ES"/>
        </w:rPr>
        <w:t>Proyecto de Resolución 66 (Rev. Bucarest, 2022) – Documentos y publicaciones de la Unión</w:t>
      </w:r>
    </w:p>
    <w:p w14:paraId="504A6D34" w14:textId="77777777" w:rsidR="00056C11" w:rsidRPr="0024729D" w:rsidRDefault="00056C11" w:rsidP="0024729D">
      <w:pPr>
        <w:keepNext/>
        <w:keepLines/>
        <w:rPr>
          <w:b/>
          <w:szCs w:val="24"/>
          <w:lang w:val="es-ES"/>
        </w:rPr>
      </w:pPr>
      <w:r w:rsidRPr="0024729D">
        <w:rPr>
          <w:szCs w:val="24"/>
          <w:lang w:val="es-ES"/>
        </w:rPr>
        <w:t>7.1</w:t>
      </w:r>
      <w:r w:rsidRPr="0024729D">
        <w:rPr>
          <w:szCs w:val="24"/>
          <w:lang w:val="es-ES"/>
        </w:rPr>
        <w:tab/>
      </w:r>
      <w:r w:rsidRPr="0024729D">
        <w:rPr>
          <w:b/>
          <w:szCs w:val="24"/>
          <w:lang w:val="es-ES"/>
        </w:rPr>
        <w:t>Se adopta</w:t>
      </w:r>
      <w:r w:rsidRPr="008354D8">
        <w:rPr>
          <w:bCs/>
          <w:szCs w:val="24"/>
          <w:lang w:val="es-ES"/>
        </w:rPr>
        <w:t>.</w:t>
      </w:r>
    </w:p>
    <w:p w14:paraId="524C4705" w14:textId="77777777" w:rsidR="00056C11" w:rsidRPr="0024729D" w:rsidRDefault="00056C11" w:rsidP="0024729D">
      <w:pPr>
        <w:rPr>
          <w:szCs w:val="24"/>
          <w:lang w:val="es-ES"/>
        </w:rPr>
      </w:pPr>
      <w:r w:rsidRPr="0024729D">
        <w:rPr>
          <w:szCs w:val="24"/>
          <w:lang w:val="es-ES"/>
        </w:rPr>
        <w:t>7.2</w:t>
      </w:r>
      <w:r w:rsidRPr="0024729D">
        <w:rPr>
          <w:szCs w:val="24"/>
          <w:lang w:val="es-ES"/>
        </w:rPr>
        <w:tab/>
      </w:r>
      <w:r w:rsidRPr="0024729D">
        <w:rPr>
          <w:b/>
          <w:bCs/>
          <w:szCs w:val="24"/>
          <w:lang w:val="es-ES"/>
        </w:rPr>
        <w:t xml:space="preserve">Se </w:t>
      </w:r>
      <w:r w:rsidRPr="0024729D">
        <w:rPr>
          <w:b/>
          <w:szCs w:val="24"/>
          <w:lang w:val="es-ES"/>
        </w:rPr>
        <w:t>aprueba</w:t>
      </w:r>
      <w:r w:rsidRPr="0024729D">
        <w:rPr>
          <w:szCs w:val="24"/>
          <w:lang w:val="es-ES"/>
        </w:rPr>
        <w:t xml:space="preserve"> en primera lectura la sexta serie de textos sometidos por la Comisión de Redacción (B6) (Documento 130).</w:t>
      </w:r>
    </w:p>
    <w:p w14:paraId="534D7091" w14:textId="77777777" w:rsidR="00056C11" w:rsidRPr="0024729D" w:rsidRDefault="00056C11" w:rsidP="0024729D">
      <w:pPr>
        <w:pStyle w:val="Heading1"/>
        <w:rPr>
          <w:b w:val="0"/>
          <w:szCs w:val="28"/>
          <w:lang w:val="es-ES"/>
        </w:rPr>
      </w:pPr>
      <w:r w:rsidRPr="0024729D">
        <w:rPr>
          <w:lang w:val="es-ES"/>
        </w:rPr>
        <w:lastRenderedPageBreak/>
        <w:t>8</w:t>
      </w:r>
      <w:r w:rsidRPr="0024729D">
        <w:rPr>
          <w:lang w:val="es-ES"/>
        </w:rPr>
        <w:tab/>
        <w:t>Sexta serie de textos sometidos por la Comisión de Redacción – segunda lectura (Documento</w:t>
      </w:r>
      <w:r w:rsidRPr="0024729D">
        <w:rPr>
          <w:sz w:val="26"/>
          <w:szCs w:val="26"/>
          <w:lang w:val="es-ES"/>
        </w:rPr>
        <w:t xml:space="preserve"> </w:t>
      </w:r>
      <w:hyperlink r:id="rId28" w:history="1">
        <w:r w:rsidRPr="0024729D">
          <w:rPr>
            <w:rStyle w:val="Hyperlink"/>
            <w:rFonts w:asciiTheme="minorHAnsi" w:hAnsiTheme="minorHAnsi" w:cstheme="minorBidi"/>
            <w:szCs w:val="28"/>
            <w:lang w:val="es-ES"/>
          </w:rPr>
          <w:t>130</w:t>
        </w:r>
      </w:hyperlink>
      <w:r w:rsidRPr="0024729D">
        <w:rPr>
          <w:lang w:val="es-ES"/>
        </w:rPr>
        <w:t>)</w:t>
      </w:r>
    </w:p>
    <w:p w14:paraId="5CE45E24" w14:textId="77777777" w:rsidR="00056C11" w:rsidRPr="0024729D" w:rsidRDefault="00056C11" w:rsidP="0024729D">
      <w:pPr>
        <w:rPr>
          <w:szCs w:val="24"/>
          <w:lang w:val="es-ES"/>
        </w:rPr>
      </w:pPr>
      <w:r w:rsidRPr="0024729D">
        <w:rPr>
          <w:szCs w:val="24"/>
          <w:lang w:val="es-ES"/>
        </w:rPr>
        <w:t>8.1</w:t>
      </w:r>
      <w:r w:rsidRPr="0024729D">
        <w:rPr>
          <w:szCs w:val="24"/>
          <w:lang w:val="es-ES"/>
        </w:rPr>
        <w:tab/>
      </w:r>
      <w:r w:rsidRPr="0024729D">
        <w:rPr>
          <w:b/>
          <w:bCs/>
          <w:szCs w:val="24"/>
          <w:lang w:val="es-ES"/>
        </w:rPr>
        <w:t>Se ap</w:t>
      </w:r>
      <w:r w:rsidRPr="0024729D">
        <w:rPr>
          <w:b/>
          <w:szCs w:val="24"/>
          <w:lang w:val="es-ES"/>
        </w:rPr>
        <w:t>rueba</w:t>
      </w:r>
      <w:r w:rsidRPr="0024729D">
        <w:rPr>
          <w:szCs w:val="24"/>
          <w:lang w:val="es-ES"/>
        </w:rPr>
        <w:t xml:space="preserve"> en segunda lectura la sexta serie de textos sometidos por la Comisión de Redacción (Documento 130).</w:t>
      </w:r>
    </w:p>
    <w:p w14:paraId="3FFC6165" w14:textId="77777777" w:rsidR="00056C11" w:rsidRPr="0024729D" w:rsidRDefault="00056C11" w:rsidP="0024729D">
      <w:pPr>
        <w:pStyle w:val="Heading1"/>
        <w:rPr>
          <w:b w:val="0"/>
          <w:sz w:val="26"/>
          <w:szCs w:val="26"/>
          <w:lang w:val="es-ES"/>
        </w:rPr>
      </w:pPr>
      <w:r w:rsidRPr="0024729D">
        <w:rPr>
          <w:sz w:val="26"/>
          <w:szCs w:val="26"/>
          <w:lang w:val="es-ES"/>
        </w:rPr>
        <w:t>9</w:t>
      </w:r>
      <w:r w:rsidRPr="0024729D">
        <w:rPr>
          <w:lang w:val="es-ES"/>
        </w:rPr>
        <w:tab/>
        <w:t>Séptima serie de textos sometidos por la Comisión de Redacción en primera lectura (B7) (Documento</w:t>
      </w:r>
      <w:r w:rsidRPr="0024729D">
        <w:rPr>
          <w:sz w:val="26"/>
          <w:szCs w:val="26"/>
          <w:lang w:val="es-ES"/>
        </w:rPr>
        <w:t xml:space="preserve"> </w:t>
      </w:r>
      <w:hyperlink r:id="rId29" w:history="1">
        <w:r w:rsidRPr="0024729D">
          <w:rPr>
            <w:rStyle w:val="Hyperlink"/>
            <w:rFonts w:asciiTheme="minorHAnsi" w:hAnsiTheme="minorHAnsi" w:cstheme="minorBidi"/>
            <w:sz w:val="26"/>
            <w:szCs w:val="26"/>
            <w:lang w:val="es-ES"/>
          </w:rPr>
          <w:t>133</w:t>
        </w:r>
      </w:hyperlink>
      <w:r w:rsidRPr="0024729D">
        <w:rPr>
          <w:sz w:val="26"/>
          <w:szCs w:val="26"/>
          <w:lang w:val="es-ES"/>
        </w:rPr>
        <w:t>)</w:t>
      </w:r>
    </w:p>
    <w:p w14:paraId="5031431F" w14:textId="77777777" w:rsidR="00056C11" w:rsidRPr="0024729D" w:rsidRDefault="00056C11" w:rsidP="0024729D">
      <w:pPr>
        <w:pStyle w:val="Headingb"/>
        <w:tabs>
          <w:tab w:val="clear" w:pos="567"/>
        </w:tabs>
        <w:ind w:left="0" w:firstLine="0"/>
        <w:rPr>
          <w:b w:val="0"/>
          <w:szCs w:val="24"/>
          <w:lang w:val="es-ES"/>
        </w:rPr>
      </w:pPr>
      <w:r w:rsidRPr="0024729D">
        <w:rPr>
          <w:szCs w:val="24"/>
          <w:lang w:val="es-ES"/>
        </w:rPr>
        <w:t>Proyecto de Resolución 197 (Rev. Bucarest, 2022) – Facilitación de la Internet de las cosas y las ciudades y comunidades inteligentes y sostenibles</w:t>
      </w:r>
    </w:p>
    <w:p w14:paraId="0CE8D787" w14:textId="77777777" w:rsidR="00056C11" w:rsidRPr="0024729D" w:rsidRDefault="00056C11" w:rsidP="0024729D">
      <w:pPr>
        <w:pStyle w:val="Headingb"/>
        <w:tabs>
          <w:tab w:val="clear" w:pos="567"/>
        </w:tabs>
        <w:ind w:left="0" w:firstLine="0"/>
        <w:rPr>
          <w:b w:val="0"/>
          <w:szCs w:val="24"/>
          <w:lang w:val="es-ES"/>
        </w:rPr>
      </w:pPr>
      <w:r w:rsidRPr="0024729D">
        <w:rPr>
          <w:szCs w:val="24"/>
          <w:lang w:val="es-ES"/>
        </w:rPr>
        <w:t>Proyecto de Resolución 204 (Rev. Bucarest, 2002) – Utilización de las tecnologías de la información y la comunicación para reducir la brecha de inclusión financiera</w:t>
      </w:r>
    </w:p>
    <w:p w14:paraId="5BA112A9" w14:textId="77777777" w:rsidR="00056C11" w:rsidRPr="0024729D" w:rsidRDefault="00056C11" w:rsidP="0024729D">
      <w:pPr>
        <w:rPr>
          <w:b/>
          <w:szCs w:val="24"/>
          <w:lang w:val="es-ES"/>
        </w:rPr>
      </w:pPr>
      <w:r w:rsidRPr="0024729D">
        <w:rPr>
          <w:szCs w:val="24"/>
          <w:lang w:val="es-ES"/>
        </w:rPr>
        <w:t>9.1</w:t>
      </w:r>
      <w:r w:rsidRPr="0024729D">
        <w:rPr>
          <w:szCs w:val="24"/>
          <w:lang w:val="es-ES"/>
        </w:rPr>
        <w:tab/>
      </w:r>
      <w:r w:rsidRPr="0024729D">
        <w:rPr>
          <w:b/>
          <w:szCs w:val="24"/>
          <w:lang w:val="es-ES"/>
        </w:rPr>
        <w:t>Se adoptan</w:t>
      </w:r>
      <w:r w:rsidRPr="0024729D">
        <w:rPr>
          <w:bCs/>
          <w:szCs w:val="24"/>
          <w:lang w:val="es-ES"/>
        </w:rPr>
        <w:t>.</w:t>
      </w:r>
    </w:p>
    <w:p w14:paraId="4D55B536" w14:textId="77777777" w:rsidR="00056C11" w:rsidRPr="0024729D" w:rsidRDefault="00056C11" w:rsidP="0024729D">
      <w:pPr>
        <w:rPr>
          <w:szCs w:val="24"/>
          <w:lang w:val="es-ES"/>
        </w:rPr>
      </w:pPr>
      <w:r w:rsidRPr="0024729D">
        <w:rPr>
          <w:szCs w:val="24"/>
          <w:lang w:val="es-ES"/>
        </w:rPr>
        <w:t>9.2</w:t>
      </w:r>
      <w:r w:rsidRPr="0024729D">
        <w:rPr>
          <w:szCs w:val="24"/>
          <w:lang w:val="es-ES"/>
        </w:rPr>
        <w:tab/>
      </w:r>
      <w:r w:rsidRPr="0024729D">
        <w:rPr>
          <w:b/>
          <w:bCs/>
          <w:szCs w:val="24"/>
          <w:lang w:val="es-ES"/>
        </w:rPr>
        <w:t>Se a</w:t>
      </w:r>
      <w:r w:rsidRPr="0024729D">
        <w:rPr>
          <w:b/>
          <w:szCs w:val="24"/>
          <w:lang w:val="es-ES"/>
        </w:rPr>
        <w:t>prueba</w:t>
      </w:r>
      <w:r w:rsidRPr="0024729D">
        <w:rPr>
          <w:szCs w:val="24"/>
          <w:lang w:val="es-ES"/>
        </w:rPr>
        <w:t xml:space="preserve"> en primera lectura la séptima serie de textos sometidos por la Comisión de Redacción (B7) (Documento 133).</w:t>
      </w:r>
    </w:p>
    <w:p w14:paraId="6C15ADF5" w14:textId="77777777" w:rsidR="00056C11" w:rsidRPr="0024729D" w:rsidRDefault="00056C11" w:rsidP="0024729D">
      <w:pPr>
        <w:pStyle w:val="Heading1"/>
        <w:rPr>
          <w:b w:val="0"/>
          <w:sz w:val="26"/>
          <w:szCs w:val="26"/>
          <w:lang w:val="es-ES"/>
        </w:rPr>
      </w:pPr>
      <w:r w:rsidRPr="0024729D">
        <w:rPr>
          <w:lang w:val="es-ES"/>
        </w:rPr>
        <w:t>10</w:t>
      </w:r>
      <w:r w:rsidRPr="0024729D">
        <w:rPr>
          <w:lang w:val="es-ES"/>
        </w:rPr>
        <w:tab/>
        <w:t>Séptima serie de textos sometidos por la Comisión de Redacción – segunda lectura (Documento</w:t>
      </w:r>
      <w:r w:rsidRPr="0024729D">
        <w:rPr>
          <w:sz w:val="26"/>
          <w:szCs w:val="26"/>
          <w:lang w:val="es-ES"/>
        </w:rPr>
        <w:t xml:space="preserve"> </w:t>
      </w:r>
      <w:hyperlink r:id="rId30" w:history="1">
        <w:r w:rsidRPr="0024729D">
          <w:rPr>
            <w:rStyle w:val="Hyperlink"/>
            <w:rFonts w:asciiTheme="minorHAnsi" w:hAnsiTheme="minorHAnsi" w:cstheme="minorBidi"/>
            <w:sz w:val="26"/>
            <w:szCs w:val="26"/>
            <w:lang w:val="es-ES"/>
          </w:rPr>
          <w:t>133</w:t>
        </w:r>
      </w:hyperlink>
      <w:r w:rsidRPr="0024729D">
        <w:rPr>
          <w:lang w:val="es-ES"/>
        </w:rPr>
        <w:t>)</w:t>
      </w:r>
    </w:p>
    <w:p w14:paraId="16BF8BF0" w14:textId="77777777" w:rsidR="00056C11" w:rsidRPr="0024729D" w:rsidRDefault="00056C11" w:rsidP="003A1072">
      <w:pPr>
        <w:rPr>
          <w:lang w:val="es-ES"/>
        </w:rPr>
      </w:pPr>
      <w:r w:rsidRPr="0024729D">
        <w:rPr>
          <w:lang w:val="es-ES"/>
        </w:rPr>
        <w:t>10.1</w:t>
      </w:r>
      <w:r w:rsidRPr="0024729D">
        <w:rPr>
          <w:lang w:val="es-ES"/>
        </w:rPr>
        <w:tab/>
      </w:r>
      <w:r w:rsidRPr="0024729D">
        <w:rPr>
          <w:b/>
          <w:bCs/>
          <w:lang w:val="es-ES"/>
        </w:rPr>
        <w:t xml:space="preserve">Se </w:t>
      </w:r>
      <w:r w:rsidRPr="0024729D">
        <w:rPr>
          <w:b/>
          <w:lang w:val="es-ES"/>
        </w:rPr>
        <w:t>aprueba</w:t>
      </w:r>
      <w:r w:rsidRPr="0024729D">
        <w:rPr>
          <w:lang w:val="es-ES"/>
        </w:rPr>
        <w:t xml:space="preserve"> en segunda lectura la séptima serie de textos sometidos por la Comisión de Redacción (Documento 133).</w:t>
      </w:r>
    </w:p>
    <w:p w14:paraId="4D683A72" w14:textId="77777777" w:rsidR="00056C11" w:rsidRPr="0024729D" w:rsidRDefault="00056C11" w:rsidP="0024729D">
      <w:pPr>
        <w:pStyle w:val="Heading1"/>
        <w:rPr>
          <w:b w:val="0"/>
          <w:sz w:val="26"/>
          <w:szCs w:val="26"/>
          <w:lang w:val="es-ES"/>
        </w:rPr>
      </w:pPr>
      <w:r w:rsidRPr="0024729D">
        <w:rPr>
          <w:lang w:val="es-ES"/>
        </w:rPr>
        <w:t>11</w:t>
      </w:r>
      <w:r w:rsidRPr="0024729D">
        <w:rPr>
          <w:lang w:val="es-ES"/>
        </w:rPr>
        <w:tab/>
        <w:t>Octava serie de textos sometidos por la Comisión de Redacción en primera lectura (B8) (Documento</w:t>
      </w:r>
      <w:r w:rsidRPr="0024729D">
        <w:rPr>
          <w:sz w:val="26"/>
          <w:szCs w:val="26"/>
          <w:lang w:val="es-ES"/>
        </w:rPr>
        <w:t xml:space="preserve"> </w:t>
      </w:r>
      <w:hyperlink r:id="rId31" w:history="1">
        <w:r w:rsidRPr="0024729D">
          <w:rPr>
            <w:rStyle w:val="Hyperlink"/>
            <w:rFonts w:asciiTheme="minorHAnsi" w:hAnsiTheme="minorHAnsi" w:cstheme="minorBidi"/>
            <w:sz w:val="26"/>
            <w:szCs w:val="26"/>
            <w:lang w:val="es-ES"/>
          </w:rPr>
          <w:t>134</w:t>
        </w:r>
      </w:hyperlink>
      <w:r w:rsidRPr="0024729D">
        <w:rPr>
          <w:lang w:val="es-ES"/>
        </w:rPr>
        <w:t>)</w:t>
      </w:r>
    </w:p>
    <w:p w14:paraId="32971376" w14:textId="77777777" w:rsidR="00056C11" w:rsidRPr="0024729D" w:rsidRDefault="00056C11" w:rsidP="0024729D">
      <w:pPr>
        <w:pStyle w:val="Headingb"/>
        <w:tabs>
          <w:tab w:val="clear" w:pos="567"/>
        </w:tabs>
        <w:ind w:left="0" w:firstLine="0"/>
        <w:rPr>
          <w:b w:val="0"/>
          <w:szCs w:val="24"/>
          <w:lang w:val="es-ES"/>
        </w:rPr>
      </w:pPr>
      <w:r w:rsidRPr="0024729D">
        <w:rPr>
          <w:szCs w:val="24"/>
          <w:lang w:val="es-ES"/>
        </w:rPr>
        <w:t>Proyecto de Resolución 157 (Rev. Bucarest, 2022) – Fortalecimiento de las funciones de ejecución y de supervisión de proyectos en la UIT</w:t>
      </w:r>
    </w:p>
    <w:p w14:paraId="68D26CDB" w14:textId="77777777" w:rsidR="00056C11" w:rsidRPr="0024729D" w:rsidRDefault="00056C11" w:rsidP="0024729D">
      <w:pPr>
        <w:rPr>
          <w:szCs w:val="24"/>
          <w:lang w:val="es-ES"/>
        </w:rPr>
      </w:pPr>
      <w:r w:rsidRPr="0024729D">
        <w:rPr>
          <w:szCs w:val="24"/>
          <w:lang w:val="es-ES"/>
        </w:rPr>
        <w:t>11.1</w:t>
      </w:r>
      <w:r w:rsidRPr="0024729D">
        <w:rPr>
          <w:szCs w:val="24"/>
          <w:lang w:val="es-ES"/>
        </w:rPr>
        <w:tab/>
      </w:r>
      <w:r w:rsidRPr="0024729D">
        <w:rPr>
          <w:b/>
          <w:szCs w:val="24"/>
          <w:lang w:val="es-ES"/>
        </w:rPr>
        <w:t>Se adopta</w:t>
      </w:r>
      <w:r w:rsidRPr="0024729D">
        <w:rPr>
          <w:szCs w:val="24"/>
          <w:lang w:val="es-ES"/>
        </w:rPr>
        <w:t>.</w:t>
      </w:r>
    </w:p>
    <w:p w14:paraId="6BA70956" w14:textId="77777777" w:rsidR="00056C11" w:rsidRPr="0024729D" w:rsidRDefault="00056C11" w:rsidP="0024729D">
      <w:pPr>
        <w:rPr>
          <w:szCs w:val="24"/>
          <w:lang w:val="es-ES"/>
        </w:rPr>
      </w:pPr>
      <w:r w:rsidRPr="0024729D">
        <w:rPr>
          <w:szCs w:val="24"/>
          <w:lang w:val="es-ES"/>
        </w:rPr>
        <w:t>11.2</w:t>
      </w:r>
      <w:r w:rsidRPr="0024729D">
        <w:rPr>
          <w:szCs w:val="24"/>
          <w:lang w:val="es-ES"/>
        </w:rPr>
        <w:tab/>
      </w:r>
      <w:r w:rsidRPr="0024729D">
        <w:rPr>
          <w:b/>
          <w:bCs/>
          <w:szCs w:val="24"/>
          <w:lang w:val="es-ES"/>
        </w:rPr>
        <w:t>Se a</w:t>
      </w:r>
      <w:r w:rsidRPr="0024729D">
        <w:rPr>
          <w:b/>
          <w:szCs w:val="24"/>
          <w:lang w:val="es-ES"/>
        </w:rPr>
        <w:t>prueba</w:t>
      </w:r>
      <w:r w:rsidRPr="0024729D">
        <w:rPr>
          <w:szCs w:val="24"/>
          <w:lang w:val="es-ES"/>
        </w:rPr>
        <w:t xml:space="preserve"> en primera lectura la octava serie de textos sometidos por la Comisión de Redacción (B8) (Documento 134).</w:t>
      </w:r>
    </w:p>
    <w:p w14:paraId="021E2B25" w14:textId="77777777" w:rsidR="00056C11" w:rsidRPr="0024729D" w:rsidRDefault="00056C11" w:rsidP="0024729D">
      <w:pPr>
        <w:pStyle w:val="Heading1"/>
        <w:rPr>
          <w:b w:val="0"/>
          <w:sz w:val="26"/>
          <w:szCs w:val="26"/>
          <w:lang w:val="es-ES"/>
        </w:rPr>
      </w:pPr>
      <w:r w:rsidRPr="0024729D">
        <w:rPr>
          <w:lang w:val="es-ES"/>
        </w:rPr>
        <w:t>12</w:t>
      </w:r>
      <w:r w:rsidRPr="0024729D">
        <w:rPr>
          <w:lang w:val="es-ES"/>
        </w:rPr>
        <w:tab/>
        <w:t>Octava serie de textos sometidos por la Comisión de Redacción– segunda lectura (Documento</w:t>
      </w:r>
      <w:r w:rsidRPr="0024729D">
        <w:rPr>
          <w:sz w:val="26"/>
          <w:szCs w:val="26"/>
          <w:lang w:val="es-ES"/>
        </w:rPr>
        <w:t xml:space="preserve"> </w:t>
      </w:r>
      <w:hyperlink r:id="rId32" w:history="1">
        <w:r w:rsidRPr="0024729D">
          <w:rPr>
            <w:rStyle w:val="Hyperlink"/>
            <w:rFonts w:asciiTheme="minorHAnsi" w:hAnsiTheme="minorHAnsi" w:cstheme="minorBidi"/>
            <w:sz w:val="26"/>
            <w:szCs w:val="26"/>
            <w:lang w:val="es-ES"/>
          </w:rPr>
          <w:t>134</w:t>
        </w:r>
      </w:hyperlink>
      <w:r w:rsidRPr="0024729D">
        <w:rPr>
          <w:lang w:val="es-ES"/>
        </w:rPr>
        <w:t>)</w:t>
      </w:r>
    </w:p>
    <w:p w14:paraId="5A69EA81" w14:textId="77777777" w:rsidR="00056C11" w:rsidRPr="0024729D" w:rsidRDefault="00056C11" w:rsidP="0024729D">
      <w:pPr>
        <w:rPr>
          <w:szCs w:val="24"/>
          <w:lang w:val="es-ES"/>
        </w:rPr>
      </w:pPr>
      <w:r w:rsidRPr="0024729D">
        <w:rPr>
          <w:szCs w:val="24"/>
          <w:lang w:val="es-ES"/>
        </w:rPr>
        <w:t>12.1</w:t>
      </w:r>
      <w:r w:rsidRPr="0024729D">
        <w:rPr>
          <w:szCs w:val="24"/>
          <w:lang w:val="es-ES"/>
        </w:rPr>
        <w:tab/>
      </w:r>
      <w:r w:rsidRPr="0024729D">
        <w:rPr>
          <w:b/>
          <w:bCs/>
          <w:szCs w:val="24"/>
          <w:lang w:val="es-ES"/>
        </w:rPr>
        <w:t>Se</w:t>
      </w:r>
      <w:r w:rsidRPr="0024729D">
        <w:rPr>
          <w:szCs w:val="24"/>
          <w:lang w:val="es-ES"/>
        </w:rPr>
        <w:t xml:space="preserve"> </w:t>
      </w:r>
      <w:r w:rsidRPr="0024729D">
        <w:rPr>
          <w:b/>
          <w:szCs w:val="24"/>
          <w:lang w:val="es-ES"/>
        </w:rPr>
        <w:t>aprueba</w:t>
      </w:r>
      <w:r w:rsidRPr="0024729D">
        <w:rPr>
          <w:szCs w:val="24"/>
          <w:lang w:val="es-ES"/>
        </w:rPr>
        <w:t xml:space="preserve"> en segunda lectura la octava serie de textos sometidos por la Comisión de Redacción (Documento 134).</w:t>
      </w:r>
    </w:p>
    <w:p w14:paraId="2C563C52" w14:textId="79C23C12" w:rsidR="00056C11" w:rsidRPr="0024729D" w:rsidRDefault="00056C11" w:rsidP="003A1072">
      <w:pPr>
        <w:pStyle w:val="Heading1"/>
        <w:rPr>
          <w:rStyle w:val="Strong"/>
          <w:rFonts w:asciiTheme="minorHAnsi" w:hAnsiTheme="minorHAnsi" w:cstheme="minorHAnsi"/>
          <w:sz w:val="26"/>
          <w:szCs w:val="26"/>
          <w:lang w:val="es-ES"/>
        </w:rPr>
      </w:pPr>
      <w:r w:rsidRPr="0024729D">
        <w:rPr>
          <w:lang w:val="es-ES"/>
        </w:rPr>
        <w:t>13</w:t>
      </w:r>
      <w:r w:rsidRPr="0024729D">
        <w:rPr>
          <w:lang w:val="es-ES"/>
        </w:rPr>
        <w:tab/>
        <w:t xml:space="preserve">Carta del </w:t>
      </w:r>
      <w:r w:rsidRPr="003A1072">
        <w:t>Gobierno</w:t>
      </w:r>
      <w:r w:rsidRPr="0024729D">
        <w:rPr>
          <w:lang w:val="es-ES"/>
        </w:rPr>
        <w:t xml:space="preserve"> de Tailandia relativa a la Conferencia Mundial de Desarrollo de las Telecomunicaciones de 2025 (CMDT-25) (Documento</w:t>
      </w:r>
      <w:r w:rsidRPr="0024729D">
        <w:rPr>
          <w:bCs/>
          <w:lang w:val="es-ES"/>
        </w:rPr>
        <w:t xml:space="preserve"> </w:t>
      </w:r>
      <w:hyperlink r:id="rId33" w:history="1">
        <w:r w:rsidRPr="0024729D">
          <w:rPr>
            <w:rStyle w:val="Hyperlink"/>
            <w:rFonts w:asciiTheme="minorHAnsi" w:eastAsiaTheme="minorHAnsi" w:hAnsiTheme="minorHAnsi" w:cstheme="minorBidi"/>
            <w:sz w:val="26"/>
            <w:szCs w:val="26"/>
            <w:lang w:val="es-ES"/>
          </w:rPr>
          <w:t>136</w:t>
        </w:r>
      </w:hyperlink>
      <w:r w:rsidRPr="0024729D">
        <w:rPr>
          <w:lang w:val="es-ES"/>
        </w:rPr>
        <w:t>)</w:t>
      </w:r>
    </w:p>
    <w:p w14:paraId="0354DE06" w14:textId="2E69D9CD" w:rsidR="00056C11" w:rsidRPr="00D61CEE" w:rsidRDefault="00056C11" w:rsidP="0024729D">
      <w:pPr>
        <w:rPr>
          <w:bCs/>
          <w:lang w:val="es-ES"/>
        </w:rPr>
      </w:pPr>
      <w:r w:rsidRPr="00D61CEE">
        <w:rPr>
          <w:bCs/>
          <w:lang w:val="es-ES"/>
        </w:rPr>
        <w:t>13.1</w:t>
      </w:r>
      <w:r w:rsidRPr="00D61CEE">
        <w:rPr>
          <w:bCs/>
          <w:lang w:val="es-ES"/>
        </w:rPr>
        <w:tab/>
        <w:t xml:space="preserve">El </w:t>
      </w:r>
      <w:r w:rsidRPr="00F76A8B">
        <w:rPr>
          <w:b/>
          <w:bCs/>
          <w:lang w:val="es-ES"/>
        </w:rPr>
        <w:t>delegado de Tailandia</w:t>
      </w:r>
      <w:r w:rsidRPr="00D61CEE">
        <w:rPr>
          <w:bCs/>
          <w:lang w:val="es-ES"/>
        </w:rPr>
        <w:t xml:space="preserve"> se complace en confirmar que su Gobierno desea acoger la próxima Conferencia Mundial de Desarrollo de las Telecomunicaciones (CMDT) en Bangkok en</w:t>
      </w:r>
      <w:r w:rsidR="008647C6" w:rsidRPr="00D61CEE">
        <w:rPr>
          <w:bCs/>
          <w:lang w:val="es-ES"/>
        </w:rPr>
        <w:t> </w:t>
      </w:r>
      <w:r w:rsidRPr="00D61CEE">
        <w:rPr>
          <w:bCs/>
          <w:lang w:val="es-ES"/>
        </w:rPr>
        <w:t xml:space="preserve">2025, y que </w:t>
      </w:r>
      <w:r w:rsidRPr="00D61CEE">
        <w:rPr>
          <w:bCs/>
          <w:lang w:val="es-ES"/>
        </w:rPr>
        <w:lastRenderedPageBreak/>
        <w:t>en el Documento 136 se recoge su interés preliminar en ese sentido. Como país en desarrollo en cuyas políticas la conectividad, la accesibilidad y la inclusión digital ocupan un lugar central, será un honor para Tailandia acoger ese evento.</w:t>
      </w:r>
    </w:p>
    <w:p w14:paraId="69D6438D" w14:textId="394693F6" w:rsidR="00056C11" w:rsidRPr="00D61CEE" w:rsidRDefault="00056C11" w:rsidP="0024729D">
      <w:pPr>
        <w:rPr>
          <w:bCs/>
          <w:lang w:val="es-ES"/>
        </w:rPr>
      </w:pPr>
      <w:r w:rsidRPr="00D61CEE">
        <w:rPr>
          <w:bCs/>
          <w:lang w:val="es-ES"/>
        </w:rPr>
        <w:t>13.2</w:t>
      </w:r>
      <w:r w:rsidRPr="00D61CEE">
        <w:rPr>
          <w:bCs/>
          <w:lang w:val="es-ES"/>
        </w:rPr>
        <w:tab/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Los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delegados de Rumania</w:t>
      </w:r>
      <w:r w:rsidR="004B3006" w:rsidRPr="004B3006">
        <w:rPr>
          <w:rFonts w:cs="Calibri"/>
          <w:color w:val="242424"/>
          <w:shd w:val="clear" w:color="auto" w:fill="FFFFFF"/>
          <w:lang w:val="es-ES"/>
        </w:rPr>
        <w:t>,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 xml:space="preserve"> Papua Nueva Guinea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, en nombre de la APT,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Canadá</w:t>
      </w:r>
      <w:r w:rsidR="004B3006" w:rsidRPr="004B3006">
        <w:rPr>
          <w:rFonts w:cs="Calibri"/>
          <w:color w:val="242424"/>
          <w:shd w:val="clear" w:color="auto" w:fill="FFFFFF"/>
          <w:lang w:val="es-ES"/>
        </w:rPr>
        <w:t>,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 xml:space="preserve"> Kirguistán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>,</w:t>
      </w:r>
      <w:r w:rsidR="00327182">
        <w:rPr>
          <w:rFonts w:cs="Calibri"/>
          <w:color w:val="242424"/>
          <w:shd w:val="clear" w:color="auto" w:fill="FFFFFF"/>
          <w:lang w:val="es-ES"/>
        </w:rPr>
        <w:t xml:space="preserve"> 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en nombre de Kazajstán y Uzbekistán,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Timor-Leste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,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Filipinas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,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República de Corea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,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Indonesia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,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Malasia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,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Kuwait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,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Japón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,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Estados Unidos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,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Francia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,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Emiratos Árabes Unidos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, en nombre del Grupo Árabe,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Azerbaiyán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,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Arabia Saudita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,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Brasil</w:t>
      </w:r>
      <w:r w:rsidR="00327182">
        <w:rPr>
          <w:rFonts w:cs="Calibri"/>
          <w:color w:val="242424"/>
          <w:shd w:val="clear" w:color="auto" w:fill="FFFFFF"/>
          <w:lang w:val="es-ES"/>
        </w:rPr>
        <w:t xml:space="preserve"> y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 la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Federación de Rusia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, </w:t>
      </w:r>
      <w:r w:rsidR="00327182">
        <w:rPr>
          <w:rFonts w:cs="Calibri"/>
          <w:color w:val="242424"/>
          <w:shd w:val="clear" w:color="auto" w:fill="FFFFFF"/>
          <w:lang w:val="es-ES"/>
        </w:rPr>
        <w:t>en calidad de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 coordinador regional del proceso preparatorio para la Conferencia</w:t>
      </w:r>
      <w:r w:rsidR="004B3006">
        <w:rPr>
          <w:rFonts w:cs="Calibri"/>
          <w:color w:val="242424"/>
          <w:shd w:val="clear" w:color="auto" w:fill="FFFFFF"/>
          <w:lang w:val="es-ES"/>
        </w:rPr>
        <w:t>,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Sudán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, en nombre de la región de África,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Sudáfrica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,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Gambia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,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Rwanda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 y </w:t>
      </w:r>
      <w:r w:rsidR="00327182" w:rsidRPr="00F76A8B">
        <w:rPr>
          <w:rFonts w:cs="Calibri"/>
          <w:b/>
          <w:color w:val="242424"/>
          <w:shd w:val="clear" w:color="auto" w:fill="FFFFFF"/>
          <w:lang w:val="es-ES"/>
        </w:rPr>
        <w:t>China</w:t>
      </w:r>
      <w:r w:rsidR="00327182">
        <w:rPr>
          <w:rFonts w:cs="Calibri"/>
          <w:color w:val="242424"/>
          <w:shd w:val="clear" w:color="auto" w:fill="FFFFFF"/>
          <w:lang w:val="es-ES"/>
        </w:rPr>
        <w:t>,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 agradecen a Tailandia su </w:t>
      </w:r>
      <w:r w:rsidR="00327182">
        <w:rPr>
          <w:rFonts w:cs="Calibri"/>
          <w:color w:val="242424"/>
          <w:shd w:val="clear" w:color="auto" w:fill="FFFFFF"/>
          <w:lang w:val="es-ES"/>
        </w:rPr>
        <w:t>amable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 invitación. Elogian el firme compromiso </w:t>
      </w:r>
      <w:r w:rsidR="00327182" w:rsidRPr="00F76A8B">
        <w:rPr>
          <w:rFonts w:cs="Calibri"/>
          <w:color w:val="242424"/>
          <w:shd w:val="clear" w:color="auto" w:fill="FFFFFF"/>
          <w:lang w:val="es-ES"/>
        </w:rPr>
        <w:t>de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 Tailandia con la UIT, su </w:t>
      </w:r>
      <w:r w:rsidR="00327182">
        <w:rPr>
          <w:rFonts w:cs="Calibri"/>
          <w:color w:val="242424"/>
          <w:shd w:val="clear" w:color="auto" w:fill="FFFFFF"/>
          <w:lang w:val="es-ES"/>
        </w:rPr>
        <w:t>gran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 hospitalidad y </w:t>
      </w:r>
      <w:r w:rsidR="00327182">
        <w:rPr>
          <w:rFonts w:cs="Calibri"/>
          <w:color w:val="242424"/>
          <w:shd w:val="clear" w:color="auto" w:fill="FFFFFF"/>
          <w:lang w:val="es-ES"/>
        </w:rPr>
        <w:t>su demostrada experiencia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 </w:t>
      </w:r>
      <w:r w:rsidR="00327182">
        <w:rPr>
          <w:rFonts w:cs="Calibri"/>
          <w:color w:val="242424"/>
          <w:shd w:val="clear" w:color="auto" w:fill="FFFFFF"/>
          <w:lang w:val="es-ES"/>
        </w:rPr>
        <w:t>en materia de organización de</w:t>
      </w:r>
      <w:r w:rsidR="00327182" w:rsidRPr="007472EF">
        <w:rPr>
          <w:rFonts w:cs="Calibri"/>
          <w:color w:val="242424"/>
          <w:shd w:val="clear" w:color="auto" w:fill="FFFFFF"/>
          <w:lang w:val="es-ES"/>
        </w:rPr>
        <w:t xml:space="preserve"> conferencias internacionales.</w:t>
      </w:r>
    </w:p>
    <w:p w14:paraId="5BEA5AFB" w14:textId="2345F0FE" w:rsidR="00056C11" w:rsidRPr="00D61CEE" w:rsidRDefault="00056C11" w:rsidP="0024729D">
      <w:pPr>
        <w:rPr>
          <w:rFonts w:asciiTheme="minorHAnsi" w:hAnsiTheme="minorHAnsi"/>
          <w:bCs/>
          <w:szCs w:val="24"/>
          <w:lang w:val="es-ES"/>
        </w:rPr>
      </w:pPr>
      <w:r w:rsidRPr="00D61CEE">
        <w:rPr>
          <w:bCs/>
          <w:lang w:val="es-ES"/>
        </w:rPr>
        <w:t>13.3</w:t>
      </w:r>
      <w:r w:rsidRPr="00D61CEE">
        <w:rPr>
          <w:bCs/>
          <w:lang w:val="es-ES"/>
        </w:rPr>
        <w:tab/>
        <w:t xml:space="preserve">El </w:t>
      </w:r>
      <w:r w:rsidRPr="00D61CEE">
        <w:rPr>
          <w:b/>
          <w:lang w:val="es-ES"/>
        </w:rPr>
        <w:t>Presidente</w:t>
      </w:r>
      <w:r w:rsidRPr="00D61CEE">
        <w:rPr>
          <w:bCs/>
          <w:lang w:val="es-ES"/>
        </w:rPr>
        <w:t xml:space="preserve"> toma nota del rotundo apoyo expresado a la muy generosa oferta de Tailandia. Considera que la Plenaria aprueba la propuesta de que la próxima CMDT se celebre en Bangkok (Tailandia) en 2025, y señala que esta información se incluirá en la revisión de la Resolución 77 (Rev. Dubái, 2018).</w:t>
      </w:r>
    </w:p>
    <w:p w14:paraId="48B12919" w14:textId="77777777" w:rsidR="00056C11" w:rsidRPr="0024729D" w:rsidRDefault="00056C11" w:rsidP="0024729D">
      <w:pPr>
        <w:rPr>
          <w:bCs/>
          <w:lang w:val="es-ES"/>
        </w:rPr>
      </w:pPr>
      <w:r w:rsidRPr="0024729D">
        <w:rPr>
          <w:bCs/>
          <w:lang w:val="es-ES"/>
        </w:rPr>
        <w:t>13.4</w:t>
      </w:r>
      <w:r w:rsidRPr="0024729D">
        <w:rPr>
          <w:bCs/>
          <w:lang w:val="es-ES"/>
        </w:rPr>
        <w:tab/>
        <w:t xml:space="preserve">Así </w:t>
      </w:r>
      <w:r w:rsidRPr="0024729D">
        <w:rPr>
          <w:b/>
          <w:lang w:val="es-ES"/>
        </w:rPr>
        <w:t>se acuerda</w:t>
      </w:r>
      <w:r w:rsidRPr="0024729D">
        <w:rPr>
          <w:bCs/>
          <w:lang w:val="es-ES"/>
        </w:rPr>
        <w:t xml:space="preserve">. </w:t>
      </w:r>
    </w:p>
    <w:p w14:paraId="4F827CB9" w14:textId="77777777" w:rsidR="00056C11" w:rsidRPr="00D61CEE" w:rsidRDefault="00056C11" w:rsidP="0024729D">
      <w:pPr>
        <w:rPr>
          <w:bCs/>
          <w:lang w:val="es-ES"/>
        </w:rPr>
      </w:pPr>
      <w:r w:rsidRPr="00D61CEE">
        <w:rPr>
          <w:bCs/>
          <w:lang w:val="es-ES"/>
        </w:rPr>
        <w:t>13.5</w:t>
      </w:r>
      <w:r w:rsidRPr="00D61CEE">
        <w:rPr>
          <w:bCs/>
          <w:lang w:val="es-ES"/>
        </w:rPr>
        <w:tab/>
        <w:t xml:space="preserve">El </w:t>
      </w:r>
      <w:r w:rsidRPr="00D61CEE">
        <w:rPr>
          <w:b/>
          <w:lang w:val="es-ES"/>
        </w:rPr>
        <w:t>Secretario General</w:t>
      </w:r>
      <w:r w:rsidRPr="00D61CEE">
        <w:rPr>
          <w:bCs/>
          <w:lang w:val="es-ES"/>
        </w:rPr>
        <w:t xml:space="preserve"> acoge con satisfacción la aceptación unánime por la Plenaria de la invitación de Tailandia para acoger la CMDT-25. No tiene ninguna duda de que Tailandia será un magnífico anfitrión, como lo fue con ocasión del ITU Telecom World en 2013 y 2016; los preparativos bilaterales para la CMDT-25 comenzarán en breve.</w:t>
      </w:r>
    </w:p>
    <w:p w14:paraId="5BF79A79" w14:textId="77777777" w:rsidR="00056C11" w:rsidRPr="0024729D" w:rsidRDefault="00056C11" w:rsidP="006D33BB">
      <w:pPr>
        <w:pStyle w:val="Heading1"/>
        <w:rPr>
          <w:lang w:val="es-ES"/>
        </w:rPr>
      </w:pPr>
      <w:r w:rsidRPr="0024729D">
        <w:rPr>
          <w:lang w:val="es-ES"/>
        </w:rPr>
        <w:t>14</w:t>
      </w:r>
      <w:r w:rsidRPr="0024729D">
        <w:rPr>
          <w:lang w:val="es-ES"/>
        </w:rPr>
        <w:tab/>
        <w:t xml:space="preserve">Entrega de </w:t>
      </w:r>
      <w:r w:rsidRPr="006D33BB">
        <w:t>certificados</w:t>
      </w:r>
      <w:r w:rsidRPr="0024729D">
        <w:rPr>
          <w:lang w:val="es-ES"/>
        </w:rPr>
        <w:t xml:space="preserve"> de reconocimiento</w:t>
      </w:r>
    </w:p>
    <w:p w14:paraId="44EE08EC" w14:textId="1B556BA4" w:rsidR="00056C11" w:rsidRPr="0024729D" w:rsidRDefault="00056C11" w:rsidP="0024729D">
      <w:pPr>
        <w:rPr>
          <w:rFonts w:asciiTheme="minorHAnsi" w:hAnsiTheme="minorHAnsi" w:cstheme="minorBidi"/>
          <w:szCs w:val="24"/>
          <w:lang w:val="es-ES"/>
        </w:rPr>
      </w:pPr>
      <w:r w:rsidRPr="0024729D">
        <w:rPr>
          <w:rFonts w:asciiTheme="minorHAnsi" w:hAnsiTheme="minorHAnsi"/>
          <w:szCs w:val="24"/>
          <w:lang w:val="es-ES"/>
        </w:rPr>
        <w:t>14.1</w:t>
      </w:r>
      <w:r w:rsidRPr="0024729D">
        <w:rPr>
          <w:rFonts w:asciiTheme="minorHAnsi" w:hAnsiTheme="minorHAnsi"/>
          <w:szCs w:val="24"/>
          <w:lang w:val="es-ES"/>
        </w:rPr>
        <w:tab/>
        <w:t xml:space="preserve">El </w:t>
      </w:r>
      <w:r w:rsidRPr="0024729D">
        <w:rPr>
          <w:rFonts w:asciiTheme="minorHAnsi" w:hAnsiTheme="minorHAnsi"/>
          <w:b/>
          <w:szCs w:val="24"/>
          <w:lang w:val="es-ES"/>
        </w:rPr>
        <w:t>Secretario General</w:t>
      </w:r>
      <w:r w:rsidRPr="0024729D">
        <w:rPr>
          <w:rFonts w:asciiTheme="minorHAnsi" w:hAnsiTheme="minorHAnsi"/>
          <w:szCs w:val="24"/>
          <w:lang w:val="es-ES"/>
        </w:rPr>
        <w:t xml:space="preserve"> entrega certificados de reconocimiento a los siguientes coordinadores regionales presentes en la Conferencia por su duro trabajo y dedicación en la preparación de la PP</w:t>
      </w:r>
      <w:r w:rsidR="00FE01A7">
        <w:rPr>
          <w:rFonts w:asciiTheme="minorHAnsi" w:hAnsiTheme="minorHAnsi"/>
          <w:szCs w:val="24"/>
          <w:lang w:val="es-ES"/>
        </w:rPr>
        <w:noBreakHyphen/>
      </w:r>
      <w:r w:rsidRPr="0024729D">
        <w:rPr>
          <w:rFonts w:asciiTheme="minorHAnsi" w:hAnsiTheme="minorHAnsi"/>
          <w:szCs w:val="24"/>
          <w:lang w:val="es-ES"/>
        </w:rPr>
        <w:t>22: Sr. John Omo, Secretario General de la UTA (región de África); Sr. Santiago Reyes-Borda, Canadá (región de las Américas); Sr. Tariq Al-Awadhi, Emiratos Árabes Unidos, y en nombre de la Liga de los Estados Árabes (región de los Estados Árabes); Sra. Caroline Greenway, Papua Nueva Guinea, y Sr. Masanori Kondo, Secretario General de la APT (región de Asia-Pacífico); Sr. Alexey Borodin, Federación de Rusia, y Sr. Nurudin Mukhitdinov, Director General de la RCC (región de la CEI); Sra. Cristiana Flutur, Rumania, CEPT (región de Europa). El Sr. Oscar León, Secretario Ejecutivo (CITEL) recibirá su certificado lo antes posible. El Secretario General expresa también su especial agradecimiento a la Sra. Reyam El Mayet (Coordinadora, Liga de los Estados Árabes), y al Sr.</w:t>
      </w:r>
      <w:r w:rsidR="00FE01A7">
        <w:rPr>
          <w:rFonts w:asciiTheme="minorHAnsi" w:hAnsiTheme="minorHAnsi"/>
          <w:szCs w:val="24"/>
          <w:lang w:val="es-ES"/>
        </w:rPr>
        <w:t> </w:t>
      </w:r>
      <w:r w:rsidRPr="0024729D">
        <w:rPr>
          <w:rFonts w:asciiTheme="minorHAnsi" w:hAnsiTheme="minorHAnsi"/>
          <w:szCs w:val="24"/>
          <w:lang w:val="es-ES"/>
        </w:rPr>
        <w:t>Wojciech Berezowski, Polonia, y el Sr. Oli Bird, Reino Unido (CEPT).</w:t>
      </w:r>
    </w:p>
    <w:p w14:paraId="7AD90DF6" w14:textId="77777777" w:rsidR="00056C11" w:rsidRPr="0024729D" w:rsidRDefault="00056C11" w:rsidP="0024729D">
      <w:pPr>
        <w:snapToGrid w:val="0"/>
        <w:spacing w:before="360" w:after="120"/>
        <w:rPr>
          <w:b/>
          <w:szCs w:val="24"/>
          <w:lang w:val="es-ES"/>
        </w:rPr>
      </w:pPr>
      <w:r w:rsidRPr="0024729D">
        <w:rPr>
          <w:b/>
          <w:szCs w:val="24"/>
          <w:lang w:val="es-ES"/>
        </w:rPr>
        <w:t>Se levanta la sesión a las 17.00 horas.</w:t>
      </w:r>
    </w:p>
    <w:p w14:paraId="49A7AA10" w14:textId="5D06B245" w:rsidR="00056C11" w:rsidRDefault="00056C11" w:rsidP="00DE699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napToGrid w:val="0"/>
        <w:spacing w:before="600"/>
        <w:rPr>
          <w:szCs w:val="24"/>
          <w:lang w:val="es-ES"/>
        </w:rPr>
      </w:pPr>
      <w:r w:rsidRPr="0024729D">
        <w:rPr>
          <w:szCs w:val="24"/>
          <w:lang w:val="es-ES"/>
        </w:rPr>
        <w:t>El Secretario General:</w:t>
      </w:r>
      <w:r w:rsidRPr="0024729D">
        <w:rPr>
          <w:szCs w:val="24"/>
          <w:lang w:val="es-ES"/>
        </w:rPr>
        <w:tab/>
        <w:t>El Presidente:</w:t>
      </w:r>
      <w:r w:rsidR="00DE6998">
        <w:rPr>
          <w:szCs w:val="24"/>
          <w:lang w:val="es-ES"/>
        </w:rPr>
        <w:br/>
      </w:r>
      <w:r w:rsidRPr="0024729D">
        <w:rPr>
          <w:szCs w:val="24"/>
          <w:lang w:val="es-ES"/>
        </w:rPr>
        <w:t>H. ZHAO</w:t>
      </w:r>
      <w:r w:rsidRPr="0024729D">
        <w:rPr>
          <w:szCs w:val="24"/>
          <w:lang w:val="es-ES"/>
        </w:rPr>
        <w:tab/>
        <w:t>S. SĂRMAŞ</w:t>
      </w:r>
    </w:p>
    <w:p w14:paraId="2D146BB4" w14:textId="77777777" w:rsidR="006D33BB" w:rsidRDefault="006D33BB" w:rsidP="00411C49">
      <w:pPr>
        <w:pStyle w:val="Reasons"/>
      </w:pPr>
      <w:bookmarkStart w:id="8" w:name="_GoBack"/>
      <w:bookmarkEnd w:id="8"/>
    </w:p>
    <w:p w14:paraId="64F1D8BB" w14:textId="2F7EAC41" w:rsidR="006D33BB" w:rsidRPr="006D33BB" w:rsidRDefault="006D33BB" w:rsidP="006D33BB">
      <w:pPr>
        <w:jc w:val="center"/>
      </w:pPr>
      <w:r>
        <w:t>______________</w:t>
      </w:r>
    </w:p>
    <w:sectPr w:rsidR="006D33BB" w:rsidRPr="006D33BB" w:rsidSect="00A70E95">
      <w:headerReference w:type="default" r:id="rId34"/>
      <w:footerReference w:type="default" r:id="rId35"/>
      <w:footerReference w:type="first" r:id="rId3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70F57" w14:textId="77777777" w:rsidR="00C84A65" w:rsidRDefault="00C84A65">
      <w:r>
        <w:separator/>
      </w:r>
    </w:p>
  </w:endnote>
  <w:endnote w:type="continuationSeparator" w:id="0">
    <w:p w14:paraId="7115444A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BA887" w14:textId="74A83B58" w:rsidR="00056C11" w:rsidRPr="00F76A8B" w:rsidRDefault="00327182" w:rsidP="00056C11">
    <w:pPr>
      <w:pStyle w:val="Footer"/>
      <w:rPr>
        <w:lang w:val="en-US"/>
      </w:rPr>
    </w:pPr>
    <w:r>
      <w:fldChar w:fldCharType="begin"/>
    </w:r>
    <w:r w:rsidRPr="00F76A8B">
      <w:rPr>
        <w:lang w:val="en-US"/>
      </w:rPr>
      <w:instrText xml:space="preserve"> FILENAME \p  \* MERGEFORMAT </w:instrText>
    </w:r>
    <w:r>
      <w:fldChar w:fldCharType="separate"/>
    </w:r>
    <w:r w:rsidR="00F76A8B">
      <w:rPr>
        <w:lang w:val="en-US"/>
      </w:rPr>
      <w:t>P:\ESP\SG\CONF-SG\PP22\100\168V2S.docx</w:t>
    </w:r>
    <w:r>
      <w:fldChar w:fldCharType="end"/>
    </w:r>
    <w:r w:rsidR="00056C11" w:rsidRPr="00F76A8B">
      <w:rPr>
        <w:lang w:val="en-US"/>
      </w:rPr>
      <w:t xml:space="preserve"> (514304)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2AD01" w14:textId="5441254E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593EDA9" w14:textId="47C8C446"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2352C" w14:textId="77777777" w:rsidR="00C84A65" w:rsidRDefault="00C84A65">
      <w:r>
        <w:t>____________________</w:t>
      </w:r>
    </w:p>
  </w:footnote>
  <w:footnote w:type="continuationSeparator" w:id="0">
    <w:p w14:paraId="43F5DD3A" w14:textId="77777777" w:rsidR="00C84A65" w:rsidRDefault="00C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964C7" w14:textId="20031ADD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76A8B">
      <w:rPr>
        <w:noProof/>
      </w:rPr>
      <w:t>5</w:t>
    </w:r>
    <w:r>
      <w:fldChar w:fldCharType="end"/>
    </w:r>
  </w:p>
  <w:p w14:paraId="6D6C2C56" w14:textId="0A630E0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056C11">
      <w:t>168</w:t>
    </w:r>
    <w:r w:rsidR="009A443B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E0"/>
    <w:rsid w:val="0000188C"/>
    <w:rsid w:val="000507CA"/>
    <w:rsid w:val="00056C11"/>
    <w:rsid w:val="000863AB"/>
    <w:rsid w:val="000A1523"/>
    <w:rsid w:val="000A194B"/>
    <w:rsid w:val="000B1752"/>
    <w:rsid w:val="0010546D"/>
    <w:rsid w:val="001253BF"/>
    <w:rsid w:val="00135F93"/>
    <w:rsid w:val="001632E3"/>
    <w:rsid w:val="001D4983"/>
    <w:rsid w:val="001D6C5D"/>
    <w:rsid w:val="001D6EC3"/>
    <w:rsid w:val="001D787B"/>
    <w:rsid w:val="001E3D06"/>
    <w:rsid w:val="0020782F"/>
    <w:rsid w:val="00225F6B"/>
    <w:rsid w:val="00237C17"/>
    <w:rsid w:val="00242376"/>
    <w:rsid w:val="0024729D"/>
    <w:rsid w:val="00255FA1"/>
    <w:rsid w:val="00262FF4"/>
    <w:rsid w:val="002C6527"/>
    <w:rsid w:val="002E44FC"/>
    <w:rsid w:val="00327182"/>
    <w:rsid w:val="00343EEA"/>
    <w:rsid w:val="003707E5"/>
    <w:rsid w:val="00375610"/>
    <w:rsid w:val="00391611"/>
    <w:rsid w:val="003A1072"/>
    <w:rsid w:val="003D0027"/>
    <w:rsid w:val="003E6E73"/>
    <w:rsid w:val="00441EFC"/>
    <w:rsid w:val="00484B72"/>
    <w:rsid w:val="00491A25"/>
    <w:rsid w:val="004A346E"/>
    <w:rsid w:val="004A63A9"/>
    <w:rsid w:val="004B07DB"/>
    <w:rsid w:val="004B09D4"/>
    <w:rsid w:val="004B0BCB"/>
    <w:rsid w:val="004B3006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5D3"/>
    <w:rsid w:val="006C190D"/>
    <w:rsid w:val="006D33BB"/>
    <w:rsid w:val="00720686"/>
    <w:rsid w:val="00737EFF"/>
    <w:rsid w:val="00750806"/>
    <w:rsid w:val="007875D2"/>
    <w:rsid w:val="007B5F8D"/>
    <w:rsid w:val="007D61E2"/>
    <w:rsid w:val="007F6EBC"/>
    <w:rsid w:val="008354D8"/>
    <w:rsid w:val="008647C6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30A0"/>
    <w:rsid w:val="009A443B"/>
    <w:rsid w:val="009D1BE0"/>
    <w:rsid w:val="009E0C42"/>
    <w:rsid w:val="00A6396F"/>
    <w:rsid w:val="00A70E95"/>
    <w:rsid w:val="00AA1F73"/>
    <w:rsid w:val="00AA474F"/>
    <w:rsid w:val="00AB34CA"/>
    <w:rsid w:val="00AD400E"/>
    <w:rsid w:val="00AF0DC5"/>
    <w:rsid w:val="00B012B7"/>
    <w:rsid w:val="00B30C52"/>
    <w:rsid w:val="00B46EE3"/>
    <w:rsid w:val="00B501AB"/>
    <w:rsid w:val="00B73978"/>
    <w:rsid w:val="00B77C4D"/>
    <w:rsid w:val="00B82236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D61CEE"/>
    <w:rsid w:val="00D7704D"/>
    <w:rsid w:val="00DE6998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13AA4"/>
    <w:rsid w:val="00F3510D"/>
    <w:rsid w:val="00F43C07"/>
    <w:rsid w:val="00F43D44"/>
    <w:rsid w:val="00F76A8B"/>
    <w:rsid w:val="00F80E6E"/>
    <w:rsid w:val="00FD7A16"/>
    <w:rsid w:val="00FE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styleId="Strong">
    <w:name w:val="Strong"/>
    <w:basedOn w:val="DefaultParagraphFont"/>
    <w:uiPriority w:val="22"/>
    <w:qFormat/>
    <w:rsid w:val="00441EFC"/>
    <w:rPr>
      <w:b/>
      <w:bCs/>
    </w:rPr>
  </w:style>
  <w:style w:type="paragraph" w:styleId="ListParagraph">
    <w:name w:val="List Paragraph"/>
    <w:basedOn w:val="Normal"/>
    <w:uiPriority w:val="34"/>
    <w:qFormat/>
    <w:rsid w:val="00056C11"/>
    <w:pPr>
      <w:ind w:left="720"/>
      <w:contextualSpacing/>
      <w:textAlignment w:val="auto"/>
    </w:pPr>
    <w:rPr>
      <w:rFonts w:eastAsia="SimSun"/>
      <w:lang w:val="en-GB"/>
    </w:rPr>
  </w:style>
  <w:style w:type="paragraph" w:styleId="Title">
    <w:name w:val="Title"/>
    <w:basedOn w:val="Normal"/>
    <w:link w:val="TitleChar"/>
    <w:qFormat/>
    <w:rsid w:val="00056C1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bCs/>
      <w:sz w:val="2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56C11"/>
    <w:rPr>
      <w:rFonts w:ascii="Arial" w:hAnsi="Arial"/>
      <w:b/>
      <w:bCs/>
      <w:sz w:val="22"/>
      <w:szCs w:val="24"/>
      <w:lang w:eastAsia="en-US"/>
    </w:rPr>
  </w:style>
  <w:style w:type="paragraph" w:customStyle="1" w:styleId="pf0">
    <w:name w:val="pf0"/>
    <w:basedOn w:val="Normal"/>
    <w:rsid w:val="00056C1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en-GB"/>
    </w:rPr>
  </w:style>
  <w:style w:type="character" w:customStyle="1" w:styleId="cf01">
    <w:name w:val="cf01"/>
    <w:basedOn w:val="DefaultParagraphFont"/>
    <w:rsid w:val="00056C11"/>
    <w:rPr>
      <w:rFonts w:ascii="Segoe UI" w:hAnsi="Segoe UI" w:cs="Segoe UI" w:hint="default"/>
      <w:b/>
      <w:bCs/>
      <w:sz w:val="18"/>
      <w:szCs w:val="18"/>
    </w:rPr>
  </w:style>
  <w:style w:type="paragraph" w:styleId="Revision">
    <w:name w:val="Revision"/>
    <w:hidden/>
    <w:uiPriority w:val="99"/>
    <w:semiHidden/>
    <w:rsid w:val="0024729D"/>
    <w:rPr>
      <w:rFonts w:ascii="Calibri" w:hAnsi="Calibri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9A3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PP-C-0129/es" TargetMode="External"/><Relationship Id="rId18" Type="http://schemas.openxmlformats.org/officeDocument/2006/relationships/hyperlink" Target="https://www.itu.int/md/S22-PP-C-0134/es" TargetMode="External"/><Relationship Id="rId26" Type="http://schemas.openxmlformats.org/officeDocument/2006/relationships/hyperlink" Target="https://www.itu.int/md/S22-PP-C-0129/es" TargetMode="External"/><Relationship Id="rId21" Type="http://schemas.openxmlformats.org/officeDocument/2006/relationships/hyperlink" Target="https://www.itu.int/md/S22-PP-C-0078/es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2-PP-C-0129/es" TargetMode="External"/><Relationship Id="rId17" Type="http://schemas.openxmlformats.org/officeDocument/2006/relationships/hyperlink" Target="https://www.itu.int/md/S22-PP-C-0133/es" TargetMode="External"/><Relationship Id="rId25" Type="http://schemas.openxmlformats.org/officeDocument/2006/relationships/hyperlink" Target="https://www.itu.int/md/S22-PP-C-0129/es" TargetMode="External"/><Relationship Id="rId33" Type="http://schemas.openxmlformats.org/officeDocument/2006/relationships/hyperlink" Target="https://www.itu.int/md/S22-PP-C-0136/es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S22-PP-C-0133/es" TargetMode="External"/><Relationship Id="rId20" Type="http://schemas.openxmlformats.org/officeDocument/2006/relationships/hyperlink" Target="https://www.itu.int/md/S22-PP-C-0136/es" TargetMode="External"/><Relationship Id="rId29" Type="http://schemas.openxmlformats.org/officeDocument/2006/relationships/hyperlink" Target="https://www.itu.int/md/S22-PP-C-0133/es" TargetMode="Externa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PP-C-0128/es" TargetMode="External"/><Relationship Id="rId24" Type="http://schemas.openxmlformats.org/officeDocument/2006/relationships/hyperlink" Target="https://www.itu.int/md/S22-PP-C-0128/es" TargetMode="External"/><Relationship Id="rId32" Type="http://schemas.openxmlformats.org/officeDocument/2006/relationships/hyperlink" Target="https://www.itu.int/md/S22-PP-C-0134/es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2-PP-C-0130/es" TargetMode="External"/><Relationship Id="rId23" Type="http://schemas.openxmlformats.org/officeDocument/2006/relationships/hyperlink" Target="https://www.itu.int/md/S22-PP-C-0128/es" TargetMode="External"/><Relationship Id="rId28" Type="http://schemas.openxmlformats.org/officeDocument/2006/relationships/hyperlink" Target="https://www.itu.int/md/S22-PP-C-0130/es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itu.int/md/S22-PP-C-0128/es" TargetMode="External"/><Relationship Id="rId19" Type="http://schemas.openxmlformats.org/officeDocument/2006/relationships/hyperlink" Target="https://www.itu.int/md/S22-PP-C-0134/es" TargetMode="External"/><Relationship Id="rId31" Type="http://schemas.openxmlformats.org/officeDocument/2006/relationships/hyperlink" Target="https://www.itu.int/md/S22-PP-C-0134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PP-C-0126/es" TargetMode="External"/><Relationship Id="rId14" Type="http://schemas.openxmlformats.org/officeDocument/2006/relationships/hyperlink" Target="https://www.itu.int/md/S22-PP-C-0130/es" TargetMode="External"/><Relationship Id="rId22" Type="http://schemas.openxmlformats.org/officeDocument/2006/relationships/hyperlink" Target="https://www.itu.int/md/S22-PP-C-0126/es" TargetMode="External"/><Relationship Id="rId27" Type="http://schemas.openxmlformats.org/officeDocument/2006/relationships/hyperlink" Target="https://www.itu.int/md/S22-PP-C-0130/es" TargetMode="External"/><Relationship Id="rId30" Type="http://schemas.openxmlformats.org/officeDocument/2006/relationships/hyperlink" Target="https://www.itu.int/md/S22-PP-C-0133/es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itu.int/md/S22-PP-C-0078/e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1725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12345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/>
  <dc:description/>
  <cp:lastModifiedBy>Spanish</cp:lastModifiedBy>
  <cp:revision>5</cp:revision>
  <dcterms:created xsi:type="dcterms:W3CDTF">2022-10-12T16:00:00Z</dcterms:created>
  <dcterms:modified xsi:type="dcterms:W3CDTF">2022-10-12T16:11:00Z</dcterms:modified>
  <cp:category>Conference document</cp:category>
</cp:coreProperties>
</file>