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BD13D9" w14:paraId="4484B0C5" w14:textId="77777777" w:rsidTr="006359EF">
        <w:trPr>
          <w:cantSplit/>
          <w:jc w:val="center"/>
        </w:trPr>
        <w:tc>
          <w:tcPr>
            <w:tcW w:w="6911" w:type="dxa"/>
          </w:tcPr>
          <w:p w14:paraId="706F5501" w14:textId="3E73A757" w:rsidR="00BD1614" w:rsidRPr="00BD13D9" w:rsidRDefault="00BD1614" w:rsidP="0056155E">
            <w:pPr>
              <w:rPr>
                <w:b/>
                <w:bCs/>
                <w:position w:val="6"/>
                <w:szCs w:val="24"/>
              </w:rPr>
            </w:pPr>
            <w:bookmarkStart w:id="0" w:name="dbreak"/>
            <w:bookmarkStart w:id="1" w:name="dpp"/>
            <w:bookmarkEnd w:id="0"/>
            <w:bookmarkEnd w:id="1"/>
            <w:r w:rsidRPr="00BD13D9">
              <w:rPr>
                <w:rFonts w:cs="Times"/>
                <w:b/>
                <w:sz w:val="30"/>
                <w:szCs w:val="30"/>
              </w:rPr>
              <w:t>Conférence de plénipotentiaires</w:t>
            </w:r>
            <w:r w:rsidRPr="00BD13D9">
              <w:rPr>
                <w:b/>
                <w:smallCaps/>
                <w:sz w:val="30"/>
                <w:szCs w:val="30"/>
              </w:rPr>
              <w:t xml:space="preserve"> (PP-</w:t>
            </w:r>
            <w:r w:rsidR="002A7A1D" w:rsidRPr="00BD13D9">
              <w:rPr>
                <w:b/>
                <w:smallCaps/>
                <w:sz w:val="30"/>
                <w:szCs w:val="30"/>
              </w:rPr>
              <w:t>22</w:t>
            </w:r>
            <w:r w:rsidRPr="00BD13D9">
              <w:rPr>
                <w:b/>
                <w:smallCaps/>
                <w:sz w:val="30"/>
                <w:szCs w:val="30"/>
              </w:rPr>
              <w:t>)</w:t>
            </w:r>
            <w:r w:rsidRPr="00BD13D9">
              <w:rPr>
                <w:b/>
                <w:smallCaps/>
                <w:sz w:val="36"/>
              </w:rPr>
              <w:br/>
            </w:r>
            <w:r w:rsidR="002A7A1D" w:rsidRPr="00BD13D9">
              <w:rPr>
                <w:rFonts w:cs="Times New Roman Bold"/>
                <w:b/>
                <w:bCs/>
                <w:szCs w:val="24"/>
              </w:rPr>
              <w:t>Bucarest</w:t>
            </w:r>
            <w:r w:rsidRPr="00BD13D9">
              <w:rPr>
                <w:rFonts w:cs="Times New Roman Bold"/>
                <w:b/>
                <w:bCs/>
                <w:szCs w:val="24"/>
              </w:rPr>
              <w:t>, 2</w:t>
            </w:r>
            <w:r w:rsidR="002A7A1D" w:rsidRPr="00BD13D9">
              <w:rPr>
                <w:rFonts w:cs="Times New Roman Bold"/>
                <w:b/>
                <w:bCs/>
                <w:szCs w:val="24"/>
              </w:rPr>
              <w:t>6</w:t>
            </w:r>
            <w:r w:rsidRPr="00BD13D9">
              <w:rPr>
                <w:rFonts w:cs="Times New Roman Bold"/>
                <w:b/>
                <w:bCs/>
                <w:szCs w:val="24"/>
              </w:rPr>
              <w:t xml:space="preserve"> </w:t>
            </w:r>
            <w:r w:rsidR="002A7A1D" w:rsidRPr="00BD13D9">
              <w:rPr>
                <w:rFonts w:cs="Times New Roman Bold"/>
                <w:b/>
                <w:bCs/>
                <w:szCs w:val="24"/>
              </w:rPr>
              <w:t>septembre</w:t>
            </w:r>
            <w:r w:rsidRPr="00BD13D9">
              <w:rPr>
                <w:rFonts w:cs="Times New Roman Bold"/>
                <w:b/>
                <w:bCs/>
                <w:szCs w:val="24"/>
              </w:rPr>
              <w:t xml:space="preserve"> </w:t>
            </w:r>
            <w:r w:rsidR="001E2226" w:rsidRPr="00BD13D9">
              <w:rPr>
                <w:rFonts w:cs="Times New Roman Bold"/>
                <w:b/>
                <w:bCs/>
                <w:szCs w:val="24"/>
              </w:rPr>
              <w:t>–</w:t>
            </w:r>
            <w:r w:rsidRPr="00BD13D9">
              <w:rPr>
                <w:rFonts w:cs="Times New Roman Bold"/>
                <w:b/>
                <w:bCs/>
                <w:szCs w:val="24"/>
              </w:rPr>
              <w:t xml:space="preserve"> </w:t>
            </w:r>
            <w:r w:rsidR="001E2226" w:rsidRPr="00BD13D9">
              <w:rPr>
                <w:rFonts w:cs="Times New Roman Bold"/>
                <w:b/>
                <w:bCs/>
                <w:szCs w:val="24"/>
              </w:rPr>
              <w:t>1</w:t>
            </w:r>
            <w:r w:rsidR="002A7A1D" w:rsidRPr="00BD13D9">
              <w:rPr>
                <w:rFonts w:cs="Times New Roman Bold"/>
                <w:b/>
                <w:bCs/>
                <w:szCs w:val="24"/>
              </w:rPr>
              <w:t>4</w:t>
            </w:r>
            <w:r w:rsidRPr="00BD13D9">
              <w:rPr>
                <w:rFonts w:cs="Times New Roman Bold"/>
                <w:b/>
                <w:bCs/>
                <w:szCs w:val="24"/>
              </w:rPr>
              <w:t xml:space="preserve"> </w:t>
            </w:r>
            <w:r w:rsidR="002A7A1D" w:rsidRPr="00BD13D9">
              <w:rPr>
                <w:rFonts w:cs="Times New Roman Bold"/>
                <w:b/>
                <w:bCs/>
                <w:szCs w:val="24"/>
              </w:rPr>
              <w:t>octobre</w:t>
            </w:r>
            <w:r w:rsidRPr="00BD13D9">
              <w:rPr>
                <w:rFonts w:cs="Times New Roman Bold"/>
                <w:b/>
                <w:bCs/>
                <w:szCs w:val="24"/>
              </w:rPr>
              <w:t xml:space="preserve"> 20</w:t>
            </w:r>
            <w:r w:rsidR="002A7A1D" w:rsidRPr="00BD13D9">
              <w:rPr>
                <w:rFonts w:cs="Times New Roman Bold"/>
                <w:b/>
                <w:bCs/>
                <w:szCs w:val="24"/>
              </w:rPr>
              <w:t>22</w:t>
            </w:r>
          </w:p>
        </w:tc>
        <w:tc>
          <w:tcPr>
            <w:tcW w:w="3120" w:type="dxa"/>
          </w:tcPr>
          <w:p w14:paraId="7A1CF8E0" w14:textId="6FB7D25A" w:rsidR="00BD1614" w:rsidRPr="00BD13D9" w:rsidRDefault="002A7A1D" w:rsidP="0056155E">
            <w:pPr>
              <w:spacing w:before="0"/>
              <w:rPr>
                <w:rFonts w:cstheme="minorHAnsi"/>
              </w:rPr>
            </w:pPr>
            <w:bookmarkStart w:id="2" w:name="ditulogo"/>
            <w:bookmarkEnd w:id="2"/>
            <w:r w:rsidRPr="00BD13D9">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BD13D9" w14:paraId="3120A8D9" w14:textId="77777777" w:rsidTr="006359EF">
        <w:trPr>
          <w:cantSplit/>
          <w:jc w:val="center"/>
        </w:trPr>
        <w:tc>
          <w:tcPr>
            <w:tcW w:w="6911" w:type="dxa"/>
            <w:tcBorders>
              <w:bottom w:val="single" w:sz="12" w:space="0" w:color="auto"/>
            </w:tcBorders>
          </w:tcPr>
          <w:p w14:paraId="317E5819" w14:textId="77777777" w:rsidR="00BD1614" w:rsidRPr="00BD13D9" w:rsidRDefault="00BD1614" w:rsidP="0056155E">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BD13D9" w:rsidRDefault="00BD1614" w:rsidP="0056155E">
            <w:pPr>
              <w:spacing w:before="0" w:after="48"/>
              <w:rPr>
                <w:rFonts w:cstheme="minorHAnsi"/>
                <w:b/>
                <w:smallCaps/>
                <w:szCs w:val="24"/>
              </w:rPr>
            </w:pPr>
          </w:p>
        </w:tc>
      </w:tr>
      <w:tr w:rsidR="00BD1614" w:rsidRPr="00BD13D9" w14:paraId="20A2296F" w14:textId="77777777" w:rsidTr="006359EF">
        <w:trPr>
          <w:cantSplit/>
          <w:jc w:val="center"/>
        </w:trPr>
        <w:tc>
          <w:tcPr>
            <w:tcW w:w="6911" w:type="dxa"/>
            <w:tcBorders>
              <w:top w:val="single" w:sz="12" w:space="0" w:color="auto"/>
            </w:tcBorders>
          </w:tcPr>
          <w:p w14:paraId="4CFA6027" w14:textId="77777777" w:rsidR="00BD1614" w:rsidRPr="00BD13D9" w:rsidRDefault="00BD1614" w:rsidP="0056155E">
            <w:pPr>
              <w:spacing w:before="0"/>
              <w:rPr>
                <w:rFonts w:cstheme="minorHAnsi"/>
                <w:b/>
                <w:smallCaps/>
                <w:szCs w:val="24"/>
              </w:rPr>
            </w:pPr>
          </w:p>
        </w:tc>
        <w:tc>
          <w:tcPr>
            <w:tcW w:w="3120" w:type="dxa"/>
            <w:tcBorders>
              <w:top w:val="single" w:sz="12" w:space="0" w:color="auto"/>
            </w:tcBorders>
          </w:tcPr>
          <w:p w14:paraId="3C479168" w14:textId="77777777" w:rsidR="00BD1614" w:rsidRPr="00BD13D9" w:rsidRDefault="00BD1614" w:rsidP="0056155E">
            <w:pPr>
              <w:spacing w:before="0"/>
              <w:rPr>
                <w:rFonts w:cstheme="minorHAnsi"/>
                <w:szCs w:val="24"/>
              </w:rPr>
            </w:pPr>
          </w:p>
        </w:tc>
      </w:tr>
      <w:tr w:rsidR="00BD1614" w:rsidRPr="00BD13D9" w14:paraId="5EBA9561" w14:textId="77777777" w:rsidTr="006359EF">
        <w:trPr>
          <w:cantSplit/>
          <w:jc w:val="center"/>
        </w:trPr>
        <w:tc>
          <w:tcPr>
            <w:tcW w:w="6911" w:type="dxa"/>
          </w:tcPr>
          <w:p w14:paraId="081C5B53" w14:textId="5ADEACCC" w:rsidR="00BD1614" w:rsidRPr="00BD13D9" w:rsidRDefault="00420EF8" w:rsidP="0056155E">
            <w:pPr>
              <w:pStyle w:val="Committee"/>
              <w:framePr w:hSpace="0" w:wrap="auto" w:hAnchor="text" w:yAlign="inline"/>
              <w:spacing w:after="0" w:line="240" w:lineRule="auto"/>
              <w:rPr>
                <w:lang w:val="fr-FR"/>
              </w:rPr>
            </w:pPr>
            <w:r w:rsidRPr="00BD13D9">
              <w:rPr>
                <w:lang w:val="fr-FR"/>
              </w:rPr>
              <w:t>SÉANCE PLÉNIÈRE</w:t>
            </w:r>
          </w:p>
        </w:tc>
        <w:tc>
          <w:tcPr>
            <w:tcW w:w="3120" w:type="dxa"/>
          </w:tcPr>
          <w:p w14:paraId="42E82404" w14:textId="4ED8AA68" w:rsidR="00BD1614" w:rsidRPr="00BD13D9" w:rsidRDefault="00420EF8" w:rsidP="0056155E">
            <w:pPr>
              <w:spacing w:before="0"/>
              <w:rPr>
                <w:rFonts w:cstheme="minorHAnsi"/>
                <w:szCs w:val="24"/>
              </w:rPr>
            </w:pPr>
            <w:r w:rsidRPr="00BD13D9">
              <w:rPr>
                <w:rFonts w:cstheme="minorHAnsi"/>
                <w:b/>
                <w:szCs w:val="24"/>
              </w:rPr>
              <w:t xml:space="preserve">Document </w:t>
            </w:r>
            <w:r w:rsidR="00994348" w:rsidRPr="00BD13D9">
              <w:rPr>
                <w:rFonts w:cstheme="minorHAnsi"/>
                <w:b/>
                <w:szCs w:val="24"/>
              </w:rPr>
              <w:t>203</w:t>
            </w:r>
            <w:r w:rsidRPr="00BD13D9">
              <w:rPr>
                <w:rFonts w:cstheme="minorHAnsi"/>
                <w:b/>
                <w:szCs w:val="24"/>
              </w:rPr>
              <w:t>-F</w:t>
            </w:r>
          </w:p>
        </w:tc>
      </w:tr>
      <w:tr w:rsidR="00BD1614" w:rsidRPr="00BD13D9" w14:paraId="5C605E2F" w14:textId="77777777" w:rsidTr="006359EF">
        <w:trPr>
          <w:cantSplit/>
          <w:jc w:val="center"/>
        </w:trPr>
        <w:tc>
          <w:tcPr>
            <w:tcW w:w="6911" w:type="dxa"/>
          </w:tcPr>
          <w:p w14:paraId="3701819B" w14:textId="20A8E30E" w:rsidR="00BD1614" w:rsidRPr="00BD13D9" w:rsidRDefault="00BD1614" w:rsidP="0056155E">
            <w:pPr>
              <w:spacing w:before="0"/>
              <w:rPr>
                <w:rFonts w:cstheme="minorHAnsi"/>
                <w:b/>
                <w:szCs w:val="24"/>
              </w:rPr>
            </w:pPr>
          </w:p>
        </w:tc>
        <w:tc>
          <w:tcPr>
            <w:tcW w:w="3120" w:type="dxa"/>
          </w:tcPr>
          <w:p w14:paraId="4FD5E934" w14:textId="38EBDFB1" w:rsidR="00BD1614" w:rsidRPr="00BD13D9" w:rsidRDefault="00994348" w:rsidP="0056155E">
            <w:pPr>
              <w:spacing w:before="0"/>
              <w:rPr>
                <w:rFonts w:cstheme="minorHAnsi"/>
                <w:b/>
                <w:szCs w:val="24"/>
              </w:rPr>
            </w:pPr>
            <w:r w:rsidRPr="00BD13D9">
              <w:rPr>
                <w:rFonts w:cstheme="minorHAnsi"/>
                <w:b/>
                <w:szCs w:val="24"/>
              </w:rPr>
              <w:t>26 octobre 2022</w:t>
            </w:r>
          </w:p>
        </w:tc>
      </w:tr>
      <w:tr w:rsidR="00BD1614" w:rsidRPr="00BD13D9" w14:paraId="6B2B4BC1" w14:textId="77777777" w:rsidTr="006359EF">
        <w:trPr>
          <w:cantSplit/>
          <w:jc w:val="center"/>
        </w:trPr>
        <w:tc>
          <w:tcPr>
            <w:tcW w:w="6911" w:type="dxa"/>
          </w:tcPr>
          <w:p w14:paraId="780A194C" w14:textId="77777777" w:rsidR="00BD1614" w:rsidRPr="00BD13D9" w:rsidRDefault="00BD1614" w:rsidP="0056155E">
            <w:pPr>
              <w:spacing w:before="0"/>
              <w:rPr>
                <w:rFonts w:cstheme="minorHAnsi"/>
                <w:b/>
                <w:smallCaps/>
                <w:szCs w:val="24"/>
              </w:rPr>
            </w:pPr>
          </w:p>
        </w:tc>
        <w:tc>
          <w:tcPr>
            <w:tcW w:w="3120" w:type="dxa"/>
          </w:tcPr>
          <w:p w14:paraId="36796BDA" w14:textId="3D9C6896" w:rsidR="00BD1614" w:rsidRPr="00BD13D9" w:rsidRDefault="00420EF8" w:rsidP="0056155E">
            <w:pPr>
              <w:spacing w:before="0"/>
              <w:rPr>
                <w:rFonts w:cstheme="minorHAnsi"/>
                <w:b/>
                <w:szCs w:val="24"/>
              </w:rPr>
            </w:pPr>
            <w:r w:rsidRPr="00BD13D9">
              <w:rPr>
                <w:rFonts w:cstheme="minorHAnsi"/>
                <w:b/>
                <w:szCs w:val="24"/>
              </w:rPr>
              <w:t>Original: anglais</w:t>
            </w:r>
          </w:p>
        </w:tc>
      </w:tr>
      <w:tr w:rsidR="00BD1614" w:rsidRPr="00BD13D9" w14:paraId="4259B884" w14:textId="77777777" w:rsidTr="006359EF">
        <w:trPr>
          <w:cantSplit/>
          <w:jc w:val="center"/>
        </w:trPr>
        <w:tc>
          <w:tcPr>
            <w:tcW w:w="10031" w:type="dxa"/>
            <w:gridSpan w:val="2"/>
          </w:tcPr>
          <w:p w14:paraId="770628D7" w14:textId="77777777" w:rsidR="00BD1614" w:rsidRPr="00BD13D9" w:rsidRDefault="00BD1614" w:rsidP="0056155E">
            <w:pPr>
              <w:spacing w:before="0"/>
              <w:rPr>
                <w:rFonts w:cstheme="minorHAnsi"/>
                <w:b/>
                <w:szCs w:val="24"/>
              </w:rPr>
            </w:pPr>
          </w:p>
        </w:tc>
      </w:tr>
      <w:tr w:rsidR="00994348" w:rsidRPr="00BD13D9" w14:paraId="6A9FB924" w14:textId="77777777" w:rsidTr="006359EF">
        <w:trPr>
          <w:cantSplit/>
          <w:jc w:val="center"/>
        </w:trPr>
        <w:tc>
          <w:tcPr>
            <w:tcW w:w="10031" w:type="dxa"/>
            <w:gridSpan w:val="2"/>
          </w:tcPr>
          <w:p w14:paraId="4A3EE75F" w14:textId="77777777" w:rsidR="0056155E" w:rsidRPr="00BD13D9" w:rsidRDefault="00994348" w:rsidP="0056155E">
            <w:pPr>
              <w:pStyle w:val="Source"/>
              <w:spacing w:before="480"/>
              <w:rPr>
                <w:b w:val="0"/>
                <w:bCs/>
              </w:rPr>
            </w:pPr>
            <w:bookmarkStart w:id="4" w:name="lt_pId010"/>
            <w:bookmarkStart w:id="5" w:name="dsource" w:colFirst="0" w:colLast="0"/>
            <w:bookmarkEnd w:id="3"/>
            <w:r w:rsidRPr="00BD13D9">
              <w:rPr>
                <w:b w:val="0"/>
                <w:bCs/>
              </w:rPr>
              <w:t>PROCÈS-VERBAL</w:t>
            </w:r>
            <w:bookmarkStart w:id="6" w:name="lt_pId011"/>
            <w:bookmarkEnd w:id="4"/>
          </w:p>
          <w:p w14:paraId="388CCD5B" w14:textId="77777777" w:rsidR="0056155E" w:rsidRPr="00BD13D9" w:rsidRDefault="00994348" w:rsidP="0056155E">
            <w:pPr>
              <w:pStyle w:val="Source"/>
              <w:spacing w:before="240"/>
              <w:rPr>
                <w:b w:val="0"/>
                <w:bCs/>
              </w:rPr>
            </w:pPr>
            <w:r w:rsidRPr="00BD13D9">
              <w:rPr>
                <w:b w:val="0"/>
                <w:bCs/>
              </w:rPr>
              <w:t>DE LA</w:t>
            </w:r>
            <w:bookmarkStart w:id="7" w:name="lt_pId012"/>
            <w:bookmarkEnd w:id="6"/>
          </w:p>
          <w:p w14:paraId="070875E6" w14:textId="0F152082" w:rsidR="00994348" w:rsidRPr="00BD13D9" w:rsidRDefault="00994348" w:rsidP="0056155E">
            <w:pPr>
              <w:pStyle w:val="Source"/>
              <w:spacing w:before="240"/>
            </w:pPr>
            <w:r w:rsidRPr="00BD13D9">
              <w:rPr>
                <w:b w:val="0"/>
                <w:bCs/>
              </w:rPr>
              <w:t>TREIZIÈME SÉANCE PLÉNIÈR</w:t>
            </w:r>
            <w:bookmarkEnd w:id="7"/>
            <w:r w:rsidR="00AA43BB" w:rsidRPr="00BD13D9">
              <w:rPr>
                <w:b w:val="0"/>
                <w:bCs/>
              </w:rPr>
              <w:t>E</w:t>
            </w:r>
          </w:p>
        </w:tc>
      </w:tr>
      <w:tr w:rsidR="00994348" w:rsidRPr="00BD13D9" w14:paraId="534EEA05" w14:textId="77777777" w:rsidTr="006359EF">
        <w:trPr>
          <w:cantSplit/>
          <w:jc w:val="center"/>
        </w:trPr>
        <w:tc>
          <w:tcPr>
            <w:tcW w:w="10031" w:type="dxa"/>
            <w:gridSpan w:val="2"/>
          </w:tcPr>
          <w:p w14:paraId="0C8E89F3" w14:textId="6177D76A" w:rsidR="00994348" w:rsidRPr="00BD13D9" w:rsidRDefault="00994348" w:rsidP="0056155E">
            <w:pPr>
              <w:spacing w:before="240"/>
              <w:jc w:val="center"/>
            </w:pPr>
            <w:bookmarkStart w:id="8" w:name="dtitle1" w:colFirst="0" w:colLast="0"/>
            <w:bookmarkEnd w:id="5"/>
            <w:r w:rsidRPr="00BD13D9">
              <w:t>Lundi 10 octobre 2022 à 13 h 35</w:t>
            </w:r>
          </w:p>
        </w:tc>
      </w:tr>
      <w:tr w:rsidR="00994348" w:rsidRPr="00BD13D9" w14:paraId="37DA32CE" w14:textId="77777777" w:rsidTr="006359EF">
        <w:trPr>
          <w:cantSplit/>
          <w:jc w:val="center"/>
        </w:trPr>
        <w:tc>
          <w:tcPr>
            <w:tcW w:w="10031" w:type="dxa"/>
            <w:gridSpan w:val="2"/>
          </w:tcPr>
          <w:p w14:paraId="1574AB3E" w14:textId="50C729F6" w:rsidR="00994348" w:rsidRPr="00BD13D9" w:rsidRDefault="00994348" w:rsidP="0056155E">
            <w:pPr>
              <w:spacing w:before="240"/>
              <w:jc w:val="center"/>
            </w:pPr>
            <w:bookmarkStart w:id="9" w:name="dtitle2" w:colFirst="0" w:colLast="0"/>
            <w:bookmarkEnd w:id="8"/>
            <w:r w:rsidRPr="00BD13D9">
              <w:rPr>
                <w:b/>
                <w:bCs/>
              </w:rPr>
              <w:t>Président</w:t>
            </w:r>
            <w:r w:rsidRPr="00BD13D9">
              <w:t xml:space="preserve">: M. </w:t>
            </w:r>
            <w:r w:rsidRPr="00BD13D9">
              <w:rPr>
                <w:bCs/>
              </w:rPr>
              <w:t>Sabin</w:t>
            </w:r>
            <w:r w:rsidRPr="00BD13D9">
              <w:t xml:space="preserve"> SĂRMAȘ (Roumanie)</w:t>
            </w:r>
          </w:p>
        </w:tc>
      </w:tr>
      <w:bookmarkEnd w:id="9"/>
    </w:tbl>
    <w:p w14:paraId="7AD6F79A" w14:textId="03A19FF5" w:rsidR="000D15FB" w:rsidRPr="00BD13D9" w:rsidRDefault="000D15FB" w:rsidP="0056155E"/>
    <w:tbl>
      <w:tblPr>
        <w:tblW w:w="5208" w:type="pct"/>
        <w:jc w:val="center"/>
        <w:tblLook w:val="0000" w:firstRow="0" w:lastRow="0" w:firstColumn="0" w:lastColumn="0" w:noHBand="0" w:noVBand="0"/>
      </w:tblPr>
      <w:tblGrid>
        <w:gridCol w:w="567"/>
        <w:gridCol w:w="7058"/>
        <w:gridCol w:w="2421"/>
      </w:tblGrid>
      <w:tr w:rsidR="00994348" w:rsidRPr="00BD13D9" w14:paraId="7CB0C86F" w14:textId="77777777" w:rsidTr="007C48D1">
        <w:trPr>
          <w:tblHeader/>
          <w:jc w:val="center"/>
        </w:trPr>
        <w:tc>
          <w:tcPr>
            <w:tcW w:w="282" w:type="pct"/>
          </w:tcPr>
          <w:p w14:paraId="1AB34A26" w14:textId="77777777" w:rsidR="00994348" w:rsidRPr="00BD13D9" w:rsidRDefault="00994348" w:rsidP="0056155E">
            <w:pPr>
              <w:rPr>
                <w:b/>
                <w:bCs/>
              </w:rPr>
            </w:pPr>
          </w:p>
        </w:tc>
        <w:tc>
          <w:tcPr>
            <w:tcW w:w="3513" w:type="pct"/>
          </w:tcPr>
          <w:p w14:paraId="6B305511" w14:textId="77777777" w:rsidR="00994348" w:rsidRPr="00BD13D9" w:rsidRDefault="00994348" w:rsidP="0056155E">
            <w:pPr>
              <w:rPr>
                <w:b/>
                <w:bCs/>
              </w:rPr>
            </w:pPr>
            <w:bookmarkStart w:id="10" w:name="lt_pId015"/>
            <w:r w:rsidRPr="00BD13D9">
              <w:rPr>
                <w:b/>
                <w:bCs/>
              </w:rPr>
              <w:t>Sujets traités</w:t>
            </w:r>
            <w:bookmarkEnd w:id="10"/>
          </w:p>
        </w:tc>
        <w:tc>
          <w:tcPr>
            <w:tcW w:w="1205" w:type="pct"/>
          </w:tcPr>
          <w:p w14:paraId="383C4F08" w14:textId="77777777" w:rsidR="00994348" w:rsidRPr="00BD13D9" w:rsidRDefault="00994348" w:rsidP="007C48D1">
            <w:pPr>
              <w:jc w:val="center"/>
              <w:rPr>
                <w:b/>
                <w:bCs/>
              </w:rPr>
            </w:pPr>
            <w:bookmarkStart w:id="11" w:name="lt_pId016"/>
            <w:r w:rsidRPr="00BD13D9">
              <w:rPr>
                <w:b/>
                <w:bCs/>
              </w:rPr>
              <w:t>Documents</w:t>
            </w:r>
            <w:bookmarkEnd w:id="11"/>
          </w:p>
        </w:tc>
      </w:tr>
      <w:tr w:rsidR="00994348" w:rsidRPr="00BD13D9" w14:paraId="26951D5E" w14:textId="77777777" w:rsidTr="00F01E60">
        <w:trPr>
          <w:jc w:val="center"/>
        </w:trPr>
        <w:tc>
          <w:tcPr>
            <w:tcW w:w="282" w:type="pct"/>
          </w:tcPr>
          <w:p w14:paraId="2506450F" w14:textId="77777777" w:rsidR="00994348" w:rsidRPr="00BD13D9" w:rsidRDefault="00994348" w:rsidP="0056155E">
            <w:r w:rsidRPr="00BD13D9">
              <w:t>1</w:t>
            </w:r>
          </w:p>
        </w:tc>
        <w:tc>
          <w:tcPr>
            <w:tcW w:w="3513" w:type="pct"/>
          </w:tcPr>
          <w:p w14:paraId="7C94184D" w14:textId="35A1D6D4" w:rsidR="00994348" w:rsidRPr="00BD13D9" w:rsidRDefault="00994348" w:rsidP="0056155E">
            <w:bookmarkStart w:id="12" w:name="lt_pId021"/>
            <w:r w:rsidRPr="00BD13D9">
              <w:t>Déclaration du Directeur général de l</w:t>
            </w:r>
            <w:r w:rsidR="00F76CBB" w:rsidRPr="00BD13D9">
              <w:t>'</w:t>
            </w:r>
            <w:r w:rsidRPr="00BD13D9">
              <w:t>Union postale universelle</w:t>
            </w:r>
            <w:bookmarkEnd w:id="12"/>
          </w:p>
        </w:tc>
        <w:tc>
          <w:tcPr>
            <w:tcW w:w="1205" w:type="pct"/>
          </w:tcPr>
          <w:p w14:paraId="58754997" w14:textId="609E28B6" w:rsidR="00994348" w:rsidRPr="00BD13D9" w:rsidRDefault="00994348" w:rsidP="0056155E">
            <w:pPr>
              <w:jc w:val="center"/>
            </w:pPr>
            <w:r w:rsidRPr="00BD13D9">
              <w:t>–</w:t>
            </w:r>
          </w:p>
        </w:tc>
      </w:tr>
      <w:tr w:rsidR="00994348" w:rsidRPr="00BD13D9" w14:paraId="52E6D324" w14:textId="77777777" w:rsidTr="00F01E60">
        <w:trPr>
          <w:jc w:val="center"/>
        </w:trPr>
        <w:tc>
          <w:tcPr>
            <w:tcW w:w="282" w:type="pct"/>
          </w:tcPr>
          <w:p w14:paraId="41946E20" w14:textId="77777777" w:rsidR="00994348" w:rsidRPr="00BD13D9" w:rsidRDefault="00994348" w:rsidP="0056155E">
            <w:r w:rsidRPr="00BD13D9">
              <w:t>2</w:t>
            </w:r>
          </w:p>
        </w:tc>
        <w:tc>
          <w:tcPr>
            <w:tcW w:w="3513" w:type="pct"/>
          </w:tcPr>
          <w:p w14:paraId="76518655" w14:textId="58428D9F" w:rsidR="00994348" w:rsidRPr="00BD13D9" w:rsidRDefault="00994348" w:rsidP="0056155E">
            <w:r w:rsidRPr="00BD13D9">
              <w:t xml:space="preserve">Rapport sur les progrès accomplis dans la mise en œuvre de la Résolution 1408 du </w:t>
            </w:r>
            <w:r w:rsidR="000967CD" w:rsidRPr="00BD13D9">
              <w:t>C</w:t>
            </w:r>
            <w:r w:rsidRPr="00BD13D9">
              <w:t>onseil de l</w:t>
            </w:r>
            <w:r w:rsidR="00F76CBB" w:rsidRPr="00BD13D9">
              <w:t>'</w:t>
            </w:r>
            <w:r w:rsidRPr="00BD13D9">
              <w:t>UIT</w:t>
            </w:r>
          </w:p>
        </w:tc>
        <w:tc>
          <w:tcPr>
            <w:tcW w:w="1205" w:type="pct"/>
          </w:tcPr>
          <w:p w14:paraId="309B5A60" w14:textId="1CEA5E00" w:rsidR="00994348" w:rsidRPr="00BD13D9" w:rsidRDefault="009E0342" w:rsidP="0056155E">
            <w:pPr>
              <w:jc w:val="center"/>
            </w:pPr>
            <w:hyperlink r:id="rId10" w:history="1">
              <w:r w:rsidR="00994348" w:rsidRPr="00BD13D9">
                <w:rPr>
                  <w:rStyle w:val="Hyperlink"/>
                </w:rPr>
                <w:t>70</w:t>
              </w:r>
            </w:hyperlink>
          </w:p>
        </w:tc>
      </w:tr>
      <w:tr w:rsidR="00994348" w:rsidRPr="00BD13D9" w14:paraId="0C161B2F" w14:textId="77777777" w:rsidTr="00F01E60">
        <w:trPr>
          <w:jc w:val="center"/>
        </w:trPr>
        <w:tc>
          <w:tcPr>
            <w:tcW w:w="282" w:type="pct"/>
          </w:tcPr>
          <w:p w14:paraId="7C3EE3BE" w14:textId="77777777" w:rsidR="00994348" w:rsidRPr="00BD13D9" w:rsidRDefault="00994348" w:rsidP="0056155E">
            <w:r w:rsidRPr="00BD13D9">
              <w:t>3</w:t>
            </w:r>
          </w:p>
        </w:tc>
        <w:tc>
          <w:tcPr>
            <w:tcW w:w="3513" w:type="pct"/>
          </w:tcPr>
          <w:p w14:paraId="13B3DDCC" w14:textId="5B47108D" w:rsidR="00994348" w:rsidRPr="00BD13D9" w:rsidRDefault="00994348" w:rsidP="0056155E">
            <w:r w:rsidRPr="00BD13D9">
              <w:t xml:space="preserve">Neuvième série de textes soumis par la Commission de rédaction </w:t>
            </w:r>
            <w:r w:rsidR="00D85410" w:rsidRPr="00BD13D9">
              <w:t>en première lecture</w:t>
            </w:r>
            <w:r w:rsidR="000967CD" w:rsidRPr="00BD13D9">
              <w:t xml:space="preserve"> (B.9)</w:t>
            </w:r>
          </w:p>
        </w:tc>
        <w:tc>
          <w:tcPr>
            <w:tcW w:w="1205" w:type="pct"/>
          </w:tcPr>
          <w:p w14:paraId="765092A1" w14:textId="6624DECB" w:rsidR="00994348" w:rsidRPr="00BD13D9" w:rsidRDefault="009E0342" w:rsidP="0056155E">
            <w:pPr>
              <w:jc w:val="center"/>
            </w:pPr>
            <w:hyperlink r:id="rId11" w:history="1">
              <w:r w:rsidR="00994348" w:rsidRPr="00BD13D9">
                <w:rPr>
                  <w:rStyle w:val="Hyperlink"/>
                </w:rPr>
                <w:t>143</w:t>
              </w:r>
            </w:hyperlink>
          </w:p>
        </w:tc>
      </w:tr>
      <w:tr w:rsidR="00994348" w:rsidRPr="00BD13D9" w14:paraId="542C3AD2" w14:textId="77777777" w:rsidTr="00F01E60">
        <w:trPr>
          <w:jc w:val="center"/>
        </w:trPr>
        <w:tc>
          <w:tcPr>
            <w:tcW w:w="282" w:type="pct"/>
          </w:tcPr>
          <w:p w14:paraId="471D94BE" w14:textId="77777777" w:rsidR="00994348" w:rsidRPr="00BD13D9" w:rsidRDefault="00994348" w:rsidP="0056155E">
            <w:r w:rsidRPr="00BD13D9">
              <w:t>4</w:t>
            </w:r>
          </w:p>
        </w:tc>
        <w:tc>
          <w:tcPr>
            <w:tcW w:w="3513" w:type="pct"/>
          </w:tcPr>
          <w:p w14:paraId="54E01F7A" w14:textId="5052E224" w:rsidR="00994348" w:rsidRPr="00BD13D9" w:rsidRDefault="00994348" w:rsidP="0056155E">
            <w:r w:rsidRPr="00BD13D9">
              <w:t xml:space="preserve">Neuvième série de textes soumis par la Commission de rédaction </w:t>
            </w:r>
            <w:r w:rsidR="00D85410" w:rsidRPr="00BD13D9">
              <w:t>– seconde lecture</w:t>
            </w:r>
          </w:p>
        </w:tc>
        <w:tc>
          <w:tcPr>
            <w:tcW w:w="1205" w:type="pct"/>
          </w:tcPr>
          <w:p w14:paraId="35247F16" w14:textId="2F8405D0" w:rsidR="00994348" w:rsidRPr="00BD13D9" w:rsidRDefault="00994348" w:rsidP="0056155E">
            <w:pPr>
              <w:jc w:val="center"/>
            </w:pPr>
            <w:r w:rsidRPr="00BD13D9">
              <w:t>143</w:t>
            </w:r>
          </w:p>
        </w:tc>
      </w:tr>
      <w:tr w:rsidR="00994348" w:rsidRPr="00BD13D9" w14:paraId="4F6C2597" w14:textId="77777777" w:rsidTr="00F01E60">
        <w:trPr>
          <w:jc w:val="center"/>
        </w:trPr>
        <w:tc>
          <w:tcPr>
            <w:tcW w:w="282" w:type="pct"/>
          </w:tcPr>
          <w:p w14:paraId="3FD95D3C" w14:textId="77777777" w:rsidR="00994348" w:rsidRPr="00BD13D9" w:rsidRDefault="00994348" w:rsidP="0056155E">
            <w:r w:rsidRPr="00BD13D9">
              <w:t>5</w:t>
            </w:r>
          </w:p>
        </w:tc>
        <w:tc>
          <w:tcPr>
            <w:tcW w:w="3513" w:type="pct"/>
          </w:tcPr>
          <w:p w14:paraId="10DAA390" w14:textId="16BA4EA8" w:rsidR="00994348" w:rsidRPr="00BD13D9" w:rsidRDefault="00994348" w:rsidP="0056155E">
            <w:r w:rsidRPr="00BD13D9">
              <w:t xml:space="preserve">Dixième série de textes soumis par la Commission de rédaction </w:t>
            </w:r>
            <w:r w:rsidR="00D85410" w:rsidRPr="00BD13D9">
              <w:t>en première lecture</w:t>
            </w:r>
            <w:r w:rsidR="000967CD" w:rsidRPr="00BD13D9">
              <w:t xml:space="preserve"> (B.10)</w:t>
            </w:r>
          </w:p>
        </w:tc>
        <w:tc>
          <w:tcPr>
            <w:tcW w:w="1205" w:type="pct"/>
          </w:tcPr>
          <w:p w14:paraId="2EC179D8" w14:textId="76DFBDE6" w:rsidR="00994348" w:rsidRPr="00BD13D9" w:rsidRDefault="009E0342" w:rsidP="0056155E">
            <w:pPr>
              <w:jc w:val="center"/>
            </w:pPr>
            <w:hyperlink r:id="rId12" w:history="1">
              <w:r w:rsidR="00994348" w:rsidRPr="00BD13D9">
                <w:rPr>
                  <w:rStyle w:val="Hyperlink"/>
                </w:rPr>
                <w:t>144</w:t>
              </w:r>
            </w:hyperlink>
          </w:p>
        </w:tc>
      </w:tr>
      <w:tr w:rsidR="00994348" w:rsidRPr="00BD13D9" w14:paraId="0C89852F" w14:textId="77777777" w:rsidTr="00F01E60">
        <w:trPr>
          <w:jc w:val="center"/>
        </w:trPr>
        <w:tc>
          <w:tcPr>
            <w:tcW w:w="282" w:type="pct"/>
          </w:tcPr>
          <w:p w14:paraId="02EAEEB2" w14:textId="77777777" w:rsidR="00994348" w:rsidRPr="00BD13D9" w:rsidRDefault="00994348" w:rsidP="0056155E">
            <w:r w:rsidRPr="00BD13D9">
              <w:t>6</w:t>
            </w:r>
          </w:p>
        </w:tc>
        <w:tc>
          <w:tcPr>
            <w:tcW w:w="3513" w:type="pct"/>
          </w:tcPr>
          <w:p w14:paraId="09D3D82B" w14:textId="046832C4" w:rsidR="00994348" w:rsidRPr="00BD13D9" w:rsidRDefault="00994348" w:rsidP="0056155E">
            <w:r w:rsidRPr="00BD13D9">
              <w:t xml:space="preserve">Dixième série de textes soumis par la Commission de rédaction </w:t>
            </w:r>
            <w:r w:rsidR="00D85410" w:rsidRPr="00BD13D9">
              <w:t>– seconde lecture</w:t>
            </w:r>
          </w:p>
        </w:tc>
        <w:tc>
          <w:tcPr>
            <w:tcW w:w="1205" w:type="pct"/>
          </w:tcPr>
          <w:p w14:paraId="1F189143" w14:textId="00850962" w:rsidR="00994348" w:rsidRPr="00BD13D9" w:rsidRDefault="00994348" w:rsidP="0056155E">
            <w:pPr>
              <w:jc w:val="center"/>
            </w:pPr>
            <w:r w:rsidRPr="00BD13D9">
              <w:t>144</w:t>
            </w:r>
          </w:p>
        </w:tc>
      </w:tr>
      <w:tr w:rsidR="00994348" w:rsidRPr="00BD13D9" w14:paraId="0DDC2B6F" w14:textId="77777777" w:rsidTr="00F01E60">
        <w:trPr>
          <w:jc w:val="center"/>
        </w:trPr>
        <w:tc>
          <w:tcPr>
            <w:tcW w:w="282" w:type="pct"/>
          </w:tcPr>
          <w:p w14:paraId="12C71C1B" w14:textId="77777777" w:rsidR="00994348" w:rsidRPr="00BD13D9" w:rsidRDefault="00994348" w:rsidP="0056155E">
            <w:r w:rsidRPr="00BD13D9">
              <w:t>7</w:t>
            </w:r>
          </w:p>
        </w:tc>
        <w:tc>
          <w:tcPr>
            <w:tcW w:w="3513" w:type="pct"/>
          </w:tcPr>
          <w:p w14:paraId="7B8DE03B" w14:textId="2C70315E" w:rsidR="00994348" w:rsidRPr="00BD13D9" w:rsidRDefault="00994348" w:rsidP="0056155E">
            <w:r w:rsidRPr="00BD13D9">
              <w:t xml:space="preserve">Onzième série de textes soumis par la Commission de rédaction </w:t>
            </w:r>
            <w:r w:rsidR="00D85410" w:rsidRPr="00BD13D9">
              <w:t>en première lecture</w:t>
            </w:r>
            <w:r w:rsidR="000967CD" w:rsidRPr="00BD13D9">
              <w:t xml:space="preserve"> (B.11)</w:t>
            </w:r>
          </w:p>
        </w:tc>
        <w:tc>
          <w:tcPr>
            <w:tcW w:w="1205" w:type="pct"/>
          </w:tcPr>
          <w:p w14:paraId="0CE02445" w14:textId="0AC5AC94" w:rsidR="00994348" w:rsidRPr="00BD13D9" w:rsidRDefault="009E0342" w:rsidP="0056155E">
            <w:pPr>
              <w:jc w:val="center"/>
            </w:pPr>
            <w:hyperlink r:id="rId13" w:history="1">
              <w:r w:rsidR="00994348" w:rsidRPr="00BD13D9">
                <w:rPr>
                  <w:rStyle w:val="Hyperlink"/>
                </w:rPr>
                <w:t>145</w:t>
              </w:r>
            </w:hyperlink>
          </w:p>
        </w:tc>
      </w:tr>
      <w:tr w:rsidR="00994348" w:rsidRPr="00BD13D9" w14:paraId="1443DEA6" w14:textId="77777777" w:rsidTr="00F01E60">
        <w:trPr>
          <w:jc w:val="center"/>
        </w:trPr>
        <w:tc>
          <w:tcPr>
            <w:tcW w:w="282" w:type="pct"/>
          </w:tcPr>
          <w:p w14:paraId="527AF5EC" w14:textId="77777777" w:rsidR="00994348" w:rsidRPr="00BD13D9" w:rsidRDefault="00994348" w:rsidP="0056155E">
            <w:r w:rsidRPr="00BD13D9">
              <w:t>8</w:t>
            </w:r>
          </w:p>
        </w:tc>
        <w:tc>
          <w:tcPr>
            <w:tcW w:w="3513" w:type="pct"/>
          </w:tcPr>
          <w:p w14:paraId="52394C34" w14:textId="6722A469" w:rsidR="00994348" w:rsidRPr="00BD13D9" w:rsidRDefault="00994348" w:rsidP="0056155E">
            <w:r w:rsidRPr="00BD13D9">
              <w:t xml:space="preserve">Onzième série de textes soumis par la Commission de rédaction </w:t>
            </w:r>
            <w:r w:rsidR="00D85410" w:rsidRPr="00BD13D9">
              <w:t>– seconde lecture</w:t>
            </w:r>
          </w:p>
        </w:tc>
        <w:tc>
          <w:tcPr>
            <w:tcW w:w="1205" w:type="pct"/>
          </w:tcPr>
          <w:p w14:paraId="7B2D4F30" w14:textId="5C7A512D" w:rsidR="00994348" w:rsidRPr="00BD13D9" w:rsidRDefault="00994348" w:rsidP="0056155E">
            <w:pPr>
              <w:jc w:val="center"/>
            </w:pPr>
            <w:r w:rsidRPr="00BD13D9">
              <w:t>145</w:t>
            </w:r>
          </w:p>
        </w:tc>
      </w:tr>
      <w:tr w:rsidR="00994348" w:rsidRPr="00BD13D9" w14:paraId="3448F746" w14:textId="77777777" w:rsidTr="00F01E60">
        <w:trPr>
          <w:jc w:val="center"/>
        </w:trPr>
        <w:tc>
          <w:tcPr>
            <w:tcW w:w="282" w:type="pct"/>
          </w:tcPr>
          <w:p w14:paraId="0AC143AD" w14:textId="77777777" w:rsidR="00994348" w:rsidRPr="00BD13D9" w:rsidRDefault="00994348" w:rsidP="0056155E">
            <w:r w:rsidRPr="00BD13D9">
              <w:t>9</w:t>
            </w:r>
          </w:p>
        </w:tc>
        <w:tc>
          <w:tcPr>
            <w:tcW w:w="3513" w:type="pct"/>
          </w:tcPr>
          <w:p w14:paraId="334DEE42" w14:textId="370A3200" w:rsidR="00994348" w:rsidRPr="00BD13D9" w:rsidRDefault="000967CD" w:rsidP="0056155E">
            <w:r w:rsidRPr="00BD13D9">
              <w:t xml:space="preserve">Douzième série de textes soumis par la Commission de rédaction </w:t>
            </w:r>
            <w:r w:rsidR="00D85410" w:rsidRPr="00BD13D9">
              <w:t>en première lecture</w:t>
            </w:r>
            <w:r w:rsidRPr="00BD13D9">
              <w:t xml:space="preserve"> (B.12)</w:t>
            </w:r>
          </w:p>
        </w:tc>
        <w:tc>
          <w:tcPr>
            <w:tcW w:w="1205" w:type="pct"/>
          </w:tcPr>
          <w:p w14:paraId="4FBA2C79" w14:textId="5B892584" w:rsidR="00994348" w:rsidRPr="00BD13D9" w:rsidRDefault="009E0342" w:rsidP="0056155E">
            <w:pPr>
              <w:jc w:val="center"/>
            </w:pPr>
            <w:hyperlink r:id="rId14" w:history="1">
              <w:r w:rsidR="00994348" w:rsidRPr="00BD13D9">
                <w:rPr>
                  <w:rStyle w:val="Hyperlink"/>
                </w:rPr>
                <w:t>153</w:t>
              </w:r>
            </w:hyperlink>
          </w:p>
        </w:tc>
      </w:tr>
      <w:tr w:rsidR="00994348" w:rsidRPr="00BD13D9" w14:paraId="7CB98C66" w14:textId="77777777" w:rsidTr="00F01E60">
        <w:trPr>
          <w:jc w:val="center"/>
        </w:trPr>
        <w:tc>
          <w:tcPr>
            <w:tcW w:w="282" w:type="pct"/>
          </w:tcPr>
          <w:p w14:paraId="6E42FFAF" w14:textId="77777777" w:rsidR="00994348" w:rsidRPr="00BD13D9" w:rsidRDefault="00994348" w:rsidP="0056155E">
            <w:r w:rsidRPr="00BD13D9">
              <w:t>10</w:t>
            </w:r>
          </w:p>
        </w:tc>
        <w:tc>
          <w:tcPr>
            <w:tcW w:w="3513" w:type="pct"/>
          </w:tcPr>
          <w:p w14:paraId="1B57D2D0" w14:textId="1D2D0C62" w:rsidR="00994348" w:rsidRPr="00BD13D9" w:rsidRDefault="000967CD" w:rsidP="0056155E">
            <w:r w:rsidRPr="00BD13D9">
              <w:t xml:space="preserve">Douzième série de textes soumis par la Commission de rédaction </w:t>
            </w:r>
            <w:r w:rsidR="00D85410" w:rsidRPr="00BD13D9">
              <w:t>– seconde lecture</w:t>
            </w:r>
          </w:p>
        </w:tc>
        <w:tc>
          <w:tcPr>
            <w:tcW w:w="1205" w:type="pct"/>
          </w:tcPr>
          <w:p w14:paraId="133F4151" w14:textId="37712C58" w:rsidR="00994348" w:rsidRPr="00BD13D9" w:rsidRDefault="00994348" w:rsidP="0056155E">
            <w:pPr>
              <w:jc w:val="center"/>
            </w:pPr>
            <w:r w:rsidRPr="00BD13D9">
              <w:t>153</w:t>
            </w:r>
          </w:p>
        </w:tc>
      </w:tr>
      <w:tr w:rsidR="00994348" w:rsidRPr="00BD13D9" w14:paraId="0F7A42B7" w14:textId="77777777" w:rsidTr="00F01E60">
        <w:trPr>
          <w:jc w:val="center"/>
        </w:trPr>
        <w:tc>
          <w:tcPr>
            <w:tcW w:w="282" w:type="pct"/>
          </w:tcPr>
          <w:p w14:paraId="754C2C4C" w14:textId="77777777" w:rsidR="00994348" w:rsidRPr="00BD13D9" w:rsidRDefault="00994348" w:rsidP="007C48D1">
            <w:pPr>
              <w:keepNext/>
              <w:keepLines/>
            </w:pPr>
            <w:r w:rsidRPr="00BD13D9">
              <w:lastRenderedPageBreak/>
              <w:t>11</w:t>
            </w:r>
          </w:p>
        </w:tc>
        <w:tc>
          <w:tcPr>
            <w:tcW w:w="3513" w:type="pct"/>
          </w:tcPr>
          <w:p w14:paraId="064C5A92" w14:textId="6440D208" w:rsidR="00994348" w:rsidRPr="00BD13D9" w:rsidRDefault="000967CD" w:rsidP="007C48D1">
            <w:pPr>
              <w:keepNext/>
              <w:keepLines/>
            </w:pPr>
            <w:r w:rsidRPr="00BD13D9">
              <w:t xml:space="preserve">Treizième série de textes soumis par la Commission de rédaction </w:t>
            </w:r>
            <w:r w:rsidR="00D85410" w:rsidRPr="00BD13D9">
              <w:t>en première lecture</w:t>
            </w:r>
            <w:r w:rsidRPr="00BD13D9">
              <w:t xml:space="preserve"> (B.13)</w:t>
            </w:r>
          </w:p>
        </w:tc>
        <w:tc>
          <w:tcPr>
            <w:tcW w:w="1205" w:type="pct"/>
          </w:tcPr>
          <w:p w14:paraId="3A3B495D" w14:textId="0BBEFB52" w:rsidR="00994348" w:rsidRPr="00BD13D9" w:rsidRDefault="009E0342" w:rsidP="007C48D1">
            <w:pPr>
              <w:keepNext/>
              <w:keepLines/>
              <w:jc w:val="center"/>
            </w:pPr>
            <w:hyperlink r:id="rId15" w:history="1">
              <w:r w:rsidR="00994348" w:rsidRPr="00BD13D9">
                <w:rPr>
                  <w:rStyle w:val="Hyperlink"/>
                </w:rPr>
                <w:t>154</w:t>
              </w:r>
            </w:hyperlink>
          </w:p>
        </w:tc>
      </w:tr>
      <w:tr w:rsidR="00994348" w:rsidRPr="00BD13D9" w14:paraId="7EEB1BA6" w14:textId="77777777" w:rsidTr="00F01E60">
        <w:trPr>
          <w:jc w:val="center"/>
        </w:trPr>
        <w:tc>
          <w:tcPr>
            <w:tcW w:w="282" w:type="pct"/>
          </w:tcPr>
          <w:p w14:paraId="605E165C" w14:textId="77777777" w:rsidR="00994348" w:rsidRPr="00BD13D9" w:rsidRDefault="00994348" w:rsidP="007C48D1">
            <w:pPr>
              <w:keepNext/>
              <w:keepLines/>
            </w:pPr>
            <w:r w:rsidRPr="00BD13D9">
              <w:t>12</w:t>
            </w:r>
          </w:p>
        </w:tc>
        <w:tc>
          <w:tcPr>
            <w:tcW w:w="3513" w:type="pct"/>
          </w:tcPr>
          <w:p w14:paraId="148CA3E3" w14:textId="25C67338" w:rsidR="00994348" w:rsidRPr="00BD13D9" w:rsidRDefault="000967CD" w:rsidP="007C48D1">
            <w:pPr>
              <w:keepNext/>
              <w:keepLines/>
            </w:pPr>
            <w:r w:rsidRPr="00BD13D9">
              <w:t xml:space="preserve">Treizième série de textes soumis par la Commission de rédaction </w:t>
            </w:r>
            <w:r w:rsidR="00D85410" w:rsidRPr="00BD13D9">
              <w:t>– seconde lecture</w:t>
            </w:r>
          </w:p>
        </w:tc>
        <w:tc>
          <w:tcPr>
            <w:tcW w:w="1205" w:type="pct"/>
          </w:tcPr>
          <w:p w14:paraId="7277F47C" w14:textId="38BC39FA" w:rsidR="00994348" w:rsidRPr="00BD13D9" w:rsidRDefault="00994348" w:rsidP="007C48D1">
            <w:pPr>
              <w:keepNext/>
              <w:keepLines/>
              <w:jc w:val="center"/>
            </w:pPr>
            <w:r w:rsidRPr="00BD13D9">
              <w:rPr>
                <w:szCs w:val="24"/>
              </w:rPr>
              <w:t>154</w:t>
            </w:r>
          </w:p>
        </w:tc>
      </w:tr>
      <w:tr w:rsidR="00994348" w:rsidRPr="00BD13D9" w14:paraId="5E80E73C" w14:textId="77777777" w:rsidTr="00F01E60">
        <w:trPr>
          <w:jc w:val="center"/>
        </w:trPr>
        <w:tc>
          <w:tcPr>
            <w:tcW w:w="282" w:type="pct"/>
          </w:tcPr>
          <w:p w14:paraId="1C90B102" w14:textId="77777777" w:rsidR="00994348" w:rsidRPr="00BD13D9" w:rsidRDefault="00994348" w:rsidP="0056155E">
            <w:r w:rsidRPr="00BD13D9">
              <w:t>13</w:t>
            </w:r>
          </w:p>
        </w:tc>
        <w:tc>
          <w:tcPr>
            <w:tcW w:w="3513" w:type="pct"/>
          </w:tcPr>
          <w:p w14:paraId="75E35D62" w14:textId="493EFDEA" w:rsidR="00994348" w:rsidRPr="00BD13D9" w:rsidRDefault="000967CD" w:rsidP="0056155E">
            <w:r w:rsidRPr="00BD13D9">
              <w:t xml:space="preserve">Quatorzième série de textes soumis par la Commission de rédaction </w:t>
            </w:r>
            <w:r w:rsidR="00D85410" w:rsidRPr="00BD13D9">
              <w:t>en première lecture</w:t>
            </w:r>
            <w:r w:rsidRPr="00BD13D9">
              <w:t xml:space="preserve"> (B.14)</w:t>
            </w:r>
          </w:p>
        </w:tc>
        <w:tc>
          <w:tcPr>
            <w:tcW w:w="1205" w:type="pct"/>
          </w:tcPr>
          <w:p w14:paraId="2E8279A1" w14:textId="280906B6" w:rsidR="00994348" w:rsidRPr="00BD13D9" w:rsidRDefault="009E0342" w:rsidP="0056155E">
            <w:pPr>
              <w:jc w:val="center"/>
            </w:pPr>
            <w:hyperlink r:id="rId16" w:history="1">
              <w:r w:rsidR="00994348" w:rsidRPr="00BD13D9">
                <w:rPr>
                  <w:rStyle w:val="Hyperlink"/>
                </w:rPr>
                <w:t>155</w:t>
              </w:r>
            </w:hyperlink>
          </w:p>
        </w:tc>
      </w:tr>
      <w:tr w:rsidR="00994348" w:rsidRPr="00BD13D9" w14:paraId="5087A26C" w14:textId="77777777" w:rsidTr="00F01E60">
        <w:trPr>
          <w:jc w:val="center"/>
        </w:trPr>
        <w:tc>
          <w:tcPr>
            <w:tcW w:w="282" w:type="pct"/>
          </w:tcPr>
          <w:p w14:paraId="1233C928" w14:textId="77777777" w:rsidR="00994348" w:rsidRPr="00BD13D9" w:rsidRDefault="00994348" w:rsidP="0056155E">
            <w:r w:rsidRPr="00BD13D9">
              <w:t>14</w:t>
            </w:r>
          </w:p>
        </w:tc>
        <w:tc>
          <w:tcPr>
            <w:tcW w:w="3513" w:type="pct"/>
          </w:tcPr>
          <w:p w14:paraId="67B8CDA2" w14:textId="109FDA4B" w:rsidR="00994348" w:rsidRPr="00BD13D9" w:rsidRDefault="000967CD" w:rsidP="0056155E">
            <w:r w:rsidRPr="00BD13D9">
              <w:t xml:space="preserve">Quatorzième série de textes soumis par la Commission de rédaction </w:t>
            </w:r>
            <w:r w:rsidR="00D85410" w:rsidRPr="00BD13D9">
              <w:t>– seconde lecture</w:t>
            </w:r>
          </w:p>
        </w:tc>
        <w:tc>
          <w:tcPr>
            <w:tcW w:w="1205" w:type="pct"/>
          </w:tcPr>
          <w:p w14:paraId="37B5B258" w14:textId="7D533441" w:rsidR="00994348" w:rsidRPr="00BD13D9" w:rsidRDefault="00994348" w:rsidP="0056155E">
            <w:pPr>
              <w:jc w:val="center"/>
            </w:pPr>
            <w:r w:rsidRPr="00BD13D9">
              <w:rPr>
                <w:szCs w:val="24"/>
              </w:rPr>
              <w:t>155</w:t>
            </w:r>
          </w:p>
        </w:tc>
      </w:tr>
      <w:tr w:rsidR="00994348" w:rsidRPr="00BD13D9" w14:paraId="650348C6" w14:textId="77777777" w:rsidTr="00F01E60">
        <w:trPr>
          <w:jc w:val="center"/>
        </w:trPr>
        <w:tc>
          <w:tcPr>
            <w:tcW w:w="282" w:type="pct"/>
          </w:tcPr>
          <w:p w14:paraId="6CE56802" w14:textId="40D6450B" w:rsidR="00994348" w:rsidRPr="00BD13D9" w:rsidRDefault="00994348" w:rsidP="0056155E">
            <w:r w:rsidRPr="00BD13D9">
              <w:t>15</w:t>
            </w:r>
          </w:p>
        </w:tc>
        <w:tc>
          <w:tcPr>
            <w:tcW w:w="3513" w:type="pct"/>
          </w:tcPr>
          <w:p w14:paraId="37D40E90" w14:textId="50FC54BD" w:rsidR="00994348" w:rsidRPr="00BD13D9" w:rsidRDefault="001C799F" w:rsidP="0056155E">
            <w:r w:rsidRPr="00BD13D9">
              <w:t>Remise de certificat à l</w:t>
            </w:r>
            <w:r w:rsidR="00F76CBB" w:rsidRPr="00BD13D9">
              <w:t>'</w:t>
            </w:r>
            <w:r w:rsidRPr="00BD13D9">
              <w:t xml:space="preserve">attention </w:t>
            </w:r>
            <w:r w:rsidR="00D85410" w:rsidRPr="00BD13D9">
              <w:t xml:space="preserve">du </w:t>
            </w:r>
            <w:r w:rsidR="00D31E78" w:rsidRPr="00BD13D9">
              <w:t>r</w:t>
            </w:r>
            <w:r w:rsidR="00D85410" w:rsidRPr="00BD13D9">
              <w:t>édacteur en chef du Journal de l</w:t>
            </w:r>
            <w:r w:rsidR="00F76CBB" w:rsidRPr="00BD13D9">
              <w:t>'</w:t>
            </w:r>
            <w:r w:rsidR="00D85410" w:rsidRPr="00BD13D9">
              <w:t>UIT</w:t>
            </w:r>
          </w:p>
        </w:tc>
        <w:tc>
          <w:tcPr>
            <w:tcW w:w="1205" w:type="pct"/>
          </w:tcPr>
          <w:p w14:paraId="5D3F6B46" w14:textId="2E8CB512" w:rsidR="00994348" w:rsidRPr="00BD13D9" w:rsidRDefault="00994348" w:rsidP="0056155E">
            <w:pPr>
              <w:jc w:val="center"/>
            </w:pPr>
            <w:r w:rsidRPr="00BD13D9">
              <w:t>–</w:t>
            </w:r>
          </w:p>
        </w:tc>
      </w:tr>
    </w:tbl>
    <w:p w14:paraId="23E5CC14" w14:textId="77777777" w:rsidR="00BD1614" w:rsidRPr="00BD13D9" w:rsidRDefault="00BD1614" w:rsidP="0056155E">
      <w:pPr>
        <w:tabs>
          <w:tab w:val="clear" w:pos="567"/>
          <w:tab w:val="clear" w:pos="1134"/>
          <w:tab w:val="clear" w:pos="1701"/>
          <w:tab w:val="clear" w:pos="2268"/>
          <w:tab w:val="clear" w:pos="2835"/>
        </w:tabs>
        <w:overflowPunct/>
        <w:autoSpaceDE/>
        <w:autoSpaceDN/>
        <w:adjustRightInd/>
        <w:spacing w:before="0"/>
        <w:textAlignment w:val="auto"/>
      </w:pPr>
      <w:r w:rsidRPr="00BD13D9">
        <w:br w:type="page"/>
      </w:r>
    </w:p>
    <w:p w14:paraId="41D2DBEE" w14:textId="20158350" w:rsidR="00BD1614" w:rsidRPr="00BD13D9" w:rsidRDefault="00813F8C" w:rsidP="007C48D1">
      <w:pPr>
        <w:pStyle w:val="Heading1"/>
      </w:pPr>
      <w:r w:rsidRPr="00BD13D9">
        <w:lastRenderedPageBreak/>
        <w:t>1</w:t>
      </w:r>
      <w:r w:rsidRPr="00BD13D9">
        <w:tab/>
        <w:t>Déclaration du Directeur général de l</w:t>
      </w:r>
      <w:r w:rsidR="00F76CBB" w:rsidRPr="00BD13D9">
        <w:t>'</w:t>
      </w:r>
      <w:r w:rsidRPr="00BD13D9">
        <w:t>Union postale universelle</w:t>
      </w:r>
    </w:p>
    <w:p w14:paraId="66E87154" w14:textId="3A8C0D93" w:rsidR="00813F8C" w:rsidRPr="00BD13D9" w:rsidRDefault="00813F8C" w:rsidP="007C48D1">
      <w:pPr>
        <w:rPr>
          <w:b/>
          <w:bCs/>
        </w:rPr>
      </w:pPr>
      <w:r w:rsidRPr="00BD13D9">
        <w:t>1.1</w:t>
      </w:r>
      <w:r w:rsidRPr="00BD13D9">
        <w:tab/>
      </w:r>
      <w:r w:rsidR="00D85410" w:rsidRPr="00BD13D9">
        <w:t xml:space="preserve">Le </w:t>
      </w:r>
      <w:r w:rsidR="00D85410" w:rsidRPr="00BD13D9">
        <w:rPr>
          <w:b/>
          <w:bCs/>
        </w:rPr>
        <w:t xml:space="preserve">Directeur </w:t>
      </w:r>
      <w:r w:rsidR="00BF1E43" w:rsidRPr="00BD13D9">
        <w:rPr>
          <w:b/>
          <w:bCs/>
        </w:rPr>
        <w:t>général</w:t>
      </w:r>
      <w:r w:rsidR="00D85410" w:rsidRPr="00BD13D9">
        <w:rPr>
          <w:b/>
          <w:bCs/>
        </w:rPr>
        <w:t xml:space="preserve"> de l</w:t>
      </w:r>
      <w:r w:rsidR="00F76CBB" w:rsidRPr="00BD13D9">
        <w:rPr>
          <w:b/>
          <w:bCs/>
        </w:rPr>
        <w:t>'</w:t>
      </w:r>
      <w:r w:rsidR="00D85410" w:rsidRPr="00BD13D9">
        <w:rPr>
          <w:b/>
          <w:bCs/>
        </w:rPr>
        <w:t>Union postale universelle</w:t>
      </w:r>
      <w:r w:rsidR="00D85410" w:rsidRPr="00BD13D9">
        <w:t>, M.</w:t>
      </w:r>
      <w:r w:rsidRPr="00BD13D9">
        <w:t xml:space="preserve"> Masahiko Metoki, </w:t>
      </w:r>
      <w:r w:rsidR="00BF1E43" w:rsidRPr="00BD13D9">
        <w:t>prononce une allocution, dont le texte est disponible à l</w:t>
      </w:r>
      <w:r w:rsidR="00F76CBB" w:rsidRPr="00BD13D9">
        <w:t>'</w:t>
      </w:r>
      <w:r w:rsidR="00BF1E43" w:rsidRPr="00BD13D9">
        <w:t>adresse suivante:</w:t>
      </w:r>
      <w:r w:rsidR="0056155E" w:rsidRPr="00BD13D9">
        <w:t xml:space="preserve"> </w:t>
      </w:r>
      <w:hyperlink r:id="rId17" w:history="1">
        <w:r w:rsidRPr="00BD13D9">
          <w:rPr>
            <w:rStyle w:val="Hyperlink"/>
            <w:rFonts w:asciiTheme="minorHAnsi" w:hAnsiTheme="minorHAnsi" w:cstheme="minorHAnsi"/>
            <w:szCs w:val="24"/>
          </w:rPr>
          <w:t>https://pp22.itu.int/en/itu_policy_statements/masahiko-metoki-universal-postal-union/</w:t>
        </w:r>
      </w:hyperlink>
      <w:r w:rsidRPr="00BD13D9">
        <w:t>.</w:t>
      </w:r>
    </w:p>
    <w:p w14:paraId="7E509315" w14:textId="18A439B9" w:rsidR="00813F8C" w:rsidRPr="00BD13D9" w:rsidRDefault="00813F8C" w:rsidP="007C48D1">
      <w:r w:rsidRPr="00BD13D9">
        <w:t>1.2</w:t>
      </w:r>
      <w:r w:rsidRPr="00BD13D9">
        <w:tab/>
      </w:r>
      <w:r w:rsidR="00BF1E43" w:rsidRPr="00BD13D9">
        <w:t xml:space="preserve">Le </w:t>
      </w:r>
      <w:r w:rsidR="00BF1E43" w:rsidRPr="00BD13D9">
        <w:rPr>
          <w:b/>
          <w:bCs/>
        </w:rPr>
        <w:t>Secrétaire général</w:t>
      </w:r>
      <w:r w:rsidR="00BF1E43" w:rsidRPr="00BD13D9">
        <w:t xml:space="preserve"> se félicite de la coopération de longue date entre l</w:t>
      </w:r>
      <w:r w:rsidR="00F76CBB" w:rsidRPr="00BD13D9">
        <w:t>'</w:t>
      </w:r>
      <w:r w:rsidR="00BF1E43" w:rsidRPr="00BD13D9">
        <w:t>Union postale universelle (UPU) et l</w:t>
      </w:r>
      <w:r w:rsidR="00F76CBB" w:rsidRPr="00BD13D9">
        <w:t>'</w:t>
      </w:r>
      <w:r w:rsidR="00BF1E43" w:rsidRPr="00BD13D9">
        <w:t>Union internationale des télécommunications (UIT), notamment en ce qui concerne une série de projets communs. Notant que de nombreuses délégations de l</w:t>
      </w:r>
      <w:r w:rsidR="00F76CBB" w:rsidRPr="00BD13D9">
        <w:t>'</w:t>
      </w:r>
      <w:r w:rsidR="00BF1E43" w:rsidRPr="00BD13D9">
        <w:t xml:space="preserve">UIT </w:t>
      </w:r>
      <w:r w:rsidR="000F6A1E" w:rsidRPr="00BD13D9">
        <w:t>jouent un rôle actif dans le domaine des services postaux et des technologies de l</w:t>
      </w:r>
      <w:r w:rsidR="00F76CBB" w:rsidRPr="00BD13D9">
        <w:t>'</w:t>
      </w:r>
      <w:r w:rsidR="000F6A1E" w:rsidRPr="00BD13D9">
        <w:t>information et de la communication (TIC), le Secrétaire général est convaincu que la coopération fructueuse entre les deux organisations se poursuivra à l</w:t>
      </w:r>
      <w:r w:rsidR="00F76CBB" w:rsidRPr="00BD13D9">
        <w:t>'</w:t>
      </w:r>
      <w:r w:rsidR="000F6A1E" w:rsidRPr="00BD13D9">
        <w:t>avenir</w:t>
      </w:r>
      <w:r w:rsidRPr="00BD13D9">
        <w:t>.</w:t>
      </w:r>
    </w:p>
    <w:p w14:paraId="74277839" w14:textId="1834591E" w:rsidR="00813F8C" w:rsidRPr="00BD13D9" w:rsidRDefault="00813F8C" w:rsidP="0056155E">
      <w:pPr>
        <w:pStyle w:val="Heading1"/>
      </w:pPr>
      <w:r w:rsidRPr="00BD13D9">
        <w:t>2</w:t>
      </w:r>
      <w:r w:rsidRPr="00BD13D9">
        <w:tab/>
      </w:r>
      <w:r w:rsidR="004D1FD5" w:rsidRPr="00BD13D9">
        <w:t>Rapport sur les progrès accomplis dans la mise en œuvre de la Résolution</w:t>
      </w:r>
      <w:r w:rsidR="00044685" w:rsidRPr="00BD13D9">
        <w:t> </w:t>
      </w:r>
      <w:r w:rsidR="004D1FD5" w:rsidRPr="00BD13D9">
        <w:t>1408 du Conseil de l</w:t>
      </w:r>
      <w:r w:rsidR="00F76CBB" w:rsidRPr="00BD13D9">
        <w:t>'</w:t>
      </w:r>
      <w:r w:rsidR="004D1FD5" w:rsidRPr="00BD13D9">
        <w:t xml:space="preserve">UIT </w:t>
      </w:r>
      <w:r w:rsidRPr="00BD13D9">
        <w:t xml:space="preserve">(Document </w:t>
      </w:r>
      <w:hyperlink r:id="rId18" w:history="1">
        <w:r w:rsidRPr="00BD13D9">
          <w:rPr>
            <w:rStyle w:val="Hyperlink"/>
            <w:rFonts w:asciiTheme="minorHAnsi" w:hAnsiTheme="minorHAnsi" w:cstheme="minorHAnsi"/>
            <w:bCs/>
            <w:szCs w:val="24"/>
          </w:rPr>
          <w:t>70</w:t>
        </w:r>
      </w:hyperlink>
      <w:r w:rsidRPr="00BD13D9">
        <w:t>)</w:t>
      </w:r>
    </w:p>
    <w:p w14:paraId="293C1C9E" w14:textId="6B151CFE" w:rsidR="00813F8C" w:rsidRPr="00BD13D9" w:rsidRDefault="00813F8C" w:rsidP="007C48D1">
      <w:r w:rsidRPr="00BD13D9">
        <w:t>2.1</w:t>
      </w:r>
      <w:r w:rsidRPr="00BD13D9">
        <w:tab/>
      </w:r>
      <w:r w:rsidR="000F6A1E" w:rsidRPr="00BD13D9">
        <w:t xml:space="preserve">Le </w:t>
      </w:r>
      <w:r w:rsidR="000F6A1E" w:rsidRPr="00BD13D9">
        <w:rPr>
          <w:b/>
          <w:bCs/>
        </w:rPr>
        <w:t>Secrétaire général</w:t>
      </w:r>
      <w:r w:rsidR="0056155E" w:rsidRPr="00BD13D9">
        <w:t xml:space="preserve"> </w:t>
      </w:r>
      <w:r w:rsidR="000F6A1E" w:rsidRPr="00BD13D9">
        <w:t>présent</w:t>
      </w:r>
      <w:r w:rsidR="00D31E78" w:rsidRPr="00BD13D9">
        <w:t>e</w:t>
      </w:r>
      <w:r w:rsidR="0056155E" w:rsidRPr="00BD13D9">
        <w:t xml:space="preserve"> </w:t>
      </w:r>
      <w:r w:rsidR="000F6A1E" w:rsidRPr="00BD13D9">
        <w:t>le</w:t>
      </w:r>
      <w:r w:rsidRPr="00BD13D9">
        <w:rPr>
          <w:b/>
          <w:bCs/>
        </w:rPr>
        <w:t xml:space="preserve"> </w:t>
      </w:r>
      <w:r w:rsidRPr="00BD13D9">
        <w:t>Document 70</w:t>
      </w:r>
      <w:r w:rsidR="00D31E78" w:rsidRPr="00BD13D9">
        <w:t xml:space="preserve"> et </w:t>
      </w:r>
      <w:r w:rsidR="000F6A1E" w:rsidRPr="00BD13D9">
        <w:t>remercie les États Membres et les parties prenantes qui ont répondu à l</w:t>
      </w:r>
      <w:r w:rsidR="00F76CBB" w:rsidRPr="00BD13D9">
        <w:t>'</w:t>
      </w:r>
      <w:r w:rsidR="000F6A1E" w:rsidRPr="00BD13D9">
        <w:t xml:space="preserve">appel </w:t>
      </w:r>
      <w:r w:rsidR="00D31E78" w:rsidRPr="00BD13D9">
        <w:t>visant à appuyer les</w:t>
      </w:r>
      <w:r w:rsidR="0056155E" w:rsidRPr="00BD13D9">
        <w:t xml:space="preserve"> </w:t>
      </w:r>
      <w:r w:rsidR="000F6A1E" w:rsidRPr="00BD13D9">
        <w:t>efforts déployés par l</w:t>
      </w:r>
      <w:r w:rsidR="00F76CBB" w:rsidRPr="00BD13D9">
        <w:t>'</w:t>
      </w:r>
      <w:r w:rsidR="000F6A1E" w:rsidRPr="00BD13D9">
        <w:t>UIT pour reconstruire l</w:t>
      </w:r>
      <w:r w:rsidR="00F76CBB" w:rsidRPr="00BD13D9">
        <w:t>'</w:t>
      </w:r>
      <w:r w:rsidR="000F6A1E" w:rsidRPr="00BD13D9">
        <w:t xml:space="preserve">infrastructure de télécommunication </w:t>
      </w:r>
      <w:r w:rsidR="00A56AA5" w:rsidRPr="00BD13D9">
        <w:t xml:space="preserve">et de radiodiffusion </w:t>
      </w:r>
      <w:r w:rsidR="000F6A1E" w:rsidRPr="00BD13D9">
        <w:t>de l</w:t>
      </w:r>
      <w:r w:rsidR="00F76CBB" w:rsidRPr="00BD13D9">
        <w:t>'</w:t>
      </w:r>
      <w:r w:rsidR="000F6A1E" w:rsidRPr="00BD13D9">
        <w:t xml:space="preserve">Ukraine, </w:t>
      </w:r>
      <w:r w:rsidR="00D31E78" w:rsidRPr="00BD13D9">
        <w:t xml:space="preserve">qui a été </w:t>
      </w:r>
      <w:r w:rsidR="000F6A1E" w:rsidRPr="00BD13D9">
        <w:t>détruite par la guerre. Des engagements d</w:t>
      </w:r>
      <w:r w:rsidR="00F76CBB" w:rsidRPr="00BD13D9">
        <w:t>'</w:t>
      </w:r>
      <w:r w:rsidR="000F6A1E" w:rsidRPr="00BD13D9">
        <w:t>un montant de plus de 100 millions EUR ont été pris à cette fin dans le cadre de la Coalition "Partner2Connect" pour le numérique de l</w:t>
      </w:r>
      <w:r w:rsidR="00F76CBB" w:rsidRPr="00BD13D9">
        <w:t>'</w:t>
      </w:r>
      <w:r w:rsidR="000F6A1E" w:rsidRPr="00BD13D9">
        <w:t>UIT. Le Secrétaire</w:t>
      </w:r>
      <w:r w:rsidR="00560953" w:rsidRPr="00BD13D9">
        <w:t> </w:t>
      </w:r>
      <w:r w:rsidR="000F6A1E" w:rsidRPr="00BD13D9">
        <w:t xml:space="preserve">général souhaite en particulier remercier </w:t>
      </w:r>
      <w:r w:rsidR="000541E1" w:rsidRPr="00BD13D9">
        <w:t>la Pologne</w:t>
      </w:r>
      <w:r w:rsidR="00A56AA5" w:rsidRPr="00BD13D9">
        <w:t>,</w:t>
      </w:r>
      <w:r w:rsidR="000541E1" w:rsidRPr="00BD13D9">
        <w:t xml:space="preserve"> qui a</w:t>
      </w:r>
      <w:r w:rsidR="0056155E" w:rsidRPr="00BD13D9">
        <w:t xml:space="preserve"> </w:t>
      </w:r>
      <w:r w:rsidR="00D31E78" w:rsidRPr="00BD13D9">
        <w:t>porté</w:t>
      </w:r>
      <w:r w:rsidR="0056155E" w:rsidRPr="00BD13D9">
        <w:t xml:space="preserve"> </w:t>
      </w:r>
      <w:r w:rsidR="000541E1" w:rsidRPr="00BD13D9">
        <w:t>son engagement</w:t>
      </w:r>
      <w:r w:rsidR="0056155E" w:rsidRPr="00BD13D9">
        <w:t xml:space="preserve"> </w:t>
      </w:r>
      <w:r w:rsidR="000541E1" w:rsidRPr="00BD13D9">
        <w:t>à</w:t>
      </w:r>
      <w:r w:rsidR="00560953" w:rsidRPr="00BD13D9">
        <w:t> </w:t>
      </w:r>
      <w:r w:rsidR="000541E1" w:rsidRPr="00BD13D9">
        <w:t>21</w:t>
      </w:r>
      <w:r w:rsidR="00560953" w:rsidRPr="00BD13D9">
        <w:t> </w:t>
      </w:r>
      <w:r w:rsidR="000541E1" w:rsidRPr="00BD13D9">
        <w:t>millions</w:t>
      </w:r>
      <w:r w:rsidR="00560953" w:rsidRPr="00BD13D9">
        <w:t> </w:t>
      </w:r>
      <w:r w:rsidR="000541E1" w:rsidRPr="00BD13D9">
        <w:t>USD; la Lituanie, l</w:t>
      </w:r>
      <w:r w:rsidR="00F76CBB" w:rsidRPr="00BD13D9">
        <w:t>'</w:t>
      </w:r>
      <w:r w:rsidR="000541E1" w:rsidRPr="00BD13D9">
        <w:t>Espagne, l</w:t>
      </w:r>
      <w:r w:rsidR="00F76CBB" w:rsidRPr="00BD13D9">
        <w:t>'</w:t>
      </w:r>
      <w:r w:rsidR="000541E1" w:rsidRPr="00BD13D9">
        <w:t>Estonie, la Slovénie, le Japon, les États-Unis, l</w:t>
      </w:r>
      <w:r w:rsidR="00F76CBB" w:rsidRPr="00BD13D9">
        <w:t>'</w:t>
      </w:r>
      <w:r w:rsidR="000541E1" w:rsidRPr="00BD13D9">
        <w:t>Allemagne, le Royaume-Uni et l</w:t>
      </w:r>
      <w:r w:rsidR="00F76CBB" w:rsidRPr="00BD13D9">
        <w:t>'</w:t>
      </w:r>
      <w:r w:rsidR="000541E1" w:rsidRPr="00BD13D9">
        <w:t>Union européenne, qui ont pris des engagements; et les délégations qui</w:t>
      </w:r>
      <w:r w:rsidR="0056155E" w:rsidRPr="00BD13D9">
        <w:t xml:space="preserve"> </w:t>
      </w:r>
      <w:r w:rsidR="00D31E78" w:rsidRPr="00BD13D9">
        <w:t>sont en passe de</w:t>
      </w:r>
      <w:r w:rsidR="0056155E" w:rsidRPr="00BD13D9">
        <w:t xml:space="preserve"> </w:t>
      </w:r>
      <w:r w:rsidR="000541E1" w:rsidRPr="00BD13D9">
        <w:t>prendre un engagement</w:t>
      </w:r>
      <w:r w:rsidRPr="00BD13D9">
        <w:t>.</w:t>
      </w:r>
    </w:p>
    <w:p w14:paraId="0222A142" w14:textId="40478A8C" w:rsidR="00813F8C" w:rsidRPr="00BD13D9" w:rsidRDefault="00813F8C" w:rsidP="007C48D1">
      <w:r w:rsidRPr="00BD13D9">
        <w:t>2.2</w:t>
      </w:r>
      <w:r w:rsidRPr="00BD13D9">
        <w:tab/>
      </w:r>
      <w:r w:rsidR="000541E1" w:rsidRPr="00BD13D9">
        <w:t>L</w:t>
      </w:r>
      <w:r w:rsidR="00F76CBB" w:rsidRPr="00BD13D9">
        <w:t>'</w:t>
      </w:r>
      <w:r w:rsidR="000541E1" w:rsidRPr="00BD13D9">
        <w:t>assistance technique doit être fondée sur des données probantes, mais l</w:t>
      </w:r>
      <w:r w:rsidR="00F76CBB" w:rsidRPr="00BD13D9">
        <w:t>'</w:t>
      </w:r>
      <w:r w:rsidR="000541E1" w:rsidRPr="00BD13D9">
        <w:t>évaluation des dégâts qui est menée en Ukraine ne peut pas encore être</w:t>
      </w:r>
      <w:r w:rsidR="0056155E" w:rsidRPr="00BD13D9">
        <w:t xml:space="preserve"> </w:t>
      </w:r>
      <w:r w:rsidR="00D31E78" w:rsidRPr="00BD13D9">
        <w:t>achevée</w:t>
      </w:r>
      <w:r w:rsidR="0056155E" w:rsidRPr="00BD13D9">
        <w:t xml:space="preserve"> </w:t>
      </w:r>
      <w:r w:rsidR="000541E1" w:rsidRPr="00BD13D9">
        <w:t>en raison du conflit en cours. Il est demandé de renforcer la coordination et de reprendre les travaux après la fin de la</w:t>
      </w:r>
      <w:r w:rsidR="0056155E" w:rsidRPr="00BD13D9">
        <w:t xml:space="preserve"> </w:t>
      </w:r>
      <w:r w:rsidR="000541E1" w:rsidRPr="00BD13D9">
        <w:t>Conférence</w:t>
      </w:r>
      <w:r w:rsidR="00D31E78" w:rsidRPr="00BD13D9">
        <w:t xml:space="preserve"> actuelle</w:t>
      </w:r>
      <w:r w:rsidR="000541E1" w:rsidRPr="00BD13D9">
        <w:t>. Les résultats de l</w:t>
      </w:r>
      <w:r w:rsidR="00F76CBB" w:rsidRPr="00BD13D9">
        <w:t>'</w:t>
      </w:r>
      <w:r w:rsidR="000541E1" w:rsidRPr="00BD13D9">
        <w:t>évaluation serviront à élaborer un programme d</w:t>
      </w:r>
      <w:r w:rsidR="00F76CBB" w:rsidRPr="00BD13D9">
        <w:t>'</w:t>
      </w:r>
      <w:r w:rsidR="000541E1" w:rsidRPr="00BD13D9">
        <w:t xml:space="preserve">assistance technique efficace, qui devra être mis en œuvre en </w:t>
      </w:r>
      <w:r w:rsidR="009E0B19" w:rsidRPr="00BD13D9">
        <w:t>collaboration étroite avec l</w:t>
      </w:r>
      <w:r w:rsidR="00F76CBB" w:rsidRPr="00BD13D9">
        <w:t>'</w:t>
      </w:r>
      <w:r w:rsidR="009E0B19" w:rsidRPr="00BD13D9">
        <w:t>Administration de l</w:t>
      </w:r>
      <w:r w:rsidR="00F76CBB" w:rsidRPr="00BD13D9">
        <w:t>'</w:t>
      </w:r>
      <w:r w:rsidR="009E0B19" w:rsidRPr="00BD13D9">
        <w:t>Ukraine. Dans ce contexte, la coopération de l</w:t>
      </w:r>
      <w:r w:rsidR="00F76CBB" w:rsidRPr="00BD13D9">
        <w:t>'</w:t>
      </w:r>
      <w:r w:rsidR="009E0B19" w:rsidRPr="00BD13D9">
        <w:t>UIT au sein du système des Nations Unies et aux niveaux national, régional et local a été renforcée</w:t>
      </w:r>
      <w:r w:rsidR="00A56AA5" w:rsidRPr="00BD13D9">
        <w:t>,</w:t>
      </w:r>
      <w:r w:rsidR="009E0B19" w:rsidRPr="00BD13D9">
        <w:t xml:space="preserve"> et la Résolution</w:t>
      </w:r>
      <w:r w:rsidR="00A56AA5" w:rsidRPr="00BD13D9">
        <w:t> </w:t>
      </w:r>
      <w:r w:rsidR="009E0B19" w:rsidRPr="00BD13D9">
        <w:t>1408 a été portée à l</w:t>
      </w:r>
      <w:r w:rsidR="00F76CBB" w:rsidRPr="00BD13D9">
        <w:t>'</w:t>
      </w:r>
      <w:r w:rsidR="009E0B19" w:rsidRPr="00BD13D9">
        <w:t>attention des chefs de secrétariat d</w:t>
      </w:r>
      <w:r w:rsidR="00F76CBB" w:rsidRPr="00BD13D9">
        <w:t>'</w:t>
      </w:r>
      <w:r w:rsidR="009E0B19" w:rsidRPr="00BD13D9">
        <w:t>autres entités des Nations Unies et de la Banque mondiale. Étant donné que la reconstruction de l</w:t>
      </w:r>
      <w:r w:rsidR="00F76CBB" w:rsidRPr="00BD13D9">
        <w:t>'</w:t>
      </w:r>
      <w:r w:rsidR="009E0B19" w:rsidRPr="00BD13D9">
        <w:t xml:space="preserve">infrastructure de télécommunication </w:t>
      </w:r>
      <w:r w:rsidR="00A56AA5" w:rsidRPr="00BD13D9">
        <w:t xml:space="preserve">et de radiodiffusion </w:t>
      </w:r>
      <w:r w:rsidR="009E0B19" w:rsidRPr="00BD13D9">
        <w:t>de l</w:t>
      </w:r>
      <w:r w:rsidR="00F76CBB" w:rsidRPr="00BD13D9">
        <w:t>'</w:t>
      </w:r>
      <w:r w:rsidR="009E0B19" w:rsidRPr="00BD13D9">
        <w:t>Ukraine nécessitera d</w:t>
      </w:r>
      <w:r w:rsidR="00F76CBB" w:rsidRPr="00BD13D9">
        <w:t>'</w:t>
      </w:r>
      <w:r w:rsidR="009E0B19" w:rsidRPr="00BD13D9">
        <w:t>importantes ressources humaines et financières, le Secrétaire général appelle les membres de l</w:t>
      </w:r>
      <w:r w:rsidR="00F76CBB" w:rsidRPr="00BD13D9">
        <w:t>'</w:t>
      </w:r>
      <w:r w:rsidR="009E0B19" w:rsidRPr="00BD13D9">
        <w:t>UIT à fournir un appui supplémentaire</w:t>
      </w:r>
      <w:r w:rsidRPr="00BD13D9">
        <w:t>.</w:t>
      </w:r>
    </w:p>
    <w:p w14:paraId="05911BE0" w14:textId="12D7A626" w:rsidR="00813F8C" w:rsidRPr="00BD13D9" w:rsidRDefault="00813F8C" w:rsidP="007C48D1">
      <w:r w:rsidRPr="00BD13D9">
        <w:t>2.3</w:t>
      </w:r>
      <w:r w:rsidRPr="00BD13D9">
        <w:tab/>
      </w:r>
      <w:r w:rsidR="009E0B19" w:rsidRPr="00BD13D9">
        <w:t xml:space="preserve">La </w:t>
      </w:r>
      <w:r w:rsidR="009E0B19" w:rsidRPr="00BD13D9">
        <w:rPr>
          <w:b/>
          <w:bCs/>
        </w:rPr>
        <w:t>déléguée de l</w:t>
      </w:r>
      <w:r w:rsidR="00F76CBB" w:rsidRPr="00BD13D9">
        <w:rPr>
          <w:b/>
          <w:bCs/>
        </w:rPr>
        <w:t>'</w:t>
      </w:r>
      <w:r w:rsidR="009E0B19" w:rsidRPr="00BD13D9">
        <w:rPr>
          <w:b/>
          <w:bCs/>
        </w:rPr>
        <w:t>Ukraine</w:t>
      </w:r>
      <w:r w:rsidR="009E0B19" w:rsidRPr="00BD13D9">
        <w:t xml:space="preserve"> condamne la poursuite des attaques</w:t>
      </w:r>
      <w:r w:rsidR="0056155E" w:rsidRPr="00BD13D9">
        <w:t xml:space="preserve"> </w:t>
      </w:r>
      <w:r w:rsidR="00D31E78" w:rsidRPr="00BD13D9">
        <w:t>de la Russie</w:t>
      </w:r>
      <w:r w:rsidR="009E0B19" w:rsidRPr="00BD13D9">
        <w:t xml:space="preserve"> visant des installations essentielles, notamment l</w:t>
      </w:r>
      <w:r w:rsidR="00F76CBB" w:rsidRPr="00BD13D9">
        <w:t>'</w:t>
      </w:r>
      <w:r w:rsidR="009E0B19" w:rsidRPr="00BD13D9">
        <w:t>infrastructure de télécommunication, dans son pays, qui</w:t>
      </w:r>
      <w:r w:rsidR="0056155E" w:rsidRPr="00BD13D9">
        <w:t xml:space="preserve"> </w:t>
      </w:r>
      <w:r w:rsidR="00D31E78" w:rsidRPr="00BD13D9">
        <w:t>constituent</w:t>
      </w:r>
      <w:r w:rsidR="009E0B19" w:rsidRPr="00BD13D9">
        <w:t xml:space="preserve"> une violation flagrante des valeurs de l</w:t>
      </w:r>
      <w:r w:rsidR="00F76CBB" w:rsidRPr="00BD13D9">
        <w:t>'</w:t>
      </w:r>
      <w:r w:rsidR="009E0B19" w:rsidRPr="00BD13D9">
        <w:t>Union</w:t>
      </w:r>
      <w:r w:rsidR="0000418C" w:rsidRPr="00BD13D9">
        <w:t xml:space="preserve"> et font de nombreuses victimes. S</w:t>
      </w:r>
      <w:r w:rsidR="00F76CBB" w:rsidRPr="00BD13D9">
        <w:t>'</w:t>
      </w:r>
      <w:r w:rsidR="0000418C" w:rsidRPr="00BD13D9">
        <w:t>exprimant également au nom des États Membres de l</w:t>
      </w:r>
      <w:r w:rsidR="00F76CBB" w:rsidRPr="00BD13D9">
        <w:t>'</w:t>
      </w:r>
      <w:r w:rsidR="0000418C" w:rsidRPr="00BD13D9">
        <w:t>Union européenne, de l</w:t>
      </w:r>
      <w:r w:rsidR="00F76CBB" w:rsidRPr="00BD13D9">
        <w:t>'</w:t>
      </w:r>
      <w:r w:rsidR="0000418C" w:rsidRPr="00BD13D9">
        <w:t>Albanie, d</w:t>
      </w:r>
      <w:r w:rsidR="00F76CBB" w:rsidRPr="00BD13D9">
        <w:t>'</w:t>
      </w:r>
      <w:r w:rsidR="0000418C" w:rsidRPr="00BD13D9">
        <w:t>Andorre, de l</w:t>
      </w:r>
      <w:r w:rsidR="00F76CBB" w:rsidRPr="00BD13D9">
        <w:t>'</w:t>
      </w:r>
      <w:r w:rsidR="0000418C" w:rsidRPr="00BD13D9">
        <w:t>Australie, du Canada, de l</w:t>
      </w:r>
      <w:r w:rsidR="00F76CBB" w:rsidRPr="00BD13D9">
        <w:t>'</w:t>
      </w:r>
      <w:r w:rsidR="0000418C" w:rsidRPr="00BD13D9">
        <w:t>Équateur, des États-Unis, de la Géorgie, de l</w:t>
      </w:r>
      <w:r w:rsidR="00F76CBB" w:rsidRPr="00BD13D9">
        <w:t>'</w:t>
      </w:r>
      <w:r w:rsidR="0000418C" w:rsidRPr="00BD13D9">
        <w:t>Islande, d</w:t>
      </w:r>
      <w:r w:rsidR="00F76CBB" w:rsidRPr="00BD13D9">
        <w:t>'</w:t>
      </w:r>
      <w:r w:rsidR="0000418C" w:rsidRPr="00BD13D9">
        <w:t>Israël, du Japon, du Liechtenstein, de la Macédoine du Nord, de Moldova, de Monaco, du Monténégro, de la Norvège, de la Nouvelle-Zélande, du Pérou, de la République de Corée, du Royaume-Uni et de la Suisse, la déléguée prononce la déclaration</w:t>
      </w:r>
      <w:r w:rsidR="0056155E" w:rsidRPr="00BD13D9">
        <w:t xml:space="preserve"> </w:t>
      </w:r>
      <w:r w:rsidR="00D31E78" w:rsidRPr="00BD13D9">
        <w:t>commune</w:t>
      </w:r>
      <w:r w:rsidR="0000418C" w:rsidRPr="00BD13D9">
        <w:t xml:space="preserve"> reproduite </w:t>
      </w:r>
      <w:r w:rsidR="00D31E78" w:rsidRPr="00BD13D9">
        <w:t>dans</w:t>
      </w:r>
      <w:r w:rsidR="0056155E" w:rsidRPr="00BD13D9">
        <w:t xml:space="preserve"> </w:t>
      </w:r>
      <w:r w:rsidR="0000418C" w:rsidRPr="00BD13D9">
        <w:t>l</w:t>
      </w:r>
      <w:r w:rsidR="00F76CBB" w:rsidRPr="00BD13D9">
        <w:t>'</w:t>
      </w:r>
      <w:r w:rsidR="0000418C" w:rsidRPr="00BD13D9">
        <w:rPr>
          <w:b/>
          <w:bCs/>
        </w:rPr>
        <w:t>Annexe A</w:t>
      </w:r>
      <w:r w:rsidR="0000418C" w:rsidRPr="00BD13D9">
        <w:t xml:space="preserve"> du présent procès-verbal. </w:t>
      </w:r>
      <w:r w:rsidR="00D31E78" w:rsidRPr="00BD13D9">
        <w:t>Pour conclure, l</w:t>
      </w:r>
      <w:r w:rsidR="00F76CBB" w:rsidRPr="00BD13D9">
        <w:t>'</w:t>
      </w:r>
      <w:r w:rsidR="0000418C" w:rsidRPr="00BD13D9">
        <w:t xml:space="preserve">oratrice </w:t>
      </w:r>
      <w:r w:rsidR="00D31E78" w:rsidRPr="00BD13D9">
        <w:t>invite les participants</w:t>
      </w:r>
      <w:r w:rsidR="0056155E" w:rsidRPr="00BD13D9">
        <w:t xml:space="preserve"> </w:t>
      </w:r>
      <w:r w:rsidR="0000418C" w:rsidRPr="00BD13D9">
        <w:t>à observer une minute de silence à la mémoire des victimes de la guerre en Ukraine</w:t>
      </w:r>
      <w:r w:rsidRPr="00BD13D9">
        <w:t>.</w:t>
      </w:r>
    </w:p>
    <w:p w14:paraId="2AE70B03" w14:textId="3C2336CA" w:rsidR="00813F8C" w:rsidRPr="00BD13D9" w:rsidRDefault="00813F8C" w:rsidP="007C48D1">
      <w:r w:rsidRPr="00BD13D9">
        <w:t>2.4</w:t>
      </w:r>
      <w:r w:rsidRPr="00BD13D9">
        <w:tab/>
      </w:r>
      <w:r w:rsidR="004D1FD5" w:rsidRPr="007C48D1">
        <w:rPr>
          <w:b/>
        </w:rPr>
        <w:t>Les participants observent une minute de silence</w:t>
      </w:r>
      <w:r w:rsidRPr="00BD13D9">
        <w:t>.</w:t>
      </w:r>
    </w:p>
    <w:p w14:paraId="7C9E4A1E" w14:textId="073DAE69"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lastRenderedPageBreak/>
        <w:t>2.5</w:t>
      </w:r>
      <w:r w:rsidRPr="00BD13D9">
        <w:rPr>
          <w:rFonts w:asciiTheme="minorHAnsi" w:hAnsiTheme="minorHAnsi" w:cstheme="minorHAnsi"/>
          <w:szCs w:val="24"/>
        </w:rPr>
        <w:tab/>
      </w:r>
      <w:r w:rsidR="00C80DC2" w:rsidRPr="00BD13D9">
        <w:rPr>
          <w:rFonts w:asciiTheme="minorHAnsi" w:hAnsiTheme="minorHAnsi" w:cstheme="minorHAnsi"/>
          <w:szCs w:val="24"/>
        </w:rPr>
        <w:t xml:space="preserve">Le </w:t>
      </w:r>
      <w:r w:rsidR="00C80DC2" w:rsidRPr="00BD13D9">
        <w:rPr>
          <w:rFonts w:asciiTheme="minorHAnsi" w:hAnsiTheme="minorHAnsi" w:cstheme="minorHAnsi"/>
          <w:b/>
          <w:bCs/>
          <w:szCs w:val="24"/>
        </w:rPr>
        <w:t>délégué de la Fédération de Russie</w:t>
      </w:r>
      <w:r w:rsidR="00C80DC2" w:rsidRPr="00BD13D9">
        <w:rPr>
          <w:rFonts w:asciiTheme="minorHAnsi" w:hAnsiTheme="minorHAnsi" w:cstheme="minorHAnsi"/>
          <w:szCs w:val="24"/>
        </w:rPr>
        <w:t>, prenant la parole au sujet du rapport du Secrétaire</w:t>
      </w:r>
      <w:r w:rsidR="00560953" w:rsidRPr="00BD13D9">
        <w:rPr>
          <w:rFonts w:asciiTheme="minorHAnsi" w:hAnsiTheme="minorHAnsi" w:cstheme="minorHAnsi"/>
          <w:szCs w:val="24"/>
        </w:rPr>
        <w:t> </w:t>
      </w:r>
      <w:r w:rsidR="00C80DC2" w:rsidRPr="007C48D1">
        <w:t>général</w:t>
      </w:r>
      <w:r w:rsidR="00C80DC2" w:rsidRPr="00BD13D9">
        <w:rPr>
          <w:rFonts w:asciiTheme="minorHAnsi" w:hAnsiTheme="minorHAnsi" w:cstheme="minorHAnsi"/>
          <w:szCs w:val="24"/>
        </w:rPr>
        <w:t xml:space="preserve"> sur la mise en œuvre de la Résolution</w:t>
      </w:r>
      <w:r w:rsidR="00A56AA5" w:rsidRPr="00BD13D9">
        <w:rPr>
          <w:rFonts w:asciiTheme="minorHAnsi" w:hAnsiTheme="minorHAnsi" w:cstheme="minorHAnsi"/>
          <w:szCs w:val="24"/>
        </w:rPr>
        <w:t> </w:t>
      </w:r>
      <w:r w:rsidR="00C80DC2" w:rsidRPr="00BD13D9">
        <w:rPr>
          <w:rFonts w:asciiTheme="minorHAnsi" w:hAnsiTheme="minorHAnsi" w:cstheme="minorHAnsi"/>
          <w:szCs w:val="24"/>
        </w:rPr>
        <w:t>1408 du Conseil, prononce l</w:t>
      </w:r>
      <w:r w:rsidR="00F76CBB" w:rsidRPr="00BD13D9">
        <w:rPr>
          <w:rFonts w:asciiTheme="minorHAnsi" w:hAnsiTheme="minorHAnsi" w:cstheme="minorHAnsi"/>
          <w:szCs w:val="24"/>
        </w:rPr>
        <w:t>'</w:t>
      </w:r>
      <w:r w:rsidR="00C80DC2" w:rsidRPr="00BD13D9">
        <w:rPr>
          <w:rFonts w:asciiTheme="minorHAnsi" w:hAnsiTheme="minorHAnsi" w:cstheme="minorHAnsi"/>
          <w:szCs w:val="24"/>
        </w:rPr>
        <w:t>allocution reproduite</w:t>
      </w:r>
      <w:r w:rsidR="0056155E" w:rsidRPr="00BD13D9">
        <w:rPr>
          <w:rFonts w:asciiTheme="minorHAnsi" w:hAnsiTheme="minorHAnsi" w:cstheme="minorHAnsi"/>
          <w:szCs w:val="24"/>
        </w:rPr>
        <w:t xml:space="preserve"> </w:t>
      </w:r>
      <w:r w:rsidR="001337F3" w:rsidRPr="00BD13D9">
        <w:rPr>
          <w:rFonts w:asciiTheme="minorHAnsi" w:hAnsiTheme="minorHAnsi" w:cstheme="minorHAnsi"/>
          <w:szCs w:val="24"/>
        </w:rPr>
        <w:t>dans</w:t>
      </w:r>
      <w:r w:rsidR="0056155E" w:rsidRPr="00BD13D9">
        <w:rPr>
          <w:rFonts w:asciiTheme="minorHAnsi" w:hAnsiTheme="minorHAnsi" w:cstheme="minorHAnsi"/>
          <w:szCs w:val="24"/>
        </w:rPr>
        <w:t xml:space="preserve"> </w:t>
      </w:r>
      <w:r w:rsidR="00C80DC2" w:rsidRPr="00BD13D9">
        <w:rPr>
          <w:rFonts w:asciiTheme="minorHAnsi" w:hAnsiTheme="minorHAnsi" w:cstheme="minorHAnsi"/>
          <w:szCs w:val="24"/>
        </w:rPr>
        <w:t>l</w:t>
      </w:r>
      <w:r w:rsidR="00F76CBB" w:rsidRPr="00BD13D9">
        <w:rPr>
          <w:rFonts w:asciiTheme="minorHAnsi" w:hAnsiTheme="minorHAnsi" w:cstheme="minorHAnsi"/>
          <w:szCs w:val="24"/>
        </w:rPr>
        <w:t>'</w:t>
      </w:r>
      <w:r w:rsidR="00C80DC2" w:rsidRPr="00BD13D9">
        <w:rPr>
          <w:rFonts w:asciiTheme="minorHAnsi" w:hAnsiTheme="minorHAnsi" w:cstheme="minorHAnsi"/>
          <w:b/>
          <w:bCs/>
          <w:szCs w:val="24"/>
        </w:rPr>
        <w:t>Annexe B</w:t>
      </w:r>
      <w:r w:rsidR="00C80DC2" w:rsidRPr="00BD13D9">
        <w:rPr>
          <w:rFonts w:asciiTheme="minorHAnsi" w:hAnsiTheme="minorHAnsi" w:cstheme="minorHAnsi"/>
          <w:szCs w:val="24"/>
        </w:rPr>
        <w:t xml:space="preserve"> du présent procès-verbal. </w:t>
      </w:r>
      <w:r w:rsidR="00560953" w:rsidRPr="00BD13D9">
        <w:rPr>
          <w:rFonts w:asciiTheme="minorHAnsi" w:hAnsiTheme="minorHAnsi" w:cstheme="minorHAnsi"/>
          <w:szCs w:val="24"/>
        </w:rPr>
        <w:t>À</w:t>
      </w:r>
      <w:r w:rsidR="006208E2" w:rsidRPr="00BD13D9">
        <w:rPr>
          <w:rFonts w:asciiTheme="minorHAnsi" w:hAnsiTheme="minorHAnsi" w:cstheme="minorHAnsi"/>
          <w:szCs w:val="24"/>
        </w:rPr>
        <w:t xml:space="preserve"> propos de</w:t>
      </w:r>
      <w:r w:rsidR="00C80DC2" w:rsidRPr="00BD13D9">
        <w:rPr>
          <w:rFonts w:asciiTheme="minorHAnsi" w:hAnsiTheme="minorHAnsi" w:cstheme="minorHAnsi"/>
          <w:szCs w:val="24"/>
        </w:rPr>
        <w:t xml:space="preserve"> l</w:t>
      </w:r>
      <w:r w:rsidR="00F76CBB" w:rsidRPr="00BD13D9">
        <w:rPr>
          <w:rFonts w:asciiTheme="minorHAnsi" w:hAnsiTheme="minorHAnsi" w:cstheme="minorHAnsi"/>
          <w:szCs w:val="24"/>
        </w:rPr>
        <w:t>'</w:t>
      </w:r>
      <w:r w:rsidR="00C80DC2" w:rsidRPr="00BD13D9">
        <w:rPr>
          <w:rFonts w:asciiTheme="minorHAnsi" w:hAnsiTheme="minorHAnsi" w:cstheme="minorHAnsi"/>
          <w:szCs w:val="24"/>
        </w:rPr>
        <w:t>intervention de la délégation de l</w:t>
      </w:r>
      <w:r w:rsidR="00F76CBB" w:rsidRPr="00BD13D9">
        <w:rPr>
          <w:rFonts w:asciiTheme="minorHAnsi" w:hAnsiTheme="minorHAnsi" w:cstheme="minorHAnsi"/>
          <w:szCs w:val="24"/>
        </w:rPr>
        <w:t>'</w:t>
      </w:r>
      <w:r w:rsidR="00C80DC2" w:rsidRPr="00BD13D9">
        <w:rPr>
          <w:rFonts w:asciiTheme="minorHAnsi" w:hAnsiTheme="minorHAnsi" w:cstheme="minorHAnsi"/>
          <w:szCs w:val="24"/>
        </w:rPr>
        <w:t>Ukraine, l</w:t>
      </w:r>
      <w:r w:rsidR="00F76CBB" w:rsidRPr="00BD13D9">
        <w:rPr>
          <w:rFonts w:asciiTheme="minorHAnsi" w:hAnsiTheme="minorHAnsi" w:cstheme="minorHAnsi"/>
          <w:szCs w:val="24"/>
        </w:rPr>
        <w:t>'</w:t>
      </w:r>
      <w:r w:rsidR="00C80DC2" w:rsidRPr="00BD13D9">
        <w:rPr>
          <w:rFonts w:asciiTheme="minorHAnsi" w:hAnsiTheme="minorHAnsi" w:cstheme="minorHAnsi"/>
          <w:szCs w:val="24"/>
        </w:rPr>
        <w:t>orateur fait savoir que la Fédération de Russie soumettra au secrétariat une déclaration ou réserve officielle, qui est reproduite</w:t>
      </w:r>
      <w:r w:rsidR="006208E2" w:rsidRPr="00BD13D9">
        <w:rPr>
          <w:rFonts w:asciiTheme="minorHAnsi" w:hAnsiTheme="minorHAnsi" w:cstheme="minorHAnsi"/>
          <w:szCs w:val="24"/>
        </w:rPr>
        <w:t xml:space="preserve"> dans</w:t>
      </w:r>
      <w:r w:rsidR="0056155E" w:rsidRPr="00BD13D9">
        <w:rPr>
          <w:rFonts w:asciiTheme="minorHAnsi" w:hAnsiTheme="minorHAnsi" w:cstheme="minorHAnsi"/>
          <w:szCs w:val="24"/>
        </w:rPr>
        <w:t xml:space="preserve"> </w:t>
      </w:r>
      <w:r w:rsidR="00C80DC2" w:rsidRPr="00BD13D9">
        <w:rPr>
          <w:rFonts w:asciiTheme="minorHAnsi" w:hAnsiTheme="minorHAnsi" w:cstheme="minorHAnsi"/>
          <w:szCs w:val="24"/>
        </w:rPr>
        <w:t>l</w:t>
      </w:r>
      <w:r w:rsidR="00F76CBB" w:rsidRPr="00BD13D9">
        <w:rPr>
          <w:rFonts w:asciiTheme="minorHAnsi" w:hAnsiTheme="minorHAnsi" w:cstheme="minorHAnsi"/>
          <w:szCs w:val="24"/>
        </w:rPr>
        <w:t>'</w:t>
      </w:r>
      <w:r w:rsidR="00C80DC2" w:rsidRPr="00BD13D9">
        <w:rPr>
          <w:rFonts w:asciiTheme="minorHAnsi" w:hAnsiTheme="minorHAnsi" w:cstheme="minorHAnsi"/>
          <w:b/>
          <w:bCs/>
          <w:szCs w:val="24"/>
        </w:rPr>
        <w:t>Annexe C</w:t>
      </w:r>
      <w:r w:rsidR="00C80DC2" w:rsidRPr="00BD13D9">
        <w:rPr>
          <w:rFonts w:asciiTheme="minorHAnsi" w:hAnsiTheme="minorHAnsi" w:cstheme="minorHAnsi"/>
          <w:szCs w:val="24"/>
        </w:rPr>
        <w:t xml:space="preserve"> du présent procès-verbal</w:t>
      </w:r>
      <w:r w:rsidRPr="00BD13D9">
        <w:rPr>
          <w:rFonts w:asciiTheme="minorHAnsi" w:hAnsiTheme="minorHAnsi" w:cstheme="minorHAnsi"/>
          <w:szCs w:val="24"/>
        </w:rPr>
        <w:t>.</w:t>
      </w:r>
    </w:p>
    <w:p w14:paraId="5F8E6243" w14:textId="3465B5D8"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2.6</w:t>
      </w:r>
      <w:r w:rsidRPr="00BD13D9">
        <w:rPr>
          <w:rFonts w:asciiTheme="minorHAnsi" w:hAnsiTheme="minorHAnsi" w:cstheme="minorHAnsi"/>
          <w:szCs w:val="24"/>
        </w:rPr>
        <w:tab/>
      </w:r>
      <w:r w:rsidR="00EF469A" w:rsidRPr="00BD13D9">
        <w:rPr>
          <w:rFonts w:asciiTheme="minorHAnsi" w:hAnsiTheme="minorHAnsi" w:cstheme="minorHAnsi"/>
          <w:szCs w:val="24"/>
        </w:rPr>
        <w:t xml:space="preserve">Le </w:t>
      </w:r>
      <w:r w:rsidR="00EF469A" w:rsidRPr="00BD13D9">
        <w:rPr>
          <w:rFonts w:asciiTheme="minorHAnsi" w:hAnsiTheme="minorHAnsi" w:cstheme="minorHAnsi"/>
          <w:b/>
          <w:bCs/>
          <w:szCs w:val="24"/>
        </w:rPr>
        <w:t>délégué de la République arabe syrienne</w:t>
      </w:r>
      <w:r w:rsidR="00EF469A" w:rsidRPr="00BD13D9">
        <w:rPr>
          <w:rFonts w:asciiTheme="minorHAnsi" w:hAnsiTheme="minorHAnsi" w:cstheme="minorHAnsi"/>
          <w:szCs w:val="24"/>
        </w:rPr>
        <w:t xml:space="preserve"> estime que l</w:t>
      </w:r>
      <w:r w:rsidR="00F76CBB" w:rsidRPr="00BD13D9">
        <w:rPr>
          <w:rFonts w:asciiTheme="minorHAnsi" w:hAnsiTheme="minorHAnsi" w:cstheme="minorHAnsi"/>
          <w:szCs w:val="24"/>
        </w:rPr>
        <w:t>'</w:t>
      </w:r>
      <w:r w:rsidR="00EF469A" w:rsidRPr="00BD13D9">
        <w:rPr>
          <w:rFonts w:asciiTheme="minorHAnsi" w:hAnsiTheme="minorHAnsi" w:cstheme="minorHAnsi"/>
          <w:szCs w:val="24"/>
        </w:rPr>
        <w:t>UIT n</w:t>
      </w:r>
      <w:r w:rsidR="00F76CBB" w:rsidRPr="00BD13D9">
        <w:rPr>
          <w:rFonts w:asciiTheme="minorHAnsi" w:hAnsiTheme="minorHAnsi" w:cstheme="minorHAnsi"/>
          <w:szCs w:val="24"/>
        </w:rPr>
        <w:t>'</w:t>
      </w:r>
      <w:r w:rsidR="00EF469A" w:rsidRPr="00BD13D9">
        <w:rPr>
          <w:rFonts w:asciiTheme="minorHAnsi" w:hAnsiTheme="minorHAnsi" w:cstheme="minorHAnsi"/>
          <w:szCs w:val="24"/>
        </w:rPr>
        <w:t>est pas habilitée à examiner les questions d</w:t>
      </w:r>
      <w:r w:rsidR="00F76CBB" w:rsidRPr="00BD13D9">
        <w:rPr>
          <w:rFonts w:asciiTheme="minorHAnsi" w:hAnsiTheme="minorHAnsi" w:cstheme="minorHAnsi"/>
          <w:szCs w:val="24"/>
        </w:rPr>
        <w:t>'</w:t>
      </w:r>
      <w:r w:rsidR="00EF469A" w:rsidRPr="00BD13D9">
        <w:rPr>
          <w:rFonts w:asciiTheme="minorHAnsi" w:hAnsiTheme="minorHAnsi" w:cstheme="minorHAnsi"/>
          <w:szCs w:val="24"/>
        </w:rPr>
        <w:t>ordre politique</w:t>
      </w:r>
      <w:r w:rsidR="00EC6503" w:rsidRPr="00BD13D9">
        <w:rPr>
          <w:rFonts w:asciiTheme="minorHAnsi" w:hAnsiTheme="minorHAnsi" w:cstheme="minorHAnsi"/>
          <w:szCs w:val="24"/>
        </w:rPr>
        <w:t xml:space="preserve"> et ne </w:t>
      </w:r>
      <w:r w:rsidR="0038560C" w:rsidRPr="00BD13D9">
        <w:rPr>
          <w:rFonts w:asciiTheme="minorHAnsi" w:hAnsiTheme="minorHAnsi" w:cstheme="minorHAnsi"/>
          <w:szCs w:val="24"/>
        </w:rPr>
        <w:t>devrait</w:t>
      </w:r>
      <w:r w:rsidR="00EC6503" w:rsidRPr="00BD13D9">
        <w:rPr>
          <w:rFonts w:asciiTheme="minorHAnsi" w:hAnsiTheme="minorHAnsi" w:cstheme="minorHAnsi"/>
          <w:szCs w:val="24"/>
        </w:rPr>
        <w:t xml:space="preserve"> pas</w:t>
      </w:r>
      <w:r w:rsidR="0056155E" w:rsidRPr="00BD13D9">
        <w:rPr>
          <w:rFonts w:asciiTheme="minorHAnsi" w:hAnsiTheme="minorHAnsi" w:cstheme="minorHAnsi"/>
          <w:szCs w:val="24"/>
        </w:rPr>
        <w:t xml:space="preserve"> </w:t>
      </w:r>
      <w:r w:rsidR="006208E2" w:rsidRPr="00BD13D9">
        <w:rPr>
          <w:rFonts w:asciiTheme="minorHAnsi" w:hAnsiTheme="minorHAnsi" w:cstheme="minorHAnsi"/>
          <w:szCs w:val="24"/>
        </w:rPr>
        <w:t>être utilisée pour</w:t>
      </w:r>
      <w:r w:rsidR="00EC6503" w:rsidRPr="00BD13D9">
        <w:rPr>
          <w:rFonts w:asciiTheme="minorHAnsi" w:hAnsiTheme="minorHAnsi" w:cstheme="minorHAnsi"/>
          <w:szCs w:val="24"/>
        </w:rPr>
        <w:t xml:space="preserve"> faire avancer des causes politiques. Critiquer ou condamner</w:t>
      </w:r>
      <w:r w:rsidR="006208E2" w:rsidRPr="00BD13D9">
        <w:rPr>
          <w:rFonts w:asciiTheme="minorHAnsi" w:hAnsiTheme="minorHAnsi" w:cstheme="minorHAnsi"/>
          <w:szCs w:val="24"/>
        </w:rPr>
        <w:t xml:space="preserve"> un</w:t>
      </w:r>
      <w:r w:rsidR="0056155E" w:rsidRPr="00BD13D9">
        <w:rPr>
          <w:rFonts w:asciiTheme="minorHAnsi" w:hAnsiTheme="minorHAnsi" w:cstheme="minorHAnsi"/>
          <w:szCs w:val="24"/>
        </w:rPr>
        <w:t xml:space="preserve"> </w:t>
      </w:r>
      <w:r w:rsidR="00EC6503" w:rsidRPr="00BD13D9">
        <w:rPr>
          <w:rFonts w:asciiTheme="minorHAnsi" w:hAnsiTheme="minorHAnsi" w:cstheme="minorHAnsi"/>
          <w:szCs w:val="24"/>
        </w:rPr>
        <w:t>État Membre de l</w:t>
      </w:r>
      <w:r w:rsidR="00F76CBB" w:rsidRPr="00BD13D9">
        <w:rPr>
          <w:rFonts w:asciiTheme="minorHAnsi" w:hAnsiTheme="minorHAnsi" w:cstheme="minorHAnsi"/>
          <w:szCs w:val="24"/>
        </w:rPr>
        <w:t>'</w:t>
      </w:r>
      <w:r w:rsidR="00EC6503" w:rsidRPr="00BD13D9">
        <w:rPr>
          <w:rFonts w:asciiTheme="minorHAnsi" w:hAnsiTheme="minorHAnsi" w:cstheme="minorHAnsi"/>
          <w:szCs w:val="24"/>
        </w:rPr>
        <w:t>UIT</w:t>
      </w:r>
      <w:r w:rsidR="00EF469A" w:rsidRPr="00BD13D9">
        <w:rPr>
          <w:rFonts w:asciiTheme="minorHAnsi" w:hAnsiTheme="minorHAnsi" w:cstheme="minorHAnsi"/>
          <w:szCs w:val="24"/>
        </w:rPr>
        <w:t xml:space="preserve"> </w:t>
      </w:r>
      <w:r w:rsidR="00EC6503" w:rsidRPr="00BD13D9">
        <w:rPr>
          <w:rFonts w:asciiTheme="minorHAnsi" w:hAnsiTheme="minorHAnsi" w:cstheme="minorHAnsi"/>
          <w:szCs w:val="24"/>
        </w:rPr>
        <w:t>sur la base de préoccupations politiques</w:t>
      </w:r>
      <w:r w:rsidR="0056155E" w:rsidRPr="00BD13D9">
        <w:rPr>
          <w:rFonts w:asciiTheme="minorHAnsi" w:hAnsiTheme="minorHAnsi" w:cstheme="minorHAnsi"/>
          <w:szCs w:val="24"/>
        </w:rPr>
        <w:t xml:space="preserve"> </w:t>
      </w:r>
      <w:r w:rsidR="006208E2" w:rsidRPr="00BD13D9">
        <w:rPr>
          <w:rFonts w:asciiTheme="minorHAnsi" w:hAnsiTheme="minorHAnsi" w:cstheme="minorHAnsi"/>
          <w:szCs w:val="24"/>
        </w:rPr>
        <w:t>créerait</w:t>
      </w:r>
      <w:r w:rsidR="0056155E" w:rsidRPr="00BD13D9">
        <w:rPr>
          <w:rFonts w:asciiTheme="minorHAnsi" w:hAnsiTheme="minorHAnsi" w:cstheme="minorHAnsi"/>
          <w:szCs w:val="24"/>
        </w:rPr>
        <w:t xml:space="preserve"> </w:t>
      </w:r>
      <w:r w:rsidR="00EC6503" w:rsidRPr="00BD13D9">
        <w:rPr>
          <w:rFonts w:asciiTheme="minorHAnsi" w:hAnsiTheme="minorHAnsi" w:cstheme="minorHAnsi"/>
          <w:szCs w:val="24"/>
        </w:rPr>
        <w:t>un précédent pour l</w:t>
      </w:r>
      <w:r w:rsidR="00F76CBB" w:rsidRPr="00BD13D9">
        <w:rPr>
          <w:rFonts w:asciiTheme="minorHAnsi" w:hAnsiTheme="minorHAnsi" w:cstheme="minorHAnsi"/>
          <w:szCs w:val="24"/>
        </w:rPr>
        <w:t>'</w:t>
      </w:r>
      <w:r w:rsidR="00EC6503" w:rsidRPr="00BD13D9">
        <w:rPr>
          <w:rFonts w:asciiTheme="minorHAnsi" w:hAnsiTheme="minorHAnsi" w:cstheme="minorHAnsi"/>
          <w:szCs w:val="24"/>
        </w:rPr>
        <w:t xml:space="preserve">Union, </w:t>
      </w:r>
      <w:r w:rsidR="0038560C" w:rsidRPr="00BD13D9">
        <w:rPr>
          <w:rFonts w:asciiTheme="minorHAnsi" w:hAnsiTheme="minorHAnsi" w:cstheme="minorHAnsi"/>
          <w:szCs w:val="24"/>
        </w:rPr>
        <w:t xml:space="preserve">diviserait ses membres et freinerait </w:t>
      </w:r>
      <w:r w:rsidR="00A56AA5" w:rsidRPr="00BD13D9">
        <w:rPr>
          <w:rFonts w:asciiTheme="minorHAnsi" w:hAnsiTheme="minorHAnsi" w:cstheme="minorHAnsi"/>
          <w:szCs w:val="24"/>
        </w:rPr>
        <w:t>l</w:t>
      </w:r>
      <w:r w:rsidR="0038560C" w:rsidRPr="00BD13D9">
        <w:rPr>
          <w:rFonts w:asciiTheme="minorHAnsi" w:hAnsiTheme="minorHAnsi" w:cstheme="minorHAnsi"/>
          <w:szCs w:val="24"/>
        </w:rPr>
        <w:t xml:space="preserve">es efforts </w:t>
      </w:r>
      <w:r w:rsidR="00A56AA5" w:rsidRPr="00BD13D9">
        <w:rPr>
          <w:rFonts w:asciiTheme="minorHAnsi" w:hAnsiTheme="minorHAnsi" w:cstheme="minorHAnsi"/>
          <w:szCs w:val="24"/>
        </w:rPr>
        <w:t xml:space="preserve">déployés </w:t>
      </w:r>
      <w:r w:rsidR="0038560C" w:rsidRPr="00BD13D9">
        <w:rPr>
          <w:rFonts w:asciiTheme="minorHAnsi" w:hAnsiTheme="minorHAnsi" w:cstheme="minorHAnsi"/>
          <w:szCs w:val="24"/>
        </w:rPr>
        <w:t>pour atteindre ses objectifs</w:t>
      </w:r>
      <w:r w:rsidRPr="00BD13D9">
        <w:rPr>
          <w:rFonts w:asciiTheme="minorHAnsi" w:hAnsiTheme="minorHAnsi" w:cstheme="minorHAnsi"/>
          <w:szCs w:val="24"/>
        </w:rPr>
        <w:t>.</w:t>
      </w:r>
    </w:p>
    <w:p w14:paraId="745C8239" w14:textId="4A10570F"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2.7</w:t>
      </w:r>
      <w:r w:rsidRPr="00BD13D9">
        <w:rPr>
          <w:rFonts w:asciiTheme="minorHAnsi" w:hAnsiTheme="minorHAnsi" w:cstheme="minorHAnsi"/>
          <w:szCs w:val="24"/>
        </w:rPr>
        <w:tab/>
      </w:r>
      <w:r w:rsidR="0038560C" w:rsidRPr="00BD13D9">
        <w:rPr>
          <w:rFonts w:asciiTheme="minorHAnsi" w:hAnsiTheme="minorHAnsi" w:cstheme="minorHAnsi"/>
          <w:szCs w:val="24"/>
        </w:rPr>
        <w:t xml:space="preserve">Le </w:t>
      </w:r>
      <w:r w:rsidR="0038560C" w:rsidRPr="00BD13D9">
        <w:rPr>
          <w:rFonts w:asciiTheme="minorHAnsi" w:hAnsiTheme="minorHAnsi" w:cstheme="minorHAnsi"/>
          <w:b/>
          <w:bCs/>
          <w:szCs w:val="24"/>
        </w:rPr>
        <w:t>délégué de la République tchèque</w:t>
      </w:r>
      <w:r w:rsidR="0038560C" w:rsidRPr="00BD13D9">
        <w:rPr>
          <w:rFonts w:asciiTheme="minorHAnsi" w:hAnsiTheme="minorHAnsi" w:cstheme="minorHAnsi"/>
          <w:szCs w:val="24"/>
        </w:rPr>
        <w:t>, s</w:t>
      </w:r>
      <w:r w:rsidR="00F76CBB" w:rsidRPr="00BD13D9">
        <w:rPr>
          <w:rFonts w:asciiTheme="minorHAnsi" w:hAnsiTheme="minorHAnsi" w:cstheme="minorHAnsi"/>
          <w:szCs w:val="24"/>
        </w:rPr>
        <w:t>'</w:t>
      </w:r>
      <w:r w:rsidR="0038560C" w:rsidRPr="00BD13D9">
        <w:rPr>
          <w:rFonts w:asciiTheme="minorHAnsi" w:hAnsiTheme="minorHAnsi" w:cstheme="minorHAnsi"/>
          <w:szCs w:val="24"/>
        </w:rPr>
        <w:t>exprimant au nom de l</w:t>
      </w:r>
      <w:r w:rsidR="00F76CBB" w:rsidRPr="00BD13D9">
        <w:rPr>
          <w:rFonts w:asciiTheme="minorHAnsi" w:hAnsiTheme="minorHAnsi" w:cstheme="minorHAnsi"/>
          <w:szCs w:val="24"/>
        </w:rPr>
        <w:t>'</w:t>
      </w:r>
      <w:r w:rsidR="0038560C" w:rsidRPr="00BD13D9">
        <w:rPr>
          <w:rFonts w:asciiTheme="minorHAnsi" w:hAnsiTheme="minorHAnsi" w:cstheme="minorHAnsi"/>
          <w:szCs w:val="24"/>
        </w:rPr>
        <w:t xml:space="preserve">Union européenne et de ses États Membres, </w:t>
      </w:r>
      <w:r w:rsidR="006208E2" w:rsidRPr="00BD13D9">
        <w:rPr>
          <w:rFonts w:asciiTheme="minorHAnsi" w:hAnsiTheme="minorHAnsi" w:cstheme="minorHAnsi"/>
          <w:szCs w:val="24"/>
        </w:rPr>
        <w:t>souligne que</w:t>
      </w:r>
      <w:r w:rsidR="0038560C" w:rsidRPr="00BD13D9">
        <w:rPr>
          <w:rFonts w:asciiTheme="minorHAnsi" w:hAnsiTheme="minorHAnsi" w:cstheme="minorHAnsi"/>
          <w:szCs w:val="24"/>
        </w:rPr>
        <w:t xml:space="preserve"> l</w:t>
      </w:r>
      <w:r w:rsidR="00F76CBB" w:rsidRPr="00BD13D9">
        <w:rPr>
          <w:rFonts w:asciiTheme="minorHAnsi" w:hAnsiTheme="minorHAnsi" w:cstheme="minorHAnsi"/>
          <w:szCs w:val="24"/>
        </w:rPr>
        <w:t>'</w:t>
      </w:r>
      <w:r w:rsidR="0038560C" w:rsidRPr="00BD13D9">
        <w:rPr>
          <w:rFonts w:asciiTheme="minorHAnsi" w:hAnsiTheme="minorHAnsi" w:cstheme="minorHAnsi"/>
          <w:szCs w:val="24"/>
        </w:rPr>
        <w:t xml:space="preserve">Union européenne </w:t>
      </w:r>
      <w:r w:rsidR="006208E2" w:rsidRPr="00BD13D9">
        <w:rPr>
          <w:rFonts w:asciiTheme="minorHAnsi" w:hAnsiTheme="minorHAnsi" w:cstheme="minorHAnsi"/>
          <w:szCs w:val="24"/>
        </w:rPr>
        <w:t>fait objection</w:t>
      </w:r>
      <w:r w:rsidR="0056155E" w:rsidRPr="00BD13D9">
        <w:rPr>
          <w:rFonts w:asciiTheme="minorHAnsi" w:hAnsiTheme="minorHAnsi" w:cstheme="minorHAnsi"/>
          <w:szCs w:val="24"/>
        </w:rPr>
        <w:t xml:space="preserve"> </w:t>
      </w:r>
      <w:r w:rsidR="0038560C" w:rsidRPr="00BD13D9">
        <w:rPr>
          <w:rFonts w:asciiTheme="minorHAnsi" w:hAnsiTheme="minorHAnsi" w:cstheme="minorHAnsi"/>
          <w:szCs w:val="24"/>
        </w:rPr>
        <w:t>à la déclaration de la Fédération de Russie,</w:t>
      </w:r>
      <w:r w:rsidR="0056155E" w:rsidRPr="00BD13D9">
        <w:rPr>
          <w:rFonts w:asciiTheme="minorHAnsi" w:hAnsiTheme="minorHAnsi" w:cstheme="minorHAnsi"/>
          <w:szCs w:val="24"/>
        </w:rPr>
        <w:t xml:space="preserve"> </w:t>
      </w:r>
      <w:r w:rsidR="006208E2" w:rsidRPr="00BD13D9">
        <w:rPr>
          <w:rFonts w:asciiTheme="minorHAnsi" w:hAnsiTheme="minorHAnsi" w:cstheme="minorHAnsi"/>
          <w:szCs w:val="24"/>
        </w:rPr>
        <w:t>exprime son soutien indéfectible</w:t>
      </w:r>
      <w:r w:rsidR="006208E2" w:rsidRPr="00BD13D9" w:rsidDel="006208E2">
        <w:rPr>
          <w:rFonts w:asciiTheme="minorHAnsi" w:hAnsiTheme="minorHAnsi" w:cstheme="minorHAnsi"/>
          <w:szCs w:val="24"/>
        </w:rPr>
        <w:t xml:space="preserve"> </w:t>
      </w:r>
      <w:r w:rsidR="0038560C" w:rsidRPr="00BD13D9">
        <w:rPr>
          <w:rFonts w:asciiTheme="minorHAnsi" w:hAnsiTheme="minorHAnsi" w:cstheme="minorHAnsi"/>
          <w:szCs w:val="24"/>
        </w:rPr>
        <w:t>à l</w:t>
      </w:r>
      <w:r w:rsidR="00F76CBB" w:rsidRPr="00BD13D9">
        <w:rPr>
          <w:rFonts w:asciiTheme="minorHAnsi" w:hAnsiTheme="minorHAnsi" w:cstheme="minorHAnsi"/>
          <w:szCs w:val="24"/>
        </w:rPr>
        <w:t>'</w:t>
      </w:r>
      <w:r w:rsidR="0038560C" w:rsidRPr="00BD13D9">
        <w:rPr>
          <w:rFonts w:asciiTheme="minorHAnsi" w:hAnsiTheme="minorHAnsi" w:cstheme="minorHAnsi"/>
          <w:szCs w:val="24"/>
        </w:rPr>
        <w:t>Ukraine et condamne les</w:t>
      </w:r>
      <w:r w:rsidR="0056155E" w:rsidRPr="00BD13D9">
        <w:rPr>
          <w:rFonts w:asciiTheme="minorHAnsi" w:hAnsiTheme="minorHAnsi" w:cstheme="minorHAnsi"/>
          <w:szCs w:val="24"/>
        </w:rPr>
        <w:t xml:space="preserve"> </w:t>
      </w:r>
      <w:r w:rsidR="006208E2" w:rsidRPr="00BD13D9">
        <w:rPr>
          <w:rFonts w:asciiTheme="minorHAnsi" w:hAnsiTheme="minorHAnsi" w:cstheme="minorHAnsi"/>
          <w:szCs w:val="24"/>
        </w:rPr>
        <w:t>agressions</w:t>
      </w:r>
      <w:r w:rsidR="0038560C" w:rsidRPr="00BD13D9">
        <w:rPr>
          <w:rFonts w:asciiTheme="minorHAnsi" w:hAnsiTheme="minorHAnsi" w:cstheme="minorHAnsi"/>
          <w:szCs w:val="24"/>
        </w:rPr>
        <w:t xml:space="preserve"> non provoquées contre ce pays. L</w:t>
      </w:r>
      <w:r w:rsidR="00F76CBB" w:rsidRPr="00BD13D9">
        <w:rPr>
          <w:rFonts w:asciiTheme="minorHAnsi" w:hAnsiTheme="minorHAnsi" w:cstheme="minorHAnsi"/>
          <w:szCs w:val="24"/>
        </w:rPr>
        <w:t>'</w:t>
      </w:r>
      <w:r w:rsidR="006208E2" w:rsidRPr="00BD13D9">
        <w:rPr>
          <w:rFonts w:asciiTheme="minorHAnsi" w:hAnsiTheme="minorHAnsi" w:cstheme="minorHAnsi"/>
          <w:szCs w:val="24"/>
        </w:rPr>
        <w:t>Union européenne</w:t>
      </w:r>
      <w:r w:rsidR="0038560C" w:rsidRPr="00BD13D9">
        <w:rPr>
          <w:rFonts w:asciiTheme="minorHAnsi" w:hAnsiTheme="minorHAnsi" w:cstheme="minorHAnsi"/>
          <w:szCs w:val="24"/>
        </w:rPr>
        <w:t xml:space="preserve"> prie instamment la Fédération de Russie de mettre fin à ses </w:t>
      </w:r>
      <w:r w:rsidR="006208E2" w:rsidRPr="00BD13D9">
        <w:rPr>
          <w:rFonts w:asciiTheme="minorHAnsi" w:hAnsiTheme="minorHAnsi" w:cstheme="minorHAnsi"/>
          <w:szCs w:val="24"/>
        </w:rPr>
        <w:t>agressions</w:t>
      </w:r>
      <w:r w:rsidR="0056155E" w:rsidRPr="00BD13D9">
        <w:rPr>
          <w:rFonts w:asciiTheme="minorHAnsi" w:hAnsiTheme="minorHAnsi" w:cstheme="minorHAnsi"/>
          <w:szCs w:val="24"/>
        </w:rPr>
        <w:t xml:space="preserve"> </w:t>
      </w:r>
      <w:r w:rsidR="00EC0F03" w:rsidRPr="00BD13D9">
        <w:rPr>
          <w:rFonts w:asciiTheme="minorHAnsi" w:hAnsiTheme="minorHAnsi" w:cstheme="minorHAnsi"/>
          <w:szCs w:val="24"/>
        </w:rPr>
        <w:t xml:space="preserve">et de retirer immédiatement et sans condition toutes ses troupes et tous ses équipements militaires du territoire ukrainien. </w:t>
      </w:r>
      <w:r w:rsidR="006208E2" w:rsidRPr="00BD13D9">
        <w:rPr>
          <w:rFonts w:asciiTheme="minorHAnsi" w:hAnsiTheme="minorHAnsi" w:cstheme="minorHAnsi"/>
          <w:szCs w:val="24"/>
        </w:rPr>
        <w:t>L</w:t>
      </w:r>
      <w:r w:rsidR="00F76CBB" w:rsidRPr="00BD13D9">
        <w:rPr>
          <w:rFonts w:asciiTheme="minorHAnsi" w:hAnsiTheme="minorHAnsi" w:cstheme="minorHAnsi"/>
          <w:szCs w:val="24"/>
        </w:rPr>
        <w:t>'</w:t>
      </w:r>
      <w:r w:rsidR="006208E2" w:rsidRPr="00BD13D9">
        <w:rPr>
          <w:rFonts w:asciiTheme="minorHAnsi" w:hAnsiTheme="minorHAnsi" w:cstheme="minorHAnsi"/>
          <w:szCs w:val="24"/>
        </w:rPr>
        <w:t xml:space="preserve">Union européenne </w:t>
      </w:r>
      <w:r w:rsidR="00EC0F03" w:rsidRPr="00BD13D9">
        <w:rPr>
          <w:rFonts w:asciiTheme="minorHAnsi" w:hAnsiTheme="minorHAnsi" w:cstheme="minorHAnsi"/>
          <w:szCs w:val="24"/>
        </w:rPr>
        <w:t>exige également que la Fédération de Russie respecte pleinement l</w:t>
      </w:r>
      <w:r w:rsidR="00F76CBB" w:rsidRPr="00BD13D9">
        <w:rPr>
          <w:rFonts w:asciiTheme="minorHAnsi" w:hAnsiTheme="minorHAnsi" w:cstheme="minorHAnsi"/>
          <w:szCs w:val="24"/>
        </w:rPr>
        <w:t>'</w:t>
      </w:r>
      <w:r w:rsidR="00EC0F03" w:rsidRPr="00BD13D9">
        <w:rPr>
          <w:rFonts w:asciiTheme="minorHAnsi" w:hAnsiTheme="minorHAnsi" w:cstheme="minorHAnsi"/>
          <w:szCs w:val="24"/>
        </w:rPr>
        <w:t>indépendance</w:t>
      </w:r>
      <w:r w:rsidR="00790861" w:rsidRPr="00BD13D9">
        <w:rPr>
          <w:rFonts w:asciiTheme="minorHAnsi" w:hAnsiTheme="minorHAnsi" w:cstheme="minorHAnsi"/>
          <w:szCs w:val="24"/>
        </w:rPr>
        <w:t>, la souveraineté</w:t>
      </w:r>
      <w:r w:rsidR="00EC0F03" w:rsidRPr="00BD13D9">
        <w:rPr>
          <w:rFonts w:asciiTheme="minorHAnsi" w:hAnsiTheme="minorHAnsi" w:cstheme="minorHAnsi"/>
          <w:szCs w:val="24"/>
        </w:rPr>
        <w:t xml:space="preserve"> </w:t>
      </w:r>
      <w:r w:rsidR="00790861" w:rsidRPr="00BD13D9">
        <w:rPr>
          <w:rFonts w:asciiTheme="minorHAnsi" w:hAnsiTheme="minorHAnsi" w:cstheme="minorHAnsi"/>
          <w:szCs w:val="24"/>
        </w:rPr>
        <w:t>et l</w:t>
      </w:r>
      <w:r w:rsidR="00F76CBB" w:rsidRPr="00BD13D9">
        <w:rPr>
          <w:rFonts w:asciiTheme="minorHAnsi" w:hAnsiTheme="minorHAnsi" w:cstheme="minorHAnsi"/>
          <w:szCs w:val="24"/>
        </w:rPr>
        <w:t>'</w:t>
      </w:r>
      <w:r w:rsidR="00790861" w:rsidRPr="00BD13D9">
        <w:rPr>
          <w:rFonts w:asciiTheme="minorHAnsi" w:hAnsiTheme="minorHAnsi" w:cstheme="minorHAnsi"/>
          <w:szCs w:val="24"/>
        </w:rPr>
        <w:t xml:space="preserve">intégrité territoriale </w:t>
      </w:r>
      <w:r w:rsidR="00EC0F03" w:rsidRPr="00BD13D9">
        <w:rPr>
          <w:rFonts w:asciiTheme="minorHAnsi" w:hAnsiTheme="minorHAnsi" w:cstheme="minorHAnsi"/>
          <w:szCs w:val="24"/>
        </w:rPr>
        <w:t>de l</w:t>
      </w:r>
      <w:r w:rsidR="00F76CBB" w:rsidRPr="00BD13D9">
        <w:rPr>
          <w:rFonts w:asciiTheme="minorHAnsi" w:hAnsiTheme="minorHAnsi" w:cstheme="minorHAnsi"/>
          <w:szCs w:val="24"/>
        </w:rPr>
        <w:t>'</w:t>
      </w:r>
      <w:r w:rsidR="00EC0F03" w:rsidRPr="00BD13D9">
        <w:rPr>
          <w:rFonts w:asciiTheme="minorHAnsi" w:hAnsiTheme="minorHAnsi" w:cstheme="minorHAnsi"/>
          <w:szCs w:val="24"/>
        </w:rPr>
        <w:t>Ukraine à l</w:t>
      </w:r>
      <w:r w:rsidR="00F76CBB" w:rsidRPr="00BD13D9">
        <w:rPr>
          <w:rFonts w:asciiTheme="minorHAnsi" w:hAnsiTheme="minorHAnsi" w:cstheme="minorHAnsi"/>
          <w:szCs w:val="24"/>
        </w:rPr>
        <w:t>'</w:t>
      </w:r>
      <w:r w:rsidR="00EC0F03" w:rsidRPr="00BD13D9">
        <w:rPr>
          <w:rFonts w:asciiTheme="minorHAnsi" w:hAnsiTheme="minorHAnsi" w:cstheme="minorHAnsi"/>
          <w:szCs w:val="24"/>
        </w:rPr>
        <w:t>intérieur des frontières internationalement reconnues</w:t>
      </w:r>
      <w:r w:rsidR="0056155E" w:rsidRPr="00BD13D9">
        <w:rPr>
          <w:rFonts w:asciiTheme="minorHAnsi" w:hAnsiTheme="minorHAnsi" w:cstheme="minorHAnsi"/>
          <w:szCs w:val="24"/>
        </w:rPr>
        <w:t xml:space="preserve"> </w:t>
      </w:r>
      <w:r w:rsidR="006208E2" w:rsidRPr="00BD13D9">
        <w:rPr>
          <w:rFonts w:asciiTheme="minorHAnsi" w:hAnsiTheme="minorHAnsi" w:cstheme="minorHAnsi"/>
          <w:szCs w:val="24"/>
        </w:rPr>
        <w:t xml:space="preserve">de ce </w:t>
      </w:r>
      <w:r w:rsidR="00EC0F03" w:rsidRPr="00BD13D9">
        <w:rPr>
          <w:rFonts w:asciiTheme="minorHAnsi" w:hAnsiTheme="minorHAnsi" w:cstheme="minorHAnsi"/>
          <w:szCs w:val="24"/>
        </w:rPr>
        <w:t>pays, se conforme à la Résolution de l</w:t>
      </w:r>
      <w:r w:rsidR="00F76CBB" w:rsidRPr="00BD13D9">
        <w:rPr>
          <w:rFonts w:asciiTheme="minorHAnsi" w:hAnsiTheme="minorHAnsi" w:cstheme="minorHAnsi"/>
          <w:szCs w:val="24"/>
        </w:rPr>
        <w:t>'</w:t>
      </w:r>
      <w:r w:rsidR="00EC0F03" w:rsidRPr="00BD13D9">
        <w:rPr>
          <w:rFonts w:asciiTheme="minorHAnsi" w:hAnsiTheme="minorHAnsi" w:cstheme="minorHAnsi"/>
          <w:szCs w:val="24"/>
        </w:rPr>
        <w:t>Assemblée générale des Nations Unies sur l</w:t>
      </w:r>
      <w:r w:rsidR="00F76CBB" w:rsidRPr="00BD13D9">
        <w:rPr>
          <w:rFonts w:asciiTheme="minorHAnsi" w:hAnsiTheme="minorHAnsi" w:cstheme="minorHAnsi"/>
          <w:szCs w:val="24"/>
        </w:rPr>
        <w:t>'</w:t>
      </w:r>
      <w:r w:rsidR="00EC0F03" w:rsidRPr="00BD13D9">
        <w:rPr>
          <w:rFonts w:asciiTheme="minorHAnsi" w:hAnsiTheme="minorHAnsi" w:cstheme="minorHAnsi"/>
          <w:szCs w:val="24"/>
        </w:rPr>
        <w:t>agression contre l</w:t>
      </w:r>
      <w:r w:rsidR="00F76CBB" w:rsidRPr="00BD13D9">
        <w:rPr>
          <w:rFonts w:asciiTheme="minorHAnsi" w:hAnsiTheme="minorHAnsi" w:cstheme="minorHAnsi"/>
          <w:szCs w:val="24"/>
        </w:rPr>
        <w:t>'</w:t>
      </w:r>
      <w:r w:rsidR="00EC0F03" w:rsidRPr="00BD13D9">
        <w:rPr>
          <w:rFonts w:asciiTheme="minorHAnsi" w:hAnsiTheme="minorHAnsi" w:cstheme="minorHAnsi"/>
          <w:szCs w:val="24"/>
        </w:rPr>
        <w:t>Ukraine, et mette un terme à sa campagne de désinformation</w:t>
      </w:r>
      <w:r w:rsidRPr="00BD13D9">
        <w:rPr>
          <w:rFonts w:asciiTheme="minorHAnsi" w:hAnsiTheme="minorHAnsi" w:cstheme="minorHAnsi"/>
          <w:szCs w:val="24"/>
        </w:rPr>
        <w:t>.</w:t>
      </w:r>
    </w:p>
    <w:p w14:paraId="1BFCB567" w14:textId="2B9255EA"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2.8</w:t>
      </w:r>
      <w:r w:rsidRPr="00BD13D9">
        <w:rPr>
          <w:rFonts w:asciiTheme="minorHAnsi" w:hAnsiTheme="minorHAnsi" w:cstheme="minorHAnsi"/>
          <w:szCs w:val="24"/>
        </w:rPr>
        <w:tab/>
      </w:r>
      <w:r w:rsidR="00EC0F03" w:rsidRPr="00BD13D9">
        <w:rPr>
          <w:rFonts w:asciiTheme="minorHAnsi" w:hAnsiTheme="minorHAnsi" w:cstheme="minorHAnsi"/>
          <w:szCs w:val="24"/>
        </w:rPr>
        <w:t xml:space="preserve">Le </w:t>
      </w:r>
      <w:r w:rsidR="00EC0F03" w:rsidRPr="00BD13D9">
        <w:rPr>
          <w:rFonts w:asciiTheme="minorHAnsi" w:hAnsiTheme="minorHAnsi" w:cstheme="minorHAnsi"/>
          <w:b/>
          <w:bCs/>
          <w:szCs w:val="24"/>
        </w:rPr>
        <w:t>délégué de la Pologne</w:t>
      </w:r>
      <w:r w:rsidR="00EC0F03" w:rsidRPr="00BD13D9">
        <w:rPr>
          <w:rFonts w:asciiTheme="minorHAnsi" w:hAnsiTheme="minorHAnsi" w:cstheme="minorHAnsi"/>
          <w:szCs w:val="24"/>
        </w:rPr>
        <w:t xml:space="preserve"> </w:t>
      </w:r>
      <w:r w:rsidR="00954107" w:rsidRPr="00BD13D9">
        <w:rPr>
          <w:rFonts w:asciiTheme="minorHAnsi" w:hAnsiTheme="minorHAnsi" w:cstheme="minorHAnsi"/>
          <w:szCs w:val="24"/>
        </w:rPr>
        <w:t>exprime sa pleine solidarité</w:t>
      </w:r>
      <w:r w:rsidR="00954107" w:rsidRPr="00BD13D9" w:rsidDel="00954107">
        <w:rPr>
          <w:rFonts w:asciiTheme="minorHAnsi" w:hAnsiTheme="minorHAnsi" w:cstheme="minorHAnsi"/>
          <w:szCs w:val="24"/>
        </w:rPr>
        <w:t xml:space="preserve"> </w:t>
      </w:r>
      <w:r w:rsidR="00954107" w:rsidRPr="00BD13D9">
        <w:rPr>
          <w:rFonts w:asciiTheme="minorHAnsi" w:hAnsiTheme="minorHAnsi" w:cstheme="minorHAnsi"/>
          <w:szCs w:val="24"/>
        </w:rPr>
        <w:t xml:space="preserve">avec </w:t>
      </w:r>
      <w:r w:rsidR="00EC0F03" w:rsidRPr="00BD13D9">
        <w:rPr>
          <w:rFonts w:asciiTheme="minorHAnsi" w:hAnsiTheme="minorHAnsi" w:cstheme="minorHAnsi"/>
          <w:szCs w:val="24"/>
        </w:rPr>
        <w:t>l</w:t>
      </w:r>
      <w:r w:rsidR="00F76CBB" w:rsidRPr="00BD13D9">
        <w:rPr>
          <w:rFonts w:asciiTheme="minorHAnsi" w:hAnsiTheme="minorHAnsi" w:cstheme="minorHAnsi"/>
          <w:szCs w:val="24"/>
        </w:rPr>
        <w:t>'</w:t>
      </w:r>
      <w:r w:rsidR="00EC0F03" w:rsidRPr="00BD13D9">
        <w:rPr>
          <w:rFonts w:asciiTheme="minorHAnsi" w:hAnsiTheme="minorHAnsi" w:cstheme="minorHAnsi"/>
          <w:szCs w:val="24"/>
        </w:rPr>
        <w:t>Ukraine et</w:t>
      </w:r>
      <w:r w:rsidR="0056155E" w:rsidRPr="00BD13D9">
        <w:rPr>
          <w:rFonts w:asciiTheme="minorHAnsi" w:hAnsiTheme="minorHAnsi" w:cstheme="minorHAnsi"/>
          <w:szCs w:val="24"/>
        </w:rPr>
        <w:t xml:space="preserve"> </w:t>
      </w:r>
      <w:r w:rsidR="00EC0F03" w:rsidRPr="00BD13D9">
        <w:rPr>
          <w:rFonts w:asciiTheme="minorHAnsi" w:hAnsiTheme="minorHAnsi" w:cstheme="minorHAnsi"/>
          <w:szCs w:val="24"/>
        </w:rPr>
        <w:t xml:space="preserve">sa population. </w:t>
      </w:r>
      <w:r w:rsidR="00954107" w:rsidRPr="00BD13D9">
        <w:rPr>
          <w:rFonts w:asciiTheme="minorHAnsi" w:hAnsiTheme="minorHAnsi" w:cstheme="minorHAnsi"/>
          <w:szCs w:val="24"/>
        </w:rPr>
        <w:t>On</w:t>
      </w:r>
      <w:r w:rsidR="00EC0F03" w:rsidRPr="00BD13D9">
        <w:rPr>
          <w:rFonts w:asciiTheme="minorHAnsi" w:hAnsiTheme="minorHAnsi" w:cstheme="minorHAnsi"/>
          <w:szCs w:val="24"/>
        </w:rPr>
        <w:t xml:space="preserve"> ne peut accepter qu</w:t>
      </w:r>
      <w:r w:rsidR="00F76CBB" w:rsidRPr="00BD13D9">
        <w:rPr>
          <w:rFonts w:asciiTheme="minorHAnsi" w:hAnsiTheme="minorHAnsi" w:cstheme="minorHAnsi"/>
          <w:szCs w:val="24"/>
        </w:rPr>
        <w:t>'</w:t>
      </w:r>
      <w:r w:rsidR="00EC0F03" w:rsidRPr="00BD13D9">
        <w:rPr>
          <w:rFonts w:asciiTheme="minorHAnsi" w:hAnsiTheme="minorHAnsi" w:cstheme="minorHAnsi"/>
          <w:szCs w:val="24"/>
        </w:rPr>
        <w:t>un État</w:t>
      </w:r>
      <w:r w:rsidR="0056155E" w:rsidRPr="00BD13D9">
        <w:rPr>
          <w:rFonts w:asciiTheme="minorHAnsi" w:hAnsiTheme="minorHAnsi" w:cstheme="minorHAnsi"/>
          <w:szCs w:val="24"/>
        </w:rPr>
        <w:t xml:space="preserve"> </w:t>
      </w:r>
      <w:r w:rsidR="00954107" w:rsidRPr="00BD13D9">
        <w:rPr>
          <w:rFonts w:asciiTheme="minorHAnsi" w:hAnsiTheme="minorHAnsi" w:cstheme="minorHAnsi"/>
          <w:szCs w:val="24"/>
        </w:rPr>
        <w:t xml:space="preserve">enfreigne </w:t>
      </w:r>
      <w:r w:rsidR="00EC0F03" w:rsidRPr="00BD13D9">
        <w:rPr>
          <w:rFonts w:asciiTheme="minorHAnsi" w:hAnsiTheme="minorHAnsi" w:cstheme="minorHAnsi"/>
          <w:szCs w:val="24"/>
        </w:rPr>
        <w:t xml:space="preserve">les principes fondamentaux </w:t>
      </w:r>
      <w:r w:rsidR="00954107" w:rsidRPr="00BD13D9">
        <w:rPr>
          <w:rFonts w:asciiTheme="minorHAnsi" w:hAnsiTheme="minorHAnsi" w:cstheme="minorHAnsi"/>
          <w:szCs w:val="24"/>
        </w:rPr>
        <w:t>consacrés dans</w:t>
      </w:r>
      <w:r w:rsidR="0056155E" w:rsidRPr="00BD13D9">
        <w:rPr>
          <w:rFonts w:asciiTheme="minorHAnsi" w:hAnsiTheme="minorHAnsi" w:cstheme="minorHAnsi"/>
          <w:szCs w:val="24"/>
        </w:rPr>
        <w:t xml:space="preserve"> </w:t>
      </w:r>
      <w:r w:rsidR="003F1ABF" w:rsidRPr="00BD13D9">
        <w:rPr>
          <w:rFonts w:asciiTheme="minorHAnsi" w:hAnsiTheme="minorHAnsi" w:cstheme="minorHAnsi"/>
          <w:szCs w:val="24"/>
        </w:rPr>
        <w:t>la Charte des Nations Unies et fasse preuve</w:t>
      </w:r>
      <w:r w:rsidR="0056155E" w:rsidRPr="00BD13D9">
        <w:rPr>
          <w:rFonts w:asciiTheme="minorHAnsi" w:hAnsiTheme="minorHAnsi" w:cstheme="minorHAnsi"/>
          <w:szCs w:val="24"/>
        </w:rPr>
        <w:t xml:space="preserve"> </w:t>
      </w:r>
      <w:r w:rsidR="00954107" w:rsidRPr="00BD13D9">
        <w:rPr>
          <w:rFonts w:asciiTheme="minorHAnsi" w:hAnsiTheme="minorHAnsi" w:cstheme="minorHAnsi"/>
          <w:szCs w:val="24"/>
        </w:rPr>
        <w:t xml:space="preserve">de </w:t>
      </w:r>
      <w:r w:rsidR="003214DF" w:rsidRPr="00BD13D9">
        <w:rPr>
          <w:rFonts w:asciiTheme="minorHAnsi" w:hAnsiTheme="minorHAnsi" w:cstheme="minorHAnsi"/>
          <w:szCs w:val="24"/>
        </w:rPr>
        <w:t>mépris</w:t>
      </w:r>
      <w:r w:rsidR="0056155E" w:rsidRPr="00BD13D9">
        <w:rPr>
          <w:rFonts w:asciiTheme="minorHAnsi" w:hAnsiTheme="minorHAnsi" w:cstheme="minorHAnsi"/>
          <w:szCs w:val="24"/>
        </w:rPr>
        <w:t xml:space="preserve"> </w:t>
      </w:r>
      <w:r w:rsidR="00954107" w:rsidRPr="00BD13D9">
        <w:rPr>
          <w:rFonts w:asciiTheme="minorHAnsi" w:hAnsiTheme="minorHAnsi" w:cstheme="minorHAnsi"/>
          <w:szCs w:val="24"/>
        </w:rPr>
        <w:t xml:space="preserve">pour </w:t>
      </w:r>
      <w:r w:rsidR="003F1ABF" w:rsidRPr="00BD13D9">
        <w:rPr>
          <w:rFonts w:asciiTheme="minorHAnsi" w:hAnsiTheme="minorHAnsi" w:cstheme="minorHAnsi"/>
          <w:szCs w:val="24"/>
        </w:rPr>
        <w:t>la vie humaine. Depuis le début du conflit en Ukraine, la Pologne a pris toutes les mesures nécessaires pour non seulement</w:t>
      </w:r>
      <w:r w:rsidR="0056155E" w:rsidRPr="00BD13D9">
        <w:rPr>
          <w:rFonts w:asciiTheme="minorHAnsi" w:hAnsiTheme="minorHAnsi" w:cstheme="minorHAnsi"/>
          <w:szCs w:val="24"/>
        </w:rPr>
        <w:t xml:space="preserve"> </w:t>
      </w:r>
      <w:r w:rsidR="00954107" w:rsidRPr="00BD13D9">
        <w:rPr>
          <w:rFonts w:asciiTheme="minorHAnsi" w:hAnsiTheme="minorHAnsi" w:cstheme="minorHAnsi"/>
          <w:szCs w:val="24"/>
        </w:rPr>
        <w:t xml:space="preserve">pour </w:t>
      </w:r>
      <w:r w:rsidR="003F1ABF" w:rsidRPr="00BD13D9">
        <w:rPr>
          <w:rFonts w:asciiTheme="minorHAnsi" w:hAnsiTheme="minorHAnsi" w:cstheme="minorHAnsi"/>
          <w:szCs w:val="24"/>
        </w:rPr>
        <w:t>connecter ceux qui ne le sont pas encore, mais aussi</w:t>
      </w:r>
      <w:r w:rsidR="00954107" w:rsidRPr="00BD13D9">
        <w:rPr>
          <w:rFonts w:asciiTheme="minorHAnsi" w:hAnsiTheme="minorHAnsi" w:cstheme="minorHAnsi"/>
          <w:szCs w:val="24"/>
        </w:rPr>
        <w:t xml:space="preserve"> pour connecter à nouveau</w:t>
      </w:r>
      <w:r w:rsidR="0056155E" w:rsidRPr="00BD13D9">
        <w:rPr>
          <w:rFonts w:asciiTheme="minorHAnsi" w:hAnsiTheme="minorHAnsi" w:cstheme="minorHAnsi"/>
          <w:szCs w:val="24"/>
        </w:rPr>
        <w:t xml:space="preserve"> </w:t>
      </w:r>
      <w:r w:rsidR="003F1ABF" w:rsidRPr="00BD13D9">
        <w:rPr>
          <w:rFonts w:asciiTheme="minorHAnsi" w:hAnsiTheme="minorHAnsi" w:cstheme="minorHAnsi"/>
          <w:szCs w:val="24"/>
        </w:rPr>
        <w:t>ceux qui</w:t>
      </w:r>
      <w:r w:rsidR="0056155E" w:rsidRPr="00BD13D9">
        <w:rPr>
          <w:rFonts w:asciiTheme="minorHAnsi" w:hAnsiTheme="minorHAnsi" w:cstheme="minorHAnsi"/>
          <w:szCs w:val="24"/>
        </w:rPr>
        <w:t xml:space="preserve"> </w:t>
      </w:r>
      <w:r w:rsidR="003F1ABF" w:rsidRPr="00BD13D9">
        <w:rPr>
          <w:rFonts w:asciiTheme="minorHAnsi" w:hAnsiTheme="minorHAnsi" w:cstheme="minorHAnsi"/>
          <w:szCs w:val="24"/>
        </w:rPr>
        <w:t>ont été temporairement</w:t>
      </w:r>
      <w:r w:rsidR="00954107" w:rsidRPr="00BD13D9">
        <w:rPr>
          <w:rFonts w:asciiTheme="minorHAnsi" w:hAnsiTheme="minorHAnsi" w:cstheme="minorHAnsi"/>
          <w:szCs w:val="24"/>
        </w:rPr>
        <w:t xml:space="preserve"> privés de connexion</w:t>
      </w:r>
      <w:r w:rsidR="003F1ABF" w:rsidRPr="00BD13D9">
        <w:rPr>
          <w:rFonts w:asciiTheme="minorHAnsi" w:hAnsiTheme="minorHAnsi" w:cstheme="minorHAnsi"/>
          <w:szCs w:val="24"/>
        </w:rPr>
        <w:t>. La Pologne se félicite du rapport d</w:t>
      </w:r>
      <w:r w:rsidR="00F76CBB" w:rsidRPr="00BD13D9">
        <w:rPr>
          <w:rFonts w:asciiTheme="minorHAnsi" w:hAnsiTheme="minorHAnsi" w:cstheme="minorHAnsi"/>
          <w:szCs w:val="24"/>
        </w:rPr>
        <w:t>'</w:t>
      </w:r>
      <w:r w:rsidR="003F1ABF" w:rsidRPr="00BD13D9">
        <w:rPr>
          <w:rFonts w:asciiTheme="minorHAnsi" w:hAnsiTheme="minorHAnsi" w:cstheme="minorHAnsi"/>
          <w:szCs w:val="24"/>
        </w:rPr>
        <w:t>activité figurant dans le Document</w:t>
      </w:r>
      <w:r w:rsidR="00A56AA5" w:rsidRPr="00BD13D9">
        <w:rPr>
          <w:rFonts w:asciiTheme="minorHAnsi" w:hAnsiTheme="minorHAnsi" w:cstheme="minorHAnsi"/>
          <w:szCs w:val="24"/>
        </w:rPr>
        <w:t> </w:t>
      </w:r>
      <w:r w:rsidR="003F1ABF" w:rsidRPr="00BD13D9">
        <w:rPr>
          <w:rFonts w:asciiTheme="minorHAnsi" w:hAnsiTheme="minorHAnsi" w:cstheme="minorHAnsi"/>
          <w:szCs w:val="24"/>
        </w:rPr>
        <w:t>70, et attend avec intérêt la publication du rapport d</w:t>
      </w:r>
      <w:r w:rsidR="00F76CBB" w:rsidRPr="00BD13D9">
        <w:rPr>
          <w:rFonts w:asciiTheme="minorHAnsi" w:hAnsiTheme="minorHAnsi" w:cstheme="minorHAnsi"/>
          <w:szCs w:val="24"/>
        </w:rPr>
        <w:t>'</w:t>
      </w:r>
      <w:r w:rsidR="003F1ABF" w:rsidRPr="00BD13D9">
        <w:rPr>
          <w:rFonts w:asciiTheme="minorHAnsi" w:hAnsiTheme="minorHAnsi" w:cstheme="minorHAnsi"/>
          <w:szCs w:val="24"/>
        </w:rPr>
        <w:t>évaluation et de</w:t>
      </w:r>
      <w:r w:rsidR="00954107" w:rsidRPr="00BD13D9">
        <w:rPr>
          <w:rFonts w:asciiTheme="minorHAnsi" w:hAnsiTheme="minorHAnsi" w:cstheme="minorHAnsi"/>
          <w:szCs w:val="24"/>
        </w:rPr>
        <w:t>s</w:t>
      </w:r>
      <w:r w:rsidR="0056155E" w:rsidRPr="00BD13D9">
        <w:rPr>
          <w:rFonts w:asciiTheme="minorHAnsi" w:hAnsiTheme="minorHAnsi" w:cstheme="minorHAnsi"/>
          <w:szCs w:val="24"/>
        </w:rPr>
        <w:t xml:space="preserve"> </w:t>
      </w:r>
      <w:r w:rsidR="003F1ABF" w:rsidRPr="00BD13D9">
        <w:rPr>
          <w:rFonts w:asciiTheme="minorHAnsi" w:hAnsiTheme="minorHAnsi" w:cstheme="minorHAnsi"/>
          <w:szCs w:val="24"/>
        </w:rPr>
        <w:t>autres documents liés à la fourniture d</w:t>
      </w:r>
      <w:r w:rsidR="00F76CBB" w:rsidRPr="00BD13D9">
        <w:rPr>
          <w:rFonts w:asciiTheme="minorHAnsi" w:hAnsiTheme="minorHAnsi" w:cstheme="minorHAnsi"/>
          <w:szCs w:val="24"/>
        </w:rPr>
        <w:t>'</w:t>
      </w:r>
      <w:r w:rsidR="003F1ABF" w:rsidRPr="00BD13D9">
        <w:rPr>
          <w:rFonts w:asciiTheme="minorHAnsi" w:hAnsiTheme="minorHAnsi" w:cstheme="minorHAnsi"/>
          <w:szCs w:val="24"/>
        </w:rPr>
        <w:t>une assistance à l</w:t>
      </w:r>
      <w:r w:rsidR="00F76CBB" w:rsidRPr="00BD13D9">
        <w:rPr>
          <w:rFonts w:asciiTheme="minorHAnsi" w:hAnsiTheme="minorHAnsi" w:cstheme="minorHAnsi"/>
          <w:szCs w:val="24"/>
        </w:rPr>
        <w:t>'</w:t>
      </w:r>
      <w:r w:rsidR="003F1ABF" w:rsidRPr="00BD13D9">
        <w:rPr>
          <w:rFonts w:asciiTheme="minorHAnsi" w:hAnsiTheme="minorHAnsi" w:cstheme="minorHAnsi"/>
          <w:szCs w:val="24"/>
        </w:rPr>
        <w:t>Ukraine,</w:t>
      </w:r>
      <w:r w:rsidR="0056155E" w:rsidRPr="00BD13D9">
        <w:rPr>
          <w:rFonts w:asciiTheme="minorHAnsi" w:hAnsiTheme="minorHAnsi" w:cstheme="minorHAnsi"/>
          <w:szCs w:val="24"/>
        </w:rPr>
        <w:t xml:space="preserve"> </w:t>
      </w:r>
      <w:r w:rsidR="003F1ABF" w:rsidRPr="00BD13D9">
        <w:rPr>
          <w:rFonts w:asciiTheme="minorHAnsi" w:hAnsiTheme="minorHAnsi" w:cstheme="minorHAnsi"/>
          <w:szCs w:val="24"/>
        </w:rPr>
        <w:t>qui permettr</w:t>
      </w:r>
      <w:r w:rsidR="00954107" w:rsidRPr="00BD13D9">
        <w:rPr>
          <w:rFonts w:asciiTheme="minorHAnsi" w:hAnsiTheme="minorHAnsi" w:cstheme="minorHAnsi"/>
          <w:szCs w:val="24"/>
        </w:rPr>
        <w:t>ont</w:t>
      </w:r>
      <w:r w:rsidR="0056155E" w:rsidRPr="00BD13D9">
        <w:rPr>
          <w:rFonts w:asciiTheme="minorHAnsi" w:hAnsiTheme="minorHAnsi" w:cstheme="minorHAnsi"/>
          <w:szCs w:val="24"/>
        </w:rPr>
        <w:t xml:space="preserve"> </w:t>
      </w:r>
      <w:r w:rsidR="003F1ABF" w:rsidRPr="00BD13D9">
        <w:rPr>
          <w:rFonts w:asciiTheme="minorHAnsi" w:hAnsiTheme="minorHAnsi" w:cstheme="minorHAnsi"/>
          <w:szCs w:val="24"/>
        </w:rPr>
        <w:t xml:space="preserve">de déterminer les étapes suivantes concernant les contre-mesures convenues par consensus </w:t>
      </w:r>
      <w:r w:rsidR="00954107" w:rsidRPr="00BD13D9">
        <w:rPr>
          <w:rFonts w:asciiTheme="minorHAnsi" w:hAnsiTheme="minorHAnsi" w:cstheme="minorHAnsi"/>
          <w:szCs w:val="24"/>
        </w:rPr>
        <w:t>pour faire</w:t>
      </w:r>
      <w:r w:rsidR="0056155E" w:rsidRPr="00BD13D9">
        <w:rPr>
          <w:rFonts w:asciiTheme="minorHAnsi" w:hAnsiTheme="minorHAnsi" w:cstheme="minorHAnsi"/>
          <w:szCs w:val="24"/>
        </w:rPr>
        <w:t xml:space="preserve"> </w:t>
      </w:r>
      <w:r w:rsidR="003F1ABF" w:rsidRPr="00BD13D9">
        <w:rPr>
          <w:rFonts w:asciiTheme="minorHAnsi" w:hAnsiTheme="minorHAnsi" w:cstheme="minorHAnsi"/>
          <w:szCs w:val="24"/>
        </w:rPr>
        <w:t xml:space="preserve">face à la guerre non provoquée qui </w:t>
      </w:r>
      <w:r w:rsidR="00954107" w:rsidRPr="00BD13D9">
        <w:rPr>
          <w:rFonts w:asciiTheme="minorHAnsi" w:hAnsiTheme="minorHAnsi" w:cstheme="minorHAnsi"/>
          <w:szCs w:val="24"/>
        </w:rPr>
        <w:t>a lieu</w:t>
      </w:r>
      <w:r w:rsidR="003F1ABF" w:rsidRPr="00BD13D9">
        <w:rPr>
          <w:rFonts w:asciiTheme="minorHAnsi" w:hAnsiTheme="minorHAnsi" w:cstheme="minorHAnsi"/>
          <w:szCs w:val="24"/>
        </w:rPr>
        <w:t xml:space="preserve"> en Europe</w:t>
      </w:r>
      <w:r w:rsidRPr="00BD13D9">
        <w:rPr>
          <w:rFonts w:asciiTheme="minorHAnsi" w:hAnsiTheme="minorHAnsi" w:cstheme="minorHAnsi"/>
          <w:szCs w:val="24"/>
        </w:rPr>
        <w:t>.</w:t>
      </w:r>
    </w:p>
    <w:p w14:paraId="48C7EB16" w14:textId="33BCF104"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2.9</w:t>
      </w:r>
      <w:r w:rsidRPr="00BD13D9">
        <w:rPr>
          <w:rFonts w:asciiTheme="minorHAnsi" w:hAnsiTheme="minorHAnsi" w:cstheme="minorHAnsi"/>
          <w:szCs w:val="24"/>
        </w:rPr>
        <w:tab/>
      </w:r>
      <w:r w:rsidR="007C615A" w:rsidRPr="00BD13D9">
        <w:rPr>
          <w:rFonts w:asciiTheme="minorHAnsi" w:hAnsiTheme="minorHAnsi" w:cstheme="minorHAnsi"/>
          <w:szCs w:val="24"/>
        </w:rPr>
        <w:t xml:space="preserve">Le </w:t>
      </w:r>
      <w:r w:rsidR="007C615A" w:rsidRPr="00BD13D9">
        <w:rPr>
          <w:rFonts w:asciiTheme="minorHAnsi" w:hAnsiTheme="minorHAnsi" w:cstheme="minorHAnsi"/>
          <w:b/>
          <w:bCs/>
          <w:szCs w:val="24"/>
        </w:rPr>
        <w:t>délégué du Japon</w:t>
      </w:r>
      <w:r w:rsidR="00954107" w:rsidRPr="00BD13D9">
        <w:rPr>
          <w:rFonts w:asciiTheme="minorHAnsi" w:hAnsiTheme="minorHAnsi" w:cstheme="minorHAnsi"/>
          <w:szCs w:val="24"/>
        </w:rPr>
        <w:t xml:space="preserve"> exprime sa</w:t>
      </w:r>
      <w:r w:rsidR="0056155E" w:rsidRPr="00BD13D9">
        <w:rPr>
          <w:rFonts w:asciiTheme="minorHAnsi" w:hAnsiTheme="minorHAnsi" w:cstheme="minorHAnsi"/>
          <w:szCs w:val="24"/>
        </w:rPr>
        <w:t xml:space="preserve"> </w:t>
      </w:r>
      <w:r w:rsidR="007C615A" w:rsidRPr="00BD13D9">
        <w:rPr>
          <w:rFonts w:asciiTheme="minorHAnsi" w:hAnsiTheme="minorHAnsi" w:cstheme="minorHAnsi"/>
          <w:szCs w:val="24"/>
        </w:rPr>
        <w:t>solidarité avec</w:t>
      </w:r>
      <w:r w:rsidR="0056155E" w:rsidRPr="00BD13D9">
        <w:rPr>
          <w:rFonts w:asciiTheme="minorHAnsi" w:hAnsiTheme="minorHAnsi" w:cstheme="minorHAnsi"/>
          <w:szCs w:val="24"/>
        </w:rPr>
        <w:t xml:space="preserve"> </w:t>
      </w:r>
      <w:r w:rsidR="00954107" w:rsidRPr="00BD13D9">
        <w:rPr>
          <w:rFonts w:asciiTheme="minorHAnsi" w:hAnsiTheme="minorHAnsi" w:cstheme="minorHAnsi"/>
          <w:szCs w:val="24"/>
        </w:rPr>
        <w:t>le peuple</w:t>
      </w:r>
      <w:r w:rsidR="007C615A" w:rsidRPr="00BD13D9">
        <w:rPr>
          <w:rFonts w:asciiTheme="minorHAnsi" w:hAnsiTheme="minorHAnsi" w:cstheme="minorHAnsi"/>
          <w:szCs w:val="24"/>
        </w:rPr>
        <w:t xml:space="preserve"> ukrainien</w:t>
      </w:r>
      <w:r w:rsidR="0056155E" w:rsidRPr="00BD13D9">
        <w:rPr>
          <w:rFonts w:asciiTheme="minorHAnsi" w:hAnsiTheme="minorHAnsi" w:cstheme="minorHAnsi"/>
          <w:szCs w:val="24"/>
        </w:rPr>
        <w:t xml:space="preserve"> </w:t>
      </w:r>
      <w:r w:rsidR="00954107" w:rsidRPr="00BD13D9">
        <w:rPr>
          <w:rFonts w:asciiTheme="minorHAnsi" w:hAnsiTheme="minorHAnsi" w:cstheme="minorHAnsi"/>
          <w:szCs w:val="24"/>
        </w:rPr>
        <w:t>et</w:t>
      </w:r>
      <w:r w:rsidR="0056155E" w:rsidRPr="00BD13D9">
        <w:rPr>
          <w:rFonts w:asciiTheme="minorHAnsi" w:hAnsiTheme="minorHAnsi" w:cstheme="minorHAnsi"/>
          <w:szCs w:val="24"/>
        </w:rPr>
        <w:t xml:space="preserve"> </w:t>
      </w:r>
      <w:r w:rsidR="007C615A" w:rsidRPr="00BD13D9">
        <w:rPr>
          <w:rFonts w:asciiTheme="minorHAnsi" w:hAnsiTheme="minorHAnsi" w:cstheme="minorHAnsi"/>
          <w:szCs w:val="24"/>
        </w:rPr>
        <w:t xml:space="preserve">relève que le Japon appuie </w:t>
      </w:r>
      <w:r w:rsidR="00954107" w:rsidRPr="00BD13D9">
        <w:rPr>
          <w:rFonts w:asciiTheme="minorHAnsi" w:hAnsiTheme="minorHAnsi" w:cstheme="minorHAnsi"/>
          <w:szCs w:val="24"/>
        </w:rPr>
        <w:t>sans réserve</w:t>
      </w:r>
      <w:r w:rsidR="0056155E" w:rsidRPr="00BD13D9">
        <w:rPr>
          <w:rFonts w:asciiTheme="minorHAnsi" w:hAnsiTheme="minorHAnsi" w:cstheme="minorHAnsi"/>
          <w:szCs w:val="24"/>
        </w:rPr>
        <w:t xml:space="preserve"> </w:t>
      </w:r>
      <w:r w:rsidR="00745B49" w:rsidRPr="00BD13D9">
        <w:rPr>
          <w:rFonts w:asciiTheme="minorHAnsi" w:hAnsiTheme="minorHAnsi" w:cstheme="minorHAnsi"/>
          <w:szCs w:val="24"/>
        </w:rPr>
        <w:t>la teneur</w:t>
      </w:r>
      <w:r w:rsidR="007C615A" w:rsidRPr="00BD13D9">
        <w:rPr>
          <w:rFonts w:asciiTheme="minorHAnsi" w:hAnsiTheme="minorHAnsi" w:cstheme="minorHAnsi"/>
          <w:szCs w:val="24"/>
        </w:rPr>
        <w:t xml:space="preserve"> du Document</w:t>
      </w:r>
      <w:r w:rsidR="00ED3961" w:rsidRPr="00BD13D9">
        <w:rPr>
          <w:rFonts w:asciiTheme="minorHAnsi" w:hAnsiTheme="minorHAnsi" w:cstheme="minorHAnsi"/>
          <w:szCs w:val="24"/>
        </w:rPr>
        <w:t> </w:t>
      </w:r>
      <w:r w:rsidR="007C615A" w:rsidRPr="00BD13D9">
        <w:rPr>
          <w:rFonts w:asciiTheme="minorHAnsi" w:hAnsiTheme="minorHAnsi" w:cstheme="minorHAnsi"/>
          <w:szCs w:val="24"/>
        </w:rPr>
        <w:t xml:space="preserve">70 et continuera </w:t>
      </w:r>
      <w:r w:rsidR="00745B49" w:rsidRPr="00BD13D9">
        <w:rPr>
          <w:rFonts w:asciiTheme="minorHAnsi" w:hAnsiTheme="minorHAnsi" w:cstheme="minorHAnsi"/>
          <w:szCs w:val="24"/>
        </w:rPr>
        <w:t>d</w:t>
      </w:r>
      <w:r w:rsidR="00F76CBB" w:rsidRPr="00BD13D9">
        <w:rPr>
          <w:rFonts w:asciiTheme="minorHAnsi" w:hAnsiTheme="minorHAnsi" w:cstheme="minorHAnsi"/>
          <w:szCs w:val="24"/>
        </w:rPr>
        <w:t>'</w:t>
      </w:r>
      <w:r w:rsidR="007C615A" w:rsidRPr="00BD13D9">
        <w:rPr>
          <w:rFonts w:asciiTheme="minorHAnsi" w:hAnsiTheme="minorHAnsi" w:cstheme="minorHAnsi"/>
          <w:szCs w:val="24"/>
        </w:rPr>
        <w:t>apporter un appui pour la reconstruction du secteur des télécommunications de l</w:t>
      </w:r>
      <w:r w:rsidR="00F76CBB" w:rsidRPr="00BD13D9">
        <w:rPr>
          <w:rFonts w:asciiTheme="minorHAnsi" w:hAnsiTheme="minorHAnsi" w:cstheme="minorHAnsi"/>
          <w:szCs w:val="24"/>
        </w:rPr>
        <w:t>'</w:t>
      </w:r>
      <w:r w:rsidR="007C615A" w:rsidRPr="00BD13D9">
        <w:rPr>
          <w:rFonts w:asciiTheme="minorHAnsi" w:hAnsiTheme="minorHAnsi" w:cstheme="minorHAnsi"/>
          <w:szCs w:val="24"/>
        </w:rPr>
        <w:t>Ukraine.</w:t>
      </w:r>
      <w:r w:rsidR="0056155E" w:rsidRPr="00BD13D9">
        <w:rPr>
          <w:rFonts w:asciiTheme="minorHAnsi" w:hAnsiTheme="minorHAnsi" w:cstheme="minorHAnsi"/>
          <w:szCs w:val="24"/>
        </w:rPr>
        <w:t xml:space="preserve"> </w:t>
      </w:r>
      <w:r w:rsidR="00745B49" w:rsidRPr="00BD13D9">
        <w:rPr>
          <w:rFonts w:asciiTheme="minorHAnsi" w:hAnsiTheme="minorHAnsi" w:cstheme="minorHAnsi"/>
          <w:szCs w:val="24"/>
        </w:rPr>
        <w:t>Il</w:t>
      </w:r>
      <w:r w:rsidR="0056155E" w:rsidRPr="00BD13D9">
        <w:rPr>
          <w:rFonts w:asciiTheme="minorHAnsi" w:hAnsiTheme="minorHAnsi" w:cstheme="minorHAnsi"/>
          <w:szCs w:val="24"/>
        </w:rPr>
        <w:t xml:space="preserve"> </w:t>
      </w:r>
      <w:r w:rsidR="007C615A" w:rsidRPr="00BD13D9">
        <w:rPr>
          <w:rFonts w:asciiTheme="minorHAnsi" w:hAnsiTheme="minorHAnsi" w:cstheme="minorHAnsi"/>
          <w:szCs w:val="24"/>
        </w:rPr>
        <w:t>prie instamment les autres délégués de tenir compte du rapport et de contribuer aux travaux</w:t>
      </w:r>
      <w:r w:rsidRPr="00BD13D9">
        <w:rPr>
          <w:rFonts w:asciiTheme="minorHAnsi" w:hAnsiTheme="minorHAnsi" w:cstheme="minorHAnsi"/>
          <w:szCs w:val="24"/>
        </w:rPr>
        <w:t>.</w:t>
      </w:r>
    </w:p>
    <w:p w14:paraId="38928D73" w14:textId="1DD7021E"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2.10</w:t>
      </w:r>
      <w:r w:rsidRPr="00BD13D9">
        <w:rPr>
          <w:rFonts w:asciiTheme="minorHAnsi" w:hAnsiTheme="minorHAnsi" w:cstheme="minorHAnsi"/>
          <w:szCs w:val="24"/>
        </w:rPr>
        <w:tab/>
      </w:r>
      <w:r w:rsidR="007C615A" w:rsidRPr="00BD13D9">
        <w:rPr>
          <w:rFonts w:asciiTheme="minorHAnsi" w:hAnsiTheme="minorHAnsi" w:cstheme="minorHAnsi"/>
          <w:szCs w:val="24"/>
        </w:rPr>
        <w:t xml:space="preserve">Le </w:t>
      </w:r>
      <w:r w:rsidR="007C615A" w:rsidRPr="007C48D1">
        <w:rPr>
          <w:rFonts w:asciiTheme="minorHAnsi" w:hAnsiTheme="minorHAnsi" w:cstheme="minorHAnsi"/>
          <w:szCs w:val="24"/>
        </w:rPr>
        <w:t>délégué</w:t>
      </w:r>
      <w:r w:rsidR="007C615A" w:rsidRPr="00BD13D9">
        <w:rPr>
          <w:rFonts w:asciiTheme="minorHAnsi" w:hAnsiTheme="minorHAnsi" w:cstheme="minorHAnsi"/>
          <w:b/>
          <w:bCs/>
          <w:szCs w:val="24"/>
        </w:rPr>
        <w:t xml:space="preserve"> du Bélarus</w:t>
      </w:r>
      <w:r w:rsidR="007C615A" w:rsidRPr="00BD13D9">
        <w:rPr>
          <w:rFonts w:asciiTheme="minorHAnsi" w:hAnsiTheme="minorHAnsi" w:cstheme="minorHAnsi"/>
          <w:szCs w:val="24"/>
        </w:rPr>
        <w:t xml:space="preserve"> souligne que le fait de présenter des positions et des points de vue politisés à la Conférence de plénipotentiaires en vue d</w:t>
      </w:r>
      <w:r w:rsidR="00F76CBB" w:rsidRPr="00BD13D9">
        <w:rPr>
          <w:rFonts w:asciiTheme="minorHAnsi" w:hAnsiTheme="minorHAnsi" w:cstheme="minorHAnsi"/>
          <w:szCs w:val="24"/>
        </w:rPr>
        <w:t>'</w:t>
      </w:r>
      <w:r w:rsidR="007C615A" w:rsidRPr="00BD13D9">
        <w:rPr>
          <w:rFonts w:asciiTheme="minorHAnsi" w:hAnsiTheme="minorHAnsi" w:cstheme="minorHAnsi"/>
          <w:szCs w:val="24"/>
        </w:rPr>
        <w:t xml:space="preserve">exercer des pressions sur </w:t>
      </w:r>
      <w:r w:rsidR="0014030A" w:rsidRPr="00BD13D9">
        <w:rPr>
          <w:rFonts w:asciiTheme="minorHAnsi" w:hAnsiTheme="minorHAnsi" w:cstheme="minorHAnsi"/>
          <w:szCs w:val="24"/>
        </w:rPr>
        <w:t>une partie</w:t>
      </w:r>
      <w:r w:rsidR="0056155E" w:rsidRPr="00BD13D9">
        <w:rPr>
          <w:rFonts w:asciiTheme="minorHAnsi" w:hAnsiTheme="minorHAnsi" w:cstheme="minorHAnsi"/>
          <w:szCs w:val="24"/>
        </w:rPr>
        <w:t xml:space="preserve"> </w:t>
      </w:r>
      <w:r w:rsidR="007C615A" w:rsidRPr="00BD13D9">
        <w:rPr>
          <w:rFonts w:asciiTheme="minorHAnsi" w:hAnsiTheme="minorHAnsi" w:cstheme="minorHAnsi"/>
          <w:szCs w:val="24"/>
        </w:rPr>
        <w:t>du conflit en Ukraine</w:t>
      </w:r>
      <w:r w:rsidR="00377F22" w:rsidRPr="00BD13D9">
        <w:rPr>
          <w:rFonts w:asciiTheme="minorHAnsi" w:hAnsiTheme="minorHAnsi" w:cstheme="minorHAnsi"/>
          <w:szCs w:val="24"/>
        </w:rPr>
        <w:t xml:space="preserve"> ne permettra</w:t>
      </w:r>
      <w:r w:rsidR="0056155E" w:rsidRPr="00BD13D9">
        <w:rPr>
          <w:rFonts w:asciiTheme="minorHAnsi" w:hAnsiTheme="minorHAnsi" w:cstheme="minorHAnsi"/>
          <w:szCs w:val="24"/>
        </w:rPr>
        <w:t xml:space="preserve"> </w:t>
      </w:r>
      <w:r w:rsidR="00377F22" w:rsidRPr="00BD13D9">
        <w:rPr>
          <w:rFonts w:asciiTheme="minorHAnsi" w:hAnsiTheme="minorHAnsi" w:cstheme="minorHAnsi"/>
          <w:szCs w:val="24"/>
        </w:rPr>
        <w:t>pas de trouver une véritable solution à la situation de crise, car seuls des efforts politiques et diplomatiques appropriés impliquant toutes les parties permettr</w:t>
      </w:r>
      <w:r w:rsidR="0014030A" w:rsidRPr="00BD13D9">
        <w:rPr>
          <w:rFonts w:asciiTheme="minorHAnsi" w:hAnsiTheme="minorHAnsi" w:cstheme="minorHAnsi"/>
          <w:szCs w:val="24"/>
        </w:rPr>
        <w:t>o</w:t>
      </w:r>
      <w:r w:rsidR="008D0C54" w:rsidRPr="00BD13D9">
        <w:rPr>
          <w:rFonts w:asciiTheme="minorHAnsi" w:hAnsiTheme="minorHAnsi" w:cstheme="minorHAnsi"/>
          <w:szCs w:val="24"/>
        </w:rPr>
        <w:t>n</w:t>
      </w:r>
      <w:r w:rsidR="00377F22" w:rsidRPr="00BD13D9">
        <w:rPr>
          <w:rFonts w:asciiTheme="minorHAnsi" w:hAnsiTheme="minorHAnsi" w:cstheme="minorHAnsi"/>
          <w:szCs w:val="24"/>
        </w:rPr>
        <w:t>t d</w:t>
      </w:r>
      <w:r w:rsidR="00F76CBB" w:rsidRPr="00BD13D9">
        <w:rPr>
          <w:rFonts w:asciiTheme="minorHAnsi" w:hAnsiTheme="minorHAnsi" w:cstheme="minorHAnsi"/>
          <w:szCs w:val="24"/>
        </w:rPr>
        <w:t>'</w:t>
      </w:r>
      <w:r w:rsidR="00377F22" w:rsidRPr="00BD13D9">
        <w:rPr>
          <w:rFonts w:asciiTheme="minorHAnsi" w:hAnsiTheme="minorHAnsi" w:cstheme="minorHAnsi"/>
          <w:szCs w:val="24"/>
        </w:rPr>
        <w:t xml:space="preserve">y parvenir. </w:t>
      </w:r>
      <w:r w:rsidR="00B32D5A" w:rsidRPr="00BD13D9">
        <w:rPr>
          <w:rFonts w:asciiTheme="minorHAnsi" w:hAnsiTheme="minorHAnsi" w:cstheme="minorHAnsi"/>
          <w:szCs w:val="24"/>
        </w:rPr>
        <w:t>La Conférence devrait</w:t>
      </w:r>
      <w:r w:rsidR="00377F22" w:rsidRPr="00BD13D9">
        <w:rPr>
          <w:rFonts w:asciiTheme="minorHAnsi" w:hAnsiTheme="minorHAnsi" w:cstheme="minorHAnsi"/>
          <w:szCs w:val="24"/>
        </w:rPr>
        <w:t xml:space="preserve"> éviter toute politisation</w:t>
      </w:r>
      <w:r w:rsidR="0056155E" w:rsidRPr="00BD13D9">
        <w:rPr>
          <w:rFonts w:asciiTheme="minorHAnsi" w:hAnsiTheme="minorHAnsi" w:cstheme="minorHAnsi"/>
          <w:szCs w:val="24"/>
        </w:rPr>
        <w:t xml:space="preserve"> </w:t>
      </w:r>
      <w:r w:rsidR="00377F22" w:rsidRPr="00BD13D9">
        <w:rPr>
          <w:rFonts w:asciiTheme="minorHAnsi" w:hAnsiTheme="minorHAnsi" w:cstheme="minorHAnsi"/>
          <w:szCs w:val="24"/>
        </w:rPr>
        <w:t xml:space="preserve">et </w:t>
      </w:r>
      <w:r w:rsidR="00B32D5A" w:rsidRPr="00BD13D9">
        <w:rPr>
          <w:rFonts w:asciiTheme="minorHAnsi" w:hAnsiTheme="minorHAnsi" w:cstheme="minorHAnsi"/>
          <w:szCs w:val="24"/>
        </w:rPr>
        <w:t>s</w:t>
      </w:r>
      <w:r w:rsidR="00F76CBB" w:rsidRPr="00BD13D9">
        <w:rPr>
          <w:rFonts w:asciiTheme="minorHAnsi" w:hAnsiTheme="minorHAnsi" w:cstheme="minorHAnsi"/>
          <w:szCs w:val="24"/>
        </w:rPr>
        <w:t>'</w:t>
      </w:r>
      <w:r w:rsidR="00B32D5A" w:rsidRPr="00BD13D9">
        <w:rPr>
          <w:rFonts w:asciiTheme="minorHAnsi" w:hAnsiTheme="minorHAnsi" w:cstheme="minorHAnsi"/>
          <w:szCs w:val="24"/>
        </w:rPr>
        <w:t>abstenir de</w:t>
      </w:r>
      <w:r w:rsidR="00377F22" w:rsidRPr="00BD13D9">
        <w:rPr>
          <w:rFonts w:asciiTheme="minorHAnsi" w:hAnsiTheme="minorHAnsi" w:cstheme="minorHAnsi"/>
          <w:szCs w:val="24"/>
        </w:rPr>
        <w:t xml:space="preserve"> diviser les membres d</w:t>
      </w:r>
      <w:r w:rsidR="00F76CBB" w:rsidRPr="00BD13D9">
        <w:rPr>
          <w:rFonts w:asciiTheme="minorHAnsi" w:hAnsiTheme="minorHAnsi" w:cstheme="minorHAnsi"/>
          <w:szCs w:val="24"/>
        </w:rPr>
        <w:t>'</w:t>
      </w:r>
      <w:r w:rsidR="00377F22" w:rsidRPr="00BD13D9">
        <w:rPr>
          <w:rFonts w:asciiTheme="minorHAnsi" w:hAnsiTheme="minorHAnsi" w:cstheme="minorHAnsi"/>
          <w:szCs w:val="24"/>
        </w:rPr>
        <w:t>une façon qui saperait les travaux</w:t>
      </w:r>
      <w:r w:rsidR="00B32D5A" w:rsidRPr="00BD13D9">
        <w:rPr>
          <w:color w:val="000000"/>
        </w:rPr>
        <w:t xml:space="preserve"> par ailleurs</w:t>
      </w:r>
      <w:r w:rsidR="00377F22" w:rsidRPr="00BD13D9">
        <w:rPr>
          <w:rFonts w:asciiTheme="minorHAnsi" w:hAnsiTheme="minorHAnsi" w:cstheme="minorHAnsi"/>
          <w:szCs w:val="24"/>
        </w:rPr>
        <w:t xml:space="preserve"> constructifs</w:t>
      </w:r>
      <w:r w:rsidR="00B32D5A" w:rsidRPr="00BD13D9">
        <w:rPr>
          <w:rFonts w:asciiTheme="minorHAnsi" w:hAnsiTheme="minorHAnsi" w:cstheme="minorHAnsi"/>
          <w:szCs w:val="24"/>
        </w:rPr>
        <w:t xml:space="preserve"> menés</w:t>
      </w:r>
      <w:r w:rsidR="00377F22" w:rsidRPr="00BD13D9">
        <w:rPr>
          <w:rFonts w:asciiTheme="minorHAnsi" w:hAnsiTheme="minorHAnsi" w:cstheme="minorHAnsi"/>
          <w:szCs w:val="24"/>
        </w:rPr>
        <w:t xml:space="preserve"> par l</w:t>
      </w:r>
      <w:r w:rsidR="00F76CBB" w:rsidRPr="00BD13D9">
        <w:rPr>
          <w:rFonts w:asciiTheme="minorHAnsi" w:hAnsiTheme="minorHAnsi" w:cstheme="minorHAnsi"/>
          <w:szCs w:val="24"/>
        </w:rPr>
        <w:t>'</w:t>
      </w:r>
      <w:r w:rsidR="00377F22" w:rsidRPr="00BD13D9">
        <w:rPr>
          <w:rFonts w:asciiTheme="minorHAnsi" w:hAnsiTheme="minorHAnsi" w:cstheme="minorHAnsi"/>
          <w:szCs w:val="24"/>
        </w:rPr>
        <w:t>UIT</w:t>
      </w:r>
      <w:r w:rsidRPr="00BD13D9">
        <w:rPr>
          <w:rFonts w:asciiTheme="minorHAnsi" w:hAnsiTheme="minorHAnsi" w:cstheme="minorHAnsi"/>
          <w:szCs w:val="24"/>
        </w:rPr>
        <w:t>.</w:t>
      </w:r>
    </w:p>
    <w:p w14:paraId="3035CA8C" w14:textId="77777777" w:rsidR="00C5702D" w:rsidRDefault="00813F8C" w:rsidP="007C48D1">
      <w:pPr>
        <w:rPr>
          <w:rFonts w:asciiTheme="minorHAnsi" w:hAnsiTheme="minorHAnsi" w:cstheme="minorHAnsi"/>
          <w:szCs w:val="24"/>
        </w:rPr>
      </w:pPr>
      <w:r w:rsidRPr="00BD13D9">
        <w:rPr>
          <w:rFonts w:asciiTheme="minorHAnsi" w:hAnsiTheme="minorHAnsi" w:cstheme="minorHAnsi"/>
          <w:szCs w:val="24"/>
        </w:rPr>
        <w:t>2.11</w:t>
      </w:r>
      <w:r w:rsidRPr="00BD13D9">
        <w:rPr>
          <w:rFonts w:asciiTheme="minorHAnsi" w:hAnsiTheme="minorHAnsi" w:cstheme="minorHAnsi"/>
          <w:szCs w:val="24"/>
        </w:rPr>
        <w:tab/>
      </w:r>
      <w:r w:rsidR="00377F22" w:rsidRPr="00BD13D9">
        <w:rPr>
          <w:rFonts w:asciiTheme="minorHAnsi" w:hAnsiTheme="minorHAnsi" w:cstheme="minorHAnsi"/>
          <w:szCs w:val="24"/>
        </w:rPr>
        <w:t xml:space="preserve">La </w:t>
      </w:r>
      <w:r w:rsidR="00377F22" w:rsidRPr="00BD13D9">
        <w:rPr>
          <w:rFonts w:asciiTheme="minorHAnsi" w:hAnsiTheme="minorHAnsi" w:cstheme="minorHAnsi"/>
          <w:b/>
          <w:bCs/>
          <w:szCs w:val="24"/>
        </w:rPr>
        <w:t>déléguée des États-Unis</w:t>
      </w:r>
      <w:r w:rsidR="00377F22" w:rsidRPr="00BD13D9">
        <w:rPr>
          <w:rFonts w:asciiTheme="minorHAnsi" w:hAnsiTheme="minorHAnsi" w:cstheme="minorHAnsi"/>
          <w:szCs w:val="24"/>
        </w:rPr>
        <w:t xml:space="preserve"> se félicite du rapport du Secrétaire général et se déclare satisfaite des efforts actuellement déployés</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pour</w:t>
      </w:r>
      <w:r w:rsidR="00377F22" w:rsidRPr="00BD13D9">
        <w:rPr>
          <w:rFonts w:asciiTheme="minorHAnsi" w:hAnsiTheme="minorHAnsi" w:cstheme="minorHAnsi"/>
          <w:szCs w:val="24"/>
        </w:rPr>
        <w:t xml:space="preserve"> aider l</w:t>
      </w:r>
      <w:r w:rsidR="00F76CBB" w:rsidRPr="00BD13D9">
        <w:rPr>
          <w:rFonts w:asciiTheme="minorHAnsi" w:hAnsiTheme="minorHAnsi" w:cstheme="minorHAnsi"/>
          <w:szCs w:val="24"/>
        </w:rPr>
        <w:t>'</w:t>
      </w:r>
      <w:r w:rsidR="00377F22" w:rsidRPr="00BD13D9">
        <w:rPr>
          <w:rFonts w:asciiTheme="minorHAnsi" w:hAnsiTheme="minorHAnsi" w:cstheme="minorHAnsi"/>
          <w:szCs w:val="24"/>
        </w:rPr>
        <w:t>Ukraine et</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mener à bien</w:t>
      </w:r>
      <w:r w:rsidR="0056155E" w:rsidRPr="00BD13D9">
        <w:rPr>
          <w:rFonts w:asciiTheme="minorHAnsi" w:hAnsiTheme="minorHAnsi" w:cstheme="minorHAnsi"/>
          <w:szCs w:val="24"/>
        </w:rPr>
        <w:t xml:space="preserve"> </w:t>
      </w:r>
      <w:r w:rsidR="00377F22" w:rsidRPr="00BD13D9">
        <w:rPr>
          <w:rFonts w:asciiTheme="minorHAnsi" w:hAnsiTheme="minorHAnsi" w:cstheme="minorHAnsi"/>
          <w:szCs w:val="24"/>
        </w:rPr>
        <w:t>l</w:t>
      </w:r>
      <w:r w:rsidR="00F76CBB" w:rsidRPr="00BD13D9">
        <w:rPr>
          <w:rFonts w:asciiTheme="minorHAnsi" w:hAnsiTheme="minorHAnsi" w:cstheme="minorHAnsi"/>
          <w:szCs w:val="24"/>
        </w:rPr>
        <w:t>'</w:t>
      </w:r>
      <w:r w:rsidR="00377F22" w:rsidRPr="00BD13D9">
        <w:rPr>
          <w:rFonts w:asciiTheme="minorHAnsi" w:hAnsiTheme="minorHAnsi" w:cstheme="minorHAnsi"/>
          <w:szCs w:val="24"/>
        </w:rPr>
        <w:t>évaluation en cours.</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B</w:t>
      </w:r>
      <w:r w:rsidR="00377F22" w:rsidRPr="00BD13D9">
        <w:rPr>
          <w:rFonts w:asciiTheme="minorHAnsi" w:hAnsiTheme="minorHAnsi" w:cstheme="minorHAnsi"/>
          <w:szCs w:val="24"/>
        </w:rPr>
        <w:t>ien que l</w:t>
      </w:r>
      <w:r w:rsidR="00F76CBB" w:rsidRPr="00BD13D9">
        <w:rPr>
          <w:rFonts w:asciiTheme="minorHAnsi" w:hAnsiTheme="minorHAnsi" w:cstheme="minorHAnsi"/>
          <w:szCs w:val="24"/>
        </w:rPr>
        <w:t>'</w:t>
      </w:r>
      <w:r w:rsidR="00377F22" w:rsidRPr="00BD13D9">
        <w:rPr>
          <w:rFonts w:asciiTheme="minorHAnsi" w:hAnsiTheme="minorHAnsi" w:cstheme="minorHAnsi"/>
          <w:szCs w:val="24"/>
        </w:rPr>
        <w:t xml:space="preserve">UIT ne soit pas un organe politique, elle </w:t>
      </w:r>
      <w:r w:rsidR="006D552B" w:rsidRPr="00BD13D9">
        <w:rPr>
          <w:rFonts w:asciiTheme="minorHAnsi" w:hAnsiTheme="minorHAnsi" w:cstheme="minorHAnsi"/>
          <w:szCs w:val="24"/>
        </w:rPr>
        <w:t xml:space="preserve">est préoccupée par la destruction de </w:t>
      </w:r>
      <w:r w:rsidR="00C5702D">
        <w:rPr>
          <w:rFonts w:asciiTheme="minorHAnsi" w:hAnsiTheme="minorHAnsi" w:cstheme="minorHAnsi"/>
          <w:szCs w:val="24"/>
        </w:rPr>
        <w:br w:type="page"/>
      </w:r>
    </w:p>
    <w:p w14:paraId="6949422D" w14:textId="1116BBF8" w:rsidR="00813F8C" w:rsidRPr="00BD13D9" w:rsidRDefault="006D552B" w:rsidP="007C48D1">
      <w:pPr>
        <w:rPr>
          <w:rFonts w:asciiTheme="minorHAnsi" w:hAnsiTheme="minorHAnsi" w:cstheme="minorHAnsi"/>
          <w:szCs w:val="24"/>
        </w:rPr>
      </w:pPr>
      <w:r w:rsidRPr="00BD13D9">
        <w:rPr>
          <w:rFonts w:asciiTheme="minorHAnsi" w:hAnsiTheme="minorHAnsi" w:cstheme="minorHAnsi"/>
          <w:szCs w:val="24"/>
        </w:rPr>
        <w:lastRenderedPageBreak/>
        <w:t>l</w:t>
      </w:r>
      <w:r w:rsidR="00F76CBB" w:rsidRPr="00BD13D9">
        <w:rPr>
          <w:rFonts w:asciiTheme="minorHAnsi" w:hAnsiTheme="minorHAnsi" w:cstheme="minorHAnsi"/>
          <w:szCs w:val="24"/>
        </w:rPr>
        <w:t>'</w:t>
      </w:r>
      <w:r w:rsidRPr="00BD13D9">
        <w:rPr>
          <w:rFonts w:asciiTheme="minorHAnsi" w:hAnsiTheme="minorHAnsi" w:cstheme="minorHAnsi"/>
          <w:szCs w:val="24"/>
        </w:rPr>
        <w:t>infrastructure de</w:t>
      </w:r>
      <w:r w:rsidR="00B32D5A" w:rsidRPr="00BD13D9">
        <w:rPr>
          <w:rFonts w:asciiTheme="minorHAnsi" w:hAnsiTheme="minorHAnsi" w:cstheme="minorHAnsi"/>
          <w:szCs w:val="24"/>
        </w:rPr>
        <w:t>s</w:t>
      </w:r>
      <w:r w:rsidRPr="00BD13D9">
        <w:rPr>
          <w:rFonts w:asciiTheme="minorHAnsi" w:hAnsiTheme="minorHAnsi" w:cstheme="minorHAnsi"/>
          <w:szCs w:val="24"/>
        </w:rPr>
        <w:t xml:space="preserve"> télécommunication</w:t>
      </w:r>
      <w:r w:rsidR="00B32D5A" w:rsidRPr="00BD13D9">
        <w:rPr>
          <w:rFonts w:asciiTheme="minorHAnsi" w:hAnsiTheme="minorHAnsi" w:cstheme="minorHAnsi"/>
          <w:szCs w:val="24"/>
        </w:rPr>
        <w:t>s</w:t>
      </w:r>
      <w:r w:rsidRPr="00BD13D9">
        <w:rPr>
          <w:rFonts w:asciiTheme="minorHAnsi" w:hAnsiTheme="minorHAnsi" w:cstheme="minorHAnsi"/>
          <w:szCs w:val="24"/>
        </w:rPr>
        <w:t xml:space="preserve"> de l</w:t>
      </w:r>
      <w:r w:rsidR="00F76CBB" w:rsidRPr="00BD13D9">
        <w:rPr>
          <w:rFonts w:asciiTheme="minorHAnsi" w:hAnsiTheme="minorHAnsi" w:cstheme="minorHAnsi"/>
          <w:szCs w:val="24"/>
        </w:rPr>
        <w:t>'</w:t>
      </w:r>
      <w:r w:rsidRPr="00BD13D9">
        <w:rPr>
          <w:rFonts w:asciiTheme="minorHAnsi" w:hAnsiTheme="minorHAnsi" w:cstheme="minorHAnsi"/>
          <w:szCs w:val="24"/>
        </w:rPr>
        <w:t>Ukraine</w:t>
      </w:r>
      <w:r w:rsidR="0056155E" w:rsidRPr="00BD13D9">
        <w:rPr>
          <w:rFonts w:asciiTheme="minorHAnsi" w:hAnsiTheme="minorHAnsi" w:cstheme="minorHAnsi"/>
          <w:szCs w:val="24"/>
        </w:rPr>
        <w:t xml:space="preserve"> </w:t>
      </w:r>
      <w:r w:rsidRPr="00BD13D9">
        <w:rPr>
          <w:rFonts w:asciiTheme="minorHAnsi" w:hAnsiTheme="minorHAnsi" w:cstheme="minorHAnsi"/>
          <w:szCs w:val="24"/>
        </w:rPr>
        <w:t xml:space="preserve">causée par la guerre. Ce problème peut </w:t>
      </w:r>
      <w:r w:rsidR="00B32D5A" w:rsidRPr="00BD13D9">
        <w:rPr>
          <w:rFonts w:asciiTheme="minorHAnsi" w:hAnsiTheme="minorHAnsi" w:cstheme="minorHAnsi"/>
          <w:szCs w:val="24"/>
        </w:rPr>
        <w:t>être résolu</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moyennant</w:t>
      </w:r>
      <w:r w:rsidRPr="00BD13D9">
        <w:rPr>
          <w:rFonts w:asciiTheme="minorHAnsi" w:hAnsiTheme="minorHAnsi" w:cstheme="minorHAnsi"/>
          <w:szCs w:val="24"/>
        </w:rPr>
        <w:t xml:space="preserve"> le respect par la Fédération de Russie des </w:t>
      </w:r>
      <w:r w:rsidR="00B32D5A" w:rsidRPr="00BD13D9">
        <w:rPr>
          <w:rFonts w:asciiTheme="minorHAnsi" w:hAnsiTheme="minorHAnsi" w:cstheme="minorHAnsi"/>
          <w:szCs w:val="24"/>
        </w:rPr>
        <w:t>r</w:t>
      </w:r>
      <w:r w:rsidRPr="00BD13D9">
        <w:rPr>
          <w:rFonts w:asciiTheme="minorHAnsi" w:hAnsiTheme="minorHAnsi" w:cstheme="minorHAnsi"/>
          <w:szCs w:val="24"/>
        </w:rPr>
        <w:t>ésolutions de l</w:t>
      </w:r>
      <w:r w:rsidR="00F76CBB" w:rsidRPr="00BD13D9">
        <w:rPr>
          <w:rFonts w:asciiTheme="minorHAnsi" w:hAnsiTheme="minorHAnsi" w:cstheme="minorHAnsi"/>
          <w:szCs w:val="24"/>
        </w:rPr>
        <w:t>'</w:t>
      </w:r>
      <w:r w:rsidRPr="00BD13D9">
        <w:rPr>
          <w:rFonts w:asciiTheme="minorHAnsi" w:hAnsiTheme="minorHAnsi" w:cstheme="minorHAnsi"/>
          <w:szCs w:val="24"/>
        </w:rPr>
        <w:t>Assemblée générale des Nations Unies et</w:t>
      </w:r>
      <w:r w:rsidR="0056155E" w:rsidRPr="00BD13D9">
        <w:rPr>
          <w:rFonts w:asciiTheme="minorHAnsi" w:hAnsiTheme="minorHAnsi" w:cstheme="minorHAnsi"/>
          <w:szCs w:val="24"/>
        </w:rPr>
        <w:t xml:space="preserve"> </w:t>
      </w:r>
      <w:r w:rsidR="00ED3961" w:rsidRPr="00BD13D9">
        <w:rPr>
          <w:rFonts w:asciiTheme="minorHAnsi" w:hAnsiTheme="minorHAnsi" w:cstheme="minorHAnsi"/>
          <w:szCs w:val="24"/>
        </w:rPr>
        <w:t xml:space="preserve">son </w:t>
      </w:r>
      <w:r w:rsidRPr="00BD13D9">
        <w:rPr>
          <w:rFonts w:asciiTheme="minorHAnsi" w:hAnsiTheme="minorHAnsi" w:cstheme="minorHAnsi"/>
          <w:szCs w:val="24"/>
        </w:rPr>
        <w:t>retrait complet du territoire ukrainien</w:t>
      </w:r>
      <w:r w:rsidR="00813F8C" w:rsidRPr="00BD13D9">
        <w:rPr>
          <w:rFonts w:asciiTheme="minorHAnsi" w:hAnsiTheme="minorHAnsi" w:cstheme="minorHAnsi"/>
          <w:szCs w:val="24"/>
        </w:rPr>
        <w:t>.</w:t>
      </w:r>
    </w:p>
    <w:p w14:paraId="3A7CAA8A" w14:textId="69175FCA"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2.12</w:t>
      </w:r>
      <w:r w:rsidRPr="00BD13D9">
        <w:rPr>
          <w:rFonts w:asciiTheme="minorHAnsi" w:hAnsiTheme="minorHAnsi" w:cstheme="minorHAnsi"/>
          <w:szCs w:val="24"/>
        </w:rPr>
        <w:tab/>
      </w:r>
      <w:r w:rsidR="006D552B" w:rsidRPr="00BD13D9">
        <w:rPr>
          <w:rFonts w:asciiTheme="minorHAnsi" w:hAnsiTheme="minorHAnsi" w:cstheme="minorHAnsi"/>
          <w:szCs w:val="24"/>
        </w:rPr>
        <w:t xml:space="preserve">Le </w:t>
      </w:r>
      <w:r w:rsidR="006D552B" w:rsidRPr="00BD13D9">
        <w:rPr>
          <w:rFonts w:asciiTheme="minorHAnsi" w:hAnsiTheme="minorHAnsi" w:cstheme="minorHAnsi"/>
          <w:b/>
          <w:bCs/>
          <w:szCs w:val="24"/>
        </w:rPr>
        <w:t>délégué de la Fédération de Russie</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indique</w:t>
      </w:r>
      <w:r w:rsidR="006D552B" w:rsidRPr="00BD13D9">
        <w:rPr>
          <w:rFonts w:asciiTheme="minorHAnsi" w:hAnsiTheme="minorHAnsi" w:cstheme="minorHAnsi"/>
          <w:szCs w:val="24"/>
        </w:rPr>
        <w:t xml:space="preserve"> que les critiques formulées à l</w:t>
      </w:r>
      <w:r w:rsidR="00F76CBB" w:rsidRPr="00BD13D9">
        <w:rPr>
          <w:rFonts w:asciiTheme="minorHAnsi" w:hAnsiTheme="minorHAnsi" w:cstheme="minorHAnsi"/>
          <w:szCs w:val="24"/>
        </w:rPr>
        <w:t>'</w:t>
      </w:r>
      <w:r w:rsidR="006D552B" w:rsidRPr="00BD13D9">
        <w:rPr>
          <w:rFonts w:asciiTheme="minorHAnsi" w:hAnsiTheme="minorHAnsi" w:cstheme="minorHAnsi"/>
          <w:szCs w:val="24"/>
        </w:rPr>
        <w:t xml:space="preserve">encontre de la Fédération de Russie </w:t>
      </w:r>
      <w:r w:rsidR="00B32D5A" w:rsidRPr="00BD13D9">
        <w:rPr>
          <w:rFonts w:asciiTheme="minorHAnsi" w:hAnsiTheme="minorHAnsi" w:cstheme="minorHAnsi"/>
          <w:szCs w:val="24"/>
        </w:rPr>
        <w:t>sont</w:t>
      </w:r>
      <w:r w:rsidR="006D552B" w:rsidRPr="00BD13D9">
        <w:rPr>
          <w:rFonts w:asciiTheme="minorHAnsi" w:hAnsiTheme="minorHAnsi" w:cstheme="minorHAnsi"/>
          <w:szCs w:val="24"/>
        </w:rPr>
        <w:t xml:space="preserve"> pour l</w:t>
      </w:r>
      <w:r w:rsidR="00F76CBB" w:rsidRPr="00BD13D9">
        <w:rPr>
          <w:rFonts w:asciiTheme="minorHAnsi" w:hAnsiTheme="minorHAnsi" w:cstheme="minorHAnsi"/>
          <w:szCs w:val="24"/>
        </w:rPr>
        <w:t>'</w:t>
      </w:r>
      <w:r w:rsidR="006D552B" w:rsidRPr="00BD13D9">
        <w:rPr>
          <w:rFonts w:asciiTheme="minorHAnsi" w:hAnsiTheme="minorHAnsi" w:cstheme="minorHAnsi"/>
          <w:szCs w:val="24"/>
        </w:rPr>
        <w:t xml:space="preserve">essentiel une provocation et font porter les travaux de la Conférence sur des questions qui ne relèvent pas de sa compétence. </w:t>
      </w:r>
      <w:r w:rsidR="00B32D5A" w:rsidRPr="00BD13D9">
        <w:rPr>
          <w:rFonts w:asciiTheme="minorHAnsi" w:hAnsiTheme="minorHAnsi" w:cstheme="minorHAnsi"/>
          <w:szCs w:val="24"/>
        </w:rPr>
        <w:t>Il</w:t>
      </w:r>
      <w:r w:rsidR="0056155E" w:rsidRPr="00BD13D9">
        <w:rPr>
          <w:rFonts w:asciiTheme="minorHAnsi" w:hAnsiTheme="minorHAnsi" w:cstheme="minorHAnsi"/>
          <w:szCs w:val="24"/>
        </w:rPr>
        <w:t xml:space="preserve"> </w:t>
      </w:r>
      <w:r w:rsidR="006D552B" w:rsidRPr="00BD13D9">
        <w:rPr>
          <w:rFonts w:asciiTheme="minorHAnsi" w:hAnsiTheme="minorHAnsi" w:cstheme="minorHAnsi"/>
          <w:szCs w:val="24"/>
        </w:rPr>
        <w:t xml:space="preserve">souhaite néanmoins exercer le droit de rappeler brièvement que la situation actuelle découle du refus des autorités ukrainiennes de </w:t>
      </w:r>
      <w:r w:rsidR="00B32D5A" w:rsidRPr="00BD13D9">
        <w:rPr>
          <w:rFonts w:asciiTheme="minorHAnsi" w:hAnsiTheme="minorHAnsi" w:cstheme="minorHAnsi"/>
          <w:szCs w:val="24"/>
        </w:rPr>
        <w:t>se conformer à</w:t>
      </w:r>
      <w:r w:rsidR="006D552B" w:rsidRPr="00BD13D9">
        <w:rPr>
          <w:rFonts w:asciiTheme="minorHAnsi" w:hAnsiTheme="minorHAnsi" w:cstheme="minorHAnsi"/>
          <w:szCs w:val="24"/>
        </w:rPr>
        <w:t xml:space="preserve"> l</w:t>
      </w:r>
      <w:r w:rsidR="00F76CBB" w:rsidRPr="00BD13D9">
        <w:rPr>
          <w:rFonts w:asciiTheme="minorHAnsi" w:hAnsiTheme="minorHAnsi" w:cstheme="minorHAnsi"/>
          <w:szCs w:val="24"/>
        </w:rPr>
        <w:t>'</w:t>
      </w:r>
      <w:r w:rsidR="006D552B" w:rsidRPr="00BD13D9">
        <w:rPr>
          <w:rFonts w:asciiTheme="minorHAnsi" w:hAnsiTheme="minorHAnsi" w:cstheme="minorHAnsi"/>
          <w:szCs w:val="24"/>
        </w:rPr>
        <w:t>ensemble de mesures</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de</w:t>
      </w:r>
      <w:r w:rsidR="006D552B" w:rsidRPr="00BD13D9">
        <w:rPr>
          <w:rFonts w:asciiTheme="minorHAnsi" w:hAnsiTheme="minorHAnsi" w:cstheme="minorHAnsi"/>
          <w:szCs w:val="24"/>
        </w:rPr>
        <w:t xml:space="preserve"> Minsk, qui a été entériné par la Résolution 2202 du Conseil de sécurité</w:t>
      </w:r>
      <w:r w:rsidR="00B32D5A" w:rsidRPr="00BD13D9">
        <w:rPr>
          <w:rFonts w:asciiTheme="minorHAnsi" w:hAnsiTheme="minorHAnsi" w:cstheme="minorHAnsi"/>
          <w:szCs w:val="24"/>
        </w:rPr>
        <w:t xml:space="preserve"> de l</w:t>
      </w:r>
      <w:r w:rsidR="00F76CBB" w:rsidRPr="00BD13D9">
        <w:rPr>
          <w:rFonts w:asciiTheme="minorHAnsi" w:hAnsiTheme="minorHAnsi" w:cstheme="minorHAnsi"/>
          <w:szCs w:val="24"/>
        </w:rPr>
        <w:t>'</w:t>
      </w:r>
      <w:r w:rsidR="00B32D5A" w:rsidRPr="00BD13D9">
        <w:rPr>
          <w:rFonts w:asciiTheme="minorHAnsi" w:hAnsiTheme="minorHAnsi" w:cstheme="minorHAnsi"/>
          <w:szCs w:val="24"/>
        </w:rPr>
        <w:t>Organisation des</w:t>
      </w:r>
      <w:r w:rsidR="006D552B" w:rsidRPr="00BD13D9">
        <w:rPr>
          <w:rFonts w:asciiTheme="minorHAnsi" w:hAnsiTheme="minorHAnsi" w:cstheme="minorHAnsi"/>
          <w:szCs w:val="24"/>
        </w:rPr>
        <w:t xml:space="preserve"> Nations Unies </w:t>
      </w:r>
      <w:r w:rsidR="00CA32E5" w:rsidRPr="00BD13D9">
        <w:rPr>
          <w:rFonts w:asciiTheme="minorHAnsi" w:hAnsiTheme="minorHAnsi" w:cstheme="minorHAnsi"/>
          <w:szCs w:val="24"/>
        </w:rPr>
        <w:t>le 17 février 2015.</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La</w:t>
      </w:r>
      <w:r w:rsidR="0056155E" w:rsidRPr="00BD13D9">
        <w:rPr>
          <w:rFonts w:asciiTheme="minorHAnsi" w:hAnsiTheme="minorHAnsi" w:cstheme="minorHAnsi"/>
          <w:szCs w:val="24"/>
        </w:rPr>
        <w:t xml:space="preserve"> </w:t>
      </w:r>
      <w:r w:rsidR="00CA32E5" w:rsidRPr="00BD13D9">
        <w:rPr>
          <w:rFonts w:asciiTheme="minorHAnsi" w:hAnsiTheme="minorHAnsi" w:cstheme="minorHAnsi"/>
          <w:szCs w:val="24"/>
        </w:rPr>
        <w:t>Fédération de Russie rejette les accusations illégales à</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l</w:t>
      </w:r>
      <w:r w:rsidR="00F76CBB" w:rsidRPr="00BD13D9">
        <w:rPr>
          <w:rFonts w:asciiTheme="minorHAnsi" w:hAnsiTheme="minorHAnsi" w:cstheme="minorHAnsi"/>
          <w:szCs w:val="24"/>
        </w:rPr>
        <w:t>'</w:t>
      </w:r>
      <w:r w:rsidR="00B32D5A" w:rsidRPr="00BD13D9">
        <w:rPr>
          <w:rFonts w:asciiTheme="minorHAnsi" w:hAnsiTheme="minorHAnsi" w:cstheme="minorHAnsi"/>
          <w:szCs w:val="24"/>
        </w:rPr>
        <w:t xml:space="preserve">encontre </w:t>
      </w:r>
      <w:r w:rsidR="00CA32E5" w:rsidRPr="00BD13D9">
        <w:rPr>
          <w:rFonts w:asciiTheme="minorHAnsi" w:hAnsiTheme="minorHAnsi" w:cstheme="minorHAnsi"/>
          <w:szCs w:val="24"/>
        </w:rPr>
        <w:t>de son pays et exhorte tous les</w:t>
      </w:r>
      <w:r w:rsidR="0056155E" w:rsidRPr="00BD13D9">
        <w:rPr>
          <w:rFonts w:asciiTheme="minorHAnsi" w:hAnsiTheme="minorHAnsi" w:cstheme="minorHAnsi"/>
          <w:szCs w:val="24"/>
        </w:rPr>
        <w:t xml:space="preserve"> </w:t>
      </w:r>
      <w:r w:rsidR="00B32D5A" w:rsidRPr="00BD13D9">
        <w:rPr>
          <w:rFonts w:asciiTheme="minorHAnsi" w:hAnsiTheme="minorHAnsi" w:cstheme="minorHAnsi"/>
          <w:szCs w:val="24"/>
        </w:rPr>
        <w:t>participants</w:t>
      </w:r>
      <w:r w:rsidR="0056155E" w:rsidRPr="00BD13D9">
        <w:rPr>
          <w:rFonts w:asciiTheme="minorHAnsi" w:hAnsiTheme="minorHAnsi" w:cstheme="minorHAnsi"/>
          <w:szCs w:val="24"/>
        </w:rPr>
        <w:t xml:space="preserve"> </w:t>
      </w:r>
      <w:r w:rsidR="00CA32E5" w:rsidRPr="00BD13D9">
        <w:rPr>
          <w:rFonts w:asciiTheme="minorHAnsi" w:hAnsiTheme="minorHAnsi" w:cstheme="minorHAnsi"/>
          <w:szCs w:val="24"/>
        </w:rPr>
        <w:t>à s</w:t>
      </w:r>
      <w:r w:rsidR="00F76CBB" w:rsidRPr="00BD13D9">
        <w:rPr>
          <w:rFonts w:asciiTheme="minorHAnsi" w:hAnsiTheme="minorHAnsi" w:cstheme="minorHAnsi"/>
          <w:szCs w:val="24"/>
        </w:rPr>
        <w:t>'</w:t>
      </w:r>
      <w:r w:rsidR="00CA32E5" w:rsidRPr="00BD13D9">
        <w:rPr>
          <w:rFonts w:asciiTheme="minorHAnsi" w:hAnsiTheme="minorHAnsi" w:cstheme="minorHAnsi"/>
          <w:szCs w:val="24"/>
        </w:rPr>
        <w:t>abstenir de faire des déclarations</w:t>
      </w:r>
      <w:r w:rsidR="0056155E" w:rsidRPr="00BD13D9">
        <w:rPr>
          <w:rFonts w:asciiTheme="minorHAnsi" w:hAnsiTheme="minorHAnsi" w:cstheme="minorHAnsi"/>
          <w:szCs w:val="24"/>
        </w:rPr>
        <w:t xml:space="preserve"> </w:t>
      </w:r>
      <w:r w:rsidR="00B32D5A" w:rsidRPr="00BD13D9">
        <w:rPr>
          <w:color w:val="000000"/>
        </w:rPr>
        <w:t>à motivation politique</w:t>
      </w:r>
      <w:r w:rsidR="0056155E" w:rsidRPr="00BD13D9">
        <w:rPr>
          <w:rFonts w:asciiTheme="minorHAnsi" w:hAnsiTheme="minorHAnsi" w:cstheme="minorHAnsi"/>
          <w:szCs w:val="24"/>
        </w:rPr>
        <w:t xml:space="preserve"> </w:t>
      </w:r>
      <w:r w:rsidR="00575929" w:rsidRPr="00BD13D9">
        <w:rPr>
          <w:rFonts w:asciiTheme="minorHAnsi" w:hAnsiTheme="minorHAnsi" w:cstheme="minorHAnsi"/>
          <w:szCs w:val="24"/>
        </w:rPr>
        <w:t>visant</w:t>
      </w:r>
      <w:r w:rsidR="00B32D5A" w:rsidRPr="00BD13D9">
        <w:rPr>
          <w:rFonts w:asciiTheme="minorHAnsi" w:hAnsiTheme="minorHAnsi" w:cstheme="minorHAnsi"/>
          <w:szCs w:val="24"/>
        </w:rPr>
        <w:t xml:space="preserve"> des </w:t>
      </w:r>
      <w:r w:rsidR="00CA32E5" w:rsidRPr="00BD13D9">
        <w:rPr>
          <w:rFonts w:asciiTheme="minorHAnsi" w:hAnsiTheme="minorHAnsi" w:cstheme="minorHAnsi"/>
          <w:szCs w:val="24"/>
        </w:rPr>
        <w:t xml:space="preserve">États Membres, </w:t>
      </w:r>
      <w:r w:rsidR="00B32D5A" w:rsidRPr="00EF1C21">
        <w:rPr>
          <w:rFonts w:asciiTheme="minorHAnsi" w:hAnsiTheme="minorHAnsi" w:cstheme="minorHAnsi"/>
          <w:szCs w:val="24"/>
        </w:rPr>
        <w:t xml:space="preserve">ce </w:t>
      </w:r>
      <w:r w:rsidR="00CA32E5" w:rsidRPr="00EF1C21">
        <w:rPr>
          <w:rFonts w:asciiTheme="minorHAnsi" w:hAnsiTheme="minorHAnsi" w:cstheme="minorHAnsi"/>
          <w:szCs w:val="24"/>
        </w:rPr>
        <w:t>qu</w:t>
      </w:r>
      <w:r w:rsidR="00F76CBB" w:rsidRPr="00EF1C21">
        <w:rPr>
          <w:rFonts w:asciiTheme="minorHAnsi" w:hAnsiTheme="minorHAnsi" w:cstheme="minorHAnsi"/>
          <w:szCs w:val="24"/>
        </w:rPr>
        <w:t>'</w:t>
      </w:r>
      <w:r w:rsidR="00CA32E5" w:rsidRPr="00EF1C21">
        <w:rPr>
          <w:rFonts w:asciiTheme="minorHAnsi" w:hAnsiTheme="minorHAnsi" w:cstheme="minorHAnsi"/>
          <w:szCs w:val="24"/>
        </w:rPr>
        <w:t>elle considère</w:t>
      </w:r>
      <w:r w:rsidR="0056155E" w:rsidRPr="00EF1C21">
        <w:rPr>
          <w:rFonts w:asciiTheme="minorHAnsi" w:hAnsiTheme="minorHAnsi" w:cstheme="minorHAnsi"/>
          <w:szCs w:val="24"/>
        </w:rPr>
        <w:t xml:space="preserve"> </w:t>
      </w:r>
      <w:r w:rsidR="00B32D5A" w:rsidRPr="00EF1C21">
        <w:rPr>
          <w:rFonts w:asciiTheme="minorHAnsi" w:hAnsiTheme="minorHAnsi" w:cstheme="minorHAnsi"/>
          <w:szCs w:val="24"/>
        </w:rPr>
        <w:t xml:space="preserve">comme </w:t>
      </w:r>
      <w:r w:rsidR="00352A2E" w:rsidRPr="00EF1C21">
        <w:rPr>
          <w:rFonts w:asciiTheme="minorHAnsi" w:hAnsiTheme="minorHAnsi" w:cstheme="minorHAnsi"/>
          <w:szCs w:val="24"/>
        </w:rPr>
        <w:t>des éléments d</w:t>
      </w:r>
      <w:r w:rsidR="00F76CBB" w:rsidRPr="00EF1C21">
        <w:rPr>
          <w:rFonts w:asciiTheme="minorHAnsi" w:hAnsiTheme="minorHAnsi" w:cstheme="minorHAnsi"/>
          <w:szCs w:val="24"/>
        </w:rPr>
        <w:t>'</w:t>
      </w:r>
      <w:r w:rsidR="00CA32E5" w:rsidRPr="00EF1C21">
        <w:rPr>
          <w:rFonts w:asciiTheme="minorHAnsi" w:hAnsiTheme="minorHAnsi" w:cstheme="minorHAnsi"/>
          <w:szCs w:val="24"/>
        </w:rPr>
        <w:t>une confrontation mondiale.</w:t>
      </w:r>
      <w:r w:rsidR="0056155E" w:rsidRPr="00EF1C21">
        <w:rPr>
          <w:rFonts w:asciiTheme="minorHAnsi" w:hAnsiTheme="minorHAnsi" w:cstheme="minorHAnsi"/>
          <w:szCs w:val="24"/>
        </w:rPr>
        <w:t xml:space="preserve"> </w:t>
      </w:r>
      <w:r w:rsidR="00352A2E" w:rsidRPr="00EF1C21">
        <w:rPr>
          <w:rFonts w:asciiTheme="minorHAnsi" w:hAnsiTheme="minorHAnsi" w:cstheme="minorHAnsi"/>
          <w:szCs w:val="24"/>
        </w:rPr>
        <w:t>L</w:t>
      </w:r>
      <w:r w:rsidR="00F76CBB" w:rsidRPr="00EF1C21">
        <w:rPr>
          <w:rFonts w:asciiTheme="minorHAnsi" w:hAnsiTheme="minorHAnsi" w:cstheme="minorHAnsi"/>
          <w:szCs w:val="24"/>
        </w:rPr>
        <w:t>'</w:t>
      </w:r>
      <w:r w:rsidR="00CA32E5" w:rsidRPr="00EF1C21">
        <w:rPr>
          <w:rFonts w:asciiTheme="minorHAnsi" w:hAnsiTheme="minorHAnsi" w:cstheme="minorHAnsi"/>
          <w:szCs w:val="24"/>
        </w:rPr>
        <w:t>UIT est une</w:t>
      </w:r>
      <w:r w:rsidR="00CA32E5" w:rsidRPr="00BD13D9">
        <w:rPr>
          <w:rFonts w:asciiTheme="minorHAnsi" w:hAnsiTheme="minorHAnsi" w:cstheme="minorHAnsi"/>
          <w:szCs w:val="24"/>
        </w:rPr>
        <w:t xml:space="preserve"> organisation</w:t>
      </w:r>
      <w:r w:rsidR="0056155E" w:rsidRPr="00BD13D9">
        <w:rPr>
          <w:rFonts w:asciiTheme="minorHAnsi" w:hAnsiTheme="minorHAnsi" w:cstheme="minorHAnsi"/>
          <w:szCs w:val="24"/>
        </w:rPr>
        <w:t xml:space="preserve"> </w:t>
      </w:r>
      <w:r w:rsidR="00352A2E" w:rsidRPr="00BD13D9">
        <w:rPr>
          <w:rFonts w:asciiTheme="minorHAnsi" w:hAnsiTheme="minorHAnsi" w:cstheme="minorHAnsi"/>
          <w:szCs w:val="24"/>
        </w:rPr>
        <w:t xml:space="preserve">investie </w:t>
      </w:r>
      <w:r w:rsidR="00CA32E5" w:rsidRPr="00BD13D9">
        <w:rPr>
          <w:rFonts w:asciiTheme="minorHAnsi" w:hAnsiTheme="minorHAnsi" w:cstheme="minorHAnsi"/>
          <w:szCs w:val="24"/>
        </w:rPr>
        <w:t>d</w:t>
      </w:r>
      <w:r w:rsidR="00F76CBB" w:rsidRPr="00BD13D9">
        <w:rPr>
          <w:rFonts w:asciiTheme="minorHAnsi" w:hAnsiTheme="minorHAnsi" w:cstheme="minorHAnsi"/>
          <w:szCs w:val="24"/>
        </w:rPr>
        <w:t>'</w:t>
      </w:r>
      <w:r w:rsidR="00CA32E5" w:rsidRPr="00BD13D9">
        <w:rPr>
          <w:rFonts w:asciiTheme="minorHAnsi" w:hAnsiTheme="minorHAnsi" w:cstheme="minorHAnsi"/>
          <w:szCs w:val="24"/>
        </w:rPr>
        <w:t>une mission pacifique et technique et n</w:t>
      </w:r>
      <w:r w:rsidR="00F76CBB" w:rsidRPr="00BD13D9">
        <w:rPr>
          <w:rFonts w:asciiTheme="minorHAnsi" w:hAnsiTheme="minorHAnsi" w:cstheme="minorHAnsi"/>
          <w:szCs w:val="24"/>
        </w:rPr>
        <w:t>'</w:t>
      </w:r>
      <w:r w:rsidR="00CA32E5" w:rsidRPr="00BD13D9">
        <w:rPr>
          <w:rFonts w:asciiTheme="minorHAnsi" w:hAnsiTheme="minorHAnsi" w:cstheme="minorHAnsi"/>
          <w:szCs w:val="24"/>
        </w:rPr>
        <w:t>est pas habilitée à étudier le statut juridique des relations entre ses États Membres, notamment en ce qui concerne</w:t>
      </w:r>
      <w:r w:rsidR="00352A2E" w:rsidRPr="00BD13D9">
        <w:rPr>
          <w:rFonts w:asciiTheme="minorHAnsi" w:hAnsiTheme="minorHAnsi" w:cstheme="minorHAnsi"/>
          <w:szCs w:val="24"/>
        </w:rPr>
        <w:t xml:space="preserve"> les questions</w:t>
      </w:r>
      <w:r w:rsidR="0056155E" w:rsidRPr="00BD13D9">
        <w:rPr>
          <w:rFonts w:asciiTheme="minorHAnsi" w:hAnsiTheme="minorHAnsi" w:cstheme="minorHAnsi"/>
          <w:szCs w:val="24"/>
        </w:rPr>
        <w:t xml:space="preserve"> </w:t>
      </w:r>
      <w:r w:rsidR="00352A2E" w:rsidRPr="00BD13D9">
        <w:rPr>
          <w:rFonts w:asciiTheme="minorHAnsi" w:hAnsiTheme="minorHAnsi" w:cstheme="minorHAnsi"/>
          <w:szCs w:val="24"/>
        </w:rPr>
        <w:t>d</w:t>
      </w:r>
      <w:r w:rsidR="00F76CBB" w:rsidRPr="00BD13D9">
        <w:rPr>
          <w:rFonts w:asciiTheme="minorHAnsi" w:hAnsiTheme="minorHAnsi" w:cstheme="minorHAnsi"/>
          <w:szCs w:val="24"/>
        </w:rPr>
        <w:t>'</w:t>
      </w:r>
      <w:r w:rsidR="00CA32E5" w:rsidRPr="00BD13D9">
        <w:rPr>
          <w:rFonts w:asciiTheme="minorHAnsi" w:hAnsiTheme="minorHAnsi" w:cstheme="minorHAnsi"/>
          <w:szCs w:val="24"/>
        </w:rPr>
        <w:t>intégrité territoriale et</w:t>
      </w:r>
      <w:r w:rsidR="0056155E" w:rsidRPr="00BD13D9">
        <w:rPr>
          <w:rFonts w:asciiTheme="minorHAnsi" w:hAnsiTheme="minorHAnsi" w:cstheme="minorHAnsi"/>
          <w:szCs w:val="24"/>
        </w:rPr>
        <w:t xml:space="preserve"> </w:t>
      </w:r>
      <w:r w:rsidR="00352A2E" w:rsidRPr="00BD13D9">
        <w:rPr>
          <w:rFonts w:asciiTheme="minorHAnsi" w:hAnsiTheme="minorHAnsi" w:cstheme="minorHAnsi"/>
          <w:szCs w:val="24"/>
        </w:rPr>
        <w:t xml:space="preserve">de </w:t>
      </w:r>
      <w:r w:rsidR="00CA32E5" w:rsidRPr="00BD13D9">
        <w:rPr>
          <w:rFonts w:asciiTheme="minorHAnsi" w:hAnsiTheme="minorHAnsi" w:cstheme="minorHAnsi"/>
          <w:szCs w:val="24"/>
        </w:rPr>
        <w:t>souveraineté nationale des États.</w:t>
      </w:r>
      <w:r w:rsidR="0056155E" w:rsidRPr="00BD13D9">
        <w:rPr>
          <w:rFonts w:asciiTheme="minorHAnsi" w:hAnsiTheme="minorHAnsi" w:cstheme="minorHAnsi"/>
          <w:szCs w:val="24"/>
        </w:rPr>
        <w:t xml:space="preserve"> </w:t>
      </w:r>
      <w:r w:rsidR="00352A2E" w:rsidRPr="00BD13D9">
        <w:rPr>
          <w:rFonts w:asciiTheme="minorHAnsi" w:hAnsiTheme="minorHAnsi" w:cstheme="minorHAnsi"/>
          <w:szCs w:val="24"/>
        </w:rPr>
        <w:t>La</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Fédération de Russie</w:t>
      </w:r>
      <w:r w:rsidR="00352A2E" w:rsidRPr="00BD13D9">
        <w:rPr>
          <w:rFonts w:asciiTheme="minorHAnsi" w:hAnsiTheme="minorHAnsi" w:cstheme="minorHAnsi"/>
          <w:szCs w:val="24"/>
        </w:rPr>
        <w:t xml:space="preserve"> appelle</w:t>
      </w:r>
      <w:r w:rsidR="0056155E" w:rsidRPr="00BD13D9">
        <w:rPr>
          <w:rFonts w:asciiTheme="minorHAnsi" w:hAnsiTheme="minorHAnsi" w:cstheme="minorHAnsi"/>
          <w:szCs w:val="24"/>
        </w:rPr>
        <w:t xml:space="preserve"> </w:t>
      </w:r>
      <w:r w:rsidR="00352A2E" w:rsidRPr="00BD13D9">
        <w:rPr>
          <w:rFonts w:asciiTheme="minorHAnsi" w:hAnsiTheme="minorHAnsi" w:cstheme="minorHAnsi"/>
          <w:szCs w:val="24"/>
        </w:rPr>
        <w:t>la Conférence de plénipotentiaires de l</w:t>
      </w:r>
      <w:r w:rsidR="00F76CBB" w:rsidRPr="00BD13D9">
        <w:rPr>
          <w:rFonts w:asciiTheme="minorHAnsi" w:hAnsiTheme="minorHAnsi" w:cstheme="minorHAnsi"/>
          <w:szCs w:val="24"/>
        </w:rPr>
        <w:t>'</w:t>
      </w:r>
      <w:r w:rsidR="00352A2E" w:rsidRPr="00BD13D9">
        <w:rPr>
          <w:rFonts w:asciiTheme="minorHAnsi" w:hAnsiTheme="minorHAnsi" w:cstheme="minorHAnsi"/>
          <w:szCs w:val="24"/>
        </w:rPr>
        <w:t>UIT de 2022</w:t>
      </w:r>
      <w:r w:rsidR="00877DF4" w:rsidRPr="00BD13D9">
        <w:rPr>
          <w:rFonts w:asciiTheme="minorHAnsi" w:hAnsiTheme="minorHAnsi" w:cstheme="minorHAnsi"/>
          <w:szCs w:val="24"/>
        </w:rPr>
        <w:t xml:space="preserve"> à faire abstra</w:t>
      </w:r>
      <w:r w:rsidR="004046C1" w:rsidRPr="00BD13D9">
        <w:rPr>
          <w:rFonts w:asciiTheme="minorHAnsi" w:hAnsiTheme="minorHAnsi" w:cstheme="minorHAnsi"/>
          <w:szCs w:val="24"/>
        </w:rPr>
        <w:t>ct</w:t>
      </w:r>
      <w:r w:rsidR="00877DF4" w:rsidRPr="00BD13D9">
        <w:rPr>
          <w:rFonts w:asciiTheme="minorHAnsi" w:hAnsiTheme="minorHAnsi" w:cstheme="minorHAnsi"/>
          <w:szCs w:val="24"/>
        </w:rPr>
        <w:t>ion des</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déclarations</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 xml:space="preserve">qui </w:t>
      </w:r>
      <w:r w:rsidR="00BB551E" w:rsidRPr="00BD13D9">
        <w:rPr>
          <w:rFonts w:asciiTheme="minorHAnsi" w:hAnsiTheme="minorHAnsi" w:cstheme="minorHAnsi"/>
          <w:szCs w:val="24"/>
        </w:rPr>
        <w:t>ne</w:t>
      </w:r>
      <w:r w:rsidR="00877DF4" w:rsidRPr="00BD13D9">
        <w:rPr>
          <w:rFonts w:asciiTheme="minorHAnsi" w:hAnsiTheme="minorHAnsi" w:cstheme="minorHAnsi"/>
          <w:szCs w:val="24"/>
        </w:rPr>
        <w:t xml:space="preserve"> relèvent</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pas du mandat de l</w:t>
      </w:r>
      <w:r w:rsidR="00F76CBB" w:rsidRPr="00BD13D9">
        <w:rPr>
          <w:rFonts w:asciiTheme="minorHAnsi" w:hAnsiTheme="minorHAnsi" w:cstheme="minorHAnsi"/>
          <w:szCs w:val="24"/>
        </w:rPr>
        <w:t>'</w:t>
      </w:r>
      <w:r w:rsidR="00BB551E" w:rsidRPr="00BD13D9">
        <w:rPr>
          <w:rFonts w:asciiTheme="minorHAnsi" w:hAnsiTheme="minorHAnsi" w:cstheme="minorHAnsi"/>
          <w:szCs w:val="24"/>
        </w:rPr>
        <w:t>Union</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et</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à ne pas autoriser l</w:t>
      </w:r>
      <w:r w:rsidR="00F76CBB" w:rsidRPr="00BD13D9">
        <w:rPr>
          <w:rFonts w:asciiTheme="minorHAnsi" w:hAnsiTheme="minorHAnsi" w:cstheme="minorHAnsi"/>
          <w:szCs w:val="24"/>
        </w:rPr>
        <w:t>'</w:t>
      </w:r>
      <w:r w:rsidR="00877DF4" w:rsidRPr="00BD13D9">
        <w:rPr>
          <w:rFonts w:asciiTheme="minorHAnsi" w:hAnsiTheme="minorHAnsi" w:cstheme="minorHAnsi"/>
          <w:szCs w:val="24"/>
        </w:rPr>
        <w:t xml:space="preserve">adoption de </w:t>
      </w:r>
      <w:r w:rsidR="00BB551E" w:rsidRPr="00BD13D9">
        <w:rPr>
          <w:rFonts w:asciiTheme="minorHAnsi" w:hAnsiTheme="minorHAnsi" w:cstheme="minorHAnsi"/>
          <w:szCs w:val="24"/>
        </w:rPr>
        <w:t>décision</w:t>
      </w:r>
      <w:r w:rsidR="00877DF4" w:rsidRPr="00BD13D9">
        <w:rPr>
          <w:rFonts w:asciiTheme="minorHAnsi" w:hAnsiTheme="minorHAnsi" w:cstheme="minorHAnsi"/>
          <w:szCs w:val="24"/>
        </w:rPr>
        <w:t>s</w:t>
      </w:r>
      <w:r w:rsidR="00BB551E" w:rsidRPr="00BD13D9">
        <w:rPr>
          <w:rFonts w:asciiTheme="minorHAnsi" w:hAnsiTheme="minorHAnsi" w:cstheme="minorHAnsi"/>
          <w:szCs w:val="24"/>
        </w:rPr>
        <w:t xml:space="preserve"> politisée</w:t>
      </w:r>
      <w:r w:rsidR="00877DF4" w:rsidRPr="00BD13D9">
        <w:rPr>
          <w:rFonts w:asciiTheme="minorHAnsi" w:hAnsiTheme="minorHAnsi" w:cstheme="minorHAnsi"/>
          <w:szCs w:val="24"/>
        </w:rPr>
        <w:t>s</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sous</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ces</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pressions</w:t>
      </w:r>
      <w:r w:rsidRPr="00BD13D9">
        <w:rPr>
          <w:rFonts w:asciiTheme="minorHAnsi" w:hAnsiTheme="minorHAnsi" w:cstheme="minorHAnsi"/>
          <w:szCs w:val="24"/>
        </w:rPr>
        <w:t>.</w:t>
      </w:r>
    </w:p>
    <w:p w14:paraId="5BA74314" w14:textId="6417338F"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2.13</w:t>
      </w:r>
      <w:r w:rsidRPr="00BD13D9">
        <w:rPr>
          <w:rFonts w:asciiTheme="minorHAnsi" w:hAnsiTheme="minorHAnsi" w:cstheme="minorHAnsi"/>
          <w:szCs w:val="24"/>
        </w:rPr>
        <w:tab/>
      </w:r>
      <w:r w:rsidR="00BB551E" w:rsidRPr="00BD13D9">
        <w:rPr>
          <w:rFonts w:asciiTheme="minorHAnsi" w:hAnsiTheme="minorHAnsi" w:cstheme="minorHAnsi"/>
          <w:szCs w:val="24"/>
        </w:rPr>
        <w:t xml:space="preserve">La </w:t>
      </w:r>
      <w:r w:rsidR="00BB551E" w:rsidRPr="00BD13D9">
        <w:rPr>
          <w:rFonts w:asciiTheme="minorHAnsi" w:hAnsiTheme="minorHAnsi" w:cstheme="minorHAnsi"/>
          <w:b/>
          <w:bCs/>
          <w:szCs w:val="24"/>
        </w:rPr>
        <w:t>déléguée de l</w:t>
      </w:r>
      <w:r w:rsidR="00F76CBB" w:rsidRPr="00BD13D9">
        <w:rPr>
          <w:rFonts w:asciiTheme="minorHAnsi" w:hAnsiTheme="minorHAnsi" w:cstheme="minorHAnsi"/>
          <w:b/>
          <w:bCs/>
          <w:szCs w:val="24"/>
        </w:rPr>
        <w:t>'</w:t>
      </w:r>
      <w:r w:rsidR="00BB551E" w:rsidRPr="00BD13D9">
        <w:rPr>
          <w:rFonts w:asciiTheme="minorHAnsi" w:hAnsiTheme="minorHAnsi" w:cstheme="minorHAnsi"/>
          <w:b/>
          <w:bCs/>
          <w:szCs w:val="24"/>
        </w:rPr>
        <w:t>Australie</w:t>
      </w:r>
      <w:r w:rsidR="00BB551E" w:rsidRPr="00BD13D9">
        <w:rPr>
          <w:rFonts w:asciiTheme="minorHAnsi" w:hAnsiTheme="minorHAnsi" w:cstheme="minorHAnsi"/>
          <w:szCs w:val="24"/>
        </w:rPr>
        <w:t xml:space="preserve"> </w:t>
      </w:r>
      <w:r w:rsidR="00877DF4" w:rsidRPr="00BD13D9">
        <w:rPr>
          <w:rFonts w:asciiTheme="minorHAnsi" w:hAnsiTheme="minorHAnsi" w:cstheme="minorHAnsi"/>
          <w:szCs w:val="24"/>
        </w:rPr>
        <w:t>exprime sa pleine</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solidarité avec l</w:t>
      </w:r>
      <w:r w:rsidR="00F76CBB" w:rsidRPr="00BD13D9">
        <w:rPr>
          <w:rFonts w:asciiTheme="minorHAnsi" w:hAnsiTheme="minorHAnsi" w:cstheme="minorHAnsi"/>
          <w:szCs w:val="24"/>
        </w:rPr>
        <w:t>'</w:t>
      </w:r>
      <w:r w:rsidR="00BB551E" w:rsidRPr="00BD13D9">
        <w:rPr>
          <w:rFonts w:asciiTheme="minorHAnsi" w:hAnsiTheme="minorHAnsi" w:cstheme="minorHAnsi"/>
          <w:szCs w:val="24"/>
        </w:rPr>
        <w:t>Ukraine et</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son appui</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à ce</w:t>
      </w:r>
      <w:r w:rsidR="0056155E" w:rsidRPr="00BD13D9">
        <w:rPr>
          <w:rFonts w:asciiTheme="minorHAnsi" w:hAnsiTheme="minorHAnsi" w:cstheme="minorHAnsi"/>
          <w:szCs w:val="24"/>
        </w:rPr>
        <w:t xml:space="preserve"> </w:t>
      </w:r>
      <w:r w:rsidR="00ED3961" w:rsidRPr="00BD13D9">
        <w:rPr>
          <w:rFonts w:asciiTheme="minorHAnsi" w:hAnsiTheme="minorHAnsi" w:cstheme="minorHAnsi"/>
          <w:szCs w:val="24"/>
        </w:rPr>
        <w:t xml:space="preserve">pays, </w:t>
      </w:r>
      <w:r w:rsidR="00BB551E" w:rsidRPr="00BD13D9">
        <w:rPr>
          <w:rFonts w:asciiTheme="minorHAnsi" w:hAnsiTheme="minorHAnsi" w:cstheme="minorHAnsi"/>
          <w:szCs w:val="24"/>
        </w:rPr>
        <w:t>et</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souligne</w:t>
      </w:r>
      <w:r w:rsidR="00BB551E" w:rsidRPr="00BD13D9">
        <w:rPr>
          <w:rFonts w:asciiTheme="minorHAnsi" w:hAnsiTheme="minorHAnsi" w:cstheme="minorHAnsi"/>
          <w:szCs w:val="24"/>
        </w:rPr>
        <w:t xml:space="preserve"> que son pays condamne fermement les attaques visant l</w:t>
      </w:r>
      <w:r w:rsidR="00F76CBB" w:rsidRPr="00BD13D9">
        <w:rPr>
          <w:rFonts w:asciiTheme="minorHAnsi" w:hAnsiTheme="minorHAnsi" w:cstheme="minorHAnsi"/>
          <w:szCs w:val="24"/>
        </w:rPr>
        <w:t>'</w:t>
      </w:r>
      <w:r w:rsidR="00BB551E" w:rsidRPr="00BD13D9">
        <w:rPr>
          <w:rFonts w:asciiTheme="minorHAnsi" w:hAnsiTheme="minorHAnsi" w:cstheme="minorHAnsi"/>
          <w:szCs w:val="24"/>
        </w:rPr>
        <w:t>infrastructure de télécommunication et les mesures prises pour bloquer et dégrader l</w:t>
      </w:r>
      <w:r w:rsidR="00F76CBB" w:rsidRPr="00BD13D9">
        <w:rPr>
          <w:rFonts w:asciiTheme="minorHAnsi" w:hAnsiTheme="minorHAnsi" w:cstheme="minorHAnsi"/>
          <w:szCs w:val="24"/>
        </w:rPr>
        <w:t>'</w:t>
      </w:r>
      <w:r w:rsidR="00BB551E" w:rsidRPr="00BD13D9">
        <w:rPr>
          <w:rFonts w:asciiTheme="minorHAnsi" w:hAnsiTheme="minorHAnsi" w:cstheme="minorHAnsi"/>
          <w:szCs w:val="24"/>
        </w:rPr>
        <w:t>accès à l</w:t>
      </w:r>
      <w:r w:rsidR="00F76CBB" w:rsidRPr="00BD13D9">
        <w:rPr>
          <w:rFonts w:asciiTheme="minorHAnsi" w:hAnsiTheme="minorHAnsi" w:cstheme="minorHAnsi"/>
          <w:szCs w:val="24"/>
        </w:rPr>
        <w:t>'</w:t>
      </w:r>
      <w:r w:rsidR="00BB551E" w:rsidRPr="00BD13D9">
        <w:rPr>
          <w:rFonts w:asciiTheme="minorHAnsi" w:hAnsiTheme="minorHAnsi" w:cstheme="minorHAnsi"/>
          <w:szCs w:val="24"/>
        </w:rPr>
        <w:t xml:space="preserve">Internet. </w:t>
      </w:r>
      <w:r w:rsidR="00877DF4" w:rsidRPr="00BD13D9">
        <w:rPr>
          <w:rFonts w:asciiTheme="minorHAnsi" w:hAnsiTheme="minorHAnsi" w:cstheme="minorHAnsi"/>
          <w:szCs w:val="24"/>
        </w:rPr>
        <w:t>Ces</w:t>
      </w:r>
      <w:r w:rsidR="0056155E" w:rsidRPr="00BD13D9">
        <w:rPr>
          <w:rFonts w:asciiTheme="minorHAnsi" w:hAnsiTheme="minorHAnsi" w:cstheme="minorHAnsi"/>
          <w:szCs w:val="24"/>
        </w:rPr>
        <w:t xml:space="preserve"> </w:t>
      </w:r>
      <w:r w:rsidR="00BB551E" w:rsidRPr="00BD13D9">
        <w:rPr>
          <w:rFonts w:asciiTheme="minorHAnsi" w:hAnsiTheme="minorHAnsi" w:cstheme="minorHAnsi"/>
          <w:szCs w:val="24"/>
        </w:rPr>
        <w:t>problèmes s</w:t>
      </w:r>
      <w:r w:rsidR="00F76CBB" w:rsidRPr="00BD13D9">
        <w:rPr>
          <w:rFonts w:asciiTheme="minorHAnsi" w:hAnsiTheme="minorHAnsi" w:cstheme="minorHAnsi"/>
          <w:szCs w:val="24"/>
        </w:rPr>
        <w:t>'</w:t>
      </w:r>
      <w:r w:rsidR="00BB551E" w:rsidRPr="00BD13D9">
        <w:rPr>
          <w:rFonts w:asciiTheme="minorHAnsi" w:hAnsiTheme="minorHAnsi" w:cstheme="minorHAnsi"/>
          <w:szCs w:val="24"/>
        </w:rPr>
        <w:t>inscrivent au cœur de la mission de l</w:t>
      </w:r>
      <w:r w:rsidR="00F76CBB" w:rsidRPr="00BD13D9">
        <w:rPr>
          <w:rFonts w:asciiTheme="minorHAnsi" w:hAnsiTheme="minorHAnsi" w:cstheme="minorHAnsi"/>
          <w:szCs w:val="24"/>
        </w:rPr>
        <w:t>'</w:t>
      </w:r>
      <w:r w:rsidR="00BB551E" w:rsidRPr="00BD13D9">
        <w:rPr>
          <w:rFonts w:asciiTheme="minorHAnsi" w:hAnsiTheme="minorHAnsi" w:cstheme="minorHAnsi"/>
          <w:szCs w:val="24"/>
        </w:rPr>
        <w:t>UIT et l</w:t>
      </w:r>
      <w:r w:rsidR="00F76CBB" w:rsidRPr="00BD13D9">
        <w:rPr>
          <w:rFonts w:asciiTheme="minorHAnsi" w:hAnsiTheme="minorHAnsi" w:cstheme="minorHAnsi"/>
          <w:szCs w:val="24"/>
        </w:rPr>
        <w:t>'</w:t>
      </w:r>
      <w:r w:rsidR="00BB551E" w:rsidRPr="00BD13D9">
        <w:rPr>
          <w:rFonts w:asciiTheme="minorHAnsi" w:hAnsiTheme="minorHAnsi" w:cstheme="minorHAnsi"/>
          <w:szCs w:val="24"/>
        </w:rPr>
        <w:t>Australie reconnaît les efforts dépl</w:t>
      </w:r>
      <w:r w:rsidR="00790861" w:rsidRPr="00BD13D9">
        <w:rPr>
          <w:rFonts w:asciiTheme="minorHAnsi" w:hAnsiTheme="minorHAnsi" w:cstheme="minorHAnsi"/>
          <w:szCs w:val="24"/>
        </w:rPr>
        <w:t>o</w:t>
      </w:r>
      <w:r w:rsidR="00BB551E" w:rsidRPr="00BD13D9">
        <w:rPr>
          <w:rFonts w:asciiTheme="minorHAnsi" w:hAnsiTheme="minorHAnsi" w:cstheme="minorHAnsi"/>
          <w:szCs w:val="24"/>
        </w:rPr>
        <w:t>yés par l</w:t>
      </w:r>
      <w:r w:rsidR="00F76CBB" w:rsidRPr="00BD13D9">
        <w:rPr>
          <w:rFonts w:asciiTheme="minorHAnsi" w:hAnsiTheme="minorHAnsi" w:cstheme="minorHAnsi"/>
          <w:szCs w:val="24"/>
        </w:rPr>
        <w:t>'</w:t>
      </w:r>
      <w:r w:rsidR="00ED3961" w:rsidRPr="00BD13D9">
        <w:rPr>
          <w:rFonts w:asciiTheme="minorHAnsi" w:hAnsiTheme="minorHAnsi" w:cstheme="minorHAnsi"/>
          <w:szCs w:val="24"/>
        </w:rPr>
        <w:t>U</w:t>
      </w:r>
      <w:r w:rsidR="00877DF4" w:rsidRPr="00BD13D9">
        <w:rPr>
          <w:rFonts w:asciiTheme="minorHAnsi" w:hAnsiTheme="minorHAnsi" w:cstheme="minorHAnsi"/>
          <w:szCs w:val="24"/>
        </w:rPr>
        <w:t xml:space="preserve">IT </w:t>
      </w:r>
      <w:r w:rsidR="00790861" w:rsidRPr="00BD13D9">
        <w:rPr>
          <w:rFonts w:asciiTheme="minorHAnsi" w:hAnsiTheme="minorHAnsi" w:cstheme="minorHAnsi"/>
          <w:szCs w:val="24"/>
        </w:rPr>
        <w:t>pour apporter une</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assistance</w:t>
      </w:r>
      <w:r w:rsidR="0056155E" w:rsidRPr="00BD13D9">
        <w:rPr>
          <w:rFonts w:asciiTheme="minorHAnsi" w:hAnsiTheme="minorHAnsi" w:cstheme="minorHAnsi"/>
          <w:szCs w:val="24"/>
        </w:rPr>
        <w:t xml:space="preserve"> </w:t>
      </w:r>
      <w:r w:rsidR="00790861" w:rsidRPr="00BD13D9">
        <w:rPr>
          <w:rFonts w:asciiTheme="minorHAnsi" w:hAnsiTheme="minorHAnsi" w:cstheme="minorHAnsi"/>
          <w:szCs w:val="24"/>
        </w:rPr>
        <w:t>à l</w:t>
      </w:r>
      <w:r w:rsidR="00F76CBB" w:rsidRPr="00BD13D9">
        <w:rPr>
          <w:rFonts w:asciiTheme="minorHAnsi" w:hAnsiTheme="minorHAnsi" w:cstheme="minorHAnsi"/>
          <w:szCs w:val="24"/>
        </w:rPr>
        <w:t>'</w:t>
      </w:r>
      <w:r w:rsidR="00790861" w:rsidRPr="00BD13D9">
        <w:rPr>
          <w:rFonts w:asciiTheme="minorHAnsi" w:hAnsiTheme="minorHAnsi" w:cstheme="minorHAnsi"/>
          <w:szCs w:val="24"/>
        </w:rPr>
        <w:t xml:space="preserve">Ukraine </w:t>
      </w:r>
      <w:r w:rsidR="00877DF4" w:rsidRPr="00BD13D9">
        <w:rPr>
          <w:rFonts w:asciiTheme="minorHAnsi" w:hAnsiTheme="minorHAnsi" w:cstheme="minorHAnsi"/>
          <w:szCs w:val="24"/>
        </w:rPr>
        <w:t>en mettant</w:t>
      </w:r>
      <w:r w:rsidR="00790861" w:rsidRPr="00BD13D9">
        <w:rPr>
          <w:rFonts w:asciiTheme="minorHAnsi" w:hAnsiTheme="minorHAnsi" w:cstheme="minorHAnsi"/>
          <w:szCs w:val="24"/>
        </w:rPr>
        <w:t xml:space="preserve"> en œuvre</w:t>
      </w:r>
      <w:r w:rsidR="0056155E" w:rsidRPr="00BD13D9">
        <w:rPr>
          <w:rFonts w:asciiTheme="minorHAnsi" w:hAnsiTheme="minorHAnsi" w:cstheme="minorHAnsi"/>
          <w:szCs w:val="24"/>
        </w:rPr>
        <w:t xml:space="preserve"> </w:t>
      </w:r>
      <w:r w:rsidR="00790861" w:rsidRPr="00BD13D9">
        <w:rPr>
          <w:rFonts w:asciiTheme="minorHAnsi" w:hAnsiTheme="minorHAnsi" w:cstheme="minorHAnsi"/>
          <w:szCs w:val="24"/>
        </w:rPr>
        <w:t xml:space="preserve">la Résolution 1408 du Conseil. </w:t>
      </w:r>
      <w:r w:rsidR="00877DF4" w:rsidRPr="00BD13D9">
        <w:rPr>
          <w:rFonts w:asciiTheme="minorHAnsi" w:hAnsiTheme="minorHAnsi" w:cstheme="minorHAnsi"/>
          <w:szCs w:val="24"/>
        </w:rPr>
        <w:t>Les</w:t>
      </w:r>
      <w:r w:rsidR="00790861" w:rsidRPr="00BD13D9">
        <w:rPr>
          <w:rFonts w:asciiTheme="minorHAnsi" w:hAnsiTheme="minorHAnsi" w:cstheme="minorHAnsi"/>
          <w:szCs w:val="24"/>
        </w:rPr>
        <w:t xml:space="preserve"> activités</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relevant</w:t>
      </w:r>
      <w:r w:rsidR="0056155E" w:rsidRPr="00BD13D9">
        <w:rPr>
          <w:rFonts w:asciiTheme="minorHAnsi" w:hAnsiTheme="minorHAnsi" w:cstheme="minorHAnsi"/>
          <w:szCs w:val="24"/>
        </w:rPr>
        <w:t xml:space="preserve"> </w:t>
      </w:r>
      <w:r w:rsidR="00790861" w:rsidRPr="00BD13D9">
        <w:rPr>
          <w:rFonts w:asciiTheme="minorHAnsi" w:hAnsiTheme="minorHAnsi" w:cstheme="minorHAnsi"/>
          <w:szCs w:val="24"/>
        </w:rPr>
        <w:t>cette Résolution entrent entièrement dans le cadre de la mission et des compétences spécialisées de l</w:t>
      </w:r>
      <w:r w:rsidR="00F76CBB" w:rsidRPr="00BD13D9">
        <w:rPr>
          <w:rFonts w:asciiTheme="minorHAnsi" w:hAnsiTheme="minorHAnsi" w:cstheme="minorHAnsi"/>
          <w:szCs w:val="24"/>
        </w:rPr>
        <w:t>'</w:t>
      </w:r>
      <w:r w:rsidR="00790861" w:rsidRPr="00BD13D9">
        <w:rPr>
          <w:rFonts w:asciiTheme="minorHAnsi" w:hAnsiTheme="minorHAnsi" w:cstheme="minorHAnsi"/>
          <w:szCs w:val="24"/>
        </w:rPr>
        <w:t>UIT, et sont centrées sur celles-ci</w:t>
      </w:r>
      <w:r w:rsidRPr="00BD13D9">
        <w:rPr>
          <w:rFonts w:asciiTheme="minorHAnsi" w:hAnsiTheme="minorHAnsi" w:cstheme="minorHAnsi"/>
          <w:szCs w:val="24"/>
        </w:rPr>
        <w:t>.</w:t>
      </w:r>
    </w:p>
    <w:p w14:paraId="3AC53307" w14:textId="26F492A5"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2.14</w:t>
      </w:r>
      <w:r w:rsidRPr="00BD13D9">
        <w:rPr>
          <w:rFonts w:asciiTheme="minorHAnsi" w:hAnsiTheme="minorHAnsi" w:cstheme="minorHAnsi"/>
          <w:szCs w:val="24"/>
        </w:rPr>
        <w:tab/>
      </w:r>
      <w:r w:rsidR="00790861" w:rsidRPr="00BD13D9">
        <w:rPr>
          <w:rFonts w:asciiTheme="minorHAnsi" w:hAnsiTheme="minorHAnsi" w:cstheme="minorHAnsi"/>
          <w:szCs w:val="24"/>
        </w:rPr>
        <w:t xml:space="preserve">Le </w:t>
      </w:r>
      <w:r w:rsidR="00790861" w:rsidRPr="00BD13D9">
        <w:rPr>
          <w:rFonts w:asciiTheme="minorHAnsi" w:hAnsiTheme="minorHAnsi" w:cstheme="minorHAnsi"/>
          <w:b/>
          <w:bCs/>
          <w:szCs w:val="24"/>
        </w:rPr>
        <w:t>délégué du Royaume-Uni</w:t>
      </w:r>
      <w:r w:rsidR="0056155E" w:rsidRPr="00BD13D9">
        <w:rPr>
          <w:rFonts w:asciiTheme="minorHAnsi" w:hAnsiTheme="minorHAnsi" w:cstheme="minorHAnsi"/>
          <w:szCs w:val="24"/>
        </w:rPr>
        <w:t xml:space="preserve"> </w:t>
      </w:r>
      <w:r w:rsidR="00790861" w:rsidRPr="00BD13D9">
        <w:rPr>
          <w:rFonts w:asciiTheme="minorHAnsi" w:hAnsiTheme="minorHAnsi" w:cstheme="minorHAnsi"/>
          <w:szCs w:val="24"/>
        </w:rPr>
        <w:t>exprim</w:t>
      </w:r>
      <w:r w:rsidR="00877DF4" w:rsidRPr="00BD13D9">
        <w:rPr>
          <w:rFonts w:asciiTheme="minorHAnsi" w:hAnsiTheme="minorHAnsi" w:cstheme="minorHAnsi"/>
          <w:szCs w:val="24"/>
        </w:rPr>
        <w:t xml:space="preserve">e </w:t>
      </w:r>
      <w:r w:rsidR="00790861" w:rsidRPr="00BD13D9">
        <w:rPr>
          <w:rFonts w:asciiTheme="minorHAnsi" w:hAnsiTheme="minorHAnsi" w:cstheme="minorHAnsi"/>
          <w:szCs w:val="24"/>
        </w:rPr>
        <w:t>le soutien sans faille de son pays à l</w:t>
      </w:r>
      <w:r w:rsidR="00F76CBB" w:rsidRPr="00BD13D9">
        <w:rPr>
          <w:rFonts w:asciiTheme="minorHAnsi" w:hAnsiTheme="minorHAnsi" w:cstheme="minorHAnsi"/>
          <w:szCs w:val="24"/>
        </w:rPr>
        <w:t>'</w:t>
      </w:r>
      <w:r w:rsidR="00790861" w:rsidRPr="00BD13D9">
        <w:rPr>
          <w:rFonts w:asciiTheme="minorHAnsi" w:hAnsiTheme="minorHAnsi" w:cstheme="minorHAnsi"/>
          <w:szCs w:val="24"/>
        </w:rPr>
        <w:t>Ukraine</w:t>
      </w:r>
      <w:r w:rsidR="00877DF4" w:rsidRPr="00BD13D9">
        <w:rPr>
          <w:rFonts w:asciiTheme="minorHAnsi" w:hAnsiTheme="minorHAnsi" w:cstheme="minorHAnsi"/>
          <w:szCs w:val="24"/>
        </w:rPr>
        <w:t xml:space="preserve"> et </w:t>
      </w:r>
      <w:r w:rsidR="00790861" w:rsidRPr="00BD13D9">
        <w:rPr>
          <w:rFonts w:asciiTheme="minorHAnsi" w:hAnsiTheme="minorHAnsi" w:cstheme="minorHAnsi"/>
          <w:szCs w:val="24"/>
        </w:rPr>
        <w:t>s</w:t>
      </w:r>
      <w:r w:rsidR="00F76CBB" w:rsidRPr="00BD13D9">
        <w:rPr>
          <w:rFonts w:asciiTheme="minorHAnsi" w:hAnsiTheme="minorHAnsi" w:cstheme="minorHAnsi"/>
          <w:szCs w:val="24"/>
        </w:rPr>
        <w:t>'</w:t>
      </w:r>
      <w:r w:rsidR="00790861" w:rsidRPr="00BD13D9">
        <w:rPr>
          <w:rFonts w:asciiTheme="minorHAnsi" w:hAnsiTheme="minorHAnsi" w:cstheme="minorHAnsi"/>
          <w:szCs w:val="24"/>
        </w:rPr>
        <w:t xml:space="preserve">associe aux déclarations faites par les </w:t>
      </w:r>
      <w:r w:rsidR="00877DF4" w:rsidRPr="00BD13D9">
        <w:rPr>
          <w:rFonts w:asciiTheme="minorHAnsi" w:hAnsiTheme="minorHAnsi" w:cstheme="minorHAnsi"/>
          <w:szCs w:val="24"/>
        </w:rPr>
        <w:t xml:space="preserve">orateurs </w:t>
      </w:r>
      <w:r w:rsidR="00790861" w:rsidRPr="00BD13D9">
        <w:rPr>
          <w:rFonts w:asciiTheme="minorHAnsi" w:hAnsiTheme="minorHAnsi" w:cstheme="minorHAnsi"/>
          <w:szCs w:val="24"/>
        </w:rPr>
        <w:t>précédents en faveur de l</w:t>
      </w:r>
      <w:r w:rsidR="00F76CBB" w:rsidRPr="00BD13D9">
        <w:rPr>
          <w:rFonts w:asciiTheme="minorHAnsi" w:hAnsiTheme="minorHAnsi" w:cstheme="minorHAnsi"/>
          <w:szCs w:val="24"/>
        </w:rPr>
        <w:t>'</w:t>
      </w:r>
      <w:r w:rsidR="00790861" w:rsidRPr="00BD13D9">
        <w:rPr>
          <w:rFonts w:asciiTheme="minorHAnsi" w:hAnsiTheme="minorHAnsi" w:cstheme="minorHAnsi"/>
          <w:szCs w:val="24"/>
        </w:rPr>
        <w:t>Ukraine.</w:t>
      </w:r>
      <w:r w:rsidR="0056155E" w:rsidRPr="00BD13D9">
        <w:rPr>
          <w:rFonts w:asciiTheme="minorHAnsi" w:hAnsiTheme="minorHAnsi" w:cstheme="minorHAnsi"/>
          <w:szCs w:val="24"/>
        </w:rPr>
        <w:t xml:space="preserve"> </w:t>
      </w:r>
      <w:r w:rsidR="00877DF4" w:rsidRPr="00BD13D9">
        <w:rPr>
          <w:rFonts w:asciiTheme="minorHAnsi" w:hAnsiTheme="minorHAnsi" w:cstheme="minorHAnsi"/>
          <w:szCs w:val="24"/>
        </w:rPr>
        <w:t>Le</w:t>
      </w:r>
      <w:r w:rsidR="00790861" w:rsidRPr="00BD13D9">
        <w:rPr>
          <w:rFonts w:asciiTheme="minorHAnsi" w:hAnsiTheme="minorHAnsi" w:cstheme="minorHAnsi"/>
          <w:szCs w:val="24"/>
        </w:rPr>
        <w:t xml:space="preserve"> Royaume</w:t>
      </w:r>
      <w:r w:rsidR="00F93DAE" w:rsidRPr="00BD13D9">
        <w:rPr>
          <w:rFonts w:asciiTheme="minorHAnsi" w:hAnsiTheme="minorHAnsi" w:cstheme="minorHAnsi"/>
          <w:szCs w:val="24"/>
        </w:rPr>
        <w:noBreakHyphen/>
      </w:r>
      <w:r w:rsidR="00790861" w:rsidRPr="00BD13D9">
        <w:rPr>
          <w:rFonts w:asciiTheme="minorHAnsi" w:hAnsiTheme="minorHAnsi" w:cstheme="minorHAnsi"/>
          <w:szCs w:val="24"/>
        </w:rPr>
        <w:t xml:space="preserve">Uni condamne la guerre illégale </w:t>
      </w:r>
      <w:r w:rsidR="00467518" w:rsidRPr="00BD13D9">
        <w:rPr>
          <w:rFonts w:asciiTheme="minorHAnsi" w:hAnsiTheme="minorHAnsi" w:cstheme="minorHAnsi"/>
          <w:szCs w:val="24"/>
        </w:rPr>
        <w:t>de</w:t>
      </w:r>
      <w:r w:rsidR="00790861" w:rsidRPr="00BD13D9">
        <w:rPr>
          <w:rFonts w:asciiTheme="minorHAnsi" w:hAnsiTheme="minorHAnsi" w:cstheme="minorHAnsi"/>
          <w:szCs w:val="24"/>
        </w:rPr>
        <w:t xml:space="preserve"> la Fédération de Russie, qui constitue une violation grave de la Charte des Nations Unies et des principes </w:t>
      </w:r>
      <w:r w:rsidR="00467518" w:rsidRPr="00BD13D9">
        <w:rPr>
          <w:rFonts w:asciiTheme="minorHAnsi" w:hAnsiTheme="minorHAnsi" w:cstheme="minorHAnsi"/>
          <w:szCs w:val="24"/>
        </w:rPr>
        <w:t>communs que sont la</w:t>
      </w:r>
      <w:r w:rsidR="0056155E" w:rsidRPr="00BD13D9">
        <w:rPr>
          <w:rFonts w:asciiTheme="minorHAnsi" w:hAnsiTheme="minorHAnsi" w:cstheme="minorHAnsi"/>
          <w:szCs w:val="24"/>
        </w:rPr>
        <w:t xml:space="preserve"> </w:t>
      </w:r>
      <w:r w:rsidR="00790861" w:rsidRPr="00BD13D9">
        <w:rPr>
          <w:rFonts w:asciiTheme="minorHAnsi" w:hAnsiTheme="minorHAnsi" w:cstheme="minorHAnsi"/>
          <w:szCs w:val="24"/>
        </w:rPr>
        <w:t>souveraineté et</w:t>
      </w:r>
      <w:r w:rsidR="0056155E" w:rsidRPr="00BD13D9">
        <w:rPr>
          <w:rFonts w:asciiTheme="minorHAnsi" w:hAnsiTheme="minorHAnsi" w:cstheme="minorHAnsi"/>
          <w:szCs w:val="24"/>
        </w:rPr>
        <w:t xml:space="preserve"> </w:t>
      </w:r>
      <w:r w:rsidR="00467518" w:rsidRPr="00BD13D9">
        <w:rPr>
          <w:rFonts w:asciiTheme="minorHAnsi" w:hAnsiTheme="minorHAnsi" w:cstheme="minorHAnsi"/>
          <w:szCs w:val="24"/>
        </w:rPr>
        <w:t>l</w:t>
      </w:r>
      <w:r w:rsidR="00F76CBB" w:rsidRPr="00BD13D9">
        <w:rPr>
          <w:rFonts w:asciiTheme="minorHAnsi" w:hAnsiTheme="minorHAnsi" w:cstheme="minorHAnsi"/>
          <w:szCs w:val="24"/>
        </w:rPr>
        <w:t>'</w:t>
      </w:r>
      <w:r w:rsidR="00790861" w:rsidRPr="00BD13D9">
        <w:rPr>
          <w:rFonts w:asciiTheme="minorHAnsi" w:hAnsiTheme="minorHAnsi" w:cstheme="minorHAnsi"/>
          <w:szCs w:val="24"/>
        </w:rPr>
        <w:t>intégrité territoriale, sur lesquels reposent les Nations Unies et l</w:t>
      </w:r>
      <w:r w:rsidR="00F76CBB" w:rsidRPr="00BD13D9">
        <w:rPr>
          <w:rFonts w:asciiTheme="minorHAnsi" w:hAnsiTheme="minorHAnsi" w:cstheme="minorHAnsi"/>
          <w:szCs w:val="24"/>
        </w:rPr>
        <w:t>'</w:t>
      </w:r>
      <w:r w:rsidR="00790861" w:rsidRPr="00BD13D9">
        <w:rPr>
          <w:rFonts w:asciiTheme="minorHAnsi" w:hAnsiTheme="minorHAnsi" w:cstheme="minorHAnsi"/>
          <w:szCs w:val="24"/>
        </w:rPr>
        <w:t xml:space="preserve">UIT, et qui doivent être respectés. </w:t>
      </w:r>
      <w:r w:rsidR="00467518" w:rsidRPr="00BD13D9">
        <w:rPr>
          <w:rFonts w:asciiTheme="minorHAnsi" w:hAnsiTheme="minorHAnsi" w:cstheme="minorHAnsi"/>
          <w:szCs w:val="24"/>
        </w:rPr>
        <w:t>En outre, les</w:t>
      </w:r>
      <w:r w:rsidR="0056155E" w:rsidRPr="00BD13D9">
        <w:rPr>
          <w:rFonts w:asciiTheme="minorHAnsi" w:hAnsiTheme="minorHAnsi" w:cstheme="minorHAnsi"/>
          <w:szCs w:val="24"/>
        </w:rPr>
        <w:t xml:space="preserve"> </w:t>
      </w:r>
      <w:r w:rsidR="00790861" w:rsidRPr="00BD13D9">
        <w:rPr>
          <w:rFonts w:asciiTheme="minorHAnsi" w:hAnsiTheme="minorHAnsi" w:cstheme="minorHAnsi"/>
          <w:szCs w:val="24"/>
        </w:rPr>
        <w:t xml:space="preserve">télécommunications </w:t>
      </w:r>
      <w:r w:rsidR="002C29B7" w:rsidRPr="00BD13D9">
        <w:rPr>
          <w:rFonts w:asciiTheme="minorHAnsi" w:hAnsiTheme="minorHAnsi" w:cstheme="minorHAnsi"/>
          <w:szCs w:val="24"/>
        </w:rPr>
        <w:t xml:space="preserve">au service de </w:t>
      </w:r>
      <w:r w:rsidR="00790861" w:rsidRPr="00BD13D9">
        <w:rPr>
          <w:rFonts w:asciiTheme="minorHAnsi" w:hAnsiTheme="minorHAnsi" w:cstheme="minorHAnsi"/>
          <w:szCs w:val="24"/>
        </w:rPr>
        <w:t xml:space="preserve">la paix </w:t>
      </w:r>
      <w:r w:rsidR="002C29B7" w:rsidRPr="00BD13D9">
        <w:rPr>
          <w:rFonts w:asciiTheme="minorHAnsi" w:hAnsiTheme="minorHAnsi" w:cstheme="minorHAnsi"/>
          <w:szCs w:val="24"/>
        </w:rPr>
        <w:t xml:space="preserve">constituent </w:t>
      </w:r>
      <w:r w:rsidR="00790861" w:rsidRPr="00BD13D9">
        <w:rPr>
          <w:rFonts w:asciiTheme="minorHAnsi" w:hAnsiTheme="minorHAnsi" w:cstheme="minorHAnsi"/>
          <w:szCs w:val="24"/>
        </w:rPr>
        <w:t>un pilier de la Constitution de l</w:t>
      </w:r>
      <w:r w:rsidR="00F76CBB" w:rsidRPr="00BD13D9">
        <w:rPr>
          <w:rFonts w:asciiTheme="minorHAnsi" w:hAnsiTheme="minorHAnsi" w:cstheme="minorHAnsi"/>
          <w:szCs w:val="24"/>
        </w:rPr>
        <w:t>'</w:t>
      </w:r>
      <w:r w:rsidR="00790861" w:rsidRPr="00BD13D9">
        <w:rPr>
          <w:rFonts w:asciiTheme="minorHAnsi" w:hAnsiTheme="minorHAnsi" w:cstheme="minorHAnsi"/>
          <w:szCs w:val="24"/>
        </w:rPr>
        <w:t>UIT</w:t>
      </w:r>
      <w:r w:rsidR="002C29B7" w:rsidRPr="00BD13D9">
        <w:rPr>
          <w:rFonts w:asciiTheme="minorHAnsi" w:hAnsiTheme="minorHAnsi" w:cstheme="minorHAnsi"/>
          <w:szCs w:val="24"/>
        </w:rPr>
        <w:t xml:space="preserve"> et</w:t>
      </w:r>
      <w:r w:rsidR="0056155E" w:rsidRPr="00BD13D9">
        <w:rPr>
          <w:rFonts w:asciiTheme="minorHAnsi" w:hAnsiTheme="minorHAnsi" w:cstheme="minorHAnsi"/>
          <w:szCs w:val="24"/>
        </w:rPr>
        <w:t xml:space="preserve"> </w:t>
      </w:r>
      <w:r w:rsidR="002C29B7" w:rsidRPr="00BD13D9">
        <w:rPr>
          <w:rFonts w:asciiTheme="minorHAnsi" w:hAnsiTheme="minorHAnsi" w:cstheme="minorHAnsi"/>
          <w:szCs w:val="24"/>
        </w:rPr>
        <w:t>les mesures visant à saper les valeurs fondamentales de l</w:t>
      </w:r>
      <w:r w:rsidR="00F76CBB" w:rsidRPr="00BD13D9">
        <w:rPr>
          <w:rFonts w:asciiTheme="minorHAnsi" w:hAnsiTheme="minorHAnsi" w:cstheme="minorHAnsi"/>
          <w:szCs w:val="24"/>
        </w:rPr>
        <w:t>'</w:t>
      </w:r>
      <w:r w:rsidR="002C29B7" w:rsidRPr="00BD13D9">
        <w:rPr>
          <w:rFonts w:asciiTheme="minorHAnsi" w:hAnsiTheme="minorHAnsi" w:cstheme="minorHAnsi"/>
          <w:szCs w:val="24"/>
        </w:rPr>
        <w:t xml:space="preserve">UIT ne </w:t>
      </w:r>
      <w:r w:rsidR="00ED3961" w:rsidRPr="00BD13D9">
        <w:rPr>
          <w:rFonts w:asciiTheme="minorHAnsi" w:hAnsiTheme="minorHAnsi" w:cstheme="minorHAnsi"/>
          <w:szCs w:val="24"/>
        </w:rPr>
        <w:t xml:space="preserve">sauraient </w:t>
      </w:r>
      <w:r w:rsidR="002C29B7" w:rsidRPr="00BD13D9">
        <w:rPr>
          <w:rFonts w:asciiTheme="minorHAnsi" w:hAnsiTheme="minorHAnsi" w:cstheme="minorHAnsi"/>
          <w:szCs w:val="24"/>
        </w:rPr>
        <w:t>être ignorées. Le</w:t>
      </w:r>
      <w:r w:rsidR="0056155E" w:rsidRPr="00BD13D9">
        <w:rPr>
          <w:rFonts w:asciiTheme="minorHAnsi" w:hAnsiTheme="minorHAnsi" w:cstheme="minorHAnsi"/>
          <w:szCs w:val="24"/>
        </w:rPr>
        <w:t xml:space="preserve"> </w:t>
      </w:r>
      <w:r w:rsidR="002C29B7" w:rsidRPr="00BD13D9">
        <w:rPr>
          <w:rFonts w:asciiTheme="minorHAnsi" w:hAnsiTheme="minorHAnsi" w:cstheme="minorHAnsi"/>
          <w:szCs w:val="24"/>
        </w:rPr>
        <w:t xml:space="preserve">Royaume-Uni attend avec intérêt la publication du rapport </w:t>
      </w:r>
      <w:r w:rsidR="00467518" w:rsidRPr="00BD13D9">
        <w:rPr>
          <w:rFonts w:asciiTheme="minorHAnsi" w:hAnsiTheme="minorHAnsi" w:cstheme="minorHAnsi"/>
          <w:szCs w:val="24"/>
        </w:rPr>
        <w:t>au titre de</w:t>
      </w:r>
      <w:r w:rsidR="0056155E" w:rsidRPr="00BD13D9">
        <w:rPr>
          <w:rFonts w:asciiTheme="minorHAnsi" w:hAnsiTheme="minorHAnsi" w:cstheme="minorHAnsi"/>
          <w:szCs w:val="24"/>
        </w:rPr>
        <w:t xml:space="preserve"> </w:t>
      </w:r>
      <w:r w:rsidR="002C29B7" w:rsidRPr="00BD13D9">
        <w:rPr>
          <w:rFonts w:asciiTheme="minorHAnsi" w:hAnsiTheme="minorHAnsi" w:cstheme="minorHAnsi"/>
          <w:szCs w:val="24"/>
        </w:rPr>
        <w:t>la Résolution 1408 du Conseil de l</w:t>
      </w:r>
      <w:r w:rsidR="00F76CBB" w:rsidRPr="00BD13D9">
        <w:rPr>
          <w:rFonts w:asciiTheme="minorHAnsi" w:hAnsiTheme="minorHAnsi" w:cstheme="minorHAnsi"/>
          <w:szCs w:val="24"/>
        </w:rPr>
        <w:t>'</w:t>
      </w:r>
      <w:r w:rsidR="002C29B7" w:rsidRPr="00BD13D9">
        <w:rPr>
          <w:rFonts w:asciiTheme="minorHAnsi" w:hAnsiTheme="minorHAnsi" w:cstheme="minorHAnsi"/>
          <w:szCs w:val="24"/>
        </w:rPr>
        <w:t xml:space="preserve">UIT </w:t>
      </w:r>
      <w:r w:rsidR="00467518" w:rsidRPr="00BD13D9">
        <w:rPr>
          <w:rFonts w:asciiTheme="minorHAnsi" w:hAnsiTheme="minorHAnsi" w:cstheme="minorHAnsi"/>
          <w:szCs w:val="24"/>
        </w:rPr>
        <w:t>comme</w:t>
      </w:r>
      <w:r w:rsidR="002C29B7" w:rsidRPr="00BD13D9">
        <w:rPr>
          <w:rFonts w:asciiTheme="minorHAnsi" w:hAnsiTheme="minorHAnsi" w:cstheme="minorHAnsi"/>
          <w:szCs w:val="24"/>
        </w:rPr>
        <w:t xml:space="preserve"> base</w:t>
      </w:r>
      <w:r w:rsidR="0056155E" w:rsidRPr="00BD13D9">
        <w:rPr>
          <w:rFonts w:asciiTheme="minorHAnsi" w:hAnsiTheme="minorHAnsi" w:cstheme="minorHAnsi"/>
          <w:szCs w:val="24"/>
        </w:rPr>
        <w:t xml:space="preserve"> </w:t>
      </w:r>
      <w:r w:rsidR="00467518" w:rsidRPr="00BD13D9">
        <w:rPr>
          <w:rFonts w:asciiTheme="minorHAnsi" w:hAnsiTheme="minorHAnsi" w:cstheme="minorHAnsi"/>
          <w:szCs w:val="24"/>
        </w:rPr>
        <w:t>de l</w:t>
      </w:r>
      <w:r w:rsidR="00F76CBB" w:rsidRPr="00BD13D9">
        <w:rPr>
          <w:rFonts w:asciiTheme="minorHAnsi" w:hAnsiTheme="minorHAnsi" w:cstheme="minorHAnsi"/>
          <w:szCs w:val="24"/>
        </w:rPr>
        <w:t>'</w:t>
      </w:r>
      <w:r w:rsidR="002C29B7" w:rsidRPr="00BD13D9">
        <w:rPr>
          <w:rFonts w:asciiTheme="minorHAnsi" w:hAnsiTheme="minorHAnsi" w:cstheme="minorHAnsi"/>
          <w:szCs w:val="24"/>
        </w:rPr>
        <w:t>action</w:t>
      </w:r>
      <w:r w:rsidR="0056155E" w:rsidRPr="00BD13D9">
        <w:rPr>
          <w:rFonts w:asciiTheme="minorHAnsi" w:hAnsiTheme="minorHAnsi" w:cstheme="minorHAnsi"/>
          <w:szCs w:val="24"/>
        </w:rPr>
        <w:t xml:space="preserve"> </w:t>
      </w:r>
      <w:r w:rsidR="002C29B7" w:rsidRPr="00BD13D9">
        <w:rPr>
          <w:rFonts w:asciiTheme="minorHAnsi" w:hAnsiTheme="minorHAnsi" w:cstheme="minorHAnsi"/>
          <w:szCs w:val="24"/>
        </w:rPr>
        <w:t>actuellement menée</w:t>
      </w:r>
      <w:r w:rsidR="0056155E" w:rsidRPr="00BD13D9">
        <w:rPr>
          <w:rFonts w:asciiTheme="minorHAnsi" w:hAnsiTheme="minorHAnsi" w:cstheme="minorHAnsi"/>
          <w:szCs w:val="24"/>
        </w:rPr>
        <w:t xml:space="preserve"> </w:t>
      </w:r>
      <w:r w:rsidR="002C29B7" w:rsidRPr="00BD13D9">
        <w:rPr>
          <w:rFonts w:asciiTheme="minorHAnsi" w:hAnsiTheme="minorHAnsi" w:cstheme="minorHAnsi"/>
          <w:szCs w:val="24"/>
        </w:rPr>
        <w:t xml:space="preserve">et </w:t>
      </w:r>
      <w:r w:rsidR="00467518" w:rsidRPr="00BD13D9">
        <w:rPr>
          <w:rFonts w:asciiTheme="minorHAnsi" w:hAnsiTheme="minorHAnsi" w:cstheme="minorHAnsi"/>
          <w:szCs w:val="24"/>
        </w:rPr>
        <w:t>de</w:t>
      </w:r>
      <w:r w:rsidR="0056155E" w:rsidRPr="00BD13D9">
        <w:rPr>
          <w:rFonts w:asciiTheme="minorHAnsi" w:hAnsiTheme="minorHAnsi" w:cstheme="minorHAnsi"/>
          <w:szCs w:val="24"/>
        </w:rPr>
        <w:t xml:space="preserve"> </w:t>
      </w:r>
      <w:r w:rsidR="002C29B7" w:rsidRPr="00BD13D9">
        <w:rPr>
          <w:rFonts w:asciiTheme="minorHAnsi" w:hAnsiTheme="minorHAnsi" w:cstheme="minorHAnsi"/>
          <w:szCs w:val="24"/>
        </w:rPr>
        <w:t>l</w:t>
      </w:r>
      <w:r w:rsidR="00F76CBB" w:rsidRPr="00BD13D9">
        <w:rPr>
          <w:rFonts w:asciiTheme="minorHAnsi" w:hAnsiTheme="minorHAnsi" w:cstheme="minorHAnsi"/>
          <w:szCs w:val="24"/>
        </w:rPr>
        <w:t>'</w:t>
      </w:r>
      <w:r w:rsidR="002C29B7" w:rsidRPr="00BD13D9">
        <w:rPr>
          <w:rFonts w:asciiTheme="minorHAnsi" w:hAnsiTheme="minorHAnsi" w:cstheme="minorHAnsi"/>
          <w:szCs w:val="24"/>
        </w:rPr>
        <w:t xml:space="preserve">appui apporté </w:t>
      </w:r>
      <w:r w:rsidR="00467518" w:rsidRPr="00BD13D9">
        <w:rPr>
          <w:rFonts w:asciiTheme="minorHAnsi" w:hAnsiTheme="minorHAnsi" w:cstheme="minorHAnsi"/>
          <w:szCs w:val="24"/>
        </w:rPr>
        <w:t>par l</w:t>
      </w:r>
      <w:r w:rsidR="00F76CBB" w:rsidRPr="00BD13D9">
        <w:rPr>
          <w:rFonts w:asciiTheme="minorHAnsi" w:hAnsiTheme="minorHAnsi" w:cstheme="minorHAnsi"/>
          <w:szCs w:val="24"/>
        </w:rPr>
        <w:t>'</w:t>
      </w:r>
      <w:r w:rsidR="00467518" w:rsidRPr="00BD13D9">
        <w:rPr>
          <w:rFonts w:asciiTheme="minorHAnsi" w:hAnsiTheme="minorHAnsi" w:cstheme="minorHAnsi"/>
          <w:szCs w:val="24"/>
        </w:rPr>
        <w:t>UIT</w:t>
      </w:r>
      <w:r w:rsidR="0056155E" w:rsidRPr="00BD13D9">
        <w:rPr>
          <w:rFonts w:asciiTheme="minorHAnsi" w:hAnsiTheme="minorHAnsi" w:cstheme="minorHAnsi"/>
          <w:szCs w:val="24"/>
        </w:rPr>
        <w:t xml:space="preserve"> </w:t>
      </w:r>
      <w:r w:rsidR="002C29B7" w:rsidRPr="00BD13D9">
        <w:rPr>
          <w:rFonts w:asciiTheme="minorHAnsi" w:hAnsiTheme="minorHAnsi" w:cstheme="minorHAnsi"/>
          <w:szCs w:val="24"/>
        </w:rPr>
        <w:t>à l</w:t>
      </w:r>
      <w:r w:rsidR="00F76CBB" w:rsidRPr="00BD13D9">
        <w:rPr>
          <w:rFonts w:asciiTheme="minorHAnsi" w:hAnsiTheme="minorHAnsi" w:cstheme="minorHAnsi"/>
          <w:szCs w:val="24"/>
        </w:rPr>
        <w:t>'</w:t>
      </w:r>
      <w:r w:rsidR="002C29B7" w:rsidRPr="00BD13D9">
        <w:rPr>
          <w:rFonts w:asciiTheme="minorHAnsi" w:hAnsiTheme="minorHAnsi" w:cstheme="minorHAnsi"/>
          <w:szCs w:val="24"/>
        </w:rPr>
        <w:t>Ukraine</w:t>
      </w:r>
      <w:r w:rsidRPr="00BD13D9">
        <w:rPr>
          <w:rFonts w:asciiTheme="minorHAnsi" w:hAnsiTheme="minorHAnsi" w:cstheme="minorHAnsi"/>
          <w:szCs w:val="24"/>
        </w:rPr>
        <w:t>.</w:t>
      </w:r>
    </w:p>
    <w:p w14:paraId="3A436870" w14:textId="7300F9E0"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2.15</w:t>
      </w:r>
      <w:r w:rsidRPr="00BD13D9">
        <w:rPr>
          <w:rFonts w:asciiTheme="minorHAnsi" w:hAnsiTheme="minorHAnsi" w:cstheme="minorHAnsi"/>
          <w:szCs w:val="24"/>
        </w:rPr>
        <w:tab/>
      </w:r>
      <w:r w:rsidR="00D63896" w:rsidRPr="00BD13D9">
        <w:rPr>
          <w:rFonts w:asciiTheme="minorHAnsi" w:hAnsiTheme="minorHAnsi" w:cstheme="minorHAnsi"/>
          <w:szCs w:val="24"/>
        </w:rPr>
        <w:t xml:space="preserve">Le </w:t>
      </w:r>
      <w:r w:rsidR="00D63896" w:rsidRPr="00BD13D9">
        <w:rPr>
          <w:rFonts w:asciiTheme="minorHAnsi" w:hAnsiTheme="minorHAnsi" w:cstheme="minorHAnsi"/>
          <w:b/>
          <w:bCs/>
          <w:szCs w:val="24"/>
        </w:rPr>
        <w:t>délégué du Canada</w:t>
      </w:r>
      <w:r w:rsidR="00D63896" w:rsidRPr="00BD13D9">
        <w:rPr>
          <w:rFonts w:asciiTheme="minorHAnsi" w:hAnsiTheme="minorHAnsi" w:cstheme="minorHAnsi"/>
          <w:szCs w:val="24"/>
        </w:rPr>
        <w:t xml:space="preserve"> fait</w:t>
      </w:r>
      <w:r w:rsidR="0056155E" w:rsidRPr="00BD13D9">
        <w:rPr>
          <w:rFonts w:asciiTheme="minorHAnsi" w:hAnsiTheme="minorHAnsi" w:cstheme="minorHAnsi"/>
          <w:szCs w:val="24"/>
        </w:rPr>
        <w:t xml:space="preserve"> </w:t>
      </w:r>
      <w:r w:rsidR="00467518" w:rsidRPr="00BD13D9">
        <w:rPr>
          <w:rFonts w:asciiTheme="minorHAnsi" w:hAnsiTheme="minorHAnsi" w:cstheme="minorHAnsi"/>
          <w:szCs w:val="24"/>
        </w:rPr>
        <w:t>valoir</w:t>
      </w:r>
      <w:r w:rsidR="0056155E" w:rsidRPr="00BD13D9">
        <w:rPr>
          <w:rFonts w:asciiTheme="minorHAnsi" w:hAnsiTheme="minorHAnsi" w:cstheme="minorHAnsi"/>
          <w:szCs w:val="24"/>
        </w:rPr>
        <w:t xml:space="preserve"> </w:t>
      </w:r>
      <w:r w:rsidR="00467518" w:rsidRPr="00BD13D9">
        <w:rPr>
          <w:rFonts w:asciiTheme="minorHAnsi" w:hAnsiTheme="minorHAnsi" w:cstheme="minorHAnsi"/>
          <w:szCs w:val="24"/>
        </w:rPr>
        <w:t>l</w:t>
      </w:r>
      <w:r w:rsidR="00F76CBB" w:rsidRPr="00BD13D9">
        <w:rPr>
          <w:rFonts w:asciiTheme="minorHAnsi" w:hAnsiTheme="minorHAnsi" w:cstheme="minorHAnsi"/>
          <w:szCs w:val="24"/>
        </w:rPr>
        <w:t>'</w:t>
      </w:r>
      <w:r w:rsidR="00D63896" w:rsidRPr="00BD13D9">
        <w:rPr>
          <w:rFonts w:asciiTheme="minorHAnsi" w:hAnsiTheme="minorHAnsi" w:cstheme="minorHAnsi"/>
          <w:szCs w:val="24"/>
        </w:rPr>
        <w:t>attaque illégale, non provoquée et immorale</w:t>
      </w:r>
      <w:r w:rsidR="0056155E" w:rsidRPr="00BD13D9">
        <w:rPr>
          <w:rFonts w:asciiTheme="minorHAnsi" w:hAnsiTheme="minorHAnsi" w:cstheme="minorHAnsi"/>
          <w:szCs w:val="24"/>
        </w:rPr>
        <w:t xml:space="preserve"> </w:t>
      </w:r>
      <w:r w:rsidR="00467518" w:rsidRPr="00BD13D9">
        <w:rPr>
          <w:rFonts w:asciiTheme="minorHAnsi" w:hAnsiTheme="minorHAnsi" w:cstheme="minorHAnsi"/>
          <w:szCs w:val="24"/>
        </w:rPr>
        <w:t xml:space="preserve">de </w:t>
      </w:r>
      <w:r w:rsidR="00D63896" w:rsidRPr="00BD13D9">
        <w:rPr>
          <w:rFonts w:asciiTheme="minorHAnsi" w:hAnsiTheme="minorHAnsi" w:cstheme="minorHAnsi"/>
          <w:szCs w:val="24"/>
        </w:rPr>
        <w:t>la Fédération de Russie</w:t>
      </w:r>
      <w:r w:rsidR="00467518" w:rsidRPr="00BD13D9">
        <w:rPr>
          <w:rFonts w:asciiTheme="minorHAnsi" w:hAnsiTheme="minorHAnsi" w:cstheme="minorHAnsi"/>
          <w:szCs w:val="24"/>
        </w:rPr>
        <w:t xml:space="preserve"> engendre des souffrances</w:t>
      </w:r>
      <w:r w:rsidR="00D63896" w:rsidRPr="00BD13D9">
        <w:rPr>
          <w:rFonts w:asciiTheme="minorHAnsi" w:hAnsiTheme="minorHAnsi" w:cstheme="minorHAnsi"/>
          <w:szCs w:val="24"/>
        </w:rPr>
        <w:t>. Il</w:t>
      </w:r>
      <w:r w:rsidR="0056155E" w:rsidRPr="00BD13D9">
        <w:rPr>
          <w:rFonts w:asciiTheme="minorHAnsi" w:hAnsiTheme="minorHAnsi" w:cstheme="minorHAnsi"/>
          <w:szCs w:val="24"/>
        </w:rPr>
        <w:t xml:space="preserve"> </w:t>
      </w:r>
      <w:r w:rsidR="00D63896" w:rsidRPr="00BD13D9">
        <w:rPr>
          <w:rFonts w:asciiTheme="minorHAnsi" w:hAnsiTheme="minorHAnsi" w:cstheme="minorHAnsi"/>
          <w:szCs w:val="24"/>
        </w:rPr>
        <w:t>est nécessaire d</w:t>
      </w:r>
      <w:r w:rsidR="00F76CBB" w:rsidRPr="00BD13D9">
        <w:rPr>
          <w:rFonts w:asciiTheme="minorHAnsi" w:hAnsiTheme="minorHAnsi" w:cstheme="minorHAnsi"/>
          <w:szCs w:val="24"/>
        </w:rPr>
        <w:t>'</w:t>
      </w:r>
      <w:r w:rsidR="00D63896" w:rsidRPr="00BD13D9">
        <w:rPr>
          <w:rFonts w:asciiTheme="minorHAnsi" w:hAnsiTheme="minorHAnsi" w:cstheme="minorHAnsi"/>
          <w:szCs w:val="24"/>
        </w:rPr>
        <w:t>examiner et de mettre en œuvre la Résolution 1408 du Conseil de l</w:t>
      </w:r>
      <w:r w:rsidR="00F76CBB" w:rsidRPr="00BD13D9">
        <w:rPr>
          <w:rFonts w:asciiTheme="minorHAnsi" w:hAnsiTheme="minorHAnsi" w:cstheme="minorHAnsi"/>
          <w:szCs w:val="24"/>
        </w:rPr>
        <w:t>'</w:t>
      </w:r>
      <w:r w:rsidR="00D63896" w:rsidRPr="00BD13D9">
        <w:rPr>
          <w:rFonts w:asciiTheme="minorHAnsi" w:hAnsiTheme="minorHAnsi" w:cstheme="minorHAnsi"/>
          <w:szCs w:val="24"/>
        </w:rPr>
        <w:t>UIT, qui porte sur la reconstruction de l</w:t>
      </w:r>
      <w:r w:rsidR="00F76CBB" w:rsidRPr="00BD13D9">
        <w:rPr>
          <w:rFonts w:asciiTheme="minorHAnsi" w:hAnsiTheme="minorHAnsi" w:cstheme="minorHAnsi"/>
          <w:szCs w:val="24"/>
        </w:rPr>
        <w:t>'</w:t>
      </w:r>
      <w:r w:rsidR="00D63896" w:rsidRPr="00BD13D9">
        <w:rPr>
          <w:rFonts w:asciiTheme="minorHAnsi" w:hAnsiTheme="minorHAnsi" w:cstheme="minorHAnsi"/>
          <w:szCs w:val="24"/>
        </w:rPr>
        <w:t>infrastructure de</w:t>
      </w:r>
      <w:r w:rsidR="00467518" w:rsidRPr="00BD13D9">
        <w:rPr>
          <w:rFonts w:asciiTheme="minorHAnsi" w:hAnsiTheme="minorHAnsi" w:cstheme="minorHAnsi"/>
          <w:szCs w:val="24"/>
        </w:rPr>
        <w:t>s</w:t>
      </w:r>
      <w:r w:rsidR="00D63896" w:rsidRPr="00BD13D9">
        <w:rPr>
          <w:rFonts w:asciiTheme="minorHAnsi" w:hAnsiTheme="minorHAnsi" w:cstheme="minorHAnsi"/>
          <w:szCs w:val="24"/>
        </w:rPr>
        <w:t xml:space="preserve"> télécommunication</w:t>
      </w:r>
      <w:r w:rsidR="00467518" w:rsidRPr="00BD13D9">
        <w:rPr>
          <w:rFonts w:asciiTheme="minorHAnsi" w:hAnsiTheme="minorHAnsi" w:cstheme="minorHAnsi"/>
          <w:szCs w:val="24"/>
        </w:rPr>
        <w:t>s</w:t>
      </w:r>
      <w:r w:rsidR="00D63896" w:rsidRPr="00BD13D9">
        <w:rPr>
          <w:rFonts w:asciiTheme="minorHAnsi" w:hAnsiTheme="minorHAnsi" w:cstheme="minorHAnsi"/>
          <w:szCs w:val="24"/>
        </w:rPr>
        <w:t xml:space="preserve"> de l</w:t>
      </w:r>
      <w:r w:rsidR="00F76CBB" w:rsidRPr="00BD13D9">
        <w:rPr>
          <w:rFonts w:asciiTheme="minorHAnsi" w:hAnsiTheme="minorHAnsi" w:cstheme="minorHAnsi"/>
          <w:szCs w:val="24"/>
        </w:rPr>
        <w:t>'</w:t>
      </w:r>
      <w:r w:rsidR="00D63896" w:rsidRPr="00BD13D9">
        <w:rPr>
          <w:rFonts w:asciiTheme="minorHAnsi" w:hAnsiTheme="minorHAnsi" w:cstheme="minorHAnsi"/>
          <w:szCs w:val="24"/>
        </w:rPr>
        <w:t xml:space="preserve">Ukraine, étant donné que les attaques quotidiennes </w:t>
      </w:r>
      <w:r w:rsidR="00467518" w:rsidRPr="00BD13D9">
        <w:rPr>
          <w:rFonts w:asciiTheme="minorHAnsi" w:hAnsiTheme="minorHAnsi" w:cstheme="minorHAnsi"/>
          <w:szCs w:val="24"/>
        </w:rPr>
        <w:t>ont pour conséquence</w:t>
      </w:r>
      <w:r w:rsidR="0056155E" w:rsidRPr="00BD13D9">
        <w:rPr>
          <w:rFonts w:asciiTheme="minorHAnsi" w:hAnsiTheme="minorHAnsi" w:cstheme="minorHAnsi"/>
          <w:szCs w:val="24"/>
        </w:rPr>
        <w:t xml:space="preserve"> </w:t>
      </w:r>
      <w:r w:rsidR="00467518" w:rsidRPr="00BD13D9">
        <w:rPr>
          <w:rFonts w:asciiTheme="minorHAnsi" w:hAnsiTheme="minorHAnsi" w:cstheme="minorHAnsi"/>
          <w:szCs w:val="24"/>
        </w:rPr>
        <w:t>l</w:t>
      </w:r>
      <w:r w:rsidR="00F76CBB" w:rsidRPr="00BD13D9">
        <w:rPr>
          <w:rFonts w:asciiTheme="minorHAnsi" w:hAnsiTheme="minorHAnsi" w:cstheme="minorHAnsi"/>
          <w:szCs w:val="24"/>
        </w:rPr>
        <w:t>'</w:t>
      </w:r>
      <w:r w:rsidR="00D63896" w:rsidRPr="00BD13D9">
        <w:rPr>
          <w:rFonts w:asciiTheme="minorHAnsi" w:hAnsiTheme="minorHAnsi" w:cstheme="minorHAnsi"/>
          <w:szCs w:val="24"/>
        </w:rPr>
        <w:t>absence d</w:t>
      </w:r>
      <w:r w:rsidR="00F76CBB" w:rsidRPr="00BD13D9">
        <w:rPr>
          <w:rFonts w:asciiTheme="minorHAnsi" w:hAnsiTheme="minorHAnsi" w:cstheme="minorHAnsi"/>
          <w:szCs w:val="24"/>
        </w:rPr>
        <w:t>'</w:t>
      </w:r>
      <w:r w:rsidR="00D63896" w:rsidRPr="00BD13D9">
        <w:rPr>
          <w:rFonts w:asciiTheme="minorHAnsi" w:hAnsiTheme="minorHAnsi" w:cstheme="minorHAnsi"/>
          <w:szCs w:val="24"/>
        </w:rPr>
        <w:t>infrastructure</w:t>
      </w:r>
      <w:r w:rsidR="00467518" w:rsidRPr="00BD13D9">
        <w:rPr>
          <w:rFonts w:asciiTheme="minorHAnsi" w:hAnsiTheme="minorHAnsi" w:cstheme="minorHAnsi"/>
          <w:szCs w:val="24"/>
        </w:rPr>
        <w:t>s</w:t>
      </w:r>
      <w:r w:rsidR="00D63896" w:rsidRPr="00BD13D9">
        <w:rPr>
          <w:rFonts w:asciiTheme="minorHAnsi" w:hAnsiTheme="minorHAnsi" w:cstheme="minorHAnsi"/>
          <w:szCs w:val="24"/>
        </w:rPr>
        <w:t xml:space="preserve"> de base</w:t>
      </w:r>
      <w:r w:rsidR="00F93DAE" w:rsidRPr="00BD13D9">
        <w:rPr>
          <w:rFonts w:asciiTheme="minorHAnsi" w:hAnsiTheme="minorHAnsi" w:cstheme="minorHAnsi"/>
          <w:szCs w:val="24"/>
        </w:rPr>
        <w:t xml:space="preserve">. </w:t>
      </w:r>
      <w:r w:rsidR="00467518" w:rsidRPr="00BD13D9">
        <w:rPr>
          <w:rFonts w:asciiTheme="minorHAnsi" w:hAnsiTheme="minorHAnsi" w:cstheme="minorHAnsi"/>
          <w:szCs w:val="24"/>
        </w:rPr>
        <w:t>Le</w:t>
      </w:r>
      <w:r w:rsidR="0056155E" w:rsidRPr="00BD13D9">
        <w:rPr>
          <w:rFonts w:asciiTheme="minorHAnsi" w:hAnsiTheme="minorHAnsi" w:cstheme="minorHAnsi"/>
          <w:szCs w:val="24"/>
        </w:rPr>
        <w:t xml:space="preserve"> </w:t>
      </w:r>
      <w:r w:rsidR="00D63896" w:rsidRPr="00BD13D9">
        <w:rPr>
          <w:rFonts w:asciiTheme="minorHAnsi" w:hAnsiTheme="minorHAnsi" w:cstheme="minorHAnsi"/>
          <w:szCs w:val="24"/>
        </w:rPr>
        <w:t xml:space="preserve">Canada </w:t>
      </w:r>
      <w:r w:rsidR="00467518" w:rsidRPr="00BD13D9">
        <w:rPr>
          <w:rFonts w:asciiTheme="minorHAnsi" w:hAnsiTheme="minorHAnsi" w:cstheme="minorHAnsi"/>
          <w:szCs w:val="24"/>
        </w:rPr>
        <w:t>s</w:t>
      </w:r>
      <w:r w:rsidR="00F76CBB" w:rsidRPr="00BD13D9">
        <w:rPr>
          <w:rFonts w:asciiTheme="minorHAnsi" w:hAnsiTheme="minorHAnsi" w:cstheme="minorHAnsi"/>
          <w:szCs w:val="24"/>
        </w:rPr>
        <w:t>'</w:t>
      </w:r>
      <w:r w:rsidR="00467518" w:rsidRPr="00BD13D9">
        <w:rPr>
          <w:rFonts w:asciiTheme="minorHAnsi" w:hAnsiTheme="minorHAnsi" w:cstheme="minorHAnsi"/>
          <w:szCs w:val="24"/>
        </w:rPr>
        <w:t>associe pleinement aux</w:t>
      </w:r>
      <w:r w:rsidR="0056155E" w:rsidRPr="00BD13D9">
        <w:rPr>
          <w:rFonts w:asciiTheme="minorHAnsi" w:hAnsiTheme="minorHAnsi" w:cstheme="minorHAnsi"/>
          <w:szCs w:val="24"/>
        </w:rPr>
        <w:t xml:space="preserve"> </w:t>
      </w:r>
      <w:r w:rsidR="00D63896" w:rsidRPr="00BD13D9">
        <w:rPr>
          <w:rFonts w:asciiTheme="minorHAnsi" w:hAnsiTheme="minorHAnsi" w:cstheme="minorHAnsi"/>
          <w:szCs w:val="24"/>
        </w:rPr>
        <w:t xml:space="preserve">interventions de pays </w:t>
      </w:r>
      <w:r w:rsidR="00467518" w:rsidRPr="00BD13D9">
        <w:rPr>
          <w:rFonts w:asciiTheme="minorHAnsi" w:hAnsiTheme="minorHAnsi" w:cstheme="minorHAnsi"/>
          <w:szCs w:val="24"/>
        </w:rPr>
        <w:t>partageant le même point de vue</w:t>
      </w:r>
      <w:r w:rsidR="00467518" w:rsidRPr="00BD13D9" w:rsidDel="00467518">
        <w:rPr>
          <w:rFonts w:asciiTheme="minorHAnsi" w:hAnsiTheme="minorHAnsi" w:cstheme="minorHAnsi"/>
          <w:szCs w:val="24"/>
        </w:rPr>
        <w:t xml:space="preserve"> </w:t>
      </w:r>
      <w:r w:rsidR="00D63896" w:rsidRPr="00BD13D9">
        <w:rPr>
          <w:rFonts w:asciiTheme="minorHAnsi" w:hAnsiTheme="minorHAnsi" w:cstheme="minorHAnsi"/>
          <w:szCs w:val="24"/>
        </w:rPr>
        <w:t>et</w:t>
      </w:r>
      <w:r w:rsidR="0056155E" w:rsidRPr="00BD13D9">
        <w:rPr>
          <w:rFonts w:asciiTheme="minorHAnsi" w:hAnsiTheme="minorHAnsi" w:cstheme="minorHAnsi"/>
          <w:szCs w:val="24"/>
        </w:rPr>
        <w:t xml:space="preserve"> </w:t>
      </w:r>
      <w:r w:rsidR="00467518" w:rsidRPr="00BD13D9">
        <w:rPr>
          <w:rFonts w:asciiTheme="minorHAnsi" w:hAnsiTheme="minorHAnsi" w:cstheme="minorHAnsi"/>
          <w:szCs w:val="24"/>
        </w:rPr>
        <w:t>soutient</w:t>
      </w:r>
      <w:r w:rsidR="0056155E" w:rsidRPr="00BD13D9">
        <w:rPr>
          <w:rFonts w:asciiTheme="minorHAnsi" w:hAnsiTheme="minorHAnsi" w:cstheme="minorHAnsi"/>
          <w:szCs w:val="24"/>
        </w:rPr>
        <w:t xml:space="preserve"> </w:t>
      </w:r>
      <w:r w:rsidR="00D63896" w:rsidRPr="00BD13D9">
        <w:rPr>
          <w:rFonts w:asciiTheme="minorHAnsi" w:hAnsiTheme="minorHAnsi" w:cstheme="minorHAnsi"/>
          <w:szCs w:val="24"/>
        </w:rPr>
        <w:t>fermement</w:t>
      </w:r>
      <w:r w:rsidR="0056155E" w:rsidRPr="00BD13D9">
        <w:rPr>
          <w:rFonts w:asciiTheme="minorHAnsi" w:hAnsiTheme="minorHAnsi" w:cstheme="minorHAnsi"/>
          <w:szCs w:val="24"/>
        </w:rPr>
        <w:t xml:space="preserve"> </w:t>
      </w:r>
      <w:r w:rsidR="00D63896" w:rsidRPr="00BD13D9">
        <w:rPr>
          <w:rFonts w:asciiTheme="minorHAnsi" w:hAnsiTheme="minorHAnsi" w:cstheme="minorHAnsi"/>
          <w:szCs w:val="24"/>
        </w:rPr>
        <w:t>l</w:t>
      </w:r>
      <w:r w:rsidR="00F76CBB" w:rsidRPr="00BD13D9">
        <w:rPr>
          <w:rFonts w:asciiTheme="minorHAnsi" w:hAnsiTheme="minorHAnsi" w:cstheme="minorHAnsi"/>
          <w:szCs w:val="24"/>
        </w:rPr>
        <w:t>'</w:t>
      </w:r>
      <w:r w:rsidR="00D63896" w:rsidRPr="00BD13D9">
        <w:rPr>
          <w:rFonts w:asciiTheme="minorHAnsi" w:hAnsiTheme="minorHAnsi" w:cstheme="minorHAnsi"/>
          <w:szCs w:val="24"/>
        </w:rPr>
        <w:t>Ukraine et des fondements d</w:t>
      </w:r>
      <w:r w:rsidR="00F76CBB" w:rsidRPr="00BD13D9">
        <w:rPr>
          <w:rFonts w:asciiTheme="minorHAnsi" w:hAnsiTheme="minorHAnsi" w:cstheme="minorHAnsi"/>
          <w:szCs w:val="24"/>
        </w:rPr>
        <w:t>'</w:t>
      </w:r>
      <w:r w:rsidR="00D63896" w:rsidRPr="00BD13D9">
        <w:rPr>
          <w:rFonts w:asciiTheme="minorHAnsi" w:hAnsiTheme="minorHAnsi" w:cstheme="minorHAnsi"/>
          <w:szCs w:val="24"/>
        </w:rPr>
        <w:t>un comportement civilisé</w:t>
      </w:r>
      <w:r w:rsidRPr="00BD13D9">
        <w:rPr>
          <w:rFonts w:asciiTheme="minorHAnsi" w:hAnsiTheme="minorHAnsi" w:cstheme="minorHAnsi"/>
          <w:szCs w:val="24"/>
        </w:rPr>
        <w:t>.</w:t>
      </w:r>
    </w:p>
    <w:p w14:paraId="470A62CF" w14:textId="3649EB63"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2.16</w:t>
      </w:r>
      <w:r w:rsidRPr="00BD13D9">
        <w:rPr>
          <w:rFonts w:asciiTheme="minorHAnsi" w:hAnsiTheme="minorHAnsi" w:cstheme="minorHAnsi"/>
          <w:szCs w:val="24"/>
        </w:rPr>
        <w:tab/>
      </w:r>
      <w:r w:rsidR="00D63896" w:rsidRPr="00BD13D9">
        <w:rPr>
          <w:rFonts w:asciiTheme="minorHAnsi" w:hAnsiTheme="minorHAnsi" w:cstheme="minorHAnsi"/>
          <w:szCs w:val="24"/>
        </w:rPr>
        <w:t xml:space="preserve">Il est </w:t>
      </w:r>
      <w:r w:rsidR="00D63896" w:rsidRPr="007C48D1">
        <w:rPr>
          <w:rFonts w:asciiTheme="minorHAnsi" w:hAnsiTheme="minorHAnsi" w:cstheme="minorHAnsi"/>
          <w:szCs w:val="24"/>
        </w:rPr>
        <w:t>pris</w:t>
      </w:r>
      <w:r w:rsidR="00D63896" w:rsidRPr="00BD13D9">
        <w:rPr>
          <w:rFonts w:asciiTheme="minorHAnsi" w:hAnsiTheme="minorHAnsi" w:cstheme="minorHAnsi"/>
          <w:b/>
          <w:bCs/>
          <w:szCs w:val="24"/>
        </w:rPr>
        <w:t xml:space="preserve"> note</w:t>
      </w:r>
      <w:r w:rsidR="00D63896" w:rsidRPr="00BD13D9">
        <w:rPr>
          <w:rFonts w:asciiTheme="minorHAnsi" w:hAnsiTheme="minorHAnsi" w:cstheme="minorHAnsi"/>
          <w:szCs w:val="24"/>
        </w:rPr>
        <w:t xml:space="preserve"> du </w:t>
      </w:r>
      <w:r w:rsidRPr="00BD13D9">
        <w:rPr>
          <w:rFonts w:asciiTheme="minorHAnsi" w:hAnsiTheme="minorHAnsi" w:cstheme="minorHAnsi"/>
          <w:szCs w:val="24"/>
        </w:rPr>
        <w:t>Document 70.</w:t>
      </w:r>
    </w:p>
    <w:p w14:paraId="747D7C08" w14:textId="24E7B44B" w:rsidR="00813F8C" w:rsidRPr="00BD13D9" w:rsidRDefault="00813F8C" w:rsidP="0056155E">
      <w:pPr>
        <w:pStyle w:val="Heading1"/>
      </w:pPr>
      <w:r w:rsidRPr="00BD13D9">
        <w:lastRenderedPageBreak/>
        <w:t>3</w:t>
      </w:r>
      <w:r w:rsidRPr="00BD13D9">
        <w:tab/>
      </w:r>
      <w:r w:rsidR="00F80CB0" w:rsidRPr="00BD13D9">
        <w:t>Neuvième série de textes soumis par la Commission de rédaction en première lecture</w:t>
      </w:r>
      <w:r w:rsidR="004D1FD5" w:rsidRPr="00BD13D9">
        <w:t xml:space="preserve"> </w:t>
      </w:r>
      <w:r w:rsidRPr="00BD13D9">
        <w:t xml:space="preserve">(B9) (Document </w:t>
      </w:r>
      <w:r w:rsidR="009E0342">
        <w:fldChar w:fldCharType="begin"/>
      </w:r>
      <w:r w:rsidR="009E0342">
        <w:instrText xml:space="preserve"> HYPERLINK "https://www.itu.int/md/S22-PP-C-0143/en" </w:instrText>
      </w:r>
      <w:r w:rsidR="009E0342">
        <w:fldChar w:fldCharType="separate"/>
      </w:r>
      <w:r w:rsidRPr="00BD13D9">
        <w:rPr>
          <w:rStyle w:val="Hyperlink"/>
          <w:rFonts w:asciiTheme="minorHAnsi" w:hAnsiTheme="minorHAnsi" w:cstheme="minorHAnsi"/>
          <w:bCs/>
          <w:szCs w:val="24"/>
        </w:rPr>
        <w:t>143</w:t>
      </w:r>
      <w:r w:rsidR="009E0342">
        <w:rPr>
          <w:rStyle w:val="Hyperlink"/>
          <w:rFonts w:asciiTheme="minorHAnsi" w:hAnsiTheme="minorHAnsi" w:cstheme="minorHAnsi"/>
          <w:bCs/>
          <w:szCs w:val="24"/>
        </w:rPr>
        <w:fldChar w:fldCharType="end"/>
      </w:r>
      <w:r w:rsidRPr="00BD13D9">
        <w:t>)</w:t>
      </w:r>
    </w:p>
    <w:p w14:paraId="0D0C4123" w14:textId="597834BC" w:rsidR="00813F8C" w:rsidRPr="00BD13D9" w:rsidRDefault="00813F8C" w:rsidP="007C48D1">
      <w:pPr>
        <w:rPr>
          <w:rFonts w:asciiTheme="minorHAnsi" w:hAnsiTheme="minorHAnsi" w:cstheme="minorHAnsi"/>
          <w:szCs w:val="24"/>
        </w:rPr>
      </w:pPr>
      <w:r w:rsidRPr="00EF1C21">
        <w:rPr>
          <w:rFonts w:asciiTheme="minorHAnsi" w:hAnsiTheme="minorHAnsi" w:cstheme="minorHAnsi"/>
          <w:szCs w:val="24"/>
        </w:rPr>
        <w:t>3.1</w:t>
      </w:r>
      <w:r w:rsidRPr="00EF1C21">
        <w:rPr>
          <w:rFonts w:asciiTheme="minorHAnsi" w:hAnsiTheme="minorHAnsi" w:cstheme="minorHAnsi"/>
          <w:szCs w:val="24"/>
        </w:rPr>
        <w:tab/>
      </w:r>
      <w:r w:rsidR="00F80CB0" w:rsidRPr="00EF1C21">
        <w:rPr>
          <w:rFonts w:asciiTheme="minorHAnsi" w:hAnsiTheme="minorHAnsi" w:cstheme="minorHAnsi"/>
          <w:szCs w:val="24"/>
        </w:rPr>
        <w:t>L</w:t>
      </w:r>
      <w:r w:rsidR="00EF1C21" w:rsidRPr="00EF1C21">
        <w:rPr>
          <w:rFonts w:asciiTheme="minorHAnsi" w:hAnsiTheme="minorHAnsi" w:cstheme="minorHAnsi"/>
          <w:szCs w:val="24"/>
        </w:rPr>
        <w:t>e</w:t>
      </w:r>
      <w:r w:rsidR="00F80CB0" w:rsidRPr="00EF1C21">
        <w:rPr>
          <w:rFonts w:asciiTheme="minorHAnsi" w:hAnsiTheme="minorHAnsi" w:cstheme="minorHAnsi"/>
          <w:szCs w:val="24"/>
        </w:rPr>
        <w:t xml:space="preserve"> </w:t>
      </w:r>
      <w:r w:rsidR="00F80CB0" w:rsidRPr="00EF1C21">
        <w:rPr>
          <w:rFonts w:asciiTheme="minorHAnsi" w:hAnsiTheme="minorHAnsi" w:cstheme="minorHAnsi"/>
          <w:b/>
          <w:bCs/>
          <w:szCs w:val="24"/>
        </w:rPr>
        <w:t>Président de la Commission de rédaction</w:t>
      </w:r>
      <w:r w:rsidR="00F80CB0" w:rsidRPr="00EF1C21">
        <w:rPr>
          <w:rFonts w:asciiTheme="minorHAnsi" w:hAnsiTheme="minorHAnsi" w:cstheme="minorHAnsi"/>
          <w:szCs w:val="24"/>
        </w:rPr>
        <w:t xml:space="preserve"> souligne que les</w:t>
      </w:r>
      <w:r w:rsidR="0056155E" w:rsidRPr="00EF1C21">
        <w:rPr>
          <w:rFonts w:asciiTheme="minorHAnsi" w:hAnsiTheme="minorHAnsi" w:cstheme="minorHAnsi"/>
          <w:szCs w:val="24"/>
        </w:rPr>
        <w:t xml:space="preserve"> </w:t>
      </w:r>
      <w:r w:rsidR="00F80CB0" w:rsidRPr="00EF1C21">
        <w:rPr>
          <w:rFonts w:asciiTheme="minorHAnsi" w:hAnsiTheme="minorHAnsi" w:cstheme="minorHAnsi"/>
          <w:szCs w:val="24"/>
        </w:rPr>
        <w:t>décisions et</w:t>
      </w:r>
      <w:r w:rsidR="0056155E" w:rsidRPr="00EF1C21">
        <w:rPr>
          <w:rFonts w:asciiTheme="minorHAnsi" w:hAnsiTheme="minorHAnsi" w:cstheme="minorHAnsi"/>
          <w:szCs w:val="24"/>
        </w:rPr>
        <w:t xml:space="preserve"> </w:t>
      </w:r>
      <w:r w:rsidR="00F80CB0" w:rsidRPr="00EF1C21">
        <w:rPr>
          <w:rFonts w:asciiTheme="minorHAnsi" w:hAnsiTheme="minorHAnsi" w:cstheme="minorHAnsi"/>
          <w:szCs w:val="24"/>
        </w:rPr>
        <w:t>résolutions</w:t>
      </w:r>
      <w:r w:rsidR="0056155E" w:rsidRPr="00BD13D9">
        <w:rPr>
          <w:rFonts w:asciiTheme="minorHAnsi" w:hAnsiTheme="minorHAnsi" w:cstheme="minorHAnsi"/>
          <w:szCs w:val="24"/>
        </w:rPr>
        <w:t xml:space="preserve"> </w:t>
      </w:r>
      <w:r w:rsidR="00E02EE6" w:rsidRPr="00BD13D9">
        <w:rPr>
          <w:rFonts w:asciiTheme="minorHAnsi" w:hAnsiTheme="minorHAnsi" w:cstheme="minorHAnsi"/>
          <w:szCs w:val="24"/>
        </w:rPr>
        <w:t xml:space="preserve">proposées </w:t>
      </w:r>
      <w:r w:rsidR="00E02EE6" w:rsidRPr="00EF1C21">
        <w:rPr>
          <w:rFonts w:asciiTheme="minorHAnsi" w:hAnsiTheme="minorHAnsi" w:cstheme="minorHAnsi"/>
          <w:bCs/>
          <w:szCs w:val="24"/>
        </w:rPr>
        <w:t>figurant</w:t>
      </w:r>
      <w:r w:rsidR="0056155E" w:rsidRPr="00EF1C21">
        <w:rPr>
          <w:rFonts w:asciiTheme="minorHAnsi" w:hAnsiTheme="minorHAnsi" w:cstheme="minorHAnsi"/>
          <w:szCs w:val="24"/>
        </w:rPr>
        <w:t xml:space="preserve"> </w:t>
      </w:r>
      <w:r w:rsidR="00F80CB0" w:rsidRPr="00EF1C21">
        <w:rPr>
          <w:rFonts w:asciiTheme="minorHAnsi" w:hAnsiTheme="minorHAnsi" w:cstheme="minorHAnsi"/>
          <w:szCs w:val="24"/>
        </w:rPr>
        <w:t>d</w:t>
      </w:r>
      <w:r w:rsidR="00F80CB0" w:rsidRPr="00BD13D9">
        <w:rPr>
          <w:rFonts w:asciiTheme="minorHAnsi" w:hAnsiTheme="minorHAnsi" w:cstheme="minorHAnsi"/>
          <w:szCs w:val="24"/>
        </w:rPr>
        <w:t>ans l</w:t>
      </w:r>
      <w:r w:rsidR="00E02EE6" w:rsidRPr="00BD13D9">
        <w:rPr>
          <w:rFonts w:asciiTheme="minorHAnsi" w:hAnsiTheme="minorHAnsi" w:cstheme="minorHAnsi"/>
          <w:szCs w:val="24"/>
        </w:rPr>
        <w:t>a</w:t>
      </w:r>
      <w:r w:rsidR="00F80CB0" w:rsidRPr="00BD13D9">
        <w:rPr>
          <w:rFonts w:asciiTheme="minorHAnsi" w:hAnsiTheme="minorHAnsi" w:cstheme="minorHAnsi"/>
          <w:szCs w:val="24"/>
        </w:rPr>
        <w:t xml:space="preserve"> série</w:t>
      </w:r>
      <w:r w:rsidR="0056155E" w:rsidRPr="00BD13D9">
        <w:rPr>
          <w:rFonts w:asciiTheme="minorHAnsi" w:hAnsiTheme="minorHAnsi" w:cstheme="minorHAnsi"/>
          <w:szCs w:val="24"/>
        </w:rPr>
        <w:t xml:space="preserve"> </w:t>
      </w:r>
      <w:r w:rsidR="00F80CB0" w:rsidRPr="00BD13D9">
        <w:rPr>
          <w:rFonts w:asciiTheme="minorHAnsi" w:hAnsiTheme="minorHAnsi" w:cstheme="minorHAnsi"/>
          <w:szCs w:val="24"/>
        </w:rPr>
        <w:t>de textes soumis</w:t>
      </w:r>
      <w:r w:rsidR="0056155E" w:rsidRPr="00BD13D9">
        <w:rPr>
          <w:rFonts w:asciiTheme="minorHAnsi" w:hAnsiTheme="minorHAnsi" w:cstheme="minorHAnsi"/>
          <w:szCs w:val="24"/>
        </w:rPr>
        <w:t xml:space="preserve"> </w:t>
      </w:r>
      <w:r w:rsidR="00F80CB0" w:rsidRPr="00BD13D9">
        <w:rPr>
          <w:rFonts w:asciiTheme="minorHAnsi" w:hAnsiTheme="minorHAnsi" w:cstheme="minorHAnsi"/>
          <w:szCs w:val="24"/>
        </w:rPr>
        <w:t xml:space="preserve">à la </w:t>
      </w:r>
      <w:r w:rsidR="001C0498" w:rsidRPr="00BD13D9">
        <w:rPr>
          <w:rFonts w:asciiTheme="minorHAnsi" w:hAnsiTheme="minorHAnsi" w:cstheme="minorHAnsi"/>
          <w:szCs w:val="24"/>
        </w:rPr>
        <w:t>plénière</w:t>
      </w:r>
      <w:r w:rsidR="00F80CB0" w:rsidRPr="00BD13D9">
        <w:rPr>
          <w:rFonts w:asciiTheme="minorHAnsi" w:hAnsiTheme="minorHAnsi" w:cstheme="minorHAnsi"/>
          <w:szCs w:val="24"/>
        </w:rPr>
        <w:t xml:space="preserve"> font</w:t>
      </w:r>
      <w:r w:rsidR="0056155E" w:rsidRPr="00BD13D9">
        <w:rPr>
          <w:rFonts w:asciiTheme="minorHAnsi" w:hAnsiTheme="minorHAnsi" w:cstheme="minorHAnsi"/>
          <w:szCs w:val="24"/>
        </w:rPr>
        <w:t xml:space="preserve"> </w:t>
      </w:r>
      <w:r w:rsidR="00E02EE6" w:rsidRPr="00BD13D9">
        <w:rPr>
          <w:rFonts w:asciiTheme="minorHAnsi" w:hAnsiTheme="minorHAnsi" w:cstheme="minorHAnsi"/>
          <w:szCs w:val="24"/>
        </w:rPr>
        <w:t>mention</w:t>
      </w:r>
      <w:r w:rsidR="00F80CB0" w:rsidRPr="00BD13D9">
        <w:rPr>
          <w:rFonts w:asciiTheme="minorHAnsi" w:hAnsiTheme="minorHAnsi" w:cstheme="minorHAnsi"/>
          <w:szCs w:val="24"/>
        </w:rPr>
        <w:t xml:space="preserve"> d</w:t>
      </w:r>
      <w:r w:rsidR="00F76CBB" w:rsidRPr="00BD13D9">
        <w:rPr>
          <w:rFonts w:asciiTheme="minorHAnsi" w:hAnsiTheme="minorHAnsi" w:cstheme="minorHAnsi"/>
          <w:szCs w:val="24"/>
        </w:rPr>
        <w:t>'</w:t>
      </w:r>
      <w:r w:rsidR="00F80CB0" w:rsidRPr="00BD13D9">
        <w:rPr>
          <w:rFonts w:asciiTheme="minorHAnsi" w:hAnsiTheme="minorHAnsi" w:cstheme="minorHAnsi"/>
          <w:szCs w:val="24"/>
        </w:rPr>
        <w:t>autres décisions et résolutions qui n</w:t>
      </w:r>
      <w:r w:rsidR="00F76CBB" w:rsidRPr="00BD13D9">
        <w:rPr>
          <w:rFonts w:asciiTheme="minorHAnsi" w:hAnsiTheme="minorHAnsi" w:cstheme="minorHAnsi"/>
          <w:szCs w:val="24"/>
        </w:rPr>
        <w:t>'</w:t>
      </w:r>
      <w:r w:rsidR="00F80CB0" w:rsidRPr="00BD13D9">
        <w:rPr>
          <w:rFonts w:asciiTheme="minorHAnsi" w:hAnsiTheme="minorHAnsi" w:cstheme="minorHAnsi"/>
          <w:szCs w:val="24"/>
        </w:rPr>
        <w:t xml:space="preserve">ont pas encore été approuvées ou adoptées. </w:t>
      </w:r>
      <w:r w:rsidR="004D1FD5" w:rsidRPr="00BD13D9">
        <w:rPr>
          <w:rFonts w:asciiTheme="minorHAnsi" w:hAnsiTheme="minorHAnsi" w:cstheme="minorHAnsi"/>
          <w:szCs w:val="24"/>
        </w:rPr>
        <w:t>La Commission de rédaction veillera à ce que toutes les références croisées entre les résolutions et les décisions renvoient à la bonne version de ces résolutions et décisions</w:t>
      </w:r>
      <w:r w:rsidRPr="00BD13D9">
        <w:rPr>
          <w:rFonts w:asciiTheme="minorHAnsi" w:hAnsiTheme="minorHAnsi" w:cstheme="minorHAnsi"/>
          <w:szCs w:val="24"/>
        </w:rPr>
        <w:t>.</w:t>
      </w:r>
    </w:p>
    <w:p w14:paraId="2A2B8381" w14:textId="57268E1E" w:rsidR="00813F8C" w:rsidRPr="00BD13D9" w:rsidRDefault="004D1FD5" w:rsidP="0056155E">
      <w:pPr>
        <w:pStyle w:val="Headingb"/>
        <w:tabs>
          <w:tab w:val="clear" w:pos="567"/>
        </w:tabs>
        <w:ind w:left="0" w:firstLine="0"/>
      </w:pPr>
      <w:r w:rsidRPr="00BD13D9">
        <w:t>Projet de</w:t>
      </w:r>
      <w:r w:rsidR="00813F8C" w:rsidRPr="00BD13D9">
        <w:t xml:space="preserve"> </w:t>
      </w:r>
      <w:r w:rsidRPr="00BD13D9">
        <w:t>Résolution</w:t>
      </w:r>
      <w:r w:rsidR="00813F8C" w:rsidRPr="00BD13D9">
        <w:t xml:space="preserve"> 123 (R</w:t>
      </w:r>
      <w:r w:rsidRPr="00BD13D9">
        <w:t>é</w:t>
      </w:r>
      <w:r w:rsidR="00813F8C" w:rsidRPr="00BD13D9">
        <w:t xml:space="preserve">v. Bucarest, 2022) </w:t>
      </w:r>
      <w:r w:rsidRPr="00BD13D9">
        <w:t>–</w:t>
      </w:r>
      <w:r w:rsidR="00813F8C" w:rsidRPr="00BD13D9">
        <w:t xml:space="preserve"> </w:t>
      </w:r>
      <w:bookmarkStart w:id="13" w:name="_Toc407016221"/>
      <w:r w:rsidRPr="00BD13D9">
        <w:t>Réduire l</w:t>
      </w:r>
      <w:r w:rsidR="00F76CBB" w:rsidRPr="00BD13D9">
        <w:t>'</w:t>
      </w:r>
      <w:r w:rsidRPr="00BD13D9">
        <w:t>écart qui existe en matière de normalisation entre pays en développement et pays développés</w:t>
      </w:r>
      <w:bookmarkEnd w:id="13"/>
    </w:p>
    <w:p w14:paraId="6260B0A5" w14:textId="58DE2320" w:rsidR="00813F8C" w:rsidRPr="00BD13D9" w:rsidRDefault="004D1FD5" w:rsidP="0056155E">
      <w:pPr>
        <w:pStyle w:val="Headingb"/>
        <w:tabs>
          <w:tab w:val="clear" w:pos="567"/>
        </w:tabs>
        <w:ind w:left="0" w:firstLine="0"/>
      </w:pPr>
      <w:r w:rsidRPr="00BD13D9">
        <w:t xml:space="preserve">Projet de Résolution </w:t>
      </w:r>
      <w:r w:rsidR="00813F8C" w:rsidRPr="00BD13D9">
        <w:t>198 (</w:t>
      </w:r>
      <w:r w:rsidRPr="00BD13D9">
        <w:t>Rév. Bucarest, 2022</w:t>
      </w:r>
      <w:r w:rsidR="00813F8C" w:rsidRPr="00BD13D9">
        <w:t>)</w:t>
      </w:r>
      <w:r w:rsidR="0082134B" w:rsidRPr="00BD13D9">
        <w:t xml:space="preserve"> – </w:t>
      </w:r>
      <w:bookmarkStart w:id="14" w:name="_Toc536018014"/>
      <w:r w:rsidR="0082134B" w:rsidRPr="00BD13D9">
        <w:t>Autonomisation des jeunes au moyen des télécommunications et des technologies de l</w:t>
      </w:r>
      <w:r w:rsidR="00F76CBB" w:rsidRPr="00BD13D9">
        <w:t>'</w:t>
      </w:r>
      <w:r w:rsidR="0082134B" w:rsidRPr="00BD13D9">
        <w:t>information et de la communication</w:t>
      </w:r>
      <w:bookmarkEnd w:id="14"/>
    </w:p>
    <w:p w14:paraId="3265A067" w14:textId="73FAFF3E" w:rsidR="00813F8C" w:rsidRPr="00BD13D9" w:rsidRDefault="004D1FD5" w:rsidP="0056155E">
      <w:pPr>
        <w:pStyle w:val="Headingb"/>
        <w:tabs>
          <w:tab w:val="clear" w:pos="567"/>
        </w:tabs>
        <w:ind w:left="0" w:firstLine="0"/>
      </w:pPr>
      <w:r w:rsidRPr="00BD13D9">
        <w:t xml:space="preserve">Projet de Résolution </w:t>
      </w:r>
      <w:r w:rsidR="00813F8C" w:rsidRPr="00BD13D9">
        <w:t>200 (</w:t>
      </w:r>
      <w:r w:rsidRPr="00BD13D9">
        <w:t>Rév. Bucarest, 2022</w:t>
      </w:r>
      <w:r w:rsidR="00813F8C" w:rsidRPr="00BD13D9">
        <w:t>)</w:t>
      </w:r>
      <w:r w:rsidR="0082134B" w:rsidRPr="00BD13D9">
        <w:t xml:space="preserve"> – </w:t>
      </w:r>
      <w:bookmarkStart w:id="15" w:name="_Toc536018016"/>
      <w:r w:rsidR="0082134B" w:rsidRPr="00BD13D9">
        <w:t>Programme Connect 2030 pour les télécommunications/technologies de l</w:t>
      </w:r>
      <w:r w:rsidR="00F76CBB" w:rsidRPr="00BD13D9">
        <w:t>'</w:t>
      </w:r>
      <w:r w:rsidR="0082134B" w:rsidRPr="00BD13D9">
        <w:t>information et de la communication dans le monde, y compris le large bande, en faveur du développement durable</w:t>
      </w:r>
      <w:bookmarkEnd w:id="15"/>
    </w:p>
    <w:p w14:paraId="7FC76FEC" w14:textId="7102DD9E" w:rsidR="00813F8C" w:rsidRPr="00BD13D9" w:rsidRDefault="00813F8C" w:rsidP="007C48D1">
      <w:pPr>
        <w:rPr>
          <w:rFonts w:asciiTheme="minorHAnsi" w:hAnsiTheme="minorHAnsi" w:cstheme="minorHAnsi"/>
          <w:szCs w:val="24"/>
        </w:rPr>
      </w:pPr>
      <w:r w:rsidRPr="00BD13D9">
        <w:rPr>
          <w:rFonts w:asciiTheme="minorHAnsi" w:hAnsiTheme="minorHAnsi" w:cstheme="minorHAnsi"/>
          <w:bCs/>
          <w:szCs w:val="24"/>
        </w:rPr>
        <w:t>3.2</w:t>
      </w:r>
      <w:r w:rsidRPr="00BD13D9">
        <w:rPr>
          <w:rFonts w:asciiTheme="minorHAnsi" w:hAnsiTheme="minorHAnsi" w:cstheme="minorHAnsi"/>
          <w:b/>
          <w:bCs/>
          <w:szCs w:val="24"/>
        </w:rPr>
        <w:tab/>
      </w:r>
      <w:r w:rsidR="0082134B" w:rsidRPr="00BD13D9">
        <w:rPr>
          <w:rFonts w:asciiTheme="minorHAnsi" w:hAnsiTheme="minorHAnsi" w:cstheme="minorHAnsi"/>
          <w:b/>
          <w:bCs/>
          <w:szCs w:val="24"/>
        </w:rPr>
        <w:t>Adopté</w:t>
      </w:r>
      <w:r w:rsidR="00F80CB0" w:rsidRPr="00BD13D9">
        <w:rPr>
          <w:rFonts w:asciiTheme="minorHAnsi" w:hAnsiTheme="minorHAnsi" w:cstheme="minorHAnsi"/>
          <w:b/>
          <w:bCs/>
          <w:szCs w:val="24"/>
        </w:rPr>
        <w:t>s</w:t>
      </w:r>
      <w:r w:rsidR="0082134B" w:rsidRPr="00BD13D9">
        <w:rPr>
          <w:rFonts w:asciiTheme="minorHAnsi" w:hAnsiTheme="minorHAnsi" w:cstheme="minorHAnsi"/>
          <w:szCs w:val="24"/>
        </w:rPr>
        <w:t>.</w:t>
      </w:r>
    </w:p>
    <w:p w14:paraId="211DAF24" w14:textId="1F7B4439"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3.3</w:t>
      </w:r>
      <w:r w:rsidRPr="00BD13D9">
        <w:rPr>
          <w:rFonts w:asciiTheme="minorHAnsi" w:hAnsiTheme="minorHAnsi" w:cstheme="minorHAnsi"/>
          <w:szCs w:val="24"/>
        </w:rPr>
        <w:tab/>
      </w:r>
      <w:r w:rsidR="0082134B" w:rsidRPr="00BD13D9">
        <w:rPr>
          <w:rFonts w:asciiTheme="minorHAnsi" w:hAnsiTheme="minorHAnsi" w:cstheme="minorHAnsi"/>
          <w:szCs w:val="24"/>
        </w:rPr>
        <w:t xml:space="preserve">La </w:t>
      </w:r>
      <w:r w:rsidR="00F80CB0" w:rsidRPr="00BD13D9">
        <w:rPr>
          <w:rFonts w:asciiTheme="minorHAnsi" w:hAnsiTheme="minorHAnsi" w:cstheme="minorHAnsi"/>
          <w:szCs w:val="24"/>
        </w:rPr>
        <w:t xml:space="preserve">neuvième </w:t>
      </w:r>
      <w:r w:rsidR="0082134B" w:rsidRPr="00BD13D9">
        <w:rPr>
          <w:rFonts w:asciiTheme="minorHAnsi" w:hAnsiTheme="minorHAnsi" w:cstheme="minorHAnsi"/>
          <w:szCs w:val="24"/>
        </w:rPr>
        <w:t>série de textes soumis par la Commission de rédaction en première lecture (B</w:t>
      </w:r>
      <w:r w:rsidR="00044685" w:rsidRPr="00BD13D9">
        <w:rPr>
          <w:rFonts w:asciiTheme="minorHAnsi" w:hAnsiTheme="minorHAnsi" w:cstheme="minorHAnsi"/>
          <w:szCs w:val="24"/>
        </w:rPr>
        <w:t>9</w:t>
      </w:r>
      <w:r w:rsidR="0082134B" w:rsidRPr="00BD13D9">
        <w:rPr>
          <w:rFonts w:asciiTheme="minorHAnsi" w:hAnsiTheme="minorHAnsi" w:cstheme="minorHAnsi"/>
          <w:szCs w:val="24"/>
        </w:rPr>
        <w:t xml:space="preserve">) (Document 143) est </w:t>
      </w:r>
      <w:r w:rsidR="0082134B" w:rsidRPr="00BD13D9">
        <w:rPr>
          <w:rFonts w:asciiTheme="minorHAnsi" w:hAnsiTheme="minorHAnsi" w:cstheme="minorHAnsi"/>
          <w:b/>
          <w:bCs/>
          <w:szCs w:val="24"/>
        </w:rPr>
        <w:t>approuvée</w:t>
      </w:r>
      <w:r w:rsidR="0082134B" w:rsidRPr="00BD13D9">
        <w:rPr>
          <w:rFonts w:asciiTheme="minorHAnsi" w:hAnsiTheme="minorHAnsi" w:cstheme="minorHAnsi"/>
          <w:szCs w:val="24"/>
        </w:rPr>
        <w:t>.</w:t>
      </w:r>
    </w:p>
    <w:p w14:paraId="0AD4BC0B" w14:textId="0F8B54C6" w:rsidR="00813F8C" w:rsidRPr="00BD13D9" w:rsidRDefault="00813F8C" w:rsidP="0056155E">
      <w:pPr>
        <w:pStyle w:val="Heading1"/>
      </w:pPr>
      <w:r w:rsidRPr="00BD13D9">
        <w:t>4</w:t>
      </w:r>
      <w:r w:rsidRPr="00BD13D9">
        <w:tab/>
      </w:r>
      <w:r w:rsidR="0082134B" w:rsidRPr="00BD13D9">
        <w:t>Neuvième série de textes soumis par la Commission de rédaction</w:t>
      </w:r>
      <w:r w:rsidRPr="00BD13D9">
        <w:t xml:space="preserve">– </w:t>
      </w:r>
      <w:r w:rsidR="0082134B" w:rsidRPr="00BD13D9">
        <w:t xml:space="preserve">seconde lecture </w:t>
      </w:r>
      <w:r w:rsidRPr="00BD13D9">
        <w:t xml:space="preserve">(Document </w:t>
      </w:r>
      <w:hyperlink r:id="rId19" w:history="1">
        <w:r w:rsidRPr="00BD13D9">
          <w:rPr>
            <w:rStyle w:val="Hyperlink"/>
            <w:rFonts w:asciiTheme="minorHAnsi" w:hAnsiTheme="minorHAnsi" w:cstheme="minorHAnsi"/>
            <w:bCs/>
            <w:szCs w:val="24"/>
          </w:rPr>
          <w:t>143</w:t>
        </w:r>
      </w:hyperlink>
      <w:r w:rsidRPr="00BD13D9">
        <w:t>)</w:t>
      </w:r>
    </w:p>
    <w:p w14:paraId="1E3E9BCF" w14:textId="6F3FE593"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4.1</w:t>
      </w:r>
      <w:r w:rsidRPr="00BD13D9">
        <w:rPr>
          <w:rFonts w:asciiTheme="minorHAnsi" w:hAnsiTheme="minorHAnsi" w:cstheme="minorHAnsi"/>
          <w:szCs w:val="24"/>
        </w:rPr>
        <w:tab/>
      </w:r>
      <w:r w:rsidR="0082134B" w:rsidRPr="00BD13D9">
        <w:rPr>
          <w:rFonts w:asciiTheme="minorHAnsi" w:hAnsiTheme="minorHAnsi" w:cstheme="minorHAnsi"/>
          <w:szCs w:val="24"/>
        </w:rPr>
        <w:t xml:space="preserve">La </w:t>
      </w:r>
      <w:r w:rsidR="00F80CB0" w:rsidRPr="00BD13D9">
        <w:rPr>
          <w:rFonts w:asciiTheme="minorHAnsi" w:hAnsiTheme="minorHAnsi" w:cstheme="minorHAnsi"/>
          <w:szCs w:val="24"/>
        </w:rPr>
        <w:t xml:space="preserve">neuvième </w:t>
      </w:r>
      <w:r w:rsidR="0082134B" w:rsidRPr="00BD13D9">
        <w:rPr>
          <w:rFonts w:asciiTheme="minorHAnsi" w:hAnsiTheme="minorHAnsi" w:cstheme="minorHAnsi"/>
          <w:szCs w:val="24"/>
        </w:rPr>
        <w:t>série de textes soumis par la Commission de rédaction (Document 1</w:t>
      </w:r>
      <w:r w:rsidR="00044685" w:rsidRPr="00BD13D9">
        <w:rPr>
          <w:rFonts w:asciiTheme="minorHAnsi" w:hAnsiTheme="minorHAnsi" w:cstheme="minorHAnsi"/>
          <w:szCs w:val="24"/>
        </w:rPr>
        <w:t>43</w:t>
      </w:r>
      <w:r w:rsidR="0082134B" w:rsidRPr="00BD13D9">
        <w:rPr>
          <w:rFonts w:asciiTheme="minorHAnsi" w:hAnsiTheme="minorHAnsi" w:cstheme="minorHAnsi"/>
          <w:szCs w:val="24"/>
        </w:rPr>
        <w:t xml:space="preserve">) est </w:t>
      </w:r>
      <w:r w:rsidR="0082134B" w:rsidRPr="00BD13D9">
        <w:rPr>
          <w:rFonts w:asciiTheme="minorHAnsi" w:hAnsiTheme="minorHAnsi" w:cstheme="minorHAnsi"/>
          <w:b/>
          <w:bCs/>
          <w:szCs w:val="24"/>
        </w:rPr>
        <w:t>approuvée</w:t>
      </w:r>
      <w:r w:rsidR="0082134B" w:rsidRPr="00BD13D9">
        <w:rPr>
          <w:rFonts w:asciiTheme="minorHAnsi" w:hAnsiTheme="minorHAnsi" w:cstheme="minorHAnsi"/>
          <w:szCs w:val="24"/>
        </w:rPr>
        <w:t xml:space="preserve"> en seconde lecture.</w:t>
      </w:r>
    </w:p>
    <w:p w14:paraId="62EC154F" w14:textId="01573AB5" w:rsidR="00813F8C" w:rsidRPr="00BD13D9" w:rsidRDefault="00813F8C" w:rsidP="0056155E">
      <w:pPr>
        <w:pStyle w:val="Heading1"/>
      </w:pPr>
      <w:r w:rsidRPr="00BD13D9">
        <w:t>5</w:t>
      </w:r>
      <w:r w:rsidRPr="00BD13D9">
        <w:tab/>
      </w:r>
      <w:r w:rsidR="0082134B" w:rsidRPr="00BD13D9">
        <w:t xml:space="preserve">Dixième série de textes soumis par la Commission de rédaction </w:t>
      </w:r>
      <w:r w:rsidR="00F80CB0" w:rsidRPr="00BD13D9">
        <w:t>en première lecture</w:t>
      </w:r>
      <w:r w:rsidRPr="00BD13D9">
        <w:t xml:space="preserve"> (B10) (Document </w:t>
      </w:r>
      <w:hyperlink r:id="rId20" w:history="1">
        <w:r w:rsidRPr="00BD13D9">
          <w:rPr>
            <w:rStyle w:val="Hyperlink"/>
            <w:rFonts w:asciiTheme="minorHAnsi" w:hAnsiTheme="minorHAnsi" w:cstheme="minorHAnsi"/>
            <w:bCs/>
            <w:szCs w:val="24"/>
          </w:rPr>
          <w:t>144</w:t>
        </w:r>
      </w:hyperlink>
      <w:r w:rsidRPr="00BD13D9">
        <w:t>)</w:t>
      </w:r>
    </w:p>
    <w:p w14:paraId="15FA71FC" w14:textId="5E9EA0D1" w:rsidR="00813F8C" w:rsidRPr="00BD13D9" w:rsidRDefault="00E6668B"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170 (R</w:t>
      </w:r>
      <w:r w:rsidRPr="00BD13D9">
        <w:rPr>
          <w:rFonts w:asciiTheme="minorHAnsi" w:hAnsiTheme="minorHAnsi" w:cstheme="minorHAnsi"/>
          <w:bCs/>
          <w:szCs w:val="24"/>
        </w:rPr>
        <w:t>é</w:t>
      </w:r>
      <w:r w:rsidR="00813F8C" w:rsidRPr="00BD13D9">
        <w:rPr>
          <w:rFonts w:asciiTheme="minorHAnsi" w:hAnsiTheme="minorHAnsi" w:cstheme="minorHAnsi"/>
          <w:bCs/>
          <w:szCs w:val="24"/>
        </w:rPr>
        <w:t>v. Bucarest, 2022)</w:t>
      </w:r>
      <w:r w:rsidR="0082134B" w:rsidRPr="00BD13D9">
        <w:rPr>
          <w:rFonts w:asciiTheme="minorHAnsi" w:hAnsiTheme="minorHAnsi" w:cstheme="minorHAnsi"/>
          <w:bCs/>
          <w:szCs w:val="24"/>
        </w:rPr>
        <w:t xml:space="preserve"> – </w:t>
      </w:r>
      <w:bookmarkStart w:id="16" w:name="_Toc407016267"/>
      <w:r w:rsidR="0082134B" w:rsidRPr="00BD13D9">
        <w:rPr>
          <w:rFonts w:asciiTheme="minorHAnsi" w:hAnsiTheme="minorHAnsi" w:cstheme="minorHAnsi"/>
          <w:bCs/>
          <w:szCs w:val="24"/>
        </w:rPr>
        <w:t>Admission de Membres de Secteur des pays en développement à participer aux travaux du Secteur de la normalisation des télécommunications et du Secteur des radiocommunications de l</w:t>
      </w:r>
      <w:r w:rsidR="00F76CBB" w:rsidRPr="00BD13D9">
        <w:rPr>
          <w:rFonts w:asciiTheme="minorHAnsi" w:hAnsiTheme="minorHAnsi" w:cstheme="minorHAnsi"/>
          <w:bCs/>
          <w:szCs w:val="24"/>
        </w:rPr>
        <w:t>'</w:t>
      </w:r>
      <w:r w:rsidR="0082134B" w:rsidRPr="00BD13D9">
        <w:rPr>
          <w:rFonts w:asciiTheme="minorHAnsi" w:hAnsiTheme="minorHAnsi" w:cstheme="minorHAnsi"/>
          <w:bCs/>
          <w:szCs w:val="24"/>
        </w:rPr>
        <w:t>UIT</w:t>
      </w:r>
      <w:bookmarkEnd w:id="16"/>
    </w:p>
    <w:p w14:paraId="43F394CE" w14:textId="666A500D" w:rsidR="00813F8C" w:rsidRPr="00BD13D9" w:rsidRDefault="00E6668B" w:rsidP="0056155E">
      <w:pPr>
        <w:pStyle w:val="Headingb"/>
        <w:ind w:left="0" w:firstLine="0"/>
        <w:rPr>
          <w:rFonts w:asciiTheme="minorHAnsi" w:hAnsiTheme="minorHAnsi" w:cstheme="minorHAnsi"/>
          <w:b w:val="0"/>
          <w:bCs/>
          <w:szCs w:val="24"/>
        </w:rPr>
      </w:pPr>
      <w:r w:rsidRPr="00BD13D9">
        <w:t xml:space="preserve">Projet de Résolution </w:t>
      </w:r>
      <w:r w:rsidR="00750D67" w:rsidRPr="00BD13D9">
        <w:t xml:space="preserve">176 </w:t>
      </w:r>
      <w:r w:rsidR="00813F8C" w:rsidRPr="00BD13D9">
        <w:rPr>
          <w:rFonts w:asciiTheme="minorHAnsi" w:hAnsiTheme="minorHAnsi" w:cstheme="minorHAnsi"/>
          <w:bCs/>
          <w:szCs w:val="24"/>
        </w:rPr>
        <w:t>(R</w:t>
      </w:r>
      <w:r w:rsidRPr="00BD13D9">
        <w:rPr>
          <w:rFonts w:asciiTheme="minorHAnsi" w:hAnsiTheme="minorHAnsi" w:cstheme="minorHAnsi"/>
          <w:bCs/>
          <w:szCs w:val="24"/>
        </w:rPr>
        <w:t>é</w:t>
      </w:r>
      <w:r w:rsidR="00813F8C" w:rsidRPr="00BD13D9">
        <w:rPr>
          <w:rFonts w:asciiTheme="minorHAnsi" w:hAnsiTheme="minorHAnsi" w:cstheme="minorHAnsi"/>
          <w:bCs/>
          <w:szCs w:val="24"/>
        </w:rPr>
        <w:t>v. Bucarest, 2022)</w:t>
      </w:r>
      <w:r w:rsidR="0082134B" w:rsidRPr="00BD13D9">
        <w:rPr>
          <w:rFonts w:asciiTheme="minorHAnsi" w:hAnsiTheme="minorHAnsi" w:cstheme="minorHAnsi"/>
          <w:bCs/>
          <w:szCs w:val="24"/>
        </w:rPr>
        <w:t xml:space="preserve"> – </w:t>
      </w:r>
      <w:bookmarkStart w:id="17" w:name="_Toc407016273"/>
      <w:bookmarkStart w:id="18" w:name="_Toc536017994"/>
      <w:r w:rsidRPr="00BD13D9">
        <w:rPr>
          <w:rFonts w:asciiTheme="minorHAnsi" w:hAnsiTheme="minorHAnsi" w:cstheme="minorHAnsi"/>
          <w:bCs/>
          <w:szCs w:val="24"/>
        </w:rPr>
        <w:t>Problèmes de mesure et d</w:t>
      </w:r>
      <w:r w:rsidR="00F76CBB" w:rsidRPr="00BD13D9">
        <w:rPr>
          <w:rFonts w:asciiTheme="minorHAnsi" w:hAnsiTheme="minorHAnsi" w:cstheme="minorHAnsi"/>
          <w:bCs/>
          <w:szCs w:val="24"/>
        </w:rPr>
        <w:t>'</w:t>
      </w:r>
      <w:r w:rsidRPr="00BD13D9">
        <w:rPr>
          <w:rFonts w:asciiTheme="minorHAnsi" w:hAnsiTheme="minorHAnsi" w:cstheme="minorHAnsi"/>
          <w:bCs/>
          <w:szCs w:val="24"/>
        </w:rPr>
        <w:t>évaluation liés à l</w:t>
      </w:r>
      <w:r w:rsidR="00F76CBB" w:rsidRPr="00BD13D9">
        <w:rPr>
          <w:rFonts w:asciiTheme="minorHAnsi" w:hAnsiTheme="minorHAnsi" w:cstheme="minorHAnsi"/>
          <w:bCs/>
          <w:szCs w:val="24"/>
        </w:rPr>
        <w:t>'</w:t>
      </w:r>
      <w:r w:rsidRPr="00BD13D9">
        <w:rPr>
          <w:rFonts w:asciiTheme="minorHAnsi" w:hAnsiTheme="minorHAnsi" w:cstheme="minorHAnsi"/>
          <w:bCs/>
          <w:szCs w:val="24"/>
        </w:rPr>
        <w:t>exposition des personnes aux champs électromagnétiques</w:t>
      </w:r>
      <w:bookmarkEnd w:id="17"/>
      <w:bookmarkEnd w:id="18"/>
    </w:p>
    <w:p w14:paraId="72A08EE1" w14:textId="64A02A80" w:rsidR="00813F8C" w:rsidRPr="00BD13D9" w:rsidRDefault="00813F8C" w:rsidP="007C48D1">
      <w:pPr>
        <w:rPr>
          <w:rFonts w:asciiTheme="minorHAnsi" w:hAnsiTheme="minorHAnsi" w:cstheme="minorHAnsi"/>
          <w:b/>
          <w:bCs/>
          <w:szCs w:val="24"/>
        </w:rPr>
      </w:pPr>
      <w:r w:rsidRPr="00BD13D9">
        <w:rPr>
          <w:rFonts w:asciiTheme="minorHAnsi" w:hAnsiTheme="minorHAnsi" w:cstheme="minorHAnsi"/>
          <w:bCs/>
          <w:szCs w:val="24"/>
        </w:rPr>
        <w:t>5.1</w:t>
      </w:r>
      <w:r w:rsidRPr="00BD13D9">
        <w:rPr>
          <w:rFonts w:asciiTheme="minorHAnsi" w:hAnsiTheme="minorHAnsi" w:cstheme="minorHAnsi"/>
          <w:b/>
          <w:bCs/>
          <w:szCs w:val="24"/>
        </w:rPr>
        <w:tab/>
        <w:t>Adopt</w:t>
      </w:r>
      <w:r w:rsidR="00E6668B" w:rsidRPr="00BD13D9">
        <w:rPr>
          <w:rFonts w:asciiTheme="minorHAnsi" w:hAnsiTheme="minorHAnsi" w:cstheme="minorHAnsi"/>
          <w:b/>
          <w:bCs/>
          <w:szCs w:val="24"/>
        </w:rPr>
        <w:t>é</w:t>
      </w:r>
      <w:r w:rsidR="00F80CB0" w:rsidRPr="00BD13D9">
        <w:rPr>
          <w:rFonts w:asciiTheme="minorHAnsi" w:hAnsiTheme="minorHAnsi" w:cstheme="minorHAnsi"/>
          <w:b/>
          <w:bCs/>
          <w:szCs w:val="24"/>
        </w:rPr>
        <w:t>s</w:t>
      </w:r>
      <w:r w:rsidRPr="00BD13D9">
        <w:rPr>
          <w:rFonts w:asciiTheme="minorHAnsi" w:hAnsiTheme="minorHAnsi" w:cstheme="minorHAnsi"/>
          <w:szCs w:val="24"/>
        </w:rPr>
        <w:t>.</w:t>
      </w:r>
    </w:p>
    <w:p w14:paraId="14964B19" w14:textId="0A73E070"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5.2</w:t>
      </w:r>
      <w:r w:rsidRPr="00BD13D9">
        <w:rPr>
          <w:rFonts w:asciiTheme="minorHAnsi" w:hAnsiTheme="minorHAnsi" w:cstheme="minorHAnsi"/>
          <w:szCs w:val="24"/>
        </w:rPr>
        <w:tab/>
      </w:r>
      <w:r w:rsidR="00E6668B" w:rsidRPr="00BD13D9">
        <w:rPr>
          <w:rFonts w:asciiTheme="minorHAnsi" w:hAnsiTheme="minorHAnsi" w:cstheme="minorHAnsi"/>
          <w:szCs w:val="24"/>
        </w:rPr>
        <w:t xml:space="preserve">La </w:t>
      </w:r>
      <w:r w:rsidR="00F80CB0" w:rsidRPr="00BD13D9">
        <w:rPr>
          <w:rFonts w:asciiTheme="minorHAnsi" w:hAnsiTheme="minorHAnsi" w:cstheme="minorHAnsi"/>
          <w:szCs w:val="24"/>
        </w:rPr>
        <w:t xml:space="preserve">dixième </w:t>
      </w:r>
      <w:r w:rsidR="00E6668B" w:rsidRPr="00BD13D9">
        <w:rPr>
          <w:rFonts w:asciiTheme="minorHAnsi" w:hAnsiTheme="minorHAnsi" w:cstheme="minorHAnsi"/>
          <w:szCs w:val="24"/>
        </w:rPr>
        <w:t>série de textes soumis par la Commission de rédaction en première lecture (B</w:t>
      </w:r>
      <w:r w:rsidR="00044685" w:rsidRPr="00BD13D9">
        <w:rPr>
          <w:rFonts w:asciiTheme="minorHAnsi" w:hAnsiTheme="minorHAnsi" w:cstheme="minorHAnsi"/>
          <w:szCs w:val="24"/>
        </w:rPr>
        <w:t>10</w:t>
      </w:r>
      <w:r w:rsidR="00E6668B" w:rsidRPr="00BD13D9">
        <w:rPr>
          <w:rFonts w:asciiTheme="minorHAnsi" w:hAnsiTheme="minorHAnsi" w:cstheme="minorHAnsi"/>
          <w:szCs w:val="24"/>
        </w:rPr>
        <w:t xml:space="preserve">) (Document 144) est </w:t>
      </w:r>
      <w:r w:rsidR="00E6668B" w:rsidRPr="00BD13D9">
        <w:rPr>
          <w:rFonts w:asciiTheme="minorHAnsi" w:hAnsiTheme="minorHAnsi" w:cstheme="minorHAnsi"/>
          <w:b/>
          <w:bCs/>
          <w:szCs w:val="24"/>
        </w:rPr>
        <w:t>approuvée</w:t>
      </w:r>
      <w:r w:rsidRPr="00BD13D9">
        <w:rPr>
          <w:rFonts w:asciiTheme="minorHAnsi" w:hAnsiTheme="minorHAnsi" w:cstheme="minorHAnsi"/>
          <w:szCs w:val="24"/>
        </w:rPr>
        <w:t>.</w:t>
      </w:r>
    </w:p>
    <w:p w14:paraId="64CBAD36" w14:textId="377AA9B3" w:rsidR="00813F8C" w:rsidRPr="00BD13D9" w:rsidRDefault="00813F8C" w:rsidP="0056155E">
      <w:pPr>
        <w:pStyle w:val="Heading1"/>
      </w:pPr>
      <w:r w:rsidRPr="00BD13D9">
        <w:t>6</w:t>
      </w:r>
      <w:r w:rsidRPr="00BD13D9">
        <w:tab/>
      </w:r>
      <w:r w:rsidR="00E6668B" w:rsidRPr="00BD13D9">
        <w:t>Dixième série de textes soumis par la Commission de rédaction</w:t>
      </w:r>
      <w:r w:rsidRPr="00BD13D9">
        <w:t>– second</w:t>
      </w:r>
      <w:r w:rsidR="00E6668B" w:rsidRPr="00BD13D9">
        <w:t>e</w:t>
      </w:r>
      <w:r w:rsidRPr="00BD13D9">
        <w:t xml:space="preserve"> </w:t>
      </w:r>
      <w:r w:rsidR="00E6668B" w:rsidRPr="00BD13D9">
        <w:t xml:space="preserve">lecture </w:t>
      </w:r>
      <w:r w:rsidRPr="00BD13D9">
        <w:t xml:space="preserve">(Document </w:t>
      </w:r>
      <w:hyperlink r:id="rId21" w:history="1">
        <w:r w:rsidRPr="00BD13D9">
          <w:rPr>
            <w:rStyle w:val="Hyperlink"/>
            <w:rFonts w:asciiTheme="minorHAnsi" w:hAnsiTheme="minorHAnsi" w:cstheme="minorHAnsi"/>
            <w:bCs/>
            <w:szCs w:val="24"/>
          </w:rPr>
          <w:t>144</w:t>
        </w:r>
      </w:hyperlink>
      <w:r w:rsidRPr="00BD13D9">
        <w:t>)</w:t>
      </w:r>
    </w:p>
    <w:p w14:paraId="74C0D41E" w14:textId="77CCFCEC"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6.1</w:t>
      </w:r>
      <w:r w:rsidRPr="00BD13D9">
        <w:rPr>
          <w:rFonts w:asciiTheme="minorHAnsi" w:hAnsiTheme="minorHAnsi" w:cstheme="minorHAnsi"/>
          <w:szCs w:val="24"/>
        </w:rPr>
        <w:tab/>
      </w:r>
      <w:r w:rsidR="00E6668B" w:rsidRPr="00BD13D9">
        <w:rPr>
          <w:rFonts w:asciiTheme="minorHAnsi" w:hAnsiTheme="minorHAnsi" w:cstheme="minorHAnsi"/>
          <w:szCs w:val="24"/>
        </w:rPr>
        <w:t xml:space="preserve">La </w:t>
      </w:r>
      <w:r w:rsidR="00F80CB0" w:rsidRPr="00BD13D9">
        <w:rPr>
          <w:rFonts w:asciiTheme="minorHAnsi" w:hAnsiTheme="minorHAnsi" w:cstheme="minorHAnsi"/>
          <w:szCs w:val="24"/>
        </w:rPr>
        <w:t xml:space="preserve">dixième </w:t>
      </w:r>
      <w:r w:rsidR="00E6668B" w:rsidRPr="00BD13D9">
        <w:rPr>
          <w:rFonts w:asciiTheme="minorHAnsi" w:hAnsiTheme="minorHAnsi" w:cstheme="minorHAnsi"/>
          <w:szCs w:val="24"/>
        </w:rPr>
        <w:t xml:space="preserve">série de textes soumis par la Commission de rédaction (Document 144) est </w:t>
      </w:r>
      <w:r w:rsidR="00E6668B" w:rsidRPr="00BD13D9">
        <w:rPr>
          <w:rFonts w:asciiTheme="minorHAnsi" w:hAnsiTheme="minorHAnsi" w:cstheme="minorHAnsi"/>
          <w:b/>
          <w:bCs/>
          <w:szCs w:val="24"/>
        </w:rPr>
        <w:t>approuvée</w:t>
      </w:r>
      <w:r w:rsidR="00E6668B" w:rsidRPr="00BD13D9">
        <w:rPr>
          <w:rFonts w:asciiTheme="minorHAnsi" w:hAnsiTheme="minorHAnsi" w:cstheme="minorHAnsi"/>
          <w:szCs w:val="24"/>
        </w:rPr>
        <w:t xml:space="preserve"> en seconde lecture.</w:t>
      </w:r>
    </w:p>
    <w:p w14:paraId="24968B7F" w14:textId="10C86DCE" w:rsidR="00813F8C" w:rsidRPr="00BD13D9" w:rsidRDefault="00813F8C" w:rsidP="0056155E">
      <w:pPr>
        <w:pStyle w:val="Heading1"/>
      </w:pPr>
      <w:r w:rsidRPr="00BD13D9">
        <w:lastRenderedPageBreak/>
        <w:t>7</w:t>
      </w:r>
      <w:r w:rsidRPr="00BD13D9">
        <w:tab/>
      </w:r>
      <w:r w:rsidR="00E6668B" w:rsidRPr="00BD13D9">
        <w:t xml:space="preserve">Onzième série de textes soumis par la Commission de rédaction </w:t>
      </w:r>
      <w:r w:rsidR="00F80CB0" w:rsidRPr="00BD13D9">
        <w:t>en première lecture</w:t>
      </w:r>
      <w:r w:rsidR="00E6668B" w:rsidRPr="00BD13D9">
        <w:t>(B11)</w:t>
      </w:r>
      <w:r w:rsidRPr="00BD13D9">
        <w:t xml:space="preserve"> (Document </w:t>
      </w:r>
      <w:hyperlink r:id="rId22" w:history="1">
        <w:r w:rsidRPr="00BD13D9">
          <w:rPr>
            <w:rStyle w:val="Hyperlink"/>
            <w:rFonts w:asciiTheme="minorHAnsi" w:hAnsiTheme="minorHAnsi" w:cstheme="minorHAnsi"/>
            <w:bCs/>
            <w:szCs w:val="24"/>
          </w:rPr>
          <w:t>145</w:t>
        </w:r>
      </w:hyperlink>
      <w:r w:rsidRPr="00BD13D9">
        <w:t>)</w:t>
      </w:r>
    </w:p>
    <w:p w14:paraId="3E723FB5" w14:textId="0DE47080" w:rsidR="00813F8C" w:rsidRPr="00BD13D9" w:rsidRDefault="00E6668B"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154 (R</w:t>
      </w:r>
      <w:r w:rsidRPr="00BD13D9">
        <w:rPr>
          <w:rFonts w:asciiTheme="minorHAnsi" w:hAnsiTheme="minorHAnsi" w:cstheme="minorHAnsi"/>
          <w:bCs/>
          <w:szCs w:val="24"/>
        </w:rPr>
        <w:t>é</w:t>
      </w:r>
      <w:r w:rsidR="00813F8C" w:rsidRPr="00BD13D9">
        <w:rPr>
          <w:rFonts w:asciiTheme="minorHAnsi" w:hAnsiTheme="minorHAnsi" w:cstheme="minorHAnsi"/>
          <w:bCs/>
          <w:szCs w:val="24"/>
        </w:rPr>
        <w:t>v. Bucarest, 2022)</w:t>
      </w:r>
      <w:r w:rsidR="0082134B" w:rsidRPr="00BD13D9">
        <w:rPr>
          <w:rFonts w:asciiTheme="minorHAnsi" w:hAnsiTheme="minorHAnsi" w:cstheme="minorHAnsi"/>
          <w:bCs/>
          <w:szCs w:val="24"/>
        </w:rPr>
        <w:t xml:space="preserve"> – </w:t>
      </w:r>
      <w:bookmarkStart w:id="19" w:name="_Toc407016251"/>
      <w:r w:rsidRPr="00BD13D9">
        <w:rPr>
          <w:rFonts w:asciiTheme="minorHAnsi" w:hAnsiTheme="minorHAnsi" w:cstheme="minorHAnsi"/>
          <w:bCs/>
          <w:szCs w:val="24"/>
        </w:rPr>
        <w:t>Utilisation des six langues officielles de l</w:t>
      </w:r>
      <w:r w:rsidR="00F76CBB" w:rsidRPr="00BD13D9">
        <w:rPr>
          <w:rFonts w:asciiTheme="minorHAnsi" w:hAnsiTheme="minorHAnsi" w:cstheme="minorHAnsi"/>
          <w:bCs/>
          <w:szCs w:val="24"/>
        </w:rPr>
        <w:t>'</w:t>
      </w:r>
      <w:r w:rsidRPr="00BD13D9">
        <w:rPr>
          <w:rFonts w:asciiTheme="minorHAnsi" w:hAnsiTheme="minorHAnsi" w:cstheme="minorHAnsi"/>
          <w:bCs/>
          <w:szCs w:val="24"/>
        </w:rPr>
        <w:t>Union sur un pied d</w:t>
      </w:r>
      <w:r w:rsidR="00F76CBB" w:rsidRPr="00BD13D9">
        <w:rPr>
          <w:rFonts w:asciiTheme="minorHAnsi" w:hAnsiTheme="minorHAnsi" w:cstheme="minorHAnsi"/>
          <w:bCs/>
          <w:szCs w:val="24"/>
        </w:rPr>
        <w:t>'</w:t>
      </w:r>
      <w:r w:rsidRPr="00BD13D9">
        <w:rPr>
          <w:rFonts w:asciiTheme="minorHAnsi" w:hAnsiTheme="minorHAnsi" w:cstheme="minorHAnsi"/>
          <w:bCs/>
          <w:szCs w:val="24"/>
        </w:rPr>
        <w:t>égalité</w:t>
      </w:r>
      <w:bookmarkEnd w:id="19"/>
    </w:p>
    <w:p w14:paraId="4002E1EA" w14:textId="2B70649C" w:rsidR="00813F8C" w:rsidRPr="00BD13D9" w:rsidRDefault="00813F8C" w:rsidP="007C48D1">
      <w:pPr>
        <w:rPr>
          <w:rFonts w:asciiTheme="minorHAnsi" w:hAnsiTheme="minorHAnsi" w:cstheme="minorHAnsi"/>
          <w:szCs w:val="24"/>
        </w:rPr>
      </w:pPr>
      <w:r w:rsidRPr="00BD13D9">
        <w:rPr>
          <w:rFonts w:asciiTheme="minorHAnsi" w:hAnsiTheme="minorHAnsi" w:cstheme="minorHAnsi"/>
          <w:bCs/>
          <w:szCs w:val="24"/>
        </w:rPr>
        <w:t>7.1</w:t>
      </w:r>
      <w:r w:rsidRPr="00BD13D9">
        <w:rPr>
          <w:rFonts w:asciiTheme="minorHAnsi" w:hAnsiTheme="minorHAnsi" w:cstheme="minorHAnsi"/>
          <w:b/>
          <w:bCs/>
          <w:szCs w:val="24"/>
        </w:rPr>
        <w:tab/>
        <w:t>Adopt</w:t>
      </w:r>
      <w:r w:rsidR="00E6668B" w:rsidRPr="00BD13D9">
        <w:rPr>
          <w:rFonts w:asciiTheme="minorHAnsi" w:hAnsiTheme="minorHAnsi" w:cstheme="minorHAnsi"/>
          <w:b/>
          <w:bCs/>
          <w:szCs w:val="24"/>
        </w:rPr>
        <w:t>é</w:t>
      </w:r>
      <w:r w:rsidRPr="00BD13D9">
        <w:rPr>
          <w:rFonts w:asciiTheme="minorHAnsi" w:hAnsiTheme="minorHAnsi" w:cstheme="minorHAnsi"/>
          <w:szCs w:val="24"/>
        </w:rPr>
        <w:t>.</w:t>
      </w:r>
    </w:p>
    <w:p w14:paraId="49A19BB5" w14:textId="74293F51"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7.2</w:t>
      </w:r>
      <w:r w:rsidRPr="00BD13D9">
        <w:rPr>
          <w:rFonts w:asciiTheme="minorHAnsi" w:hAnsiTheme="minorHAnsi" w:cstheme="minorHAnsi"/>
          <w:szCs w:val="24"/>
        </w:rPr>
        <w:tab/>
      </w:r>
      <w:r w:rsidR="00734BB8" w:rsidRPr="00BD13D9">
        <w:rPr>
          <w:rFonts w:asciiTheme="minorHAnsi" w:hAnsiTheme="minorHAnsi" w:cstheme="minorHAnsi"/>
          <w:szCs w:val="24"/>
        </w:rPr>
        <w:t xml:space="preserve">La </w:t>
      </w:r>
      <w:r w:rsidR="00F80CB0" w:rsidRPr="00BD13D9">
        <w:rPr>
          <w:rFonts w:asciiTheme="minorHAnsi" w:hAnsiTheme="minorHAnsi" w:cstheme="minorHAnsi"/>
          <w:szCs w:val="24"/>
        </w:rPr>
        <w:t xml:space="preserve">onzième </w:t>
      </w:r>
      <w:r w:rsidR="00734BB8" w:rsidRPr="00BD13D9">
        <w:rPr>
          <w:rFonts w:asciiTheme="minorHAnsi" w:hAnsiTheme="minorHAnsi" w:cstheme="minorHAnsi"/>
          <w:szCs w:val="24"/>
        </w:rPr>
        <w:t>série de textes soumis par la Commission de rédaction en première lecture (B</w:t>
      </w:r>
      <w:r w:rsidR="00044685" w:rsidRPr="00BD13D9">
        <w:rPr>
          <w:rFonts w:asciiTheme="minorHAnsi" w:hAnsiTheme="minorHAnsi" w:cstheme="minorHAnsi"/>
          <w:szCs w:val="24"/>
        </w:rPr>
        <w:t>11</w:t>
      </w:r>
      <w:r w:rsidR="00734BB8" w:rsidRPr="00BD13D9">
        <w:rPr>
          <w:rFonts w:asciiTheme="minorHAnsi" w:hAnsiTheme="minorHAnsi" w:cstheme="minorHAnsi"/>
          <w:szCs w:val="24"/>
        </w:rPr>
        <w:t xml:space="preserve">) (Document 145) est </w:t>
      </w:r>
      <w:r w:rsidR="00734BB8" w:rsidRPr="00BD13D9">
        <w:rPr>
          <w:rFonts w:asciiTheme="minorHAnsi" w:hAnsiTheme="minorHAnsi" w:cstheme="minorHAnsi"/>
          <w:b/>
          <w:bCs/>
          <w:szCs w:val="24"/>
        </w:rPr>
        <w:t>approuvée</w:t>
      </w:r>
      <w:r w:rsidR="00734BB8" w:rsidRPr="00BD13D9">
        <w:rPr>
          <w:rFonts w:asciiTheme="minorHAnsi" w:hAnsiTheme="minorHAnsi" w:cstheme="minorHAnsi"/>
          <w:szCs w:val="24"/>
        </w:rPr>
        <w:t>.</w:t>
      </w:r>
    </w:p>
    <w:p w14:paraId="57DF5674" w14:textId="53420F91" w:rsidR="00813F8C" w:rsidRPr="00BD13D9" w:rsidRDefault="00813F8C" w:rsidP="0056155E">
      <w:pPr>
        <w:pStyle w:val="Heading1"/>
      </w:pPr>
      <w:r w:rsidRPr="00BD13D9">
        <w:t>8</w:t>
      </w:r>
      <w:r w:rsidRPr="00BD13D9">
        <w:tab/>
      </w:r>
      <w:r w:rsidR="00734BB8" w:rsidRPr="00BD13D9">
        <w:t>Onzième série de textes soumis par la Commission de rédaction</w:t>
      </w:r>
      <w:r w:rsidRPr="00BD13D9">
        <w:t>– second</w:t>
      </w:r>
      <w:r w:rsidR="00734BB8" w:rsidRPr="00BD13D9">
        <w:t>e</w:t>
      </w:r>
      <w:r w:rsidRPr="00BD13D9">
        <w:t xml:space="preserve"> </w:t>
      </w:r>
      <w:r w:rsidR="00734BB8" w:rsidRPr="00BD13D9">
        <w:t>lecture</w:t>
      </w:r>
      <w:r w:rsidRPr="00BD13D9">
        <w:t xml:space="preserve"> (Document </w:t>
      </w:r>
      <w:hyperlink r:id="rId23" w:history="1">
        <w:r w:rsidRPr="00BD13D9">
          <w:rPr>
            <w:rStyle w:val="Hyperlink"/>
            <w:rFonts w:asciiTheme="minorHAnsi" w:hAnsiTheme="minorHAnsi" w:cstheme="minorHAnsi"/>
            <w:bCs/>
            <w:szCs w:val="24"/>
          </w:rPr>
          <w:t>145</w:t>
        </w:r>
      </w:hyperlink>
      <w:r w:rsidRPr="00BD13D9">
        <w:t>)</w:t>
      </w:r>
    </w:p>
    <w:p w14:paraId="2E0488F7" w14:textId="285C1A40"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8.1</w:t>
      </w:r>
      <w:r w:rsidRPr="00BD13D9">
        <w:rPr>
          <w:rFonts w:asciiTheme="minorHAnsi" w:hAnsiTheme="minorHAnsi" w:cstheme="minorHAnsi"/>
          <w:szCs w:val="24"/>
        </w:rPr>
        <w:tab/>
      </w:r>
      <w:r w:rsidR="00734BB8" w:rsidRPr="00BD13D9">
        <w:rPr>
          <w:rFonts w:asciiTheme="minorHAnsi" w:hAnsiTheme="minorHAnsi" w:cstheme="minorHAnsi"/>
          <w:szCs w:val="24"/>
        </w:rPr>
        <w:t xml:space="preserve">La </w:t>
      </w:r>
      <w:r w:rsidR="00F80CB0" w:rsidRPr="00BD13D9">
        <w:rPr>
          <w:rFonts w:asciiTheme="minorHAnsi" w:hAnsiTheme="minorHAnsi" w:cstheme="minorHAnsi"/>
          <w:szCs w:val="24"/>
        </w:rPr>
        <w:t xml:space="preserve">onzième </w:t>
      </w:r>
      <w:r w:rsidR="00734BB8" w:rsidRPr="00BD13D9">
        <w:rPr>
          <w:rFonts w:asciiTheme="minorHAnsi" w:hAnsiTheme="minorHAnsi" w:cstheme="minorHAnsi"/>
          <w:szCs w:val="24"/>
        </w:rPr>
        <w:t xml:space="preserve">série de textes soumis par la Commission de rédaction (Document 145) est </w:t>
      </w:r>
      <w:r w:rsidR="00734BB8" w:rsidRPr="00BD13D9">
        <w:rPr>
          <w:rFonts w:asciiTheme="minorHAnsi" w:hAnsiTheme="minorHAnsi" w:cstheme="minorHAnsi"/>
          <w:b/>
          <w:bCs/>
          <w:szCs w:val="24"/>
        </w:rPr>
        <w:t>approuvée</w:t>
      </w:r>
      <w:r w:rsidR="00734BB8" w:rsidRPr="00BD13D9">
        <w:rPr>
          <w:rFonts w:asciiTheme="minorHAnsi" w:hAnsiTheme="minorHAnsi" w:cstheme="minorHAnsi"/>
          <w:szCs w:val="24"/>
        </w:rPr>
        <w:t xml:space="preserve"> en seconde lecture.</w:t>
      </w:r>
    </w:p>
    <w:p w14:paraId="7F0749FD" w14:textId="57E2502E" w:rsidR="00813F8C" w:rsidRPr="00BD13D9" w:rsidRDefault="00813F8C" w:rsidP="0056155E">
      <w:pPr>
        <w:pStyle w:val="Heading1"/>
      </w:pPr>
      <w:r w:rsidRPr="00BD13D9">
        <w:t>9</w:t>
      </w:r>
      <w:r w:rsidRPr="00BD13D9">
        <w:tab/>
      </w:r>
      <w:r w:rsidR="00734BB8" w:rsidRPr="00BD13D9">
        <w:t xml:space="preserve">Douzième série de textes soumis par la Commission de rédaction </w:t>
      </w:r>
      <w:r w:rsidR="00F80CB0" w:rsidRPr="00BD13D9">
        <w:t xml:space="preserve">en première lecture </w:t>
      </w:r>
      <w:r w:rsidR="00734BB8" w:rsidRPr="00BD13D9">
        <w:t xml:space="preserve">(B12) </w:t>
      </w:r>
      <w:r w:rsidRPr="00BD13D9">
        <w:t xml:space="preserve">(Document </w:t>
      </w:r>
      <w:hyperlink r:id="rId24" w:history="1">
        <w:r w:rsidRPr="00BD13D9">
          <w:rPr>
            <w:rStyle w:val="Hyperlink"/>
            <w:rFonts w:asciiTheme="minorHAnsi" w:hAnsiTheme="minorHAnsi" w:cstheme="minorHAnsi"/>
            <w:bCs/>
            <w:szCs w:val="24"/>
          </w:rPr>
          <w:t>153</w:t>
        </w:r>
      </w:hyperlink>
      <w:r w:rsidRPr="00BD13D9">
        <w:t>)</w:t>
      </w:r>
    </w:p>
    <w:p w14:paraId="55AE5C14" w14:textId="4F86BD82" w:rsidR="00813F8C" w:rsidRPr="00BD13D9" w:rsidRDefault="00734BB8"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30 (R</w:t>
      </w:r>
      <w:r w:rsidRPr="00BD13D9">
        <w:rPr>
          <w:rFonts w:asciiTheme="minorHAnsi" w:hAnsiTheme="minorHAnsi" w:cstheme="minorHAnsi"/>
          <w:bCs/>
          <w:szCs w:val="24"/>
        </w:rPr>
        <w:t>é</w:t>
      </w:r>
      <w:r w:rsidR="00813F8C" w:rsidRPr="00BD13D9">
        <w:rPr>
          <w:rFonts w:asciiTheme="minorHAnsi" w:hAnsiTheme="minorHAnsi" w:cstheme="minorHAnsi"/>
          <w:bCs/>
          <w:szCs w:val="24"/>
        </w:rPr>
        <w:t>v. Bucarest, 2022)</w:t>
      </w:r>
      <w:r w:rsidR="0082134B" w:rsidRPr="00BD13D9">
        <w:rPr>
          <w:rFonts w:asciiTheme="minorHAnsi" w:hAnsiTheme="minorHAnsi" w:cstheme="minorHAnsi"/>
          <w:bCs/>
          <w:szCs w:val="24"/>
        </w:rPr>
        <w:t xml:space="preserve"> – </w:t>
      </w:r>
      <w:bookmarkStart w:id="20" w:name="_Toc407016191"/>
      <w:bookmarkStart w:id="21" w:name="_Toc536017928"/>
      <w:r w:rsidRPr="00BD13D9">
        <w:rPr>
          <w:rFonts w:asciiTheme="minorHAnsi" w:hAnsiTheme="minorHAnsi" w:cstheme="minorHAnsi"/>
          <w:bCs/>
          <w:szCs w:val="24"/>
        </w:rPr>
        <w:t>Mesures spéciales en faveur des pays les moins avancés, des petits États insulaires en développement, des pays en développement sans littoral et des pays dont l</w:t>
      </w:r>
      <w:r w:rsidR="00F76CBB" w:rsidRPr="00BD13D9">
        <w:rPr>
          <w:rFonts w:asciiTheme="minorHAnsi" w:hAnsiTheme="minorHAnsi" w:cstheme="minorHAnsi"/>
          <w:bCs/>
          <w:szCs w:val="24"/>
        </w:rPr>
        <w:t>'</w:t>
      </w:r>
      <w:r w:rsidRPr="00BD13D9">
        <w:rPr>
          <w:rFonts w:asciiTheme="minorHAnsi" w:hAnsiTheme="minorHAnsi" w:cstheme="minorHAnsi"/>
          <w:bCs/>
          <w:szCs w:val="24"/>
        </w:rPr>
        <w:t>économie est en transition</w:t>
      </w:r>
      <w:bookmarkEnd w:id="20"/>
      <w:bookmarkEnd w:id="21"/>
    </w:p>
    <w:p w14:paraId="1D0F5E22" w14:textId="28CCDA82" w:rsidR="00813F8C" w:rsidRPr="00BD13D9" w:rsidRDefault="00813F8C" w:rsidP="007C48D1">
      <w:pPr>
        <w:rPr>
          <w:rFonts w:asciiTheme="minorHAnsi" w:hAnsiTheme="minorHAnsi" w:cstheme="minorHAnsi"/>
          <w:b/>
          <w:bCs/>
          <w:szCs w:val="24"/>
        </w:rPr>
      </w:pPr>
      <w:r w:rsidRPr="00BD13D9">
        <w:rPr>
          <w:rFonts w:asciiTheme="minorHAnsi" w:hAnsiTheme="minorHAnsi" w:cstheme="minorHAnsi"/>
          <w:bCs/>
          <w:szCs w:val="24"/>
        </w:rPr>
        <w:t>9.1</w:t>
      </w:r>
      <w:r w:rsidRPr="00BD13D9">
        <w:rPr>
          <w:rFonts w:asciiTheme="minorHAnsi" w:hAnsiTheme="minorHAnsi" w:cstheme="minorHAnsi"/>
          <w:b/>
          <w:bCs/>
          <w:szCs w:val="24"/>
        </w:rPr>
        <w:tab/>
        <w:t>Adopt</w:t>
      </w:r>
      <w:r w:rsidR="00734BB8" w:rsidRPr="00BD13D9">
        <w:rPr>
          <w:rFonts w:asciiTheme="minorHAnsi" w:hAnsiTheme="minorHAnsi" w:cstheme="minorHAnsi"/>
          <w:b/>
          <w:bCs/>
          <w:szCs w:val="24"/>
        </w:rPr>
        <w:t>é</w:t>
      </w:r>
      <w:r w:rsidRPr="00BD13D9">
        <w:rPr>
          <w:rFonts w:asciiTheme="minorHAnsi" w:hAnsiTheme="minorHAnsi" w:cstheme="minorHAnsi"/>
          <w:szCs w:val="24"/>
        </w:rPr>
        <w:t>.</w:t>
      </w:r>
    </w:p>
    <w:p w14:paraId="719B0348" w14:textId="13503CFF" w:rsidR="00813F8C" w:rsidRPr="00BD13D9" w:rsidRDefault="00734BB8" w:rsidP="0056155E">
      <w:pPr>
        <w:pStyle w:val="Headingb"/>
        <w:ind w:left="0" w:firstLine="0"/>
        <w:rPr>
          <w:rFonts w:asciiTheme="minorHAnsi" w:hAnsiTheme="minorHAnsi" w:cstheme="minorHAnsi"/>
          <w:b w:val="0"/>
          <w:bCs/>
          <w:szCs w:val="24"/>
        </w:rPr>
      </w:pPr>
      <w:r w:rsidRPr="00BD13D9">
        <w:t>Projet de Rés</w:t>
      </w:r>
      <w:bookmarkStart w:id="22" w:name="_GoBack"/>
      <w:bookmarkEnd w:id="22"/>
      <w:r w:rsidRPr="00BD13D9">
        <w:t xml:space="preserve">olution </w:t>
      </w:r>
      <w:r w:rsidR="00813F8C" w:rsidRPr="00BD13D9">
        <w:rPr>
          <w:rFonts w:asciiTheme="minorHAnsi" w:hAnsiTheme="minorHAnsi" w:cstheme="minorHAnsi"/>
          <w:bCs/>
          <w:szCs w:val="24"/>
        </w:rPr>
        <w:t>193 (</w:t>
      </w:r>
      <w:r w:rsidRPr="00BD13D9">
        <w:rPr>
          <w:rFonts w:asciiTheme="minorHAnsi" w:hAnsiTheme="minorHAnsi" w:cstheme="minorHAnsi"/>
          <w:bCs/>
          <w:szCs w:val="24"/>
        </w:rPr>
        <w:t>Rév. Bucarest, 2022</w:t>
      </w:r>
      <w:r w:rsidR="00813F8C" w:rsidRPr="00BD13D9">
        <w:rPr>
          <w:rFonts w:asciiTheme="minorHAnsi" w:hAnsiTheme="minorHAnsi" w:cstheme="minorHAnsi"/>
          <w:bCs/>
          <w:szCs w:val="24"/>
        </w:rPr>
        <w:t>)</w:t>
      </w:r>
      <w:r w:rsidR="0082134B" w:rsidRPr="00BD13D9">
        <w:rPr>
          <w:rFonts w:asciiTheme="minorHAnsi" w:hAnsiTheme="minorHAnsi" w:cstheme="minorHAnsi"/>
          <w:bCs/>
          <w:szCs w:val="24"/>
        </w:rPr>
        <w:t xml:space="preserve"> – </w:t>
      </w:r>
      <w:bookmarkStart w:id="23" w:name="_Toc407016300"/>
      <w:r w:rsidRPr="00BD13D9">
        <w:rPr>
          <w:rFonts w:asciiTheme="minorHAnsi" w:hAnsiTheme="minorHAnsi" w:cstheme="minorHAnsi"/>
          <w:bCs/>
          <w:szCs w:val="24"/>
        </w:rPr>
        <w:t>Appui et assistance à l</w:t>
      </w:r>
      <w:r w:rsidR="00F76CBB" w:rsidRPr="00BD13D9">
        <w:rPr>
          <w:rFonts w:asciiTheme="minorHAnsi" w:hAnsiTheme="minorHAnsi" w:cstheme="minorHAnsi"/>
          <w:bCs/>
          <w:szCs w:val="24"/>
        </w:rPr>
        <w:t>'</w:t>
      </w:r>
      <w:r w:rsidRPr="00BD13D9">
        <w:rPr>
          <w:rFonts w:asciiTheme="minorHAnsi" w:hAnsiTheme="minorHAnsi" w:cstheme="minorHAnsi"/>
          <w:bCs/>
          <w:szCs w:val="24"/>
        </w:rPr>
        <w:t>Iraq pour la poursuite de la reconstruction et du développement de son secteur des télécommunications</w:t>
      </w:r>
      <w:bookmarkEnd w:id="23"/>
      <w:r w:rsidRPr="00BD13D9">
        <w:rPr>
          <w:rFonts w:asciiTheme="minorHAnsi" w:hAnsiTheme="minorHAnsi" w:cstheme="minorHAnsi"/>
          <w:bCs/>
          <w:szCs w:val="24"/>
        </w:rPr>
        <w:t>/technologies de l</w:t>
      </w:r>
      <w:r w:rsidR="00F76CBB" w:rsidRPr="00BD13D9">
        <w:rPr>
          <w:rFonts w:asciiTheme="minorHAnsi" w:hAnsiTheme="minorHAnsi" w:cstheme="minorHAnsi"/>
          <w:bCs/>
          <w:szCs w:val="24"/>
        </w:rPr>
        <w:t>'</w:t>
      </w:r>
      <w:r w:rsidRPr="00BD13D9">
        <w:rPr>
          <w:rFonts w:asciiTheme="minorHAnsi" w:hAnsiTheme="minorHAnsi" w:cstheme="minorHAnsi"/>
          <w:bCs/>
          <w:szCs w:val="24"/>
        </w:rPr>
        <w:t>information et de la communication</w:t>
      </w:r>
    </w:p>
    <w:p w14:paraId="62D9E58E" w14:textId="35410C16"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9.2</w:t>
      </w:r>
      <w:r w:rsidRPr="00BD13D9">
        <w:rPr>
          <w:rFonts w:asciiTheme="minorHAnsi" w:hAnsiTheme="minorHAnsi" w:cstheme="minorHAnsi"/>
          <w:szCs w:val="24"/>
        </w:rPr>
        <w:tab/>
      </w:r>
      <w:bookmarkStart w:id="24" w:name="_Hlk116639905"/>
      <w:r w:rsidR="00F80CB0" w:rsidRPr="00BD13D9">
        <w:rPr>
          <w:rFonts w:asciiTheme="minorHAnsi" w:hAnsiTheme="minorHAnsi" w:cstheme="minorHAnsi"/>
          <w:szCs w:val="24"/>
        </w:rPr>
        <w:t xml:space="preserve">Le </w:t>
      </w:r>
      <w:r w:rsidR="00F80CB0" w:rsidRPr="00BD13D9">
        <w:rPr>
          <w:rFonts w:asciiTheme="minorHAnsi" w:hAnsiTheme="minorHAnsi" w:cstheme="minorHAnsi"/>
          <w:b/>
          <w:bCs/>
          <w:szCs w:val="24"/>
        </w:rPr>
        <w:t>délégué de la Jordanie</w:t>
      </w:r>
      <w:r w:rsidR="00F80CB0" w:rsidRPr="00BD13D9">
        <w:rPr>
          <w:rFonts w:asciiTheme="minorHAnsi" w:hAnsiTheme="minorHAnsi" w:cstheme="minorHAnsi"/>
          <w:szCs w:val="24"/>
        </w:rPr>
        <w:t xml:space="preserve"> demande que le libellé de la version arabe du </w:t>
      </w:r>
      <w:r w:rsidR="00F80CB0" w:rsidRPr="00BD13D9">
        <w:rPr>
          <w:rFonts w:asciiTheme="minorHAnsi" w:hAnsiTheme="minorHAnsi" w:cstheme="minorHAnsi"/>
          <w:i/>
          <w:iCs/>
          <w:szCs w:val="24"/>
        </w:rPr>
        <w:t>invite les États Membres</w:t>
      </w:r>
      <w:r w:rsidR="00F80CB0" w:rsidRPr="00BD13D9">
        <w:rPr>
          <w:rFonts w:asciiTheme="minorHAnsi" w:hAnsiTheme="minorHAnsi" w:cstheme="minorHAnsi"/>
          <w:szCs w:val="24"/>
        </w:rPr>
        <w:t xml:space="preserve"> soit vérifié par la Commission de rédaction</w:t>
      </w:r>
      <w:r w:rsidR="00E378A2" w:rsidRPr="00BD13D9">
        <w:rPr>
          <w:rFonts w:asciiTheme="minorHAnsi" w:hAnsiTheme="minorHAnsi" w:cstheme="minorHAnsi"/>
          <w:szCs w:val="24"/>
        </w:rPr>
        <w:t>, afin de l</w:t>
      </w:r>
      <w:r w:rsidR="00F76CBB" w:rsidRPr="00BD13D9">
        <w:rPr>
          <w:rFonts w:asciiTheme="minorHAnsi" w:hAnsiTheme="minorHAnsi" w:cstheme="minorHAnsi"/>
          <w:szCs w:val="24"/>
        </w:rPr>
        <w:t>'</w:t>
      </w:r>
      <w:r w:rsidR="00E378A2" w:rsidRPr="00BD13D9">
        <w:rPr>
          <w:rFonts w:asciiTheme="minorHAnsi" w:hAnsiTheme="minorHAnsi" w:cstheme="minorHAnsi"/>
          <w:szCs w:val="24"/>
        </w:rPr>
        <w:t>aligner sur la version anglaise</w:t>
      </w:r>
      <w:bookmarkEnd w:id="24"/>
      <w:r w:rsidRPr="00BD13D9">
        <w:rPr>
          <w:rFonts w:asciiTheme="minorHAnsi" w:hAnsiTheme="minorHAnsi" w:cstheme="minorHAnsi"/>
          <w:szCs w:val="24"/>
        </w:rPr>
        <w:t>.</w:t>
      </w:r>
    </w:p>
    <w:p w14:paraId="5C4850ED" w14:textId="22458ACE"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9.3</w:t>
      </w:r>
      <w:r w:rsidRPr="00BD13D9">
        <w:rPr>
          <w:rFonts w:asciiTheme="minorHAnsi" w:hAnsiTheme="minorHAnsi" w:cstheme="minorHAnsi"/>
          <w:szCs w:val="24"/>
        </w:rPr>
        <w:tab/>
      </w:r>
      <w:r w:rsidR="00E02EE6" w:rsidRPr="00BD13D9">
        <w:rPr>
          <w:rFonts w:asciiTheme="minorHAnsi" w:hAnsiTheme="minorHAnsi" w:cstheme="minorHAnsi"/>
          <w:szCs w:val="24"/>
        </w:rPr>
        <w:t>Compte tenu de ce qui précède</w:t>
      </w:r>
      <w:r w:rsidR="00E378A2" w:rsidRPr="00BD13D9">
        <w:rPr>
          <w:rFonts w:asciiTheme="minorHAnsi" w:hAnsiTheme="minorHAnsi" w:cstheme="minorHAnsi"/>
          <w:szCs w:val="24"/>
        </w:rPr>
        <w:t xml:space="preserve">, le projet de Résolution 193 (Rév. Bucarest, 2022) est </w:t>
      </w:r>
      <w:r w:rsidR="00E378A2" w:rsidRPr="00BD13D9">
        <w:rPr>
          <w:rFonts w:asciiTheme="minorHAnsi" w:hAnsiTheme="minorHAnsi" w:cstheme="minorHAnsi"/>
          <w:b/>
          <w:bCs/>
          <w:szCs w:val="24"/>
        </w:rPr>
        <w:t>adopté</w:t>
      </w:r>
      <w:r w:rsidRPr="00BD13D9">
        <w:rPr>
          <w:rFonts w:asciiTheme="minorHAnsi" w:hAnsiTheme="minorHAnsi" w:cstheme="minorHAnsi"/>
          <w:szCs w:val="24"/>
        </w:rPr>
        <w:t>.</w:t>
      </w:r>
    </w:p>
    <w:p w14:paraId="5D5573DB" w14:textId="60EACF22"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9.4</w:t>
      </w:r>
      <w:r w:rsidRPr="00BD13D9">
        <w:rPr>
          <w:rFonts w:asciiTheme="minorHAnsi" w:hAnsiTheme="minorHAnsi" w:cstheme="minorHAnsi"/>
          <w:szCs w:val="24"/>
        </w:rPr>
        <w:tab/>
      </w:r>
      <w:r w:rsidR="00734BB8" w:rsidRPr="00BD13D9">
        <w:rPr>
          <w:rFonts w:asciiTheme="minorHAnsi" w:hAnsiTheme="minorHAnsi" w:cstheme="minorHAnsi"/>
          <w:szCs w:val="24"/>
        </w:rPr>
        <w:t xml:space="preserve">La </w:t>
      </w:r>
      <w:r w:rsidR="00E378A2" w:rsidRPr="00BD13D9">
        <w:rPr>
          <w:rFonts w:asciiTheme="minorHAnsi" w:hAnsiTheme="minorHAnsi" w:cstheme="minorHAnsi"/>
          <w:szCs w:val="24"/>
        </w:rPr>
        <w:t xml:space="preserve">douzième </w:t>
      </w:r>
      <w:r w:rsidR="00734BB8" w:rsidRPr="00BD13D9">
        <w:rPr>
          <w:rFonts w:asciiTheme="minorHAnsi" w:hAnsiTheme="minorHAnsi" w:cstheme="minorHAnsi"/>
          <w:szCs w:val="24"/>
        </w:rPr>
        <w:t xml:space="preserve">série de textes soumis par la Commission de rédaction en première lecture (B12) (Document 153) est </w:t>
      </w:r>
      <w:r w:rsidR="00734BB8" w:rsidRPr="00BD13D9">
        <w:rPr>
          <w:rFonts w:asciiTheme="minorHAnsi" w:hAnsiTheme="minorHAnsi" w:cstheme="minorHAnsi"/>
          <w:b/>
          <w:bCs/>
          <w:szCs w:val="24"/>
        </w:rPr>
        <w:t>approuvée</w:t>
      </w:r>
      <w:r w:rsidR="00734BB8" w:rsidRPr="00BD13D9">
        <w:rPr>
          <w:rFonts w:asciiTheme="minorHAnsi" w:hAnsiTheme="minorHAnsi" w:cstheme="minorHAnsi"/>
          <w:szCs w:val="24"/>
        </w:rPr>
        <w:t>.</w:t>
      </w:r>
    </w:p>
    <w:p w14:paraId="324A77A5" w14:textId="0363448C" w:rsidR="00813F8C" w:rsidRPr="00BD13D9" w:rsidRDefault="00813F8C" w:rsidP="0056155E">
      <w:pPr>
        <w:pStyle w:val="Heading1"/>
      </w:pPr>
      <w:r w:rsidRPr="00BD13D9">
        <w:t>10</w:t>
      </w:r>
      <w:r w:rsidRPr="00BD13D9">
        <w:tab/>
      </w:r>
      <w:r w:rsidR="00734BB8" w:rsidRPr="00BD13D9">
        <w:t>Douzième série de textes soumis par la Commission de rédaction</w:t>
      </w:r>
      <w:r w:rsidRPr="00BD13D9">
        <w:t>– second</w:t>
      </w:r>
      <w:r w:rsidR="00734BB8" w:rsidRPr="00BD13D9">
        <w:t>e</w:t>
      </w:r>
      <w:r w:rsidRPr="00BD13D9">
        <w:t xml:space="preserve"> </w:t>
      </w:r>
      <w:r w:rsidR="00734BB8" w:rsidRPr="00BD13D9">
        <w:t>lecture</w:t>
      </w:r>
      <w:r w:rsidRPr="00BD13D9">
        <w:t xml:space="preserve"> (Document </w:t>
      </w:r>
      <w:hyperlink r:id="rId25" w:history="1">
        <w:r w:rsidRPr="00BD13D9">
          <w:rPr>
            <w:rStyle w:val="Hyperlink"/>
            <w:rFonts w:asciiTheme="minorHAnsi" w:hAnsiTheme="minorHAnsi" w:cstheme="minorHAnsi"/>
            <w:bCs/>
            <w:szCs w:val="24"/>
          </w:rPr>
          <w:t>153</w:t>
        </w:r>
      </w:hyperlink>
      <w:r w:rsidRPr="00BD13D9">
        <w:t>)</w:t>
      </w:r>
    </w:p>
    <w:p w14:paraId="6DDCBBAC" w14:textId="124969C2"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10.1</w:t>
      </w:r>
      <w:r w:rsidRPr="00BD13D9">
        <w:rPr>
          <w:rFonts w:asciiTheme="minorHAnsi" w:hAnsiTheme="minorHAnsi" w:cstheme="minorHAnsi"/>
          <w:szCs w:val="24"/>
        </w:rPr>
        <w:tab/>
      </w:r>
      <w:r w:rsidR="00734BB8" w:rsidRPr="00BD13D9">
        <w:rPr>
          <w:rFonts w:asciiTheme="minorHAnsi" w:hAnsiTheme="minorHAnsi" w:cstheme="minorHAnsi"/>
          <w:szCs w:val="24"/>
        </w:rPr>
        <w:t xml:space="preserve">La </w:t>
      </w:r>
      <w:r w:rsidR="00E378A2" w:rsidRPr="00BD13D9">
        <w:rPr>
          <w:rFonts w:asciiTheme="minorHAnsi" w:hAnsiTheme="minorHAnsi" w:cstheme="minorHAnsi"/>
          <w:szCs w:val="24"/>
        </w:rPr>
        <w:t xml:space="preserve">douzième </w:t>
      </w:r>
      <w:r w:rsidR="00734BB8" w:rsidRPr="00BD13D9">
        <w:rPr>
          <w:rFonts w:asciiTheme="minorHAnsi" w:hAnsiTheme="minorHAnsi" w:cstheme="minorHAnsi"/>
          <w:szCs w:val="24"/>
        </w:rPr>
        <w:t xml:space="preserve">série de textes soumis par la Commission de rédaction (Document 153) est </w:t>
      </w:r>
      <w:r w:rsidR="00734BB8" w:rsidRPr="00BD13D9">
        <w:rPr>
          <w:rFonts w:asciiTheme="minorHAnsi" w:hAnsiTheme="minorHAnsi" w:cstheme="minorHAnsi"/>
          <w:b/>
          <w:bCs/>
          <w:szCs w:val="24"/>
        </w:rPr>
        <w:t>approuvée</w:t>
      </w:r>
      <w:r w:rsidR="00734BB8" w:rsidRPr="00BD13D9">
        <w:rPr>
          <w:rFonts w:asciiTheme="minorHAnsi" w:hAnsiTheme="minorHAnsi" w:cstheme="minorHAnsi"/>
          <w:szCs w:val="24"/>
        </w:rPr>
        <w:t xml:space="preserve"> en seconde lecture.</w:t>
      </w:r>
    </w:p>
    <w:p w14:paraId="4818A14E" w14:textId="10713393" w:rsidR="00813F8C" w:rsidRPr="00BD13D9" w:rsidRDefault="00813F8C" w:rsidP="0056155E">
      <w:pPr>
        <w:pStyle w:val="Heading1"/>
      </w:pPr>
      <w:r w:rsidRPr="00BD13D9">
        <w:lastRenderedPageBreak/>
        <w:t>11</w:t>
      </w:r>
      <w:r w:rsidRPr="00BD13D9">
        <w:tab/>
      </w:r>
      <w:r w:rsidR="00EC2DD3" w:rsidRPr="00BD13D9">
        <w:t xml:space="preserve">Treizième série de textes soumis par la Commission de rédaction </w:t>
      </w:r>
      <w:r w:rsidR="00E378A2" w:rsidRPr="00BD13D9">
        <w:t xml:space="preserve">en première lecture </w:t>
      </w:r>
      <w:r w:rsidR="00EC2DD3" w:rsidRPr="00BD13D9">
        <w:t xml:space="preserve">(B13) </w:t>
      </w:r>
      <w:r w:rsidRPr="00BD13D9">
        <w:t xml:space="preserve">(Document </w:t>
      </w:r>
      <w:hyperlink r:id="rId26" w:history="1">
        <w:r w:rsidRPr="00BD13D9">
          <w:rPr>
            <w:rStyle w:val="Hyperlink"/>
            <w:rFonts w:asciiTheme="minorHAnsi" w:hAnsiTheme="minorHAnsi" w:cstheme="minorHAnsi"/>
            <w:bCs/>
            <w:szCs w:val="24"/>
          </w:rPr>
          <w:t>154</w:t>
        </w:r>
      </w:hyperlink>
      <w:r w:rsidRPr="00BD13D9">
        <w:t>)</w:t>
      </w:r>
    </w:p>
    <w:p w14:paraId="73F115DC" w14:textId="3F2A7506" w:rsidR="00813F8C" w:rsidRPr="00BD13D9" w:rsidRDefault="00EC2DD3"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70 (R</w:t>
      </w:r>
      <w:r w:rsidRPr="00BD13D9">
        <w:rPr>
          <w:rFonts w:asciiTheme="minorHAnsi" w:hAnsiTheme="minorHAnsi" w:cstheme="minorHAnsi"/>
          <w:bCs/>
          <w:szCs w:val="24"/>
        </w:rPr>
        <w:t>é</w:t>
      </w:r>
      <w:r w:rsidR="00813F8C" w:rsidRPr="00BD13D9">
        <w:rPr>
          <w:rFonts w:asciiTheme="minorHAnsi" w:hAnsiTheme="minorHAnsi" w:cstheme="minorHAnsi"/>
          <w:bCs/>
          <w:szCs w:val="24"/>
        </w:rPr>
        <w:t>v. Bucarest, 2022)</w:t>
      </w:r>
      <w:r w:rsidR="0082134B" w:rsidRPr="00BD13D9">
        <w:rPr>
          <w:rFonts w:asciiTheme="minorHAnsi" w:hAnsiTheme="minorHAnsi" w:cstheme="minorHAnsi"/>
          <w:bCs/>
          <w:szCs w:val="24"/>
        </w:rPr>
        <w:t xml:space="preserve"> – </w:t>
      </w:r>
      <w:bookmarkStart w:id="25" w:name="_Toc407016203"/>
      <w:bookmarkStart w:id="26" w:name="_Toc536017940"/>
      <w:r w:rsidRPr="00BD13D9">
        <w:rPr>
          <w:rFonts w:asciiTheme="minorHAnsi" w:hAnsiTheme="minorHAnsi" w:cstheme="minorHAnsi"/>
          <w:bCs/>
          <w:szCs w:val="24"/>
        </w:rPr>
        <w:t>Intégration du principe de l</w:t>
      </w:r>
      <w:r w:rsidR="00F76CBB" w:rsidRPr="00BD13D9">
        <w:rPr>
          <w:rFonts w:asciiTheme="minorHAnsi" w:hAnsiTheme="minorHAnsi" w:cstheme="minorHAnsi"/>
          <w:bCs/>
          <w:szCs w:val="24"/>
        </w:rPr>
        <w:t>'</w:t>
      </w:r>
      <w:r w:rsidRPr="00BD13D9">
        <w:rPr>
          <w:rFonts w:asciiTheme="minorHAnsi" w:hAnsiTheme="minorHAnsi" w:cstheme="minorHAnsi"/>
          <w:bCs/>
          <w:szCs w:val="24"/>
        </w:rPr>
        <w:t>égalité hommes/femmes à l</w:t>
      </w:r>
      <w:r w:rsidR="00F76CBB" w:rsidRPr="00BD13D9">
        <w:rPr>
          <w:rFonts w:asciiTheme="minorHAnsi" w:hAnsiTheme="minorHAnsi" w:cstheme="minorHAnsi"/>
          <w:bCs/>
          <w:szCs w:val="24"/>
        </w:rPr>
        <w:t>'</w:t>
      </w:r>
      <w:r w:rsidRPr="00BD13D9">
        <w:rPr>
          <w:rFonts w:asciiTheme="minorHAnsi" w:hAnsiTheme="minorHAnsi" w:cstheme="minorHAnsi"/>
          <w:bCs/>
          <w:szCs w:val="24"/>
        </w:rPr>
        <w:t>UIT et promotion de l</w:t>
      </w:r>
      <w:r w:rsidR="00F76CBB" w:rsidRPr="00BD13D9">
        <w:rPr>
          <w:rFonts w:asciiTheme="minorHAnsi" w:hAnsiTheme="minorHAnsi" w:cstheme="minorHAnsi"/>
          <w:bCs/>
          <w:szCs w:val="24"/>
        </w:rPr>
        <w:t>'</w:t>
      </w:r>
      <w:r w:rsidRPr="00BD13D9">
        <w:rPr>
          <w:rFonts w:asciiTheme="minorHAnsi" w:hAnsiTheme="minorHAnsi" w:cstheme="minorHAnsi"/>
          <w:bCs/>
          <w:szCs w:val="24"/>
        </w:rPr>
        <w:t>égalité hommes/femmes et de l</w:t>
      </w:r>
      <w:r w:rsidR="00F76CBB" w:rsidRPr="00BD13D9">
        <w:rPr>
          <w:rFonts w:asciiTheme="minorHAnsi" w:hAnsiTheme="minorHAnsi" w:cstheme="minorHAnsi"/>
          <w:bCs/>
          <w:szCs w:val="24"/>
        </w:rPr>
        <w:t>'</w:t>
      </w:r>
      <w:r w:rsidRPr="00BD13D9">
        <w:rPr>
          <w:rFonts w:asciiTheme="minorHAnsi" w:hAnsiTheme="minorHAnsi" w:cstheme="minorHAnsi"/>
          <w:bCs/>
          <w:szCs w:val="24"/>
        </w:rPr>
        <w:t>autonomisation des femmes et des jeunes filles grâce aux télécommunications/technologies de l</w:t>
      </w:r>
      <w:r w:rsidR="00F76CBB" w:rsidRPr="00BD13D9">
        <w:rPr>
          <w:rFonts w:asciiTheme="minorHAnsi" w:hAnsiTheme="minorHAnsi" w:cstheme="minorHAnsi"/>
          <w:bCs/>
          <w:szCs w:val="24"/>
        </w:rPr>
        <w:t>'</w:t>
      </w:r>
      <w:r w:rsidRPr="00BD13D9">
        <w:rPr>
          <w:rFonts w:asciiTheme="minorHAnsi" w:hAnsiTheme="minorHAnsi" w:cstheme="minorHAnsi"/>
          <w:bCs/>
          <w:szCs w:val="24"/>
        </w:rPr>
        <w:t>information et de la communication</w:t>
      </w:r>
      <w:bookmarkEnd w:id="25"/>
      <w:bookmarkEnd w:id="26"/>
    </w:p>
    <w:p w14:paraId="02E081AD" w14:textId="7ECDCC9A"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11.1</w:t>
      </w:r>
      <w:r w:rsidRPr="00BD13D9">
        <w:rPr>
          <w:rFonts w:asciiTheme="minorHAnsi" w:hAnsiTheme="minorHAnsi" w:cstheme="minorHAnsi"/>
          <w:szCs w:val="24"/>
        </w:rPr>
        <w:tab/>
      </w:r>
      <w:r w:rsidR="00E378A2" w:rsidRPr="00BD13D9">
        <w:rPr>
          <w:rFonts w:asciiTheme="minorHAnsi" w:hAnsiTheme="minorHAnsi" w:cstheme="minorHAnsi"/>
          <w:szCs w:val="24"/>
        </w:rPr>
        <w:t xml:space="preserve">Le </w:t>
      </w:r>
      <w:r w:rsidR="00E378A2" w:rsidRPr="00BD13D9">
        <w:rPr>
          <w:rFonts w:asciiTheme="minorHAnsi" w:hAnsiTheme="minorHAnsi" w:cstheme="minorHAnsi"/>
          <w:b/>
          <w:bCs/>
          <w:szCs w:val="24"/>
        </w:rPr>
        <w:t>délégué de la Jordanie</w:t>
      </w:r>
      <w:r w:rsidR="00E378A2" w:rsidRPr="00BD13D9">
        <w:rPr>
          <w:rFonts w:asciiTheme="minorHAnsi" w:hAnsiTheme="minorHAnsi" w:cstheme="minorHAnsi"/>
          <w:szCs w:val="24"/>
        </w:rPr>
        <w:t xml:space="preserve"> demande que le terme arabe pour "intégration"</w:t>
      </w:r>
      <w:r w:rsidR="00E02EE6" w:rsidRPr="00BD13D9">
        <w:rPr>
          <w:rFonts w:asciiTheme="minorHAnsi" w:hAnsiTheme="minorHAnsi" w:cstheme="minorHAnsi"/>
          <w:szCs w:val="24"/>
        </w:rPr>
        <w:t>,</w:t>
      </w:r>
      <w:r w:rsidR="00E378A2" w:rsidRPr="00BD13D9">
        <w:rPr>
          <w:rFonts w:asciiTheme="minorHAnsi" w:hAnsiTheme="minorHAnsi" w:cstheme="minorHAnsi"/>
          <w:szCs w:val="24"/>
        </w:rPr>
        <w:t xml:space="preserve"> dans le titre du projet de Résolution</w:t>
      </w:r>
      <w:r w:rsidR="00E02EE6" w:rsidRPr="00BD13D9">
        <w:rPr>
          <w:rFonts w:asciiTheme="minorHAnsi" w:hAnsiTheme="minorHAnsi" w:cstheme="minorHAnsi"/>
          <w:szCs w:val="24"/>
        </w:rPr>
        <w:t>,</w:t>
      </w:r>
      <w:r w:rsidR="00E378A2" w:rsidRPr="00BD13D9">
        <w:rPr>
          <w:rFonts w:asciiTheme="minorHAnsi" w:hAnsiTheme="minorHAnsi" w:cstheme="minorHAnsi"/>
          <w:szCs w:val="24"/>
        </w:rPr>
        <w:t xml:space="preserve"> soit vérifié par la Commission de rédaction</w:t>
      </w:r>
      <w:r w:rsidRPr="00BD13D9">
        <w:rPr>
          <w:rFonts w:asciiTheme="minorHAnsi" w:hAnsiTheme="minorHAnsi" w:cstheme="minorHAnsi"/>
          <w:szCs w:val="24"/>
        </w:rPr>
        <w:t>.</w:t>
      </w:r>
    </w:p>
    <w:p w14:paraId="79DB7AEC" w14:textId="2AC17A71"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11.2</w:t>
      </w:r>
      <w:r w:rsidRPr="00BD13D9">
        <w:rPr>
          <w:rFonts w:asciiTheme="minorHAnsi" w:hAnsiTheme="minorHAnsi" w:cstheme="minorHAnsi"/>
          <w:szCs w:val="24"/>
        </w:rPr>
        <w:tab/>
      </w:r>
      <w:r w:rsidR="00E02EE6" w:rsidRPr="00BD13D9">
        <w:rPr>
          <w:rFonts w:asciiTheme="minorHAnsi" w:hAnsiTheme="minorHAnsi" w:cstheme="minorHAnsi"/>
          <w:szCs w:val="24"/>
        </w:rPr>
        <w:t>Compte tenu de ce commentaire</w:t>
      </w:r>
      <w:r w:rsidR="00E378A2" w:rsidRPr="00BD13D9">
        <w:rPr>
          <w:rFonts w:asciiTheme="minorHAnsi" w:hAnsiTheme="minorHAnsi" w:cstheme="minorHAnsi"/>
          <w:szCs w:val="24"/>
        </w:rPr>
        <w:t xml:space="preserve">, le projet de Résolution 70 (Rév. Bucarest, 2022) est </w:t>
      </w:r>
      <w:r w:rsidR="00E378A2" w:rsidRPr="00BD13D9">
        <w:rPr>
          <w:rFonts w:asciiTheme="minorHAnsi" w:hAnsiTheme="minorHAnsi" w:cstheme="minorHAnsi"/>
          <w:b/>
          <w:bCs/>
          <w:szCs w:val="24"/>
        </w:rPr>
        <w:t>adopté</w:t>
      </w:r>
      <w:r w:rsidRPr="00BD13D9">
        <w:rPr>
          <w:rFonts w:asciiTheme="minorHAnsi" w:hAnsiTheme="minorHAnsi" w:cstheme="minorHAnsi"/>
          <w:szCs w:val="24"/>
        </w:rPr>
        <w:t>.</w:t>
      </w:r>
    </w:p>
    <w:p w14:paraId="7407AEF6" w14:textId="4E29D768" w:rsidR="00813F8C" w:rsidRPr="00BD13D9" w:rsidRDefault="00EC2DD3"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140 (</w:t>
      </w:r>
      <w:r w:rsidRPr="00BD13D9">
        <w:rPr>
          <w:rFonts w:asciiTheme="minorHAnsi" w:hAnsiTheme="minorHAnsi" w:cstheme="minorHAnsi"/>
          <w:bCs/>
          <w:szCs w:val="24"/>
        </w:rPr>
        <w:t>Rév. Bucarest, 2022</w:t>
      </w:r>
      <w:r w:rsidR="00813F8C" w:rsidRPr="00BD13D9">
        <w:rPr>
          <w:rFonts w:asciiTheme="minorHAnsi" w:hAnsiTheme="minorHAnsi" w:cstheme="minorHAnsi"/>
          <w:bCs/>
          <w:szCs w:val="24"/>
        </w:rPr>
        <w:t>)</w:t>
      </w:r>
      <w:r w:rsidR="0082134B" w:rsidRPr="00BD13D9">
        <w:rPr>
          <w:rFonts w:asciiTheme="minorHAnsi" w:hAnsiTheme="minorHAnsi" w:cstheme="minorHAnsi"/>
          <w:bCs/>
          <w:szCs w:val="24"/>
        </w:rPr>
        <w:t xml:space="preserve"> – </w:t>
      </w:r>
      <w:bookmarkStart w:id="27" w:name="_Toc165351524"/>
      <w:bookmarkStart w:id="28" w:name="_Toc407016239"/>
      <w:bookmarkStart w:id="29" w:name="_Toc536017972"/>
      <w:r w:rsidRPr="00BD13D9">
        <w:rPr>
          <w:rFonts w:asciiTheme="minorHAnsi" w:hAnsiTheme="minorHAnsi" w:cstheme="minorHAnsi"/>
          <w:bCs/>
          <w:szCs w:val="24"/>
        </w:rPr>
        <w:t>Rôle de l</w:t>
      </w:r>
      <w:r w:rsidR="00F76CBB" w:rsidRPr="00BD13D9">
        <w:rPr>
          <w:rFonts w:asciiTheme="minorHAnsi" w:hAnsiTheme="minorHAnsi" w:cstheme="minorHAnsi"/>
          <w:bCs/>
          <w:szCs w:val="24"/>
        </w:rPr>
        <w:t>'</w:t>
      </w:r>
      <w:r w:rsidRPr="00BD13D9">
        <w:rPr>
          <w:rFonts w:asciiTheme="minorHAnsi" w:hAnsiTheme="minorHAnsi" w:cstheme="minorHAnsi"/>
          <w:bCs/>
          <w:szCs w:val="24"/>
        </w:rPr>
        <w:t>UIT dans la mise en œuvre des résultats du Sommet mondial sur la société de l</w:t>
      </w:r>
      <w:r w:rsidR="00F76CBB" w:rsidRPr="00BD13D9">
        <w:rPr>
          <w:rFonts w:asciiTheme="minorHAnsi" w:hAnsiTheme="minorHAnsi" w:cstheme="minorHAnsi"/>
          <w:bCs/>
          <w:szCs w:val="24"/>
        </w:rPr>
        <w:t>'</w:t>
      </w:r>
      <w:r w:rsidRPr="00BD13D9">
        <w:rPr>
          <w:rFonts w:asciiTheme="minorHAnsi" w:hAnsiTheme="minorHAnsi" w:cstheme="minorHAnsi"/>
          <w:bCs/>
          <w:szCs w:val="24"/>
        </w:rPr>
        <w:t>information</w:t>
      </w:r>
      <w:bookmarkEnd w:id="27"/>
      <w:r w:rsidRPr="00BD13D9">
        <w:rPr>
          <w:rFonts w:asciiTheme="minorHAnsi" w:hAnsiTheme="minorHAnsi" w:cstheme="minorHAnsi"/>
          <w:bCs/>
          <w:szCs w:val="24"/>
        </w:rPr>
        <w:t xml:space="preserve"> et du Programme de développement durable à l</w:t>
      </w:r>
      <w:r w:rsidR="00F76CBB" w:rsidRPr="00BD13D9">
        <w:rPr>
          <w:rFonts w:asciiTheme="minorHAnsi" w:hAnsiTheme="minorHAnsi" w:cstheme="minorHAnsi"/>
          <w:bCs/>
          <w:szCs w:val="24"/>
        </w:rPr>
        <w:t>'</w:t>
      </w:r>
      <w:r w:rsidRPr="00BD13D9">
        <w:rPr>
          <w:rFonts w:asciiTheme="minorHAnsi" w:hAnsiTheme="minorHAnsi" w:cstheme="minorHAnsi"/>
          <w:bCs/>
          <w:szCs w:val="24"/>
        </w:rPr>
        <w:t>horizon 2030</w:t>
      </w:r>
      <w:bookmarkEnd w:id="28"/>
      <w:r w:rsidRPr="00BD13D9">
        <w:rPr>
          <w:rFonts w:asciiTheme="minorHAnsi" w:hAnsiTheme="minorHAnsi" w:cstheme="minorHAnsi"/>
          <w:bCs/>
          <w:szCs w:val="24"/>
        </w:rPr>
        <w:t xml:space="preserve"> ainsi que dans les processus de suivi et d</w:t>
      </w:r>
      <w:r w:rsidR="00F76CBB" w:rsidRPr="00BD13D9">
        <w:rPr>
          <w:rFonts w:asciiTheme="minorHAnsi" w:hAnsiTheme="minorHAnsi" w:cstheme="minorHAnsi"/>
          <w:bCs/>
          <w:szCs w:val="24"/>
        </w:rPr>
        <w:t>'</w:t>
      </w:r>
      <w:r w:rsidRPr="00BD13D9">
        <w:rPr>
          <w:rFonts w:asciiTheme="minorHAnsi" w:hAnsiTheme="minorHAnsi" w:cstheme="minorHAnsi"/>
          <w:bCs/>
          <w:szCs w:val="24"/>
        </w:rPr>
        <w:t>examen associés</w:t>
      </w:r>
      <w:bookmarkEnd w:id="29"/>
    </w:p>
    <w:p w14:paraId="65D0149E" w14:textId="3A9E631F" w:rsidR="00813F8C" w:rsidRPr="00BD13D9" w:rsidRDefault="00813F8C" w:rsidP="007C48D1">
      <w:pPr>
        <w:rPr>
          <w:rFonts w:asciiTheme="minorHAnsi" w:hAnsiTheme="minorHAnsi" w:cstheme="minorHAnsi"/>
          <w:b/>
          <w:bCs/>
          <w:szCs w:val="24"/>
        </w:rPr>
      </w:pPr>
      <w:r w:rsidRPr="00BD13D9">
        <w:rPr>
          <w:rFonts w:asciiTheme="minorHAnsi" w:hAnsiTheme="minorHAnsi" w:cstheme="minorHAnsi"/>
          <w:bCs/>
          <w:szCs w:val="24"/>
        </w:rPr>
        <w:t>11.3</w:t>
      </w:r>
      <w:r w:rsidRPr="00BD13D9">
        <w:rPr>
          <w:rFonts w:asciiTheme="minorHAnsi" w:hAnsiTheme="minorHAnsi" w:cstheme="minorHAnsi"/>
          <w:b/>
          <w:bCs/>
          <w:szCs w:val="24"/>
        </w:rPr>
        <w:tab/>
        <w:t>Adopt</w:t>
      </w:r>
      <w:r w:rsidR="00EC2DD3" w:rsidRPr="00BD13D9">
        <w:rPr>
          <w:rFonts w:asciiTheme="minorHAnsi" w:hAnsiTheme="minorHAnsi" w:cstheme="minorHAnsi"/>
          <w:b/>
          <w:bCs/>
          <w:szCs w:val="24"/>
        </w:rPr>
        <w:t>é</w:t>
      </w:r>
      <w:r w:rsidRPr="00BD13D9">
        <w:rPr>
          <w:rFonts w:asciiTheme="minorHAnsi" w:hAnsiTheme="minorHAnsi" w:cstheme="minorHAnsi"/>
          <w:szCs w:val="24"/>
        </w:rPr>
        <w:t>.</w:t>
      </w:r>
    </w:p>
    <w:p w14:paraId="7AB3D7F9" w14:textId="5796524C" w:rsidR="00813F8C" w:rsidRPr="00BD13D9" w:rsidRDefault="00EC2DD3"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179 (</w:t>
      </w:r>
      <w:r w:rsidRPr="00BD13D9">
        <w:rPr>
          <w:rFonts w:asciiTheme="minorHAnsi" w:hAnsiTheme="minorHAnsi" w:cstheme="minorHAnsi"/>
          <w:bCs/>
          <w:szCs w:val="24"/>
        </w:rPr>
        <w:t>Rév. Bucarest, 2022</w:t>
      </w:r>
      <w:r w:rsidR="00813F8C" w:rsidRPr="00BD13D9">
        <w:rPr>
          <w:rFonts w:asciiTheme="minorHAnsi" w:hAnsiTheme="minorHAnsi" w:cstheme="minorHAnsi"/>
          <w:bCs/>
          <w:szCs w:val="24"/>
        </w:rPr>
        <w:t>)</w:t>
      </w:r>
      <w:r w:rsidR="0082134B" w:rsidRPr="00BD13D9">
        <w:rPr>
          <w:rFonts w:asciiTheme="minorHAnsi" w:hAnsiTheme="minorHAnsi" w:cstheme="minorHAnsi"/>
          <w:bCs/>
          <w:szCs w:val="24"/>
        </w:rPr>
        <w:t xml:space="preserve"> – </w:t>
      </w:r>
      <w:bookmarkStart w:id="30" w:name="_Toc407016277"/>
      <w:r w:rsidRPr="00BD13D9">
        <w:rPr>
          <w:rFonts w:asciiTheme="minorHAnsi" w:hAnsiTheme="minorHAnsi" w:cstheme="minorHAnsi"/>
          <w:bCs/>
          <w:szCs w:val="24"/>
        </w:rPr>
        <w:t>Rôle de l</w:t>
      </w:r>
      <w:r w:rsidR="00F76CBB" w:rsidRPr="00BD13D9">
        <w:rPr>
          <w:rFonts w:asciiTheme="minorHAnsi" w:hAnsiTheme="minorHAnsi" w:cstheme="minorHAnsi"/>
          <w:bCs/>
          <w:szCs w:val="24"/>
        </w:rPr>
        <w:t>'</w:t>
      </w:r>
      <w:r w:rsidRPr="00BD13D9">
        <w:rPr>
          <w:rFonts w:asciiTheme="minorHAnsi" w:hAnsiTheme="minorHAnsi" w:cstheme="minorHAnsi"/>
          <w:bCs/>
          <w:szCs w:val="24"/>
        </w:rPr>
        <w:t>UIT dans la protection en ligne des enfants</w:t>
      </w:r>
      <w:bookmarkEnd w:id="30"/>
    </w:p>
    <w:p w14:paraId="60715ED8" w14:textId="27F21A24" w:rsidR="00813F8C" w:rsidRPr="00BD13D9" w:rsidRDefault="00813F8C" w:rsidP="007C48D1">
      <w:pPr>
        <w:rPr>
          <w:rFonts w:asciiTheme="minorHAnsi" w:hAnsiTheme="minorHAnsi" w:cstheme="minorHAnsi"/>
          <w:szCs w:val="24"/>
        </w:rPr>
      </w:pPr>
      <w:r w:rsidRPr="00EF1C21">
        <w:rPr>
          <w:rFonts w:asciiTheme="minorHAnsi" w:hAnsiTheme="minorHAnsi" w:cstheme="minorHAnsi"/>
          <w:szCs w:val="24"/>
        </w:rPr>
        <w:t>11.4</w:t>
      </w:r>
      <w:r w:rsidRPr="00EF1C21">
        <w:rPr>
          <w:rFonts w:asciiTheme="minorHAnsi" w:hAnsiTheme="minorHAnsi" w:cstheme="minorHAnsi"/>
          <w:szCs w:val="24"/>
        </w:rPr>
        <w:tab/>
      </w:r>
      <w:r w:rsidR="00E378A2" w:rsidRPr="00EF1C21">
        <w:rPr>
          <w:rFonts w:asciiTheme="minorHAnsi" w:hAnsiTheme="minorHAnsi" w:cstheme="minorHAnsi"/>
          <w:szCs w:val="24"/>
        </w:rPr>
        <w:t xml:space="preserve">Le </w:t>
      </w:r>
      <w:r w:rsidR="00E378A2" w:rsidRPr="00EF1C21">
        <w:rPr>
          <w:rFonts w:asciiTheme="minorHAnsi" w:hAnsiTheme="minorHAnsi" w:cstheme="minorHAnsi"/>
          <w:b/>
          <w:bCs/>
          <w:szCs w:val="24"/>
        </w:rPr>
        <w:t>délégué de l</w:t>
      </w:r>
      <w:r w:rsidR="00F76CBB" w:rsidRPr="00EF1C21">
        <w:rPr>
          <w:rFonts w:asciiTheme="minorHAnsi" w:hAnsiTheme="minorHAnsi" w:cstheme="minorHAnsi"/>
          <w:b/>
          <w:bCs/>
          <w:szCs w:val="24"/>
        </w:rPr>
        <w:t>'</w:t>
      </w:r>
      <w:r w:rsidR="00E378A2" w:rsidRPr="00EF1C21">
        <w:rPr>
          <w:rFonts w:asciiTheme="minorHAnsi" w:hAnsiTheme="minorHAnsi" w:cstheme="minorHAnsi"/>
          <w:b/>
          <w:bCs/>
          <w:szCs w:val="24"/>
        </w:rPr>
        <w:t>Argentine</w:t>
      </w:r>
      <w:r w:rsidR="00E378A2" w:rsidRPr="00EF1C21">
        <w:rPr>
          <w:rFonts w:asciiTheme="minorHAnsi" w:hAnsiTheme="minorHAnsi" w:cstheme="minorHAnsi"/>
          <w:szCs w:val="24"/>
        </w:rPr>
        <w:t xml:space="preserve">, appuyé par les </w:t>
      </w:r>
      <w:r w:rsidR="00E378A2" w:rsidRPr="00EF1C21">
        <w:rPr>
          <w:rFonts w:asciiTheme="minorHAnsi" w:hAnsiTheme="minorHAnsi" w:cstheme="minorHAnsi"/>
          <w:b/>
          <w:bCs/>
          <w:szCs w:val="24"/>
        </w:rPr>
        <w:t>délégués de l</w:t>
      </w:r>
      <w:r w:rsidR="00F76CBB" w:rsidRPr="00EF1C21">
        <w:rPr>
          <w:rFonts w:asciiTheme="minorHAnsi" w:hAnsiTheme="minorHAnsi" w:cstheme="minorHAnsi"/>
          <w:b/>
          <w:bCs/>
          <w:szCs w:val="24"/>
        </w:rPr>
        <w:t>'</w:t>
      </w:r>
      <w:r w:rsidR="00E378A2" w:rsidRPr="00EF1C21">
        <w:rPr>
          <w:rFonts w:asciiTheme="minorHAnsi" w:hAnsiTheme="minorHAnsi" w:cstheme="minorHAnsi"/>
          <w:b/>
          <w:bCs/>
          <w:szCs w:val="24"/>
        </w:rPr>
        <w:t>Uruguay et du Mexique</w:t>
      </w:r>
      <w:r w:rsidR="00E378A2" w:rsidRPr="00EF1C21">
        <w:rPr>
          <w:rFonts w:asciiTheme="minorHAnsi" w:hAnsiTheme="minorHAnsi" w:cstheme="minorHAnsi"/>
          <w:szCs w:val="24"/>
        </w:rPr>
        <w:t>, demande que les termes "</w:t>
      </w:r>
      <w:r w:rsidRPr="00EF1C21">
        <w:rPr>
          <w:rFonts w:asciiTheme="minorHAnsi" w:hAnsiTheme="minorHAnsi" w:cstheme="minorHAnsi"/>
          <w:szCs w:val="24"/>
        </w:rPr>
        <w:t>los niños</w:t>
      </w:r>
      <w:r w:rsidR="00E378A2" w:rsidRPr="00EF1C21">
        <w:rPr>
          <w:rFonts w:asciiTheme="minorHAnsi" w:hAnsiTheme="minorHAnsi" w:cstheme="minorHAnsi"/>
          <w:szCs w:val="24"/>
        </w:rPr>
        <w:t>" soient remplacés par "</w:t>
      </w:r>
      <w:r w:rsidRPr="00EF1C21">
        <w:rPr>
          <w:rFonts w:asciiTheme="minorHAnsi" w:hAnsiTheme="minorHAnsi" w:cstheme="minorHAnsi"/>
          <w:szCs w:val="24"/>
        </w:rPr>
        <w:t>los niños y las niñas</w:t>
      </w:r>
      <w:r w:rsidR="00E378A2" w:rsidRPr="00EF1C21">
        <w:rPr>
          <w:rFonts w:asciiTheme="minorHAnsi" w:hAnsiTheme="minorHAnsi" w:cstheme="minorHAnsi"/>
          <w:szCs w:val="24"/>
        </w:rPr>
        <w:t>" dans la version espagnole du projet de Résolution</w:t>
      </w:r>
      <w:r w:rsidRPr="00EF1C21">
        <w:rPr>
          <w:rFonts w:asciiTheme="minorHAnsi" w:hAnsiTheme="minorHAnsi" w:cstheme="minorHAnsi"/>
          <w:szCs w:val="24"/>
        </w:rPr>
        <w:t>.</w:t>
      </w:r>
    </w:p>
    <w:p w14:paraId="78507A2E" w14:textId="1F172215"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11.5</w:t>
      </w:r>
      <w:r w:rsidRPr="00BD13D9">
        <w:rPr>
          <w:rFonts w:asciiTheme="minorHAnsi" w:hAnsiTheme="minorHAnsi" w:cstheme="minorHAnsi"/>
          <w:szCs w:val="24"/>
        </w:rPr>
        <w:tab/>
      </w:r>
      <w:r w:rsidR="00E378A2" w:rsidRPr="00BD13D9">
        <w:rPr>
          <w:rFonts w:asciiTheme="minorHAnsi" w:hAnsiTheme="minorHAnsi" w:cstheme="minorHAnsi"/>
          <w:szCs w:val="24"/>
        </w:rPr>
        <w:t xml:space="preserve">Cela étant entendu, le projet de Résolution 179 (Rév. Bucarest, 2022) est </w:t>
      </w:r>
      <w:r w:rsidR="00E378A2" w:rsidRPr="00BD13D9">
        <w:rPr>
          <w:rFonts w:asciiTheme="minorHAnsi" w:hAnsiTheme="minorHAnsi" w:cstheme="minorHAnsi"/>
          <w:b/>
          <w:bCs/>
          <w:szCs w:val="24"/>
        </w:rPr>
        <w:t>adopté</w:t>
      </w:r>
      <w:r w:rsidRPr="00BD13D9">
        <w:rPr>
          <w:rFonts w:asciiTheme="minorHAnsi" w:hAnsiTheme="minorHAnsi" w:cstheme="minorHAnsi"/>
          <w:szCs w:val="24"/>
        </w:rPr>
        <w:t>.</w:t>
      </w:r>
    </w:p>
    <w:p w14:paraId="426C1E43" w14:textId="681C2BBF" w:rsidR="00813F8C" w:rsidRPr="00BD13D9" w:rsidRDefault="00EC2DD3" w:rsidP="0056155E">
      <w:pPr>
        <w:pStyle w:val="Headingb"/>
        <w:ind w:left="0" w:firstLine="0"/>
        <w:rPr>
          <w:rFonts w:asciiTheme="minorHAnsi" w:hAnsiTheme="minorHAnsi" w:cstheme="minorHAnsi"/>
          <w:b w:val="0"/>
          <w:bCs/>
          <w:szCs w:val="24"/>
        </w:rPr>
      </w:pPr>
      <w:r w:rsidRPr="00BD13D9">
        <w:t xml:space="preserve">Projet de nouvelle Résolution </w:t>
      </w:r>
      <w:r w:rsidR="00813F8C" w:rsidRPr="00BD13D9">
        <w:rPr>
          <w:rFonts w:asciiTheme="minorHAnsi" w:hAnsiTheme="minorHAnsi" w:cstheme="minorHAnsi"/>
          <w:bCs/>
          <w:szCs w:val="24"/>
        </w:rPr>
        <w:t>WGPL/1</w:t>
      </w:r>
      <w:r w:rsidR="0082134B" w:rsidRPr="00BD13D9">
        <w:rPr>
          <w:rFonts w:asciiTheme="minorHAnsi" w:hAnsiTheme="minorHAnsi" w:cstheme="minorHAnsi"/>
          <w:bCs/>
          <w:szCs w:val="24"/>
        </w:rPr>
        <w:t xml:space="preserve"> – </w:t>
      </w:r>
      <w:r w:rsidR="0061013B" w:rsidRPr="00BD13D9">
        <w:rPr>
          <w:rFonts w:asciiTheme="minorHAnsi" w:hAnsiTheme="minorHAnsi" w:cstheme="minorHAnsi"/>
          <w:bCs/>
          <w:szCs w:val="24"/>
        </w:rPr>
        <w:t>Technologies fondées sur l</w:t>
      </w:r>
      <w:r w:rsidR="00F76CBB" w:rsidRPr="00BD13D9">
        <w:rPr>
          <w:rFonts w:asciiTheme="minorHAnsi" w:hAnsiTheme="minorHAnsi" w:cstheme="minorHAnsi"/>
          <w:bCs/>
          <w:szCs w:val="24"/>
        </w:rPr>
        <w:t>'</w:t>
      </w:r>
      <w:r w:rsidR="0061013B" w:rsidRPr="00BD13D9">
        <w:rPr>
          <w:rFonts w:asciiTheme="minorHAnsi" w:hAnsiTheme="minorHAnsi" w:cstheme="minorHAnsi"/>
          <w:bCs/>
          <w:szCs w:val="24"/>
        </w:rPr>
        <w:t>intelligence artificielle et télécommunications/technologies de l</w:t>
      </w:r>
      <w:r w:rsidR="00F76CBB" w:rsidRPr="00BD13D9">
        <w:rPr>
          <w:rFonts w:asciiTheme="minorHAnsi" w:hAnsiTheme="minorHAnsi" w:cstheme="minorHAnsi"/>
          <w:bCs/>
          <w:szCs w:val="24"/>
        </w:rPr>
        <w:t>'</w:t>
      </w:r>
      <w:r w:rsidR="0061013B" w:rsidRPr="00BD13D9">
        <w:rPr>
          <w:rFonts w:asciiTheme="minorHAnsi" w:hAnsiTheme="minorHAnsi" w:cstheme="minorHAnsi"/>
          <w:bCs/>
          <w:szCs w:val="24"/>
        </w:rPr>
        <w:t>information et de la communication</w:t>
      </w:r>
    </w:p>
    <w:p w14:paraId="48D1CB61" w14:textId="31768DAD" w:rsidR="00813F8C" w:rsidRPr="00BD13D9" w:rsidRDefault="00813F8C" w:rsidP="007C48D1">
      <w:pPr>
        <w:rPr>
          <w:rFonts w:asciiTheme="minorHAnsi" w:hAnsiTheme="minorHAnsi" w:cstheme="minorHAnsi"/>
          <w:szCs w:val="24"/>
        </w:rPr>
      </w:pPr>
      <w:r w:rsidRPr="00BD13D9">
        <w:rPr>
          <w:rFonts w:asciiTheme="minorHAnsi" w:hAnsiTheme="minorHAnsi" w:cstheme="minorHAnsi"/>
          <w:bCs/>
          <w:szCs w:val="24"/>
        </w:rPr>
        <w:t>11.6</w:t>
      </w:r>
      <w:r w:rsidRPr="00BD13D9">
        <w:rPr>
          <w:rFonts w:asciiTheme="minorHAnsi" w:hAnsiTheme="minorHAnsi" w:cstheme="minorHAnsi"/>
          <w:b/>
          <w:bCs/>
          <w:szCs w:val="24"/>
        </w:rPr>
        <w:tab/>
      </w:r>
      <w:r w:rsidR="00E02EE6" w:rsidRPr="00BD13D9">
        <w:rPr>
          <w:rFonts w:asciiTheme="minorHAnsi" w:hAnsiTheme="minorHAnsi" w:cstheme="minorHAnsi"/>
          <w:szCs w:val="24"/>
        </w:rPr>
        <w:t xml:space="preserve">En réponse </w:t>
      </w:r>
      <w:r w:rsidR="00E378A2" w:rsidRPr="00BD13D9">
        <w:rPr>
          <w:rFonts w:asciiTheme="minorHAnsi" w:hAnsiTheme="minorHAnsi" w:cstheme="minorHAnsi"/>
          <w:szCs w:val="24"/>
        </w:rPr>
        <w:t xml:space="preserve">à une question du </w:t>
      </w:r>
      <w:r w:rsidR="00E378A2" w:rsidRPr="00BD13D9">
        <w:rPr>
          <w:rFonts w:asciiTheme="minorHAnsi" w:hAnsiTheme="minorHAnsi" w:cstheme="minorHAnsi"/>
          <w:b/>
          <w:bCs/>
          <w:szCs w:val="24"/>
        </w:rPr>
        <w:t>délégué de la Jordanie</w:t>
      </w:r>
      <w:r w:rsidR="00E378A2" w:rsidRPr="00BD13D9">
        <w:rPr>
          <w:rFonts w:asciiTheme="minorHAnsi" w:hAnsiTheme="minorHAnsi" w:cstheme="minorHAnsi"/>
          <w:szCs w:val="24"/>
        </w:rPr>
        <w:t xml:space="preserve">, le </w:t>
      </w:r>
      <w:r w:rsidR="00E378A2" w:rsidRPr="00BD13D9">
        <w:rPr>
          <w:rFonts w:asciiTheme="minorHAnsi" w:hAnsiTheme="minorHAnsi" w:cstheme="minorHAnsi"/>
          <w:b/>
          <w:bCs/>
          <w:szCs w:val="24"/>
        </w:rPr>
        <w:t>Président du Groupe de travail de la plénière</w:t>
      </w:r>
      <w:r w:rsidR="0056155E" w:rsidRPr="00BD13D9">
        <w:rPr>
          <w:rFonts w:asciiTheme="minorHAnsi" w:hAnsiTheme="minorHAnsi" w:cstheme="minorHAnsi"/>
          <w:szCs w:val="24"/>
        </w:rPr>
        <w:t xml:space="preserve"> </w:t>
      </w:r>
      <w:r w:rsidR="00E02EE6" w:rsidRPr="00BD13D9">
        <w:rPr>
          <w:rFonts w:asciiTheme="minorHAnsi" w:hAnsiTheme="minorHAnsi" w:cstheme="minorHAnsi"/>
          <w:szCs w:val="24"/>
        </w:rPr>
        <w:t>précise</w:t>
      </w:r>
      <w:r w:rsidR="0056155E" w:rsidRPr="00BD13D9">
        <w:rPr>
          <w:rFonts w:asciiTheme="minorHAnsi" w:hAnsiTheme="minorHAnsi" w:cstheme="minorHAnsi"/>
          <w:szCs w:val="24"/>
        </w:rPr>
        <w:t xml:space="preserve"> </w:t>
      </w:r>
      <w:r w:rsidR="00E378A2" w:rsidRPr="00BD13D9">
        <w:rPr>
          <w:rFonts w:asciiTheme="minorHAnsi" w:hAnsiTheme="minorHAnsi" w:cstheme="minorHAnsi"/>
          <w:szCs w:val="24"/>
        </w:rPr>
        <w:t>que le libellé du titre du projet de Résolution a fait l</w:t>
      </w:r>
      <w:r w:rsidR="00F76CBB" w:rsidRPr="00BD13D9">
        <w:rPr>
          <w:rFonts w:asciiTheme="minorHAnsi" w:hAnsiTheme="minorHAnsi" w:cstheme="minorHAnsi"/>
          <w:szCs w:val="24"/>
        </w:rPr>
        <w:t>'</w:t>
      </w:r>
      <w:r w:rsidR="00E378A2" w:rsidRPr="00BD13D9">
        <w:rPr>
          <w:rFonts w:asciiTheme="minorHAnsi" w:hAnsiTheme="minorHAnsi" w:cstheme="minorHAnsi"/>
          <w:szCs w:val="24"/>
        </w:rPr>
        <w:t>objet d</w:t>
      </w:r>
      <w:r w:rsidR="00F76CBB" w:rsidRPr="00BD13D9">
        <w:rPr>
          <w:rFonts w:asciiTheme="minorHAnsi" w:hAnsiTheme="minorHAnsi" w:cstheme="minorHAnsi"/>
          <w:szCs w:val="24"/>
        </w:rPr>
        <w:t>'</w:t>
      </w:r>
      <w:r w:rsidR="00E378A2" w:rsidRPr="00BD13D9">
        <w:rPr>
          <w:rFonts w:asciiTheme="minorHAnsi" w:hAnsiTheme="minorHAnsi" w:cstheme="minorHAnsi"/>
          <w:szCs w:val="24"/>
        </w:rPr>
        <w:t>un accord au sein du Groupe</w:t>
      </w:r>
      <w:r w:rsidRPr="00BD13D9">
        <w:rPr>
          <w:rFonts w:asciiTheme="minorHAnsi" w:hAnsiTheme="minorHAnsi" w:cstheme="minorHAnsi"/>
          <w:szCs w:val="24"/>
        </w:rPr>
        <w:t>.</w:t>
      </w:r>
    </w:p>
    <w:p w14:paraId="33741651" w14:textId="3D3D6CA6" w:rsidR="00813F8C" w:rsidRPr="00BD13D9" w:rsidRDefault="00813F8C" w:rsidP="007C48D1">
      <w:pPr>
        <w:rPr>
          <w:rFonts w:asciiTheme="minorHAnsi" w:hAnsiTheme="minorHAnsi" w:cstheme="minorHAnsi"/>
          <w:b/>
          <w:bCs/>
          <w:szCs w:val="24"/>
        </w:rPr>
      </w:pPr>
      <w:r w:rsidRPr="00BD13D9">
        <w:rPr>
          <w:rFonts w:asciiTheme="minorHAnsi" w:hAnsiTheme="minorHAnsi" w:cstheme="minorHAnsi"/>
          <w:szCs w:val="24"/>
        </w:rPr>
        <w:t>11.7</w:t>
      </w:r>
      <w:r w:rsidRPr="00BD13D9">
        <w:rPr>
          <w:rFonts w:asciiTheme="minorHAnsi" w:hAnsiTheme="minorHAnsi" w:cstheme="minorHAnsi"/>
          <w:szCs w:val="24"/>
        </w:rPr>
        <w:tab/>
      </w:r>
      <w:r w:rsidR="00E378A2" w:rsidRPr="00BD13D9">
        <w:rPr>
          <w:rFonts w:asciiTheme="minorHAnsi" w:hAnsiTheme="minorHAnsi" w:cstheme="minorHAnsi"/>
          <w:szCs w:val="24"/>
        </w:rPr>
        <w:t>Le projet de nouvelle Résolution</w:t>
      </w:r>
      <w:r w:rsidRPr="00BD13D9">
        <w:rPr>
          <w:rFonts w:asciiTheme="minorHAnsi" w:hAnsiTheme="minorHAnsi" w:cstheme="minorHAnsi"/>
          <w:szCs w:val="24"/>
        </w:rPr>
        <w:t xml:space="preserve"> WGPL/1 </w:t>
      </w:r>
      <w:r w:rsidR="00E378A2" w:rsidRPr="00BD13D9">
        <w:rPr>
          <w:rFonts w:asciiTheme="minorHAnsi" w:hAnsiTheme="minorHAnsi" w:cstheme="minorHAnsi"/>
          <w:szCs w:val="24"/>
        </w:rPr>
        <w:t xml:space="preserve">est </w:t>
      </w:r>
      <w:r w:rsidR="00E378A2" w:rsidRPr="00BD13D9">
        <w:rPr>
          <w:rFonts w:asciiTheme="minorHAnsi" w:hAnsiTheme="minorHAnsi" w:cstheme="minorHAnsi"/>
          <w:b/>
          <w:bCs/>
          <w:szCs w:val="24"/>
        </w:rPr>
        <w:t>adopté</w:t>
      </w:r>
      <w:r w:rsidRPr="00BD13D9">
        <w:rPr>
          <w:rFonts w:asciiTheme="minorHAnsi" w:hAnsiTheme="minorHAnsi" w:cstheme="minorHAnsi"/>
          <w:szCs w:val="24"/>
        </w:rPr>
        <w:t>.</w:t>
      </w:r>
    </w:p>
    <w:p w14:paraId="0788DF3F" w14:textId="775DA7D8"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11.8</w:t>
      </w:r>
      <w:r w:rsidRPr="00BD13D9">
        <w:rPr>
          <w:rFonts w:asciiTheme="minorHAnsi" w:hAnsiTheme="minorHAnsi" w:cstheme="minorHAnsi"/>
          <w:szCs w:val="24"/>
        </w:rPr>
        <w:tab/>
      </w:r>
      <w:r w:rsidR="0061013B" w:rsidRPr="00BD13D9">
        <w:rPr>
          <w:rFonts w:asciiTheme="minorHAnsi" w:hAnsiTheme="minorHAnsi" w:cstheme="minorHAnsi"/>
          <w:szCs w:val="24"/>
        </w:rPr>
        <w:t xml:space="preserve">La </w:t>
      </w:r>
      <w:r w:rsidR="001C799F" w:rsidRPr="00BD13D9">
        <w:rPr>
          <w:rFonts w:asciiTheme="minorHAnsi" w:hAnsiTheme="minorHAnsi" w:cstheme="minorHAnsi"/>
          <w:szCs w:val="24"/>
        </w:rPr>
        <w:t xml:space="preserve">treizième </w:t>
      </w:r>
      <w:r w:rsidR="0061013B" w:rsidRPr="00BD13D9">
        <w:rPr>
          <w:rFonts w:asciiTheme="minorHAnsi" w:hAnsiTheme="minorHAnsi" w:cstheme="minorHAnsi"/>
          <w:szCs w:val="24"/>
        </w:rPr>
        <w:t xml:space="preserve">série de textes soumis par la Commission de rédaction en première lecture (B13) (Document 154) est </w:t>
      </w:r>
      <w:r w:rsidR="0061013B" w:rsidRPr="00BD13D9">
        <w:rPr>
          <w:rFonts w:asciiTheme="minorHAnsi" w:hAnsiTheme="minorHAnsi" w:cstheme="minorHAnsi"/>
          <w:b/>
          <w:bCs/>
          <w:szCs w:val="24"/>
        </w:rPr>
        <w:t>approuvée</w:t>
      </w:r>
      <w:r w:rsidR="0061013B" w:rsidRPr="00BD13D9">
        <w:rPr>
          <w:rFonts w:asciiTheme="minorHAnsi" w:hAnsiTheme="minorHAnsi" w:cstheme="minorHAnsi"/>
          <w:szCs w:val="24"/>
        </w:rPr>
        <w:t>.</w:t>
      </w:r>
    </w:p>
    <w:p w14:paraId="28E921BF" w14:textId="2C887BE3" w:rsidR="00813F8C" w:rsidRPr="00BD13D9" w:rsidRDefault="00813F8C" w:rsidP="0056155E">
      <w:pPr>
        <w:pStyle w:val="Heading1"/>
      </w:pPr>
      <w:r w:rsidRPr="00BD13D9">
        <w:t>12</w:t>
      </w:r>
      <w:r w:rsidRPr="00BD13D9">
        <w:tab/>
      </w:r>
      <w:r w:rsidR="00306E16" w:rsidRPr="00BD13D9">
        <w:t>Treizième série de textes soumis par la Commission de rédaction</w:t>
      </w:r>
      <w:r w:rsidRPr="00BD13D9">
        <w:t>– second</w:t>
      </w:r>
      <w:r w:rsidR="00306E16" w:rsidRPr="00BD13D9">
        <w:t>e</w:t>
      </w:r>
      <w:r w:rsidRPr="00BD13D9">
        <w:t xml:space="preserve"> </w:t>
      </w:r>
      <w:r w:rsidR="00306E16" w:rsidRPr="00BD13D9">
        <w:t>lecture</w:t>
      </w:r>
      <w:r w:rsidRPr="00BD13D9">
        <w:t xml:space="preserve"> (Document </w:t>
      </w:r>
      <w:hyperlink r:id="rId27" w:history="1">
        <w:r w:rsidRPr="00BD13D9">
          <w:rPr>
            <w:rStyle w:val="Hyperlink"/>
            <w:rFonts w:asciiTheme="minorHAnsi" w:hAnsiTheme="minorHAnsi" w:cstheme="minorHAnsi"/>
            <w:bCs/>
            <w:szCs w:val="24"/>
          </w:rPr>
          <w:t>154</w:t>
        </w:r>
      </w:hyperlink>
      <w:r w:rsidRPr="00BD13D9">
        <w:t>)</w:t>
      </w:r>
    </w:p>
    <w:p w14:paraId="12C05629" w14:textId="0B056D77"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12.1</w:t>
      </w:r>
      <w:r w:rsidRPr="00BD13D9">
        <w:rPr>
          <w:rFonts w:asciiTheme="minorHAnsi" w:hAnsiTheme="minorHAnsi" w:cstheme="minorHAnsi"/>
          <w:szCs w:val="24"/>
        </w:rPr>
        <w:tab/>
      </w:r>
      <w:r w:rsidR="00306E16" w:rsidRPr="00BD13D9">
        <w:rPr>
          <w:rFonts w:asciiTheme="minorHAnsi" w:hAnsiTheme="minorHAnsi" w:cstheme="minorHAnsi"/>
          <w:szCs w:val="24"/>
        </w:rPr>
        <w:t xml:space="preserve">La </w:t>
      </w:r>
      <w:r w:rsidR="001C799F" w:rsidRPr="00BD13D9">
        <w:rPr>
          <w:rFonts w:asciiTheme="minorHAnsi" w:hAnsiTheme="minorHAnsi" w:cstheme="minorHAnsi"/>
          <w:szCs w:val="24"/>
        </w:rPr>
        <w:t xml:space="preserve">treizième </w:t>
      </w:r>
      <w:r w:rsidR="00306E16" w:rsidRPr="00BD13D9">
        <w:rPr>
          <w:rFonts w:asciiTheme="minorHAnsi" w:hAnsiTheme="minorHAnsi" w:cstheme="minorHAnsi"/>
          <w:szCs w:val="24"/>
        </w:rPr>
        <w:t xml:space="preserve">série de textes soumis par la Commission de rédaction (Document 154) est </w:t>
      </w:r>
      <w:r w:rsidR="00306E16" w:rsidRPr="00BD13D9">
        <w:rPr>
          <w:rFonts w:asciiTheme="minorHAnsi" w:hAnsiTheme="minorHAnsi" w:cstheme="minorHAnsi"/>
          <w:b/>
          <w:bCs/>
          <w:szCs w:val="24"/>
        </w:rPr>
        <w:t>approuvée</w:t>
      </w:r>
      <w:r w:rsidR="00306E16" w:rsidRPr="00BD13D9">
        <w:rPr>
          <w:rFonts w:asciiTheme="minorHAnsi" w:hAnsiTheme="minorHAnsi" w:cstheme="minorHAnsi"/>
          <w:szCs w:val="24"/>
        </w:rPr>
        <w:t xml:space="preserve"> en seconde lecture.</w:t>
      </w:r>
    </w:p>
    <w:p w14:paraId="77B61817" w14:textId="76CF4995" w:rsidR="00813F8C" w:rsidRPr="00BD13D9" w:rsidRDefault="00813F8C" w:rsidP="00003FE1">
      <w:pPr>
        <w:pStyle w:val="Heading1"/>
        <w:keepNext w:val="0"/>
        <w:keepLines w:val="0"/>
      </w:pPr>
      <w:r w:rsidRPr="00BD13D9">
        <w:t>13</w:t>
      </w:r>
      <w:r w:rsidRPr="00BD13D9">
        <w:tab/>
      </w:r>
      <w:r w:rsidR="00306E16" w:rsidRPr="00BD13D9">
        <w:t xml:space="preserve">Quatorzième série de textes soumis par la Commission de rédaction </w:t>
      </w:r>
      <w:r w:rsidR="001C799F" w:rsidRPr="00BD13D9">
        <w:t xml:space="preserve">en première lecture </w:t>
      </w:r>
      <w:r w:rsidR="00306E16" w:rsidRPr="00BD13D9">
        <w:t>(B14)</w:t>
      </w:r>
      <w:r w:rsidRPr="00BD13D9">
        <w:t xml:space="preserve"> (Document </w:t>
      </w:r>
      <w:hyperlink r:id="rId28" w:history="1">
        <w:r w:rsidRPr="00BD13D9">
          <w:rPr>
            <w:rStyle w:val="Hyperlink"/>
            <w:rFonts w:asciiTheme="minorHAnsi" w:hAnsiTheme="minorHAnsi" w:cstheme="minorHAnsi"/>
            <w:bCs/>
            <w:szCs w:val="24"/>
          </w:rPr>
          <w:t>155</w:t>
        </w:r>
      </w:hyperlink>
      <w:r w:rsidRPr="00BD13D9">
        <w:t>)</w:t>
      </w:r>
    </w:p>
    <w:p w14:paraId="1FC72936" w14:textId="094725B6" w:rsidR="00813F8C" w:rsidRPr="00BD13D9" w:rsidRDefault="00306E16" w:rsidP="00003FE1">
      <w:pPr>
        <w:pStyle w:val="Headingb"/>
        <w:keepNext w:val="0"/>
        <w:keepLines w:val="0"/>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21 (R</w:t>
      </w:r>
      <w:r w:rsidRPr="00BD13D9">
        <w:rPr>
          <w:rFonts w:asciiTheme="minorHAnsi" w:hAnsiTheme="minorHAnsi" w:cstheme="minorHAnsi"/>
          <w:bCs/>
          <w:szCs w:val="24"/>
        </w:rPr>
        <w:t>é</w:t>
      </w:r>
      <w:r w:rsidR="00813F8C" w:rsidRPr="00BD13D9">
        <w:rPr>
          <w:rFonts w:asciiTheme="minorHAnsi" w:hAnsiTheme="minorHAnsi" w:cstheme="minorHAnsi"/>
          <w:bCs/>
          <w:szCs w:val="24"/>
        </w:rPr>
        <w:t>v. Bucarest, 2022)</w:t>
      </w:r>
      <w:r w:rsidR="0082134B" w:rsidRPr="00BD13D9">
        <w:rPr>
          <w:rFonts w:asciiTheme="minorHAnsi" w:hAnsiTheme="minorHAnsi" w:cstheme="minorHAnsi"/>
          <w:bCs/>
          <w:szCs w:val="24"/>
        </w:rPr>
        <w:t xml:space="preserve"> – </w:t>
      </w:r>
      <w:bookmarkStart w:id="31" w:name="_Toc407016186"/>
      <w:bookmarkStart w:id="32" w:name="_Toc536017924"/>
      <w:r w:rsidRPr="00BD13D9">
        <w:rPr>
          <w:rFonts w:asciiTheme="minorHAnsi" w:hAnsiTheme="minorHAnsi" w:cstheme="minorHAnsi"/>
          <w:bCs/>
          <w:szCs w:val="24"/>
        </w:rPr>
        <w:t>Mesures à prendre en cas d</w:t>
      </w:r>
      <w:r w:rsidR="00F76CBB" w:rsidRPr="00BD13D9">
        <w:rPr>
          <w:rFonts w:asciiTheme="minorHAnsi" w:hAnsiTheme="minorHAnsi" w:cstheme="minorHAnsi"/>
          <w:bCs/>
          <w:szCs w:val="24"/>
        </w:rPr>
        <w:t>'</w:t>
      </w:r>
      <w:r w:rsidRPr="00BD13D9">
        <w:rPr>
          <w:rFonts w:asciiTheme="minorHAnsi" w:hAnsiTheme="minorHAnsi" w:cstheme="minorHAnsi"/>
          <w:bCs/>
          <w:szCs w:val="24"/>
        </w:rPr>
        <w:t>utilisation de procédures d</w:t>
      </w:r>
      <w:r w:rsidR="00F76CBB" w:rsidRPr="00BD13D9">
        <w:rPr>
          <w:rFonts w:asciiTheme="minorHAnsi" w:hAnsiTheme="minorHAnsi" w:cstheme="minorHAnsi"/>
          <w:bCs/>
          <w:szCs w:val="24"/>
        </w:rPr>
        <w:t>'</w:t>
      </w:r>
      <w:r w:rsidRPr="00BD13D9">
        <w:rPr>
          <w:rFonts w:asciiTheme="minorHAnsi" w:hAnsiTheme="minorHAnsi" w:cstheme="minorHAnsi"/>
          <w:bCs/>
          <w:szCs w:val="24"/>
        </w:rPr>
        <w:t>appel alternatives sur les réseaux de télécommunication internationaux</w:t>
      </w:r>
      <w:bookmarkEnd w:id="31"/>
      <w:bookmarkEnd w:id="32"/>
    </w:p>
    <w:p w14:paraId="3684C406" w14:textId="4F50D779" w:rsidR="00813F8C" w:rsidRPr="00BD13D9" w:rsidRDefault="00813F8C" w:rsidP="00003FE1">
      <w:pPr>
        <w:rPr>
          <w:rFonts w:asciiTheme="minorHAnsi" w:hAnsiTheme="minorHAnsi" w:cstheme="minorHAnsi"/>
          <w:szCs w:val="24"/>
        </w:rPr>
      </w:pPr>
      <w:r w:rsidRPr="00BD13D9">
        <w:rPr>
          <w:rFonts w:asciiTheme="minorHAnsi" w:hAnsiTheme="minorHAnsi" w:cstheme="minorHAnsi"/>
          <w:szCs w:val="24"/>
        </w:rPr>
        <w:lastRenderedPageBreak/>
        <w:t>13.1</w:t>
      </w:r>
      <w:r w:rsidRPr="00BD13D9">
        <w:rPr>
          <w:rFonts w:asciiTheme="minorHAnsi" w:hAnsiTheme="minorHAnsi" w:cstheme="minorHAnsi"/>
          <w:szCs w:val="24"/>
        </w:rPr>
        <w:tab/>
      </w:r>
      <w:r w:rsidR="001C799F" w:rsidRPr="00BD13D9">
        <w:rPr>
          <w:rFonts w:asciiTheme="minorHAnsi" w:hAnsiTheme="minorHAnsi" w:cstheme="minorHAnsi"/>
          <w:szCs w:val="24"/>
        </w:rPr>
        <w:t xml:space="preserve">Le </w:t>
      </w:r>
      <w:r w:rsidR="001C799F" w:rsidRPr="00BD13D9">
        <w:rPr>
          <w:rFonts w:asciiTheme="minorHAnsi" w:hAnsiTheme="minorHAnsi" w:cstheme="minorHAnsi"/>
          <w:b/>
          <w:bCs/>
          <w:szCs w:val="24"/>
        </w:rPr>
        <w:t>délégué de la Jordanie</w:t>
      </w:r>
      <w:r w:rsidR="001C799F" w:rsidRPr="00BD13D9">
        <w:rPr>
          <w:rFonts w:asciiTheme="minorHAnsi" w:hAnsiTheme="minorHAnsi" w:cstheme="minorHAnsi"/>
          <w:szCs w:val="24"/>
        </w:rPr>
        <w:t xml:space="preserve"> demande que la Commission de rédaction envisage de supprimer l</w:t>
      </w:r>
      <w:r w:rsidR="00F76CBB" w:rsidRPr="00BD13D9">
        <w:rPr>
          <w:rFonts w:asciiTheme="minorHAnsi" w:hAnsiTheme="minorHAnsi" w:cstheme="minorHAnsi"/>
          <w:szCs w:val="24"/>
        </w:rPr>
        <w:t>'</w:t>
      </w:r>
      <w:r w:rsidR="001C799F" w:rsidRPr="00BD13D9">
        <w:rPr>
          <w:rFonts w:asciiTheme="minorHAnsi" w:hAnsiTheme="minorHAnsi" w:cstheme="minorHAnsi"/>
          <w:szCs w:val="24"/>
        </w:rPr>
        <w:t>acronyme "</w:t>
      </w:r>
      <w:r w:rsidRPr="00BD13D9">
        <w:rPr>
          <w:rFonts w:asciiTheme="minorHAnsi" w:hAnsiTheme="minorHAnsi" w:cstheme="minorHAnsi"/>
          <w:szCs w:val="24"/>
        </w:rPr>
        <w:t>NNAI</w:t>
      </w:r>
      <w:r w:rsidR="001C799F" w:rsidRPr="00BD13D9">
        <w:rPr>
          <w:rFonts w:asciiTheme="minorHAnsi" w:hAnsiTheme="minorHAnsi" w:cstheme="minorHAnsi"/>
          <w:szCs w:val="24"/>
        </w:rPr>
        <w:t xml:space="preserve">" de la version arabe du </w:t>
      </w:r>
      <w:r w:rsidR="001C0498" w:rsidRPr="00BD13D9">
        <w:rPr>
          <w:rFonts w:asciiTheme="minorHAnsi" w:hAnsiTheme="minorHAnsi" w:cstheme="minorHAnsi"/>
          <w:szCs w:val="24"/>
        </w:rPr>
        <w:t>point</w:t>
      </w:r>
      <w:r w:rsidRPr="00BD13D9">
        <w:rPr>
          <w:rFonts w:asciiTheme="minorHAnsi" w:hAnsiTheme="minorHAnsi" w:cstheme="minorHAnsi"/>
          <w:i/>
          <w:iCs/>
          <w:szCs w:val="24"/>
        </w:rPr>
        <w:t xml:space="preserve"> a)</w:t>
      </w:r>
      <w:r w:rsidR="001C0498" w:rsidRPr="00BD13D9">
        <w:rPr>
          <w:rFonts w:asciiTheme="minorHAnsi" w:hAnsiTheme="minorHAnsi" w:cstheme="minorHAnsi"/>
          <w:i/>
          <w:iCs/>
          <w:szCs w:val="24"/>
        </w:rPr>
        <w:t xml:space="preserve"> </w:t>
      </w:r>
      <w:r w:rsidR="001C0498" w:rsidRPr="00BD13D9">
        <w:rPr>
          <w:rFonts w:asciiTheme="minorHAnsi" w:hAnsiTheme="minorHAnsi" w:cstheme="minorHAnsi"/>
          <w:szCs w:val="24"/>
        </w:rPr>
        <w:t>du</w:t>
      </w:r>
      <w:r w:rsidR="001C0498" w:rsidRPr="00BD13D9">
        <w:rPr>
          <w:rFonts w:asciiTheme="minorHAnsi" w:hAnsiTheme="minorHAnsi" w:cstheme="minorHAnsi"/>
          <w:i/>
          <w:iCs/>
          <w:szCs w:val="24"/>
        </w:rPr>
        <w:t xml:space="preserve"> reconnaissant</w:t>
      </w:r>
      <w:r w:rsidRPr="00BD13D9">
        <w:rPr>
          <w:rFonts w:asciiTheme="minorHAnsi" w:hAnsiTheme="minorHAnsi" w:cstheme="minorHAnsi"/>
          <w:szCs w:val="24"/>
        </w:rPr>
        <w:t>.</w:t>
      </w:r>
    </w:p>
    <w:p w14:paraId="1E60F7FE" w14:textId="0946C7F4"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13.2</w:t>
      </w:r>
      <w:r w:rsidRPr="00BD13D9">
        <w:rPr>
          <w:rFonts w:asciiTheme="minorHAnsi" w:hAnsiTheme="minorHAnsi" w:cstheme="minorHAnsi"/>
          <w:szCs w:val="24"/>
        </w:rPr>
        <w:tab/>
      </w:r>
      <w:r w:rsidR="00E02EE6" w:rsidRPr="00BD13D9">
        <w:rPr>
          <w:rFonts w:asciiTheme="minorHAnsi" w:hAnsiTheme="minorHAnsi" w:cstheme="minorHAnsi"/>
          <w:szCs w:val="24"/>
        </w:rPr>
        <w:t>Compte tenu de ce commentaire</w:t>
      </w:r>
      <w:r w:rsidR="001C799F" w:rsidRPr="00BD13D9">
        <w:rPr>
          <w:rFonts w:asciiTheme="minorHAnsi" w:hAnsiTheme="minorHAnsi" w:cstheme="minorHAnsi"/>
          <w:szCs w:val="24"/>
        </w:rPr>
        <w:t xml:space="preserve">, le projet de Résolution 21 (Rév. Bucarest, 2022) est </w:t>
      </w:r>
      <w:r w:rsidR="001C799F" w:rsidRPr="00BD13D9">
        <w:rPr>
          <w:rFonts w:asciiTheme="minorHAnsi" w:hAnsiTheme="minorHAnsi" w:cstheme="minorHAnsi"/>
          <w:b/>
          <w:bCs/>
          <w:szCs w:val="24"/>
        </w:rPr>
        <w:t>adopté</w:t>
      </w:r>
      <w:r w:rsidRPr="00BD13D9">
        <w:rPr>
          <w:rFonts w:asciiTheme="minorHAnsi" w:hAnsiTheme="minorHAnsi" w:cstheme="minorHAnsi"/>
          <w:szCs w:val="24"/>
        </w:rPr>
        <w:t>.</w:t>
      </w:r>
    </w:p>
    <w:p w14:paraId="09168EA3" w14:textId="08B76159" w:rsidR="00813F8C" w:rsidRPr="00BD13D9" w:rsidRDefault="00306E16"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119 (</w:t>
      </w:r>
      <w:r w:rsidRPr="00BD13D9">
        <w:rPr>
          <w:rFonts w:asciiTheme="minorHAnsi" w:hAnsiTheme="minorHAnsi" w:cstheme="minorHAnsi"/>
          <w:bCs/>
          <w:szCs w:val="24"/>
        </w:rPr>
        <w:t>Rév. Bucarest, 2022</w:t>
      </w:r>
      <w:r w:rsidR="00813F8C" w:rsidRPr="00BD13D9">
        <w:rPr>
          <w:rFonts w:asciiTheme="minorHAnsi" w:hAnsiTheme="minorHAnsi" w:cstheme="minorHAnsi"/>
          <w:bCs/>
          <w:szCs w:val="24"/>
        </w:rPr>
        <w:t>)</w:t>
      </w:r>
      <w:r w:rsidR="0082134B" w:rsidRPr="00BD13D9">
        <w:rPr>
          <w:rFonts w:asciiTheme="minorHAnsi" w:hAnsiTheme="minorHAnsi" w:cstheme="minorHAnsi"/>
          <w:bCs/>
          <w:szCs w:val="24"/>
        </w:rPr>
        <w:t xml:space="preserve"> – </w:t>
      </w:r>
      <w:bookmarkStart w:id="33" w:name="_Toc165351490"/>
      <w:r w:rsidRPr="00BD13D9">
        <w:rPr>
          <w:rFonts w:asciiTheme="minorHAnsi" w:hAnsiTheme="minorHAnsi" w:cstheme="minorHAnsi"/>
          <w:bCs/>
          <w:szCs w:val="24"/>
        </w:rPr>
        <w:t>Méthodes visant à accroître l</w:t>
      </w:r>
      <w:r w:rsidR="00F76CBB" w:rsidRPr="00BD13D9">
        <w:rPr>
          <w:rFonts w:asciiTheme="minorHAnsi" w:hAnsiTheme="minorHAnsi" w:cstheme="minorHAnsi"/>
          <w:bCs/>
          <w:szCs w:val="24"/>
        </w:rPr>
        <w:t>'</w:t>
      </w:r>
      <w:r w:rsidRPr="00BD13D9">
        <w:rPr>
          <w:rFonts w:asciiTheme="minorHAnsi" w:hAnsiTheme="minorHAnsi" w:cstheme="minorHAnsi"/>
          <w:bCs/>
          <w:szCs w:val="24"/>
        </w:rPr>
        <w:t>efficacité et l</w:t>
      </w:r>
      <w:r w:rsidR="00F76CBB" w:rsidRPr="00BD13D9">
        <w:rPr>
          <w:rFonts w:asciiTheme="minorHAnsi" w:hAnsiTheme="minorHAnsi" w:cstheme="minorHAnsi"/>
          <w:bCs/>
          <w:szCs w:val="24"/>
        </w:rPr>
        <w:t>'</w:t>
      </w:r>
      <w:r w:rsidRPr="00BD13D9">
        <w:rPr>
          <w:rFonts w:asciiTheme="minorHAnsi" w:hAnsiTheme="minorHAnsi" w:cstheme="minorHAnsi"/>
          <w:bCs/>
          <w:szCs w:val="24"/>
        </w:rPr>
        <w:t>efficience du Comité du Règlement des radiocommunications</w:t>
      </w:r>
      <w:bookmarkEnd w:id="33"/>
    </w:p>
    <w:p w14:paraId="416AC201" w14:textId="02353048" w:rsidR="00813F8C" w:rsidRPr="00BD13D9" w:rsidRDefault="00306E16"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177 (</w:t>
      </w:r>
      <w:r w:rsidRPr="00BD13D9">
        <w:rPr>
          <w:rFonts w:asciiTheme="minorHAnsi" w:hAnsiTheme="minorHAnsi" w:cstheme="minorHAnsi"/>
          <w:bCs/>
          <w:szCs w:val="24"/>
        </w:rPr>
        <w:t>Rév. Bucarest, 2022</w:t>
      </w:r>
      <w:r w:rsidR="00813F8C" w:rsidRPr="00BD13D9">
        <w:rPr>
          <w:rFonts w:asciiTheme="minorHAnsi" w:hAnsiTheme="minorHAnsi" w:cstheme="minorHAnsi"/>
          <w:bCs/>
          <w:szCs w:val="24"/>
        </w:rPr>
        <w:t>)</w:t>
      </w:r>
      <w:r w:rsidR="0082134B" w:rsidRPr="00BD13D9">
        <w:rPr>
          <w:rFonts w:asciiTheme="minorHAnsi" w:hAnsiTheme="minorHAnsi" w:cstheme="minorHAnsi"/>
          <w:bCs/>
          <w:szCs w:val="24"/>
        </w:rPr>
        <w:t xml:space="preserve"> – </w:t>
      </w:r>
      <w:bookmarkStart w:id="34" w:name="_Toc407016275"/>
      <w:r w:rsidRPr="00BD13D9">
        <w:rPr>
          <w:rFonts w:asciiTheme="minorHAnsi" w:hAnsiTheme="minorHAnsi" w:cstheme="minorHAnsi"/>
          <w:bCs/>
          <w:szCs w:val="24"/>
        </w:rPr>
        <w:t>Conformité et interopérabilité</w:t>
      </w:r>
      <w:bookmarkEnd w:id="34"/>
    </w:p>
    <w:p w14:paraId="37A18272" w14:textId="75294AED" w:rsidR="00813F8C" w:rsidRPr="00BD13D9" w:rsidRDefault="00306E16"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189 (</w:t>
      </w:r>
      <w:r w:rsidRPr="00BD13D9">
        <w:rPr>
          <w:rFonts w:asciiTheme="minorHAnsi" w:hAnsiTheme="minorHAnsi" w:cstheme="minorHAnsi"/>
          <w:bCs/>
          <w:szCs w:val="24"/>
        </w:rPr>
        <w:t>Rév. Bucarest, 2022</w:t>
      </w:r>
      <w:r w:rsidR="00813F8C" w:rsidRPr="00BD13D9">
        <w:rPr>
          <w:rFonts w:asciiTheme="minorHAnsi" w:hAnsiTheme="minorHAnsi" w:cstheme="minorHAnsi"/>
          <w:bCs/>
          <w:szCs w:val="24"/>
        </w:rPr>
        <w:t>)</w:t>
      </w:r>
      <w:r w:rsidR="0082134B" w:rsidRPr="00BD13D9">
        <w:rPr>
          <w:rFonts w:asciiTheme="minorHAnsi" w:hAnsiTheme="minorHAnsi" w:cstheme="minorHAnsi"/>
          <w:bCs/>
          <w:szCs w:val="24"/>
        </w:rPr>
        <w:t xml:space="preserve"> – </w:t>
      </w:r>
      <w:r w:rsidRPr="00BD13D9">
        <w:rPr>
          <w:rFonts w:asciiTheme="minorHAnsi" w:hAnsiTheme="minorHAnsi" w:cstheme="minorHAnsi"/>
          <w:bCs/>
          <w:szCs w:val="24"/>
        </w:rPr>
        <w:t>Aider les États Membres à lutter contre le vol de dispositifs mobiles et à prévenir ce phénomène</w:t>
      </w:r>
    </w:p>
    <w:p w14:paraId="4A162056" w14:textId="5C1BD088" w:rsidR="00813F8C" w:rsidRPr="00BD13D9" w:rsidRDefault="00306E16" w:rsidP="0056155E">
      <w:pPr>
        <w:pStyle w:val="Headingb"/>
        <w:ind w:left="0" w:firstLine="0"/>
        <w:rPr>
          <w:rFonts w:asciiTheme="minorHAnsi" w:hAnsiTheme="minorHAnsi" w:cstheme="minorHAnsi"/>
          <w:b w:val="0"/>
          <w:bCs/>
          <w:szCs w:val="24"/>
        </w:rPr>
      </w:pPr>
      <w:r w:rsidRPr="00BD13D9">
        <w:t xml:space="preserve">Projet de Résolution </w:t>
      </w:r>
      <w:r w:rsidR="00813F8C" w:rsidRPr="00BD13D9">
        <w:rPr>
          <w:rFonts w:asciiTheme="minorHAnsi" w:hAnsiTheme="minorHAnsi" w:cstheme="minorHAnsi"/>
          <w:bCs/>
          <w:szCs w:val="24"/>
        </w:rPr>
        <w:t>196 (</w:t>
      </w:r>
      <w:r w:rsidRPr="00BD13D9">
        <w:rPr>
          <w:rFonts w:asciiTheme="minorHAnsi" w:hAnsiTheme="minorHAnsi" w:cstheme="minorHAnsi"/>
          <w:bCs/>
          <w:szCs w:val="24"/>
        </w:rPr>
        <w:t>Rév. Bucarest, 2022</w:t>
      </w:r>
      <w:r w:rsidR="00813F8C" w:rsidRPr="00BD13D9">
        <w:rPr>
          <w:rFonts w:asciiTheme="minorHAnsi" w:hAnsiTheme="minorHAnsi" w:cstheme="minorHAnsi"/>
          <w:bCs/>
          <w:szCs w:val="24"/>
        </w:rPr>
        <w:t>)</w:t>
      </w:r>
      <w:r w:rsidR="0082134B" w:rsidRPr="00BD13D9">
        <w:rPr>
          <w:rFonts w:asciiTheme="minorHAnsi" w:hAnsiTheme="minorHAnsi" w:cstheme="minorHAnsi"/>
          <w:bCs/>
          <w:szCs w:val="24"/>
        </w:rPr>
        <w:t xml:space="preserve"> – </w:t>
      </w:r>
      <w:bookmarkStart w:id="35" w:name="_Toc407016306"/>
      <w:r w:rsidRPr="00BD13D9">
        <w:rPr>
          <w:rFonts w:asciiTheme="minorHAnsi" w:hAnsiTheme="minorHAnsi" w:cstheme="minorHAnsi"/>
          <w:bCs/>
          <w:szCs w:val="24"/>
        </w:rPr>
        <w:t>Protection des utilisateurs/consommateurs de services de télécommunication</w:t>
      </w:r>
      <w:bookmarkEnd w:id="35"/>
    </w:p>
    <w:p w14:paraId="4DE363AD" w14:textId="0E6F1AFB" w:rsidR="00813F8C" w:rsidRPr="00BD13D9" w:rsidRDefault="00813F8C" w:rsidP="007C48D1">
      <w:pPr>
        <w:rPr>
          <w:rFonts w:asciiTheme="minorHAnsi" w:hAnsiTheme="minorHAnsi" w:cstheme="minorHAnsi"/>
          <w:b/>
          <w:bCs/>
          <w:szCs w:val="24"/>
        </w:rPr>
      </w:pPr>
      <w:r w:rsidRPr="00BD13D9">
        <w:rPr>
          <w:rFonts w:asciiTheme="minorHAnsi" w:hAnsiTheme="minorHAnsi" w:cstheme="minorHAnsi"/>
          <w:bCs/>
          <w:szCs w:val="24"/>
        </w:rPr>
        <w:t>13.3</w:t>
      </w:r>
      <w:r w:rsidRPr="00BD13D9">
        <w:rPr>
          <w:rFonts w:asciiTheme="minorHAnsi" w:hAnsiTheme="minorHAnsi" w:cstheme="minorHAnsi"/>
          <w:b/>
          <w:bCs/>
          <w:szCs w:val="24"/>
        </w:rPr>
        <w:tab/>
        <w:t>Adopt</w:t>
      </w:r>
      <w:r w:rsidR="00306E16" w:rsidRPr="00BD13D9">
        <w:rPr>
          <w:rFonts w:asciiTheme="minorHAnsi" w:hAnsiTheme="minorHAnsi" w:cstheme="minorHAnsi"/>
          <w:b/>
          <w:bCs/>
          <w:szCs w:val="24"/>
        </w:rPr>
        <w:t>é</w:t>
      </w:r>
      <w:r w:rsidR="001C799F" w:rsidRPr="00BD13D9">
        <w:rPr>
          <w:rFonts w:asciiTheme="minorHAnsi" w:hAnsiTheme="minorHAnsi" w:cstheme="minorHAnsi"/>
          <w:b/>
          <w:bCs/>
          <w:szCs w:val="24"/>
        </w:rPr>
        <w:t>s</w:t>
      </w:r>
      <w:r w:rsidRPr="00BD13D9">
        <w:rPr>
          <w:rFonts w:asciiTheme="minorHAnsi" w:hAnsiTheme="minorHAnsi" w:cstheme="minorHAnsi"/>
          <w:szCs w:val="24"/>
        </w:rPr>
        <w:t>.</w:t>
      </w:r>
    </w:p>
    <w:p w14:paraId="2773B4EC" w14:textId="7B7181A0"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13.4</w:t>
      </w:r>
      <w:r w:rsidRPr="00BD13D9">
        <w:rPr>
          <w:rFonts w:asciiTheme="minorHAnsi" w:hAnsiTheme="minorHAnsi" w:cstheme="minorHAnsi"/>
          <w:szCs w:val="24"/>
        </w:rPr>
        <w:tab/>
      </w:r>
      <w:r w:rsidR="0027049A" w:rsidRPr="00BD13D9">
        <w:rPr>
          <w:rFonts w:asciiTheme="minorHAnsi" w:hAnsiTheme="minorHAnsi" w:cstheme="minorHAnsi"/>
          <w:szCs w:val="24"/>
        </w:rPr>
        <w:t xml:space="preserve">La </w:t>
      </w:r>
      <w:r w:rsidR="001C799F" w:rsidRPr="00BD13D9">
        <w:rPr>
          <w:rFonts w:asciiTheme="minorHAnsi" w:hAnsiTheme="minorHAnsi" w:cstheme="minorHAnsi"/>
          <w:szCs w:val="24"/>
        </w:rPr>
        <w:t xml:space="preserve">quatorzième </w:t>
      </w:r>
      <w:r w:rsidR="0027049A" w:rsidRPr="00BD13D9">
        <w:rPr>
          <w:rFonts w:asciiTheme="minorHAnsi" w:hAnsiTheme="minorHAnsi" w:cstheme="minorHAnsi"/>
          <w:szCs w:val="24"/>
        </w:rPr>
        <w:t xml:space="preserve">série de textes soumis par la Commission de rédaction en première lecture (B14) (Document 155) est </w:t>
      </w:r>
      <w:r w:rsidR="0027049A" w:rsidRPr="00BD13D9">
        <w:rPr>
          <w:rFonts w:asciiTheme="minorHAnsi" w:hAnsiTheme="minorHAnsi" w:cstheme="minorHAnsi"/>
          <w:b/>
          <w:bCs/>
          <w:szCs w:val="24"/>
        </w:rPr>
        <w:t>approuvée</w:t>
      </w:r>
      <w:r w:rsidRPr="00BD13D9">
        <w:rPr>
          <w:rFonts w:asciiTheme="minorHAnsi" w:hAnsiTheme="minorHAnsi" w:cstheme="minorHAnsi"/>
          <w:szCs w:val="24"/>
        </w:rPr>
        <w:t>.</w:t>
      </w:r>
    </w:p>
    <w:p w14:paraId="1CF089BE" w14:textId="6C869D42" w:rsidR="00813F8C" w:rsidRPr="00BD13D9" w:rsidRDefault="00813F8C" w:rsidP="0056155E">
      <w:pPr>
        <w:pStyle w:val="Heading1"/>
      </w:pPr>
      <w:r w:rsidRPr="00BD13D9">
        <w:t>14</w:t>
      </w:r>
      <w:r w:rsidRPr="00BD13D9">
        <w:tab/>
      </w:r>
      <w:r w:rsidR="0002543B" w:rsidRPr="00BD13D9">
        <w:t>Quatorzième série de textes soumis par la Commission de rédaction</w:t>
      </w:r>
      <w:r w:rsidRPr="00BD13D9">
        <w:t>– second</w:t>
      </w:r>
      <w:r w:rsidR="0002543B" w:rsidRPr="00BD13D9">
        <w:t>e</w:t>
      </w:r>
      <w:r w:rsidRPr="00BD13D9">
        <w:t xml:space="preserve"> </w:t>
      </w:r>
      <w:r w:rsidR="0002543B" w:rsidRPr="00BD13D9">
        <w:t>lecture</w:t>
      </w:r>
      <w:r w:rsidRPr="00BD13D9">
        <w:t xml:space="preserve"> (Document </w:t>
      </w:r>
      <w:hyperlink r:id="rId29" w:history="1">
        <w:r w:rsidRPr="00BD13D9">
          <w:rPr>
            <w:rStyle w:val="Hyperlink"/>
            <w:rFonts w:asciiTheme="minorHAnsi" w:hAnsiTheme="minorHAnsi" w:cstheme="minorHAnsi"/>
            <w:bCs/>
            <w:szCs w:val="24"/>
          </w:rPr>
          <w:t>155</w:t>
        </w:r>
      </w:hyperlink>
      <w:r w:rsidRPr="00BD13D9">
        <w:t>)</w:t>
      </w:r>
    </w:p>
    <w:p w14:paraId="52E106DA" w14:textId="034BD26F"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14.1</w:t>
      </w:r>
      <w:r w:rsidRPr="00BD13D9">
        <w:rPr>
          <w:rFonts w:asciiTheme="minorHAnsi" w:hAnsiTheme="minorHAnsi" w:cstheme="minorHAnsi"/>
          <w:szCs w:val="24"/>
        </w:rPr>
        <w:tab/>
      </w:r>
      <w:r w:rsidR="00044685" w:rsidRPr="00BD13D9">
        <w:rPr>
          <w:rFonts w:asciiTheme="minorHAnsi" w:hAnsiTheme="minorHAnsi" w:cstheme="minorHAnsi"/>
          <w:szCs w:val="24"/>
        </w:rPr>
        <w:t xml:space="preserve">La </w:t>
      </w:r>
      <w:r w:rsidR="001C799F" w:rsidRPr="00BD13D9">
        <w:rPr>
          <w:rFonts w:asciiTheme="minorHAnsi" w:hAnsiTheme="minorHAnsi" w:cstheme="minorHAnsi"/>
          <w:szCs w:val="24"/>
        </w:rPr>
        <w:t xml:space="preserve">quatorzième </w:t>
      </w:r>
      <w:r w:rsidR="00044685" w:rsidRPr="00BD13D9">
        <w:rPr>
          <w:rFonts w:asciiTheme="minorHAnsi" w:hAnsiTheme="minorHAnsi" w:cstheme="minorHAnsi"/>
          <w:szCs w:val="24"/>
        </w:rPr>
        <w:t xml:space="preserve">série de textes soumis par la Commission de rédaction (Document 155) est </w:t>
      </w:r>
      <w:r w:rsidR="00044685" w:rsidRPr="00BD13D9">
        <w:rPr>
          <w:rFonts w:asciiTheme="minorHAnsi" w:hAnsiTheme="minorHAnsi" w:cstheme="minorHAnsi"/>
          <w:b/>
          <w:bCs/>
          <w:szCs w:val="24"/>
        </w:rPr>
        <w:t>approuvée</w:t>
      </w:r>
      <w:r w:rsidR="00044685" w:rsidRPr="00BD13D9">
        <w:rPr>
          <w:rFonts w:asciiTheme="minorHAnsi" w:hAnsiTheme="minorHAnsi" w:cstheme="minorHAnsi"/>
          <w:szCs w:val="24"/>
        </w:rPr>
        <w:t xml:space="preserve"> en seconde lecture.</w:t>
      </w:r>
    </w:p>
    <w:p w14:paraId="1DD0C851" w14:textId="18F5160D" w:rsidR="00813F8C" w:rsidRPr="00BD13D9" w:rsidRDefault="00813F8C" w:rsidP="0056155E">
      <w:pPr>
        <w:pStyle w:val="Heading1"/>
      </w:pPr>
      <w:r w:rsidRPr="00003FE1">
        <w:t>15</w:t>
      </w:r>
      <w:r w:rsidRPr="00003FE1">
        <w:tab/>
      </w:r>
      <w:r w:rsidR="001C799F" w:rsidRPr="00003FE1">
        <w:t>Remise d</w:t>
      </w:r>
      <w:r w:rsidR="00F76CBB" w:rsidRPr="00003FE1">
        <w:t>'</w:t>
      </w:r>
      <w:r w:rsidR="00E02EE6" w:rsidRPr="00003FE1">
        <w:t xml:space="preserve">un </w:t>
      </w:r>
      <w:r w:rsidR="001C799F" w:rsidRPr="00003FE1">
        <w:t>certificat</w:t>
      </w:r>
      <w:r w:rsidR="0056155E" w:rsidRPr="00003FE1">
        <w:t xml:space="preserve"> </w:t>
      </w:r>
      <w:r w:rsidR="00E02EE6" w:rsidRPr="00003FE1">
        <w:t>au</w:t>
      </w:r>
      <w:r w:rsidR="0056155E" w:rsidRPr="00003FE1">
        <w:t xml:space="preserve"> </w:t>
      </w:r>
      <w:r w:rsidR="00E02EE6" w:rsidRPr="00003FE1">
        <w:t>r</w:t>
      </w:r>
      <w:r w:rsidR="001C799F" w:rsidRPr="00003FE1">
        <w:t>édacteur en chef du Journal de l</w:t>
      </w:r>
      <w:r w:rsidR="00F76CBB" w:rsidRPr="00003FE1">
        <w:t>'</w:t>
      </w:r>
      <w:r w:rsidR="001C799F" w:rsidRPr="00003FE1">
        <w:t>UIT</w:t>
      </w:r>
    </w:p>
    <w:p w14:paraId="6DA18D36" w14:textId="3A6F2274" w:rsidR="00813F8C" w:rsidRPr="00BD13D9" w:rsidRDefault="00813F8C" w:rsidP="007C48D1">
      <w:pPr>
        <w:rPr>
          <w:rFonts w:asciiTheme="minorHAnsi" w:hAnsiTheme="minorHAnsi" w:cstheme="minorHAnsi"/>
          <w:szCs w:val="24"/>
        </w:rPr>
      </w:pPr>
      <w:r w:rsidRPr="00BD13D9">
        <w:rPr>
          <w:rFonts w:asciiTheme="minorHAnsi" w:hAnsiTheme="minorHAnsi" w:cstheme="minorHAnsi"/>
          <w:szCs w:val="24"/>
        </w:rPr>
        <w:t>15.1</w:t>
      </w:r>
      <w:r w:rsidRPr="00BD13D9">
        <w:rPr>
          <w:rFonts w:asciiTheme="minorHAnsi" w:hAnsiTheme="minorHAnsi" w:cstheme="minorHAnsi"/>
          <w:szCs w:val="24"/>
        </w:rPr>
        <w:tab/>
      </w:r>
      <w:r w:rsidR="001C799F" w:rsidRPr="00BD13D9">
        <w:rPr>
          <w:rFonts w:asciiTheme="minorHAnsi" w:hAnsiTheme="minorHAnsi" w:cstheme="minorHAnsi"/>
          <w:szCs w:val="24"/>
        </w:rPr>
        <w:t xml:space="preserve">Le </w:t>
      </w:r>
      <w:r w:rsidR="001C799F" w:rsidRPr="00BD13D9">
        <w:rPr>
          <w:rFonts w:asciiTheme="minorHAnsi" w:hAnsiTheme="minorHAnsi" w:cstheme="minorHAnsi"/>
          <w:b/>
          <w:bCs/>
          <w:szCs w:val="24"/>
        </w:rPr>
        <w:t>Secrétaire général</w:t>
      </w:r>
      <w:r w:rsidR="001C799F" w:rsidRPr="00BD13D9">
        <w:rPr>
          <w:rFonts w:asciiTheme="minorHAnsi" w:hAnsiTheme="minorHAnsi" w:cstheme="minorHAnsi"/>
          <w:szCs w:val="24"/>
        </w:rPr>
        <w:t xml:space="preserve"> remet à M.</w:t>
      </w:r>
      <w:r w:rsidRPr="00BD13D9">
        <w:rPr>
          <w:rFonts w:asciiTheme="minorHAnsi" w:hAnsiTheme="minorHAnsi" w:cstheme="minorHAnsi"/>
          <w:szCs w:val="24"/>
        </w:rPr>
        <w:t xml:space="preserve"> Ian F. Akyildiz, </w:t>
      </w:r>
      <w:r w:rsidR="00E02EE6" w:rsidRPr="00BD13D9">
        <w:rPr>
          <w:rFonts w:asciiTheme="minorHAnsi" w:hAnsiTheme="minorHAnsi" w:cstheme="minorHAnsi"/>
          <w:szCs w:val="24"/>
        </w:rPr>
        <w:t>r</w:t>
      </w:r>
      <w:r w:rsidR="001C799F" w:rsidRPr="00BD13D9">
        <w:rPr>
          <w:rFonts w:asciiTheme="minorHAnsi" w:hAnsiTheme="minorHAnsi" w:cstheme="minorHAnsi"/>
          <w:szCs w:val="24"/>
        </w:rPr>
        <w:t>édacteur en chef du Journal de l</w:t>
      </w:r>
      <w:r w:rsidR="00F76CBB" w:rsidRPr="00BD13D9">
        <w:rPr>
          <w:rFonts w:asciiTheme="minorHAnsi" w:hAnsiTheme="minorHAnsi" w:cstheme="minorHAnsi"/>
          <w:szCs w:val="24"/>
        </w:rPr>
        <w:t>'</w:t>
      </w:r>
      <w:r w:rsidR="001C799F" w:rsidRPr="00BD13D9">
        <w:rPr>
          <w:rFonts w:asciiTheme="minorHAnsi" w:hAnsiTheme="minorHAnsi" w:cstheme="minorHAnsi"/>
          <w:szCs w:val="24"/>
        </w:rPr>
        <w:t>UIT sur les technologies futures et les technologies en évolution, un certificat</w:t>
      </w:r>
      <w:r w:rsidR="0056155E" w:rsidRPr="00BD13D9">
        <w:rPr>
          <w:rFonts w:asciiTheme="minorHAnsi" w:hAnsiTheme="minorHAnsi" w:cstheme="minorHAnsi"/>
          <w:szCs w:val="24"/>
        </w:rPr>
        <w:t xml:space="preserve"> </w:t>
      </w:r>
      <w:r w:rsidR="00F57B62" w:rsidRPr="00BD13D9">
        <w:rPr>
          <w:rFonts w:asciiTheme="minorHAnsi" w:hAnsiTheme="minorHAnsi" w:cstheme="minorHAnsi"/>
          <w:szCs w:val="24"/>
        </w:rPr>
        <w:t>en</w:t>
      </w:r>
      <w:r w:rsidR="0056155E" w:rsidRPr="00BD13D9">
        <w:rPr>
          <w:rFonts w:asciiTheme="minorHAnsi" w:hAnsiTheme="minorHAnsi" w:cstheme="minorHAnsi"/>
          <w:szCs w:val="24"/>
        </w:rPr>
        <w:t xml:space="preserve"> </w:t>
      </w:r>
      <w:r w:rsidR="001C799F" w:rsidRPr="00BD13D9">
        <w:rPr>
          <w:rFonts w:asciiTheme="minorHAnsi" w:hAnsiTheme="minorHAnsi" w:cstheme="minorHAnsi"/>
          <w:szCs w:val="24"/>
        </w:rPr>
        <w:t>reconnaissance de</w:t>
      </w:r>
      <w:r w:rsidR="00F57B62" w:rsidRPr="00BD13D9">
        <w:rPr>
          <w:rFonts w:asciiTheme="minorHAnsi" w:hAnsiTheme="minorHAnsi" w:cstheme="minorHAnsi"/>
          <w:szCs w:val="24"/>
        </w:rPr>
        <w:t xml:space="preserve"> se</w:t>
      </w:r>
      <w:r w:rsidR="001C799F" w:rsidRPr="00BD13D9">
        <w:rPr>
          <w:rFonts w:asciiTheme="minorHAnsi" w:hAnsiTheme="minorHAnsi" w:cstheme="minorHAnsi"/>
          <w:szCs w:val="24"/>
        </w:rPr>
        <w:t>s travaux</w:t>
      </w:r>
      <w:r w:rsidR="0056155E" w:rsidRPr="00BD13D9">
        <w:rPr>
          <w:rFonts w:asciiTheme="minorHAnsi" w:hAnsiTheme="minorHAnsi" w:cstheme="minorHAnsi"/>
          <w:szCs w:val="24"/>
        </w:rPr>
        <w:t xml:space="preserve"> </w:t>
      </w:r>
      <w:r w:rsidR="001C799F" w:rsidRPr="00BD13D9">
        <w:rPr>
          <w:rFonts w:asciiTheme="minorHAnsi" w:hAnsiTheme="minorHAnsi" w:cstheme="minorHAnsi"/>
          <w:szCs w:val="24"/>
        </w:rPr>
        <w:t>et de</w:t>
      </w:r>
      <w:r w:rsidR="00F57B62" w:rsidRPr="00BD13D9">
        <w:rPr>
          <w:rFonts w:asciiTheme="minorHAnsi" w:hAnsiTheme="minorHAnsi" w:cstheme="minorHAnsi"/>
          <w:szCs w:val="24"/>
        </w:rPr>
        <w:t xml:space="preserve"> la</w:t>
      </w:r>
      <w:r w:rsidR="001C799F" w:rsidRPr="00BD13D9">
        <w:rPr>
          <w:rFonts w:asciiTheme="minorHAnsi" w:hAnsiTheme="minorHAnsi" w:cstheme="minorHAnsi"/>
          <w:szCs w:val="24"/>
        </w:rPr>
        <w:t xml:space="preserve"> précieu</w:t>
      </w:r>
      <w:r w:rsidR="00F57B62" w:rsidRPr="00BD13D9">
        <w:rPr>
          <w:rFonts w:asciiTheme="minorHAnsi" w:hAnsiTheme="minorHAnsi" w:cstheme="minorHAnsi"/>
          <w:szCs w:val="24"/>
        </w:rPr>
        <w:t>se contribution</w:t>
      </w:r>
      <w:r w:rsidR="001C799F" w:rsidRPr="00BD13D9">
        <w:rPr>
          <w:rFonts w:asciiTheme="minorHAnsi" w:hAnsiTheme="minorHAnsi" w:cstheme="minorHAnsi"/>
          <w:szCs w:val="24"/>
        </w:rPr>
        <w:t xml:space="preserve"> qu</w:t>
      </w:r>
      <w:r w:rsidR="00F76CBB" w:rsidRPr="00BD13D9">
        <w:rPr>
          <w:rFonts w:asciiTheme="minorHAnsi" w:hAnsiTheme="minorHAnsi" w:cstheme="minorHAnsi"/>
          <w:szCs w:val="24"/>
        </w:rPr>
        <w:t>'</w:t>
      </w:r>
      <w:r w:rsidR="001C799F" w:rsidRPr="00BD13D9">
        <w:rPr>
          <w:rFonts w:asciiTheme="minorHAnsi" w:hAnsiTheme="minorHAnsi" w:cstheme="minorHAnsi"/>
          <w:szCs w:val="24"/>
        </w:rPr>
        <w:t>il apport</w:t>
      </w:r>
      <w:r w:rsidR="00C85A49" w:rsidRPr="00BD13D9">
        <w:rPr>
          <w:rFonts w:asciiTheme="minorHAnsi" w:hAnsiTheme="minorHAnsi" w:cstheme="minorHAnsi"/>
          <w:szCs w:val="24"/>
        </w:rPr>
        <w:t>e</w:t>
      </w:r>
      <w:r w:rsidR="001C799F" w:rsidRPr="00BD13D9">
        <w:rPr>
          <w:rFonts w:asciiTheme="minorHAnsi" w:hAnsiTheme="minorHAnsi" w:cstheme="minorHAnsi"/>
          <w:szCs w:val="24"/>
        </w:rPr>
        <w:t xml:space="preserve"> à l</w:t>
      </w:r>
      <w:r w:rsidR="00F76CBB" w:rsidRPr="00BD13D9">
        <w:rPr>
          <w:rFonts w:asciiTheme="minorHAnsi" w:hAnsiTheme="minorHAnsi" w:cstheme="minorHAnsi"/>
          <w:szCs w:val="24"/>
        </w:rPr>
        <w:t>'</w:t>
      </w:r>
      <w:r w:rsidR="001C799F" w:rsidRPr="00BD13D9">
        <w:rPr>
          <w:rFonts w:asciiTheme="minorHAnsi" w:hAnsiTheme="minorHAnsi" w:cstheme="minorHAnsi"/>
          <w:szCs w:val="24"/>
        </w:rPr>
        <w:t>Union</w:t>
      </w:r>
      <w:r w:rsidRPr="00BD13D9">
        <w:rPr>
          <w:rFonts w:asciiTheme="minorHAnsi" w:hAnsiTheme="minorHAnsi" w:cstheme="minorHAnsi"/>
          <w:szCs w:val="24"/>
        </w:rPr>
        <w:t>.</w:t>
      </w:r>
    </w:p>
    <w:p w14:paraId="69B33CE3" w14:textId="56A68050" w:rsidR="00813F8C" w:rsidRPr="00BD13D9" w:rsidRDefault="00813F8C" w:rsidP="007C48D1">
      <w:pPr>
        <w:rPr>
          <w:rFonts w:asciiTheme="minorHAnsi" w:hAnsiTheme="minorHAnsi" w:cstheme="minorHAnsi"/>
          <w:szCs w:val="24"/>
        </w:rPr>
      </w:pPr>
      <w:r w:rsidRPr="00BD13D9">
        <w:rPr>
          <w:rFonts w:asciiTheme="minorHAnsi" w:hAnsiTheme="minorHAnsi" w:cstheme="minorHAnsi"/>
          <w:bCs/>
          <w:szCs w:val="24"/>
        </w:rPr>
        <w:t>15.2</w:t>
      </w:r>
      <w:r w:rsidRPr="00BD13D9">
        <w:rPr>
          <w:rFonts w:asciiTheme="minorHAnsi" w:hAnsiTheme="minorHAnsi" w:cstheme="minorHAnsi"/>
          <w:bCs/>
          <w:szCs w:val="24"/>
        </w:rPr>
        <w:tab/>
      </w:r>
      <w:r w:rsidR="00C85A49" w:rsidRPr="00BD13D9">
        <w:rPr>
          <w:rFonts w:asciiTheme="minorHAnsi" w:hAnsiTheme="minorHAnsi" w:cstheme="minorHAnsi"/>
          <w:b/>
          <w:bCs/>
          <w:szCs w:val="24"/>
        </w:rPr>
        <w:t xml:space="preserve">M. </w:t>
      </w:r>
      <w:r w:rsidRPr="00BD13D9">
        <w:rPr>
          <w:rFonts w:asciiTheme="minorHAnsi" w:hAnsiTheme="minorHAnsi" w:cstheme="minorHAnsi"/>
          <w:b/>
          <w:bCs/>
          <w:szCs w:val="24"/>
        </w:rPr>
        <w:t>Akyildiz</w:t>
      </w:r>
      <w:r w:rsidRPr="00BD13D9">
        <w:rPr>
          <w:rFonts w:asciiTheme="minorHAnsi" w:hAnsiTheme="minorHAnsi" w:cstheme="minorHAnsi"/>
          <w:szCs w:val="24"/>
        </w:rPr>
        <w:t xml:space="preserve"> </w:t>
      </w:r>
      <w:r w:rsidR="00C85A49" w:rsidRPr="00BD13D9">
        <w:rPr>
          <w:rFonts w:asciiTheme="minorHAnsi" w:hAnsiTheme="minorHAnsi" w:cstheme="minorHAnsi"/>
          <w:szCs w:val="24"/>
        </w:rPr>
        <w:t>se dit honoré de recevoir</w:t>
      </w:r>
      <w:r w:rsidR="00F57B62" w:rsidRPr="00BD13D9">
        <w:rPr>
          <w:rFonts w:asciiTheme="minorHAnsi" w:hAnsiTheme="minorHAnsi" w:cstheme="minorHAnsi"/>
          <w:szCs w:val="24"/>
        </w:rPr>
        <w:t xml:space="preserve"> ce témoignage de</w:t>
      </w:r>
      <w:r w:rsidR="00C85A49" w:rsidRPr="00BD13D9">
        <w:rPr>
          <w:rFonts w:asciiTheme="minorHAnsi" w:hAnsiTheme="minorHAnsi" w:cstheme="minorHAnsi"/>
          <w:szCs w:val="24"/>
        </w:rPr>
        <w:t xml:space="preserve"> reconnaissance de ses travaux. Il</w:t>
      </w:r>
      <w:r w:rsidR="00F76CBB" w:rsidRPr="00BD13D9">
        <w:rPr>
          <w:rFonts w:asciiTheme="minorHAnsi" w:hAnsiTheme="minorHAnsi" w:cstheme="minorHAnsi"/>
          <w:szCs w:val="24"/>
        </w:rPr>
        <w:t xml:space="preserve"> </w:t>
      </w:r>
      <w:r w:rsidR="00C85A49" w:rsidRPr="00BD13D9">
        <w:rPr>
          <w:rFonts w:asciiTheme="minorHAnsi" w:hAnsiTheme="minorHAnsi" w:cstheme="minorHAnsi"/>
          <w:szCs w:val="24"/>
        </w:rPr>
        <w:t>remercie le Secrétaire général ainsi que ses coll</w:t>
      </w:r>
      <w:r w:rsidR="00F57B62" w:rsidRPr="00BD13D9">
        <w:rPr>
          <w:rFonts w:asciiTheme="minorHAnsi" w:hAnsiTheme="minorHAnsi" w:cstheme="minorHAnsi"/>
          <w:szCs w:val="24"/>
        </w:rPr>
        <w:t>aborateurs</w:t>
      </w:r>
      <w:r w:rsidR="009A3A2E" w:rsidRPr="00BD13D9">
        <w:rPr>
          <w:rFonts w:asciiTheme="minorHAnsi" w:hAnsiTheme="minorHAnsi" w:cstheme="minorHAnsi"/>
          <w:szCs w:val="24"/>
        </w:rPr>
        <w:t xml:space="preserve"> </w:t>
      </w:r>
      <w:r w:rsidR="00C85A49" w:rsidRPr="00BD13D9">
        <w:rPr>
          <w:rFonts w:asciiTheme="minorHAnsi" w:hAnsiTheme="minorHAnsi" w:cstheme="minorHAnsi"/>
          <w:szCs w:val="24"/>
        </w:rPr>
        <w:t xml:space="preserve">du Journal. Il encourage les délégués à </w:t>
      </w:r>
      <w:r w:rsidR="00F57B62" w:rsidRPr="00BD13D9">
        <w:rPr>
          <w:rFonts w:asciiTheme="minorHAnsi" w:hAnsiTheme="minorHAnsi" w:cstheme="minorHAnsi"/>
          <w:szCs w:val="24"/>
        </w:rPr>
        <w:t>se rendre sur</w:t>
      </w:r>
      <w:r w:rsidR="00C85A49" w:rsidRPr="00BD13D9">
        <w:rPr>
          <w:rFonts w:asciiTheme="minorHAnsi" w:hAnsiTheme="minorHAnsi" w:cstheme="minorHAnsi"/>
          <w:szCs w:val="24"/>
        </w:rPr>
        <w:t xml:space="preserve"> le site web du Journal, </w:t>
      </w:r>
      <w:r w:rsidR="00F57B62" w:rsidRPr="00BD13D9">
        <w:rPr>
          <w:rFonts w:asciiTheme="minorHAnsi" w:hAnsiTheme="minorHAnsi" w:cstheme="minorHAnsi"/>
          <w:szCs w:val="24"/>
        </w:rPr>
        <w:t xml:space="preserve">et </w:t>
      </w:r>
      <w:r w:rsidR="00C85A49" w:rsidRPr="00BD13D9">
        <w:rPr>
          <w:rFonts w:asciiTheme="minorHAnsi" w:hAnsiTheme="minorHAnsi" w:cstheme="minorHAnsi"/>
          <w:szCs w:val="24"/>
        </w:rPr>
        <w:t>not</w:t>
      </w:r>
      <w:r w:rsidR="00F57B62" w:rsidRPr="00BD13D9">
        <w:rPr>
          <w:rFonts w:asciiTheme="minorHAnsi" w:hAnsiTheme="minorHAnsi" w:cstheme="minorHAnsi"/>
          <w:szCs w:val="24"/>
        </w:rPr>
        <w:t>e</w:t>
      </w:r>
      <w:r w:rsidR="0056155E" w:rsidRPr="00BD13D9">
        <w:rPr>
          <w:rFonts w:asciiTheme="minorHAnsi" w:hAnsiTheme="minorHAnsi" w:cstheme="minorHAnsi"/>
          <w:szCs w:val="24"/>
        </w:rPr>
        <w:t xml:space="preserve"> </w:t>
      </w:r>
      <w:r w:rsidR="00C85A49" w:rsidRPr="00BD13D9">
        <w:rPr>
          <w:rFonts w:asciiTheme="minorHAnsi" w:hAnsiTheme="minorHAnsi" w:cstheme="minorHAnsi"/>
          <w:szCs w:val="24"/>
        </w:rPr>
        <w:t>que la publication vise à jeter des ponts entre l</w:t>
      </w:r>
      <w:r w:rsidR="00F76CBB" w:rsidRPr="00BD13D9">
        <w:rPr>
          <w:rFonts w:asciiTheme="minorHAnsi" w:hAnsiTheme="minorHAnsi" w:cstheme="minorHAnsi"/>
          <w:szCs w:val="24"/>
        </w:rPr>
        <w:t>'</w:t>
      </w:r>
      <w:r w:rsidR="00C85A49" w:rsidRPr="00BD13D9">
        <w:rPr>
          <w:rFonts w:asciiTheme="minorHAnsi" w:hAnsiTheme="minorHAnsi" w:cstheme="minorHAnsi"/>
          <w:szCs w:val="24"/>
        </w:rPr>
        <w:t>UIT et</w:t>
      </w:r>
      <w:r w:rsidR="0056155E" w:rsidRPr="00BD13D9">
        <w:rPr>
          <w:rFonts w:asciiTheme="minorHAnsi" w:hAnsiTheme="minorHAnsi" w:cstheme="minorHAnsi"/>
          <w:szCs w:val="24"/>
        </w:rPr>
        <w:t xml:space="preserve"> </w:t>
      </w:r>
      <w:r w:rsidR="00F57B62" w:rsidRPr="00BD13D9">
        <w:rPr>
          <w:rFonts w:asciiTheme="minorHAnsi" w:hAnsiTheme="minorHAnsi" w:cstheme="minorHAnsi"/>
          <w:szCs w:val="24"/>
        </w:rPr>
        <w:t>les milieux universitaires</w:t>
      </w:r>
      <w:r w:rsidR="00C85A49" w:rsidRPr="00BD13D9">
        <w:rPr>
          <w:rFonts w:asciiTheme="minorHAnsi" w:hAnsiTheme="minorHAnsi" w:cstheme="minorHAnsi"/>
          <w:szCs w:val="24"/>
        </w:rPr>
        <w:t>. Il</w:t>
      </w:r>
      <w:r w:rsidR="00F76CBB" w:rsidRPr="00BD13D9">
        <w:rPr>
          <w:rFonts w:asciiTheme="minorHAnsi" w:hAnsiTheme="minorHAnsi" w:cstheme="minorHAnsi"/>
          <w:szCs w:val="24"/>
        </w:rPr>
        <w:t xml:space="preserve"> </w:t>
      </w:r>
      <w:r w:rsidR="00F57B62" w:rsidRPr="00BD13D9">
        <w:rPr>
          <w:rFonts w:asciiTheme="minorHAnsi" w:hAnsiTheme="minorHAnsi" w:cstheme="minorHAnsi"/>
          <w:szCs w:val="24"/>
        </w:rPr>
        <w:t>espère</w:t>
      </w:r>
      <w:r w:rsidR="0056155E" w:rsidRPr="00BD13D9">
        <w:rPr>
          <w:rFonts w:asciiTheme="minorHAnsi" w:hAnsiTheme="minorHAnsi" w:cstheme="minorHAnsi"/>
          <w:szCs w:val="24"/>
        </w:rPr>
        <w:t xml:space="preserve"> </w:t>
      </w:r>
      <w:r w:rsidR="00F57B62" w:rsidRPr="00BD13D9">
        <w:rPr>
          <w:rFonts w:asciiTheme="minorHAnsi" w:hAnsiTheme="minorHAnsi" w:cstheme="minorHAnsi"/>
          <w:szCs w:val="24"/>
        </w:rPr>
        <w:t>que des</w:t>
      </w:r>
      <w:r w:rsidR="00C85A49" w:rsidRPr="00BD13D9">
        <w:rPr>
          <w:rFonts w:asciiTheme="minorHAnsi" w:hAnsiTheme="minorHAnsi" w:cstheme="minorHAnsi"/>
          <w:szCs w:val="24"/>
        </w:rPr>
        <w:t xml:space="preserve"> possibilités d</w:t>
      </w:r>
      <w:r w:rsidR="00F76CBB" w:rsidRPr="00BD13D9">
        <w:rPr>
          <w:rFonts w:asciiTheme="minorHAnsi" w:hAnsiTheme="minorHAnsi" w:cstheme="minorHAnsi"/>
          <w:szCs w:val="24"/>
        </w:rPr>
        <w:t>'</w:t>
      </w:r>
      <w:r w:rsidR="00C85A49" w:rsidRPr="00BD13D9">
        <w:rPr>
          <w:rFonts w:asciiTheme="minorHAnsi" w:hAnsiTheme="minorHAnsi" w:cstheme="minorHAnsi"/>
          <w:szCs w:val="24"/>
        </w:rPr>
        <w:t>échange d</w:t>
      </w:r>
      <w:r w:rsidR="00F76CBB" w:rsidRPr="00BD13D9">
        <w:rPr>
          <w:rFonts w:asciiTheme="minorHAnsi" w:hAnsiTheme="minorHAnsi" w:cstheme="minorHAnsi"/>
          <w:szCs w:val="24"/>
        </w:rPr>
        <w:t>'</w:t>
      </w:r>
      <w:r w:rsidR="00C85A49" w:rsidRPr="00BD13D9">
        <w:rPr>
          <w:rFonts w:asciiTheme="minorHAnsi" w:hAnsiTheme="minorHAnsi" w:cstheme="minorHAnsi"/>
          <w:szCs w:val="24"/>
        </w:rPr>
        <w:t>idées</w:t>
      </w:r>
      <w:r w:rsidR="00F57B62" w:rsidRPr="00BD13D9">
        <w:rPr>
          <w:rFonts w:asciiTheme="minorHAnsi" w:hAnsiTheme="minorHAnsi" w:cstheme="minorHAnsi"/>
          <w:szCs w:val="24"/>
        </w:rPr>
        <w:t xml:space="preserve"> se présenteront à terme</w:t>
      </w:r>
      <w:r w:rsidRPr="00BD13D9">
        <w:rPr>
          <w:rFonts w:asciiTheme="minorHAnsi" w:hAnsiTheme="minorHAnsi" w:cstheme="minorHAnsi"/>
          <w:szCs w:val="24"/>
        </w:rPr>
        <w:t>.</w:t>
      </w:r>
    </w:p>
    <w:p w14:paraId="714FBB75" w14:textId="68DC680C" w:rsidR="00044685" w:rsidRPr="007C48D1" w:rsidRDefault="00044685" w:rsidP="007C48D1">
      <w:pPr>
        <w:rPr>
          <w:b/>
        </w:rPr>
      </w:pPr>
      <w:bookmarkStart w:id="36" w:name="lt_pId169"/>
      <w:r w:rsidRPr="007C48D1">
        <w:rPr>
          <w:b/>
        </w:rPr>
        <w:t>La séance est levée à 15 h 15.</w:t>
      </w:r>
      <w:bookmarkEnd w:id="36"/>
    </w:p>
    <w:p w14:paraId="1AD762CE" w14:textId="77777777" w:rsidR="00044685" w:rsidRPr="00BD13D9" w:rsidRDefault="00044685" w:rsidP="00003FE1">
      <w:pPr>
        <w:widowControl w:val="0"/>
        <w:tabs>
          <w:tab w:val="clear" w:pos="567"/>
          <w:tab w:val="clear" w:pos="1134"/>
          <w:tab w:val="clear" w:pos="1701"/>
          <w:tab w:val="clear" w:pos="2268"/>
          <w:tab w:val="clear" w:pos="2835"/>
          <w:tab w:val="left" w:pos="7088"/>
        </w:tabs>
        <w:overflowPunct/>
        <w:autoSpaceDE/>
        <w:snapToGrid w:val="0"/>
        <w:spacing w:before="840"/>
      </w:pPr>
      <w:bookmarkStart w:id="37" w:name="lt_pId170"/>
      <w:r w:rsidRPr="00BD13D9">
        <w:t>Le Secrétaire général:</w:t>
      </w:r>
      <w:bookmarkEnd w:id="37"/>
      <w:r w:rsidRPr="00BD13D9">
        <w:tab/>
      </w:r>
      <w:bookmarkStart w:id="38" w:name="lt_pId171"/>
      <w:r w:rsidRPr="00BD13D9">
        <w:t>Le Président:</w:t>
      </w:r>
      <w:bookmarkEnd w:id="38"/>
    </w:p>
    <w:p w14:paraId="53F63082" w14:textId="77777777" w:rsidR="00044685" w:rsidRPr="00BD13D9" w:rsidRDefault="00044685" w:rsidP="00003FE1">
      <w:pPr>
        <w:widowControl w:val="0"/>
        <w:tabs>
          <w:tab w:val="clear" w:pos="567"/>
          <w:tab w:val="clear" w:pos="1134"/>
          <w:tab w:val="clear" w:pos="1701"/>
          <w:tab w:val="clear" w:pos="2268"/>
          <w:tab w:val="clear" w:pos="2835"/>
          <w:tab w:val="left" w:pos="7088"/>
        </w:tabs>
        <w:overflowPunct/>
        <w:autoSpaceDE/>
        <w:snapToGrid w:val="0"/>
        <w:spacing w:before="0"/>
      </w:pPr>
      <w:bookmarkStart w:id="39" w:name="lt_pId172"/>
      <w:r w:rsidRPr="00BD13D9">
        <w:t>H.</w:t>
      </w:r>
      <w:bookmarkEnd w:id="39"/>
      <w:r w:rsidRPr="00BD13D9">
        <w:t xml:space="preserve"> </w:t>
      </w:r>
      <w:bookmarkStart w:id="40" w:name="lt_pId173"/>
      <w:r w:rsidRPr="00BD13D9">
        <w:t>ZHAO</w:t>
      </w:r>
      <w:bookmarkEnd w:id="40"/>
      <w:r w:rsidRPr="00BD13D9">
        <w:tab/>
        <w:t>S. SĂRMAŞ</w:t>
      </w:r>
    </w:p>
    <w:p w14:paraId="64AA5031" w14:textId="77777777" w:rsidR="00813F8C" w:rsidRPr="007C48D1" w:rsidRDefault="00813F8C" w:rsidP="00003FE1">
      <w:pPr>
        <w:spacing w:before="1320"/>
        <w:rPr>
          <w:rFonts w:cstheme="minorHAnsi"/>
          <w:szCs w:val="24"/>
        </w:rPr>
      </w:pPr>
      <w:r w:rsidRPr="007C48D1">
        <w:rPr>
          <w:rFonts w:cstheme="minorHAnsi"/>
          <w:b/>
          <w:bCs/>
          <w:szCs w:val="24"/>
        </w:rPr>
        <w:t>Annexes</w:t>
      </w:r>
      <w:r w:rsidRPr="007C48D1">
        <w:rPr>
          <w:rFonts w:cstheme="minorHAnsi"/>
          <w:szCs w:val="24"/>
        </w:rPr>
        <w:t>: 3</w:t>
      </w:r>
    </w:p>
    <w:p w14:paraId="7145CF51" w14:textId="0609AD0B" w:rsidR="00F23C7C" w:rsidRPr="00BD13D9" w:rsidRDefault="00813F8C" w:rsidP="0056155E">
      <w:pPr>
        <w:pStyle w:val="AnnexNo"/>
      </w:pPr>
      <w:r w:rsidRPr="00BD13D9">
        <w:rPr>
          <w:rFonts w:cstheme="minorHAnsi"/>
          <w:iCs/>
          <w:szCs w:val="24"/>
        </w:rPr>
        <w:br w:type="page"/>
      </w:r>
      <w:bookmarkStart w:id="41" w:name="_Hlk116641036"/>
      <w:r w:rsidR="00F23C7C" w:rsidRPr="00BD13D9">
        <w:lastRenderedPageBreak/>
        <w:t>AnnexE A</w:t>
      </w:r>
    </w:p>
    <w:p w14:paraId="1E2F54E8" w14:textId="749E7257" w:rsidR="00F23C7C" w:rsidRPr="00BD13D9" w:rsidRDefault="00F23C7C" w:rsidP="0056155E">
      <w:pPr>
        <w:spacing w:after="120"/>
        <w:jc w:val="right"/>
        <w:rPr>
          <w:rFonts w:cstheme="minorHAnsi"/>
          <w:iCs/>
          <w:szCs w:val="24"/>
        </w:rPr>
      </w:pPr>
      <w:r w:rsidRPr="00BD13D9">
        <w:rPr>
          <w:rFonts w:cstheme="minorHAnsi"/>
          <w:iCs/>
          <w:szCs w:val="24"/>
        </w:rPr>
        <w:t>Original: anglais</w:t>
      </w:r>
    </w:p>
    <w:bookmarkEnd w:id="41"/>
    <w:p w14:paraId="18D91323" w14:textId="1B6F8859" w:rsidR="00F23C7C" w:rsidRPr="00BD13D9" w:rsidRDefault="003214DF" w:rsidP="0056155E">
      <w:pPr>
        <w:pStyle w:val="Annextitle"/>
        <w:rPr>
          <w:lang w:eastAsia="zh-CN"/>
        </w:rPr>
      </w:pPr>
      <w:r w:rsidRPr="00BD13D9">
        <w:rPr>
          <w:lang w:eastAsia="zh-CN"/>
        </w:rPr>
        <w:t xml:space="preserve">Déclaration de la </w:t>
      </w:r>
      <w:r w:rsidR="001C0498" w:rsidRPr="00BD13D9">
        <w:rPr>
          <w:lang w:eastAsia="zh-CN"/>
        </w:rPr>
        <w:t>délégation</w:t>
      </w:r>
      <w:r w:rsidRPr="00BD13D9">
        <w:rPr>
          <w:lang w:eastAsia="zh-CN"/>
        </w:rPr>
        <w:t xml:space="preserve"> de l</w:t>
      </w:r>
      <w:r w:rsidR="00F76CBB" w:rsidRPr="00BD13D9">
        <w:rPr>
          <w:lang w:eastAsia="zh-CN"/>
        </w:rPr>
        <w:t>'</w:t>
      </w:r>
      <w:r w:rsidRPr="00BD13D9">
        <w:rPr>
          <w:lang w:eastAsia="zh-CN"/>
        </w:rPr>
        <w:t>Ukraine</w:t>
      </w:r>
    </w:p>
    <w:p w14:paraId="5ABFEACC" w14:textId="3D6E6742" w:rsidR="00F23C7C" w:rsidRPr="00BD13D9" w:rsidRDefault="003214DF" w:rsidP="00003FE1">
      <w:pPr>
        <w:spacing w:before="360"/>
        <w:rPr>
          <w:rFonts w:eastAsia="DengXian" w:cs="Calibri"/>
          <w:szCs w:val="24"/>
          <w:lang w:eastAsia="zh-CN"/>
        </w:rPr>
      </w:pPr>
      <w:r w:rsidRPr="00BD13D9">
        <w:rPr>
          <w:rFonts w:eastAsia="DengXian" w:cs="Calibri"/>
          <w:szCs w:val="24"/>
          <w:lang w:eastAsia="zh-CN"/>
        </w:rPr>
        <w:t>Monsieur le Président, Monsieur le Secrétaire général</w:t>
      </w:r>
      <w:r w:rsidR="00F23C7C" w:rsidRPr="00BD13D9">
        <w:rPr>
          <w:rFonts w:eastAsia="DengXian" w:cs="Calibri"/>
          <w:szCs w:val="24"/>
          <w:lang w:eastAsia="zh-CN"/>
        </w:rPr>
        <w:t>,</w:t>
      </w:r>
    </w:p>
    <w:p w14:paraId="0F9F8016" w14:textId="14D288FC" w:rsidR="00F23C7C" w:rsidRPr="00BD13D9" w:rsidRDefault="003214DF" w:rsidP="0056155E">
      <w:pPr>
        <w:rPr>
          <w:rFonts w:eastAsia="DengXian" w:cs="Calibri"/>
          <w:szCs w:val="24"/>
          <w:lang w:eastAsia="zh-CN"/>
        </w:rPr>
      </w:pPr>
      <w:r w:rsidRPr="00BD13D9">
        <w:rPr>
          <w:rFonts w:cs="Calibri"/>
          <w:szCs w:val="24"/>
          <w:lang w:eastAsia="zh-CN"/>
        </w:rPr>
        <w:t>Excellences, Mesdames et Messieurs</w:t>
      </w:r>
      <w:r w:rsidR="00F23C7C" w:rsidRPr="00BD13D9">
        <w:rPr>
          <w:rFonts w:eastAsia="DengXian" w:cs="Calibri"/>
          <w:szCs w:val="24"/>
          <w:lang w:eastAsia="zh-CN"/>
        </w:rPr>
        <w:t>,</w:t>
      </w:r>
    </w:p>
    <w:p w14:paraId="0586F9F3" w14:textId="41E90928" w:rsidR="00813F8C" w:rsidRPr="00BD13D9" w:rsidRDefault="003214DF" w:rsidP="0056155E">
      <w:pPr>
        <w:rPr>
          <w:rFonts w:eastAsia="DengXian" w:cs="Calibri"/>
          <w:szCs w:val="24"/>
          <w:lang w:eastAsia="zh-CN"/>
        </w:rPr>
      </w:pPr>
      <w:r w:rsidRPr="00BD13D9">
        <w:rPr>
          <w:rFonts w:eastAsia="DengXian" w:cs="Calibri"/>
          <w:szCs w:val="24"/>
          <w:lang w:eastAsia="zh-CN"/>
        </w:rPr>
        <w:t>J</w:t>
      </w:r>
      <w:r w:rsidR="00F76CBB" w:rsidRPr="00BD13D9">
        <w:rPr>
          <w:rFonts w:eastAsia="DengXian" w:cs="Calibri"/>
          <w:szCs w:val="24"/>
          <w:lang w:eastAsia="zh-CN"/>
        </w:rPr>
        <w:t>'</w:t>
      </w:r>
      <w:r w:rsidRPr="00BD13D9">
        <w:rPr>
          <w:rFonts w:eastAsia="DengXian" w:cs="Calibri"/>
          <w:szCs w:val="24"/>
          <w:lang w:eastAsia="zh-CN"/>
        </w:rPr>
        <w:t>ai l</w:t>
      </w:r>
      <w:r w:rsidR="00F76CBB" w:rsidRPr="00BD13D9">
        <w:rPr>
          <w:rFonts w:eastAsia="DengXian" w:cs="Calibri"/>
          <w:szCs w:val="24"/>
          <w:lang w:eastAsia="zh-CN"/>
        </w:rPr>
        <w:t>'</w:t>
      </w:r>
      <w:r w:rsidRPr="00BD13D9">
        <w:rPr>
          <w:rFonts w:eastAsia="DengXian" w:cs="Calibri"/>
          <w:szCs w:val="24"/>
          <w:lang w:eastAsia="zh-CN"/>
        </w:rPr>
        <w:t>honneur de</w:t>
      </w:r>
      <w:r w:rsidR="0056155E" w:rsidRPr="00BD13D9">
        <w:rPr>
          <w:rFonts w:eastAsia="DengXian" w:cs="Calibri"/>
          <w:szCs w:val="24"/>
          <w:lang w:eastAsia="zh-CN"/>
        </w:rPr>
        <w:t xml:space="preserve"> </w:t>
      </w:r>
      <w:r w:rsidR="00F57B62" w:rsidRPr="00BD13D9">
        <w:rPr>
          <w:rFonts w:eastAsia="DengXian" w:cs="Calibri"/>
          <w:szCs w:val="24"/>
          <w:lang w:eastAsia="zh-CN"/>
        </w:rPr>
        <w:t>donner lecture d</w:t>
      </w:r>
      <w:r w:rsidR="00F76CBB" w:rsidRPr="00BD13D9">
        <w:rPr>
          <w:rFonts w:eastAsia="DengXian" w:cs="Calibri"/>
          <w:szCs w:val="24"/>
          <w:lang w:eastAsia="zh-CN"/>
        </w:rPr>
        <w:t>'</w:t>
      </w:r>
      <w:r w:rsidRPr="00BD13D9">
        <w:rPr>
          <w:rFonts w:eastAsia="DengXian" w:cs="Calibri"/>
          <w:szCs w:val="24"/>
          <w:lang w:eastAsia="zh-CN"/>
        </w:rPr>
        <w:t>une déclaration au nom des États Membres suivants de l</w:t>
      </w:r>
      <w:r w:rsidR="00F76CBB" w:rsidRPr="00BD13D9">
        <w:rPr>
          <w:rFonts w:eastAsia="DengXian" w:cs="Calibri"/>
          <w:szCs w:val="24"/>
          <w:lang w:eastAsia="zh-CN"/>
        </w:rPr>
        <w:t>'</w:t>
      </w:r>
      <w:r w:rsidRPr="00BD13D9">
        <w:rPr>
          <w:rFonts w:eastAsia="DengXian" w:cs="Calibri"/>
          <w:szCs w:val="24"/>
          <w:lang w:eastAsia="zh-CN"/>
        </w:rPr>
        <w:t>UIT</w:t>
      </w:r>
      <w:r w:rsidR="00F23C7C" w:rsidRPr="00BD13D9">
        <w:rPr>
          <w:rFonts w:eastAsia="DengXian" w:cs="Calibri"/>
          <w:szCs w:val="24"/>
          <w:lang w:eastAsia="zh-CN"/>
        </w:rPr>
        <w:t xml:space="preserve">: </w:t>
      </w:r>
      <w:r w:rsidR="00F23C7C" w:rsidRPr="00BD13D9">
        <w:rPr>
          <w:rFonts w:eastAsia="DengXian" w:cs="Calibri"/>
          <w:b/>
          <w:szCs w:val="24"/>
          <w:lang w:eastAsia="zh-CN"/>
        </w:rPr>
        <w:t>Ukraine</w:t>
      </w:r>
      <w:r w:rsidR="00F23C7C" w:rsidRPr="00003FE1">
        <w:rPr>
          <w:rFonts w:eastAsia="DengXian" w:cs="Calibri"/>
          <w:szCs w:val="24"/>
          <w:lang w:eastAsia="zh-CN"/>
        </w:rPr>
        <w:t>,</w:t>
      </w:r>
      <w:r w:rsidRPr="00BD13D9">
        <w:rPr>
          <w:rFonts w:eastAsia="DengXian" w:cs="Calibri"/>
          <w:b/>
          <w:szCs w:val="24"/>
          <w:lang w:eastAsia="zh-CN"/>
        </w:rPr>
        <w:t xml:space="preserve"> </w:t>
      </w:r>
      <w:r w:rsidR="00F23C7C" w:rsidRPr="00BD13D9">
        <w:rPr>
          <w:rFonts w:eastAsia="DengXian" w:cs="Calibri"/>
          <w:b/>
          <w:szCs w:val="24"/>
          <w:lang w:eastAsia="zh-CN"/>
        </w:rPr>
        <w:t xml:space="preserve">27 </w:t>
      </w:r>
      <w:r w:rsidRPr="00BD13D9">
        <w:rPr>
          <w:rFonts w:eastAsia="DengXian" w:cs="Calibri"/>
          <w:b/>
          <w:szCs w:val="24"/>
          <w:lang w:eastAsia="zh-CN"/>
        </w:rPr>
        <w:t>États Membres de l</w:t>
      </w:r>
      <w:r w:rsidR="00F76CBB" w:rsidRPr="00BD13D9">
        <w:rPr>
          <w:rFonts w:eastAsia="DengXian" w:cs="Calibri"/>
          <w:b/>
          <w:szCs w:val="24"/>
          <w:lang w:eastAsia="zh-CN"/>
        </w:rPr>
        <w:t>'</w:t>
      </w:r>
      <w:r w:rsidRPr="00BD13D9">
        <w:rPr>
          <w:rFonts w:eastAsia="DengXian" w:cs="Calibri"/>
          <w:b/>
          <w:szCs w:val="24"/>
          <w:lang w:eastAsia="zh-CN"/>
        </w:rPr>
        <w:t>Union européenne</w:t>
      </w:r>
      <w:r w:rsidR="00F23C7C" w:rsidRPr="00003FE1">
        <w:rPr>
          <w:rFonts w:eastAsia="DengXian" w:cs="Calibri"/>
          <w:szCs w:val="24"/>
          <w:lang w:eastAsia="zh-CN"/>
        </w:rPr>
        <w:t>,</w:t>
      </w:r>
      <w:r w:rsidR="00F23C7C" w:rsidRPr="00BD13D9">
        <w:rPr>
          <w:rFonts w:eastAsia="DengXian" w:cs="Calibri"/>
          <w:b/>
          <w:szCs w:val="24"/>
          <w:lang w:eastAsia="zh-CN"/>
        </w:rPr>
        <w:t xml:space="preserve"> Albani</w:t>
      </w:r>
      <w:r w:rsidR="00750D67" w:rsidRPr="00BD13D9">
        <w:rPr>
          <w:rFonts w:eastAsia="DengXian" w:cs="Calibri"/>
          <w:b/>
          <w:szCs w:val="24"/>
          <w:lang w:eastAsia="zh-CN"/>
        </w:rPr>
        <w:t>e</w:t>
      </w:r>
      <w:r w:rsidR="00F23C7C" w:rsidRPr="00003FE1">
        <w:rPr>
          <w:rFonts w:eastAsia="DengXian" w:cs="Calibri"/>
          <w:szCs w:val="24"/>
          <w:lang w:eastAsia="zh-CN"/>
        </w:rPr>
        <w:t>,</w:t>
      </w:r>
      <w:r w:rsidR="00F23C7C" w:rsidRPr="00BD13D9">
        <w:rPr>
          <w:rFonts w:eastAsia="DengXian" w:cs="Calibri"/>
          <w:b/>
          <w:szCs w:val="24"/>
          <w:lang w:eastAsia="zh-CN"/>
        </w:rPr>
        <w:t xml:space="preserve"> Andorr</w:t>
      </w:r>
      <w:r w:rsidR="00750D67" w:rsidRPr="00BD13D9">
        <w:rPr>
          <w:rFonts w:eastAsia="DengXian" w:cs="Calibri"/>
          <w:b/>
          <w:szCs w:val="24"/>
          <w:lang w:eastAsia="zh-CN"/>
        </w:rPr>
        <w:t>e</w:t>
      </w:r>
      <w:r w:rsidR="00F23C7C" w:rsidRPr="00003FE1">
        <w:rPr>
          <w:rFonts w:eastAsia="DengXian" w:cs="Calibri"/>
          <w:szCs w:val="24"/>
          <w:lang w:eastAsia="zh-CN"/>
        </w:rPr>
        <w:t xml:space="preserve">, </w:t>
      </w:r>
      <w:r w:rsidR="00F23C7C" w:rsidRPr="00BD13D9">
        <w:rPr>
          <w:rFonts w:eastAsia="DengXian" w:cs="Calibri"/>
          <w:b/>
          <w:szCs w:val="24"/>
          <w:lang w:eastAsia="zh-CN"/>
        </w:rPr>
        <w:t>Australi</w:t>
      </w:r>
      <w:r w:rsidR="00750D67" w:rsidRPr="00BD13D9">
        <w:rPr>
          <w:rFonts w:eastAsia="DengXian" w:cs="Calibri"/>
          <w:b/>
          <w:szCs w:val="24"/>
          <w:lang w:eastAsia="zh-CN"/>
        </w:rPr>
        <w:t>e</w:t>
      </w:r>
      <w:r w:rsidR="00F23C7C" w:rsidRPr="00003FE1">
        <w:rPr>
          <w:rFonts w:eastAsia="DengXian" w:cs="Calibri"/>
          <w:szCs w:val="24"/>
          <w:lang w:eastAsia="zh-CN"/>
        </w:rPr>
        <w:t>,</w:t>
      </w:r>
      <w:r w:rsidR="00F23C7C" w:rsidRPr="00BD13D9">
        <w:rPr>
          <w:rFonts w:eastAsia="DengXian" w:cs="Calibri"/>
          <w:b/>
          <w:szCs w:val="24"/>
          <w:lang w:eastAsia="zh-CN"/>
        </w:rPr>
        <w:t xml:space="preserve"> Canada</w:t>
      </w:r>
      <w:r w:rsidR="00F23C7C" w:rsidRPr="00003FE1">
        <w:rPr>
          <w:rFonts w:eastAsia="DengXian" w:cs="Calibri"/>
          <w:szCs w:val="24"/>
          <w:lang w:eastAsia="zh-CN"/>
        </w:rPr>
        <w:t xml:space="preserve">, </w:t>
      </w:r>
      <w:r w:rsidRPr="00BD13D9">
        <w:rPr>
          <w:rFonts w:eastAsia="DengXian" w:cs="Calibri"/>
          <w:b/>
          <w:szCs w:val="24"/>
          <w:lang w:eastAsia="zh-CN"/>
        </w:rPr>
        <w:t>Équateur</w:t>
      </w:r>
      <w:r w:rsidR="00F23C7C" w:rsidRPr="00003FE1">
        <w:rPr>
          <w:rFonts w:eastAsia="DengXian" w:cs="Calibri"/>
          <w:szCs w:val="24"/>
          <w:lang w:eastAsia="zh-CN"/>
        </w:rPr>
        <w:t xml:space="preserve">, </w:t>
      </w:r>
      <w:r w:rsidR="00F23C7C" w:rsidRPr="00BD13D9">
        <w:rPr>
          <w:rFonts w:eastAsia="DengXian" w:cs="Calibri"/>
          <w:b/>
          <w:szCs w:val="24"/>
          <w:lang w:eastAsia="zh-CN"/>
        </w:rPr>
        <w:t>G</w:t>
      </w:r>
      <w:r w:rsidR="00750D67" w:rsidRPr="00BD13D9">
        <w:rPr>
          <w:rFonts w:eastAsia="DengXian" w:cs="Calibri"/>
          <w:b/>
          <w:szCs w:val="24"/>
          <w:lang w:eastAsia="zh-CN"/>
        </w:rPr>
        <w:t>é</w:t>
      </w:r>
      <w:r w:rsidR="00F23C7C" w:rsidRPr="00BD13D9">
        <w:rPr>
          <w:rFonts w:eastAsia="DengXian" w:cs="Calibri"/>
          <w:b/>
          <w:szCs w:val="24"/>
          <w:lang w:eastAsia="zh-CN"/>
        </w:rPr>
        <w:t>orgi</w:t>
      </w:r>
      <w:r w:rsidR="00750D67" w:rsidRPr="00BD13D9">
        <w:rPr>
          <w:rFonts w:eastAsia="DengXian" w:cs="Calibri"/>
          <w:b/>
          <w:szCs w:val="24"/>
          <w:lang w:eastAsia="zh-CN"/>
        </w:rPr>
        <w:t>e</w:t>
      </w:r>
      <w:r w:rsidR="00F23C7C" w:rsidRPr="00003FE1">
        <w:rPr>
          <w:rFonts w:eastAsia="DengXian" w:cs="Calibri"/>
          <w:szCs w:val="24"/>
          <w:lang w:eastAsia="zh-CN"/>
        </w:rPr>
        <w:t xml:space="preserve">, </w:t>
      </w:r>
      <w:r w:rsidR="00F23C7C" w:rsidRPr="00BD13D9">
        <w:rPr>
          <w:rFonts w:eastAsia="DengXian" w:cs="Calibri"/>
          <w:b/>
          <w:szCs w:val="24"/>
          <w:lang w:eastAsia="zh-CN"/>
        </w:rPr>
        <w:t>I</w:t>
      </w:r>
      <w:r w:rsidR="00750D67" w:rsidRPr="00BD13D9">
        <w:rPr>
          <w:rFonts w:eastAsia="DengXian" w:cs="Calibri"/>
          <w:b/>
          <w:szCs w:val="24"/>
          <w:lang w:eastAsia="zh-CN"/>
        </w:rPr>
        <w:t>s</w:t>
      </w:r>
      <w:r w:rsidR="00F23C7C" w:rsidRPr="00BD13D9">
        <w:rPr>
          <w:rFonts w:eastAsia="DengXian" w:cs="Calibri"/>
          <w:b/>
          <w:szCs w:val="24"/>
          <w:lang w:eastAsia="zh-CN"/>
        </w:rPr>
        <w:t>land</w:t>
      </w:r>
      <w:r w:rsidR="00750D67" w:rsidRPr="00BD13D9">
        <w:rPr>
          <w:rFonts w:eastAsia="DengXian" w:cs="Calibri"/>
          <w:b/>
          <w:szCs w:val="24"/>
          <w:lang w:eastAsia="zh-CN"/>
        </w:rPr>
        <w:t>e</w:t>
      </w:r>
      <w:r w:rsidR="00F23C7C" w:rsidRPr="00003FE1">
        <w:rPr>
          <w:rFonts w:eastAsia="DengXian" w:cs="Calibri"/>
          <w:szCs w:val="24"/>
          <w:lang w:eastAsia="zh-CN"/>
        </w:rPr>
        <w:t xml:space="preserve">, </w:t>
      </w:r>
      <w:r w:rsidR="00F23C7C" w:rsidRPr="00BD13D9">
        <w:rPr>
          <w:rFonts w:eastAsia="DengXian" w:cs="Calibri"/>
          <w:b/>
          <w:szCs w:val="24"/>
          <w:lang w:eastAsia="zh-CN"/>
        </w:rPr>
        <w:t>Isra</w:t>
      </w:r>
      <w:r w:rsidR="00750D67" w:rsidRPr="00BD13D9">
        <w:rPr>
          <w:rFonts w:eastAsia="DengXian" w:cs="Calibri"/>
          <w:b/>
          <w:szCs w:val="24"/>
          <w:lang w:eastAsia="zh-CN"/>
        </w:rPr>
        <w:t>ë</w:t>
      </w:r>
      <w:r w:rsidR="00F23C7C" w:rsidRPr="00BD13D9">
        <w:rPr>
          <w:rFonts w:eastAsia="DengXian" w:cs="Calibri"/>
          <w:b/>
          <w:szCs w:val="24"/>
          <w:lang w:eastAsia="zh-CN"/>
        </w:rPr>
        <w:t>l</w:t>
      </w:r>
      <w:r w:rsidR="00F23C7C" w:rsidRPr="00003FE1">
        <w:rPr>
          <w:rFonts w:eastAsia="DengXian" w:cs="Calibri"/>
          <w:szCs w:val="24"/>
          <w:lang w:eastAsia="zh-CN"/>
        </w:rPr>
        <w:t xml:space="preserve">, </w:t>
      </w:r>
      <w:r w:rsidR="00F23C7C" w:rsidRPr="00003FE1">
        <w:rPr>
          <w:rFonts w:eastAsia="DengXian" w:cs="Calibri"/>
          <w:b/>
          <w:szCs w:val="24"/>
          <w:lang w:eastAsia="zh-CN"/>
        </w:rPr>
        <w:t>J</w:t>
      </w:r>
      <w:r w:rsidR="00F23C7C" w:rsidRPr="00BD13D9">
        <w:rPr>
          <w:rFonts w:eastAsia="DengXian" w:cs="Calibri"/>
          <w:b/>
          <w:szCs w:val="24"/>
          <w:lang w:eastAsia="zh-CN"/>
        </w:rPr>
        <w:t>ap</w:t>
      </w:r>
      <w:r w:rsidR="00750D67" w:rsidRPr="00BD13D9">
        <w:rPr>
          <w:rFonts w:eastAsia="DengXian" w:cs="Calibri"/>
          <w:b/>
          <w:szCs w:val="24"/>
          <w:lang w:eastAsia="zh-CN"/>
        </w:rPr>
        <w:t>o</w:t>
      </w:r>
      <w:r w:rsidR="00F23C7C" w:rsidRPr="00BD13D9">
        <w:rPr>
          <w:rFonts w:eastAsia="DengXian" w:cs="Calibri"/>
          <w:b/>
          <w:szCs w:val="24"/>
          <w:lang w:eastAsia="zh-CN"/>
        </w:rPr>
        <w:t>n</w:t>
      </w:r>
      <w:r w:rsidR="00F23C7C" w:rsidRPr="00003FE1">
        <w:rPr>
          <w:rFonts w:eastAsia="DengXian" w:cs="Calibri"/>
          <w:szCs w:val="24"/>
          <w:lang w:eastAsia="zh-CN"/>
        </w:rPr>
        <w:t xml:space="preserve">, </w:t>
      </w:r>
      <w:r w:rsidR="00F23C7C" w:rsidRPr="00BD13D9">
        <w:rPr>
          <w:rFonts w:eastAsia="DengXian" w:cs="Calibri"/>
          <w:b/>
          <w:szCs w:val="24"/>
          <w:lang w:eastAsia="zh-CN"/>
        </w:rPr>
        <w:t>Liechtenstein</w:t>
      </w:r>
      <w:r w:rsidR="00F23C7C" w:rsidRPr="00003FE1">
        <w:rPr>
          <w:rFonts w:eastAsia="DengXian" w:cs="Calibri"/>
          <w:szCs w:val="24"/>
          <w:lang w:eastAsia="zh-CN"/>
        </w:rPr>
        <w:t>,</w:t>
      </w:r>
      <w:r w:rsidRPr="00003FE1">
        <w:rPr>
          <w:rFonts w:eastAsia="DengXian" w:cs="Calibri"/>
          <w:szCs w:val="24"/>
          <w:lang w:eastAsia="zh-CN"/>
        </w:rPr>
        <w:t xml:space="preserve"> </w:t>
      </w:r>
      <w:r w:rsidR="00F23C7C" w:rsidRPr="00BD13D9">
        <w:rPr>
          <w:rFonts w:eastAsia="DengXian" w:cs="Calibri"/>
          <w:b/>
          <w:szCs w:val="24"/>
          <w:lang w:eastAsia="zh-CN"/>
        </w:rPr>
        <w:t>Moldova</w:t>
      </w:r>
      <w:r w:rsidR="00F23C7C" w:rsidRPr="00003FE1">
        <w:rPr>
          <w:rFonts w:eastAsia="DengXian" w:cs="Calibri"/>
          <w:szCs w:val="24"/>
          <w:lang w:eastAsia="zh-CN"/>
        </w:rPr>
        <w:t xml:space="preserve">, </w:t>
      </w:r>
      <w:r w:rsidR="00F23C7C" w:rsidRPr="00BD13D9">
        <w:rPr>
          <w:rFonts w:eastAsia="DengXian" w:cs="Calibri"/>
          <w:b/>
          <w:szCs w:val="24"/>
          <w:lang w:eastAsia="zh-CN"/>
        </w:rPr>
        <w:t>Monaco</w:t>
      </w:r>
      <w:r w:rsidR="00F23C7C" w:rsidRPr="00003FE1">
        <w:rPr>
          <w:rFonts w:eastAsia="DengXian" w:cs="Calibri"/>
          <w:szCs w:val="24"/>
          <w:lang w:eastAsia="zh-CN"/>
        </w:rPr>
        <w:t xml:space="preserve">, </w:t>
      </w:r>
      <w:r w:rsidR="00F23C7C" w:rsidRPr="00BD13D9">
        <w:rPr>
          <w:rFonts w:eastAsia="DengXian" w:cs="Calibri"/>
          <w:b/>
          <w:szCs w:val="24"/>
          <w:lang w:eastAsia="zh-CN"/>
        </w:rPr>
        <w:t>Mont</w:t>
      </w:r>
      <w:r w:rsidR="00750D67" w:rsidRPr="00BD13D9">
        <w:rPr>
          <w:rFonts w:eastAsia="DengXian" w:cs="Calibri"/>
          <w:b/>
          <w:szCs w:val="24"/>
          <w:lang w:eastAsia="zh-CN"/>
        </w:rPr>
        <w:t>é</w:t>
      </w:r>
      <w:r w:rsidR="00F23C7C" w:rsidRPr="00BD13D9">
        <w:rPr>
          <w:rFonts w:eastAsia="DengXian" w:cs="Calibri"/>
          <w:b/>
          <w:szCs w:val="24"/>
          <w:lang w:eastAsia="zh-CN"/>
        </w:rPr>
        <w:t>n</w:t>
      </w:r>
      <w:r w:rsidR="00750D67" w:rsidRPr="00BD13D9">
        <w:rPr>
          <w:rFonts w:eastAsia="DengXian" w:cs="Calibri"/>
          <w:b/>
          <w:szCs w:val="24"/>
          <w:lang w:eastAsia="zh-CN"/>
        </w:rPr>
        <w:t>é</w:t>
      </w:r>
      <w:r w:rsidR="00F23C7C" w:rsidRPr="00BD13D9">
        <w:rPr>
          <w:rFonts w:eastAsia="DengXian" w:cs="Calibri"/>
          <w:b/>
          <w:szCs w:val="24"/>
          <w:lang w:eastAsia="zh-CN"/>
        </w:rPr>
        <w:t>gro</w:t>
      </w:r>
      <w:r w:rsidR="00F23C7C" w:rsidRPr="00003FE1">
        <w:rPr>
          <w:rFonts w:eastAsia="DengXian" w:cs="Calibri"/>
          <w:szCs w:val="24"/>
          <w:lang w:eastAsia="zh-CN"/>
        </w:rPr>
        <w:t xml:space="preserve">, </w:t>
      </w:r>
      <w:r w:rsidR="00750D67" w:rsidRPr="00BD13D9">
        <w:rPr>
          <w:rFonts w:eastAsia="DengXian" w:cs="Calibri"/>
          <w:b/>
          <w:szCs w:val="24"/>
          <w:lang w:eastAsia="zh-CN"/>
        </w:rPr>
        <w:t>Nouvelle-Zélande</w:t>
      </w:r>
      <w:r w:rsidR="00F23C7C" w:rsidRPr="00003FE1">
        <w:rPr>
          <w:rFonts w:eastAsia="DengXian" w:cs="Calibri"/>
          <w:szCs w:val="24"/>
          <w:lang w:eastAsia="zh-CN"/>
        </w:rPr>
        <w:t>,</w:t>
      </w:r>
      <w:r w:rsidR="0056155E" w:rsidRPr="00003FE1">
        <w:rPr>
          <w:rFonts w:eastAsia="DengXian" w:cs="Calibri"/>
          <w:szCs w:val="24"/>
          <w:lang w:eastAsia="zh-CN"/>
        </w:rPr>
        <w:t xml:space="preserve"> </w:t>
      </w:r>
      <w:r w:rsidR="00003FE1" w:rsidRPr="00BD13D9">
        <w:rPr>
          <w:rFonts w:eastAsia="DengXian" w:cs="Calibri"/>
          <w:b/>
          <w:szCs w:val="24"/>
          <w:lang w:eastAsia="zh-CN"/>
        </w:rPr>
        <w:t>Macédoine du Nord</w:t>
      </w:r>
      <w:r w:rsidR="00003FE1" w:rsidRPr="00003FE1">
        <w:rPr>
          <w:rFonts w:eastAsia="DengXian" w:cs="Calibri"/>
          <w:szCs w:val="24"/>
          <w:lang w:eastAsia="zh-CN"/>
        </w:rPr>
        <w:t xml:space="preserve">, </w:t>
      </w:r>
      <w:r w:rsidR="00F23C7C" w:rsidRPr="00BD13D9">
        <w:rPr>
          <w:rFonts w:eastAsia="DengXian" w:cs="Calibri"/>
          <w:b/>
          <w:szCs w:val="24"/>
          <w:lang w:eastAsia="zh-CN"/>
        </w:rPr>
        <w:t>Nor</w:t>
      </w:r>
      <w:r w:rsidR="00750D67" w:rsidRPr="00BD13D9">
        <w:rPr>
          <w:rFonts w:eastAsia="DengXian" w:cs="Calibri"/>
          <w:b/>
          <w:szCs w:val="24"/>
          <w:lang w:eastAsia="zh-CN"/>
        </w:rPr>
        <w:t>vège</w:t>
      </w:r>
      <w:r w:rsidR="00F23C7C" w:rsidRPr="00003FE1">
        <w:rPr>
          <w:rFonts w:eastAsia="DengXian" w:cs="Calibri"/>
          <w:szCs w:val="24"/>
          <w:lang w:eastAsia="zh-CN"/>
        </w:rPr>
        <w:t>,</w:t>
      </w:r>
      <w:r w:rsidR="0056155E" w:rsidRPr="00003FE1">
        <w:rPr>
          <w:rFonts w:eastAsia="DengXian" w:cs="Calibri"/>
          <w:szCs w:val="24"/>
          <w:lang w:eastAsia="zh-CN"/>
        </w:rPr>
        <w:t xml:space="preserve"> </w:t>
      </w:r>
      <w:r w:rsidR="00F23C7C" w:rsidRPr="00BD13D9">
        <w:rPr>
          <w:rFonts w:eastAsia="DengXian" w:cs="Calibri"/>
          <w:b/>
          <w:szCs w:val="24"/>
          <w:lang w:eastAsia="zh-CN"/>
        </w:rPr>
        <w:t>P</w:t>
      </w:r>
      <w:r w:rsidR="00750D67" w:rsidRPr="00BD13D9">
        <w:rPr>
          <w:rFonts w:eastAsia="DengXian" w:cs="Calibri"/>
          <w:b/>
          <w:szCs w:val="24"/>
          <w:lang w:eastAsia="zh-CN"/>
        </w:rPr>
        <w:t>éro</w:t>
      </w:r>
      <w:r w:rsidR="00F23C7C" w:rsidRPr="00BD13D9">
        <w:rPr>
          <w:rFonts w:eastAsia="DengXian" w:cs="Calibri"/>
          <w:b/>
          <w:szCs w:val="24"/>
          <w:lang w:eastAsia="zh-CN"/>
        </w:rPr>
        <w:t>u</w:t>
      </w:r>
      <w:r w:rsidR="00F23C7C" w:rsidRPr="00003FE1">
        <w:rPr>
          <w:rFonts w:eastAsia="DengXian" w:cs="Calibri"/>
          <w:szCs w:val="24"/>
          <w:lang w:eastAsia="zh-CN"/>
        </w:rPr>
        <w:t>,</w:t>
      </w:r>
      <w:r w:rsidR="0056155E" w:rsidRPr="00003FE1">
        <w:rPr>
          <w:rFonts w:eastAsia="DengXian" w:cs="Calibri"/>
          <w:szCs w:val="24"/>
          <w:lang w:eastAsia="zh-CN"/>
        </w:rPr>
        <w:t xml:space="preserve"> </w:t>
      </w:r>
      <w:r w:rsidR="00750D67" w:rsidRPr="00BD13D9">
        <w:rPr>
          <w:rFonts w:eastAsia="DengXian" w:cs="Calibri"/>
          <w:b/>
          <w:szCs w:val="24"/>
          <w:lang w:eastAsia="zh-CN"/>
        </w:rPr>
        <w:t>République de Corée</w:t>
      </w:r>
      <w:r w:rsidRPr="00003FE1">
        <w:rPr>
          <w:rFonts w:eastAsia="DengXian" w:cs="Calibri"/>
          <w:szCs w:val="24"/>
          <w:lang w:eastAsia="zh-CN"/>
        </w:rPr>
        <w:t>,</w:t>
      </w:r>
      <w:r w:rsidR="0056155E" w:rsidRPr="00003FE1">
        <w:rPr>
          <w:rFonts w:eastAsia="DengXian" w:cs="Calibri"/>
          <w:szCs w:val="24"/>
          <w:lang w:eastAsia="zh-CN"/>
        </w:rPr>
        <w:t xml:space="preserve"> </w:t>
      </w:r>
      <w:r w:rsidR="00003FE1" w:rsidRPr="00BD13D9">
        <w:rPr>
          <w:rFonts w:eastAsia="DengXian" w:cs="Calibri"/>
          <w:b/>
          <w:szCs w:val="24"/>
          <w:lang w:eastAsia="zh-CN"/>
        </w:rPr>
        <w:t>Suisse</w:t>
      </w:r>
      <w:r w:rsidR="00003FE1" w:rsidRPr="00003FE1">
        <w:rPr>
          <w:rFonts w:eastAsia="DengXian" w:cs="Calibri"/>
          <w:szCs w:val="24"/>
          <w:lang w:eastAsia="zh-CN"/>
        </w:rPr>
        <w:t>,</w:t>
      </w:r>
      <w:r w:rsidR="00003FE1">
        <w:rPr>
          <w:rFonts w:eastAsia="DengXian" w:cs="Calibri"/>
          <w:b/>
          <w:szCs w:val="24"/>
          <w:lang w:eastAsia="zh-CN"/>
        </w:rPr>
        <w:t xml:space="preserve"> Royaume</w:t>
      </w:r>
      <w:r w:rsidR="00003FE1">
        <w:rPr>
          <w:rFonts w:eastAsia="DengXian" w:cs="Calibri"/>
          <w:b/>
          <w:szCs w:val="24"/>
          <w:lang w:eastAsia="zh-CN"/>
        </w:rPr>
        <w:noBreakHyphen/>
      </w:r>
      <w:r w:rsidRPr="00BD13D9">
        <w:rPr>
          <w:rFonts w:eastAsia="DengXian" w:cs="Calibri"/>
          <w:b/>
          <w:szCs w:val="24"/>
          <w:lang w:eastAsia="zh-CN"/>
        </w:rPr>
        <w:t xml:space="preserve">Uni </w:t>
      </w:r>
      <w:r w:rsidRPr="00003FE1">
        <w:rPr>
          <w:rFonts w:eastAsia="DengXian" w:cs="Calibri"/>
          <w:szCs w:val="24"/>
          <w:lang w:eastAsia="zh-CN"/>
        </w:rPr>
        <w:t>et</w:t>
      </w:r>
      <w:r w:rsidR="0056155E" w:rsidRPr="00003FE1">
        <w:rPr>
          <w:rFonts w:eastAsia="DengXian" w:cs="Calibri"/>
          <w:szCs w:val="24"/>
          <w:lang w:eastAsia="zh-CN"/>
        </w:rPr>
        <w:t xml:space="preserve"> </w:t>
      </w:r>
      <w:r w:rsidR="00003FE1" w:rsidRPr="00BD13D9">
        <w:rPr>
          <w:rFonts w:eastAsia="DengXian" w:cs="Calibri"/>
          <w:b/>
          <w:szCs w:val="24"/>
          <w:lang w:eastAsia="zh-CN"/>
        </w:rPr>
        <w:t>États-Unis</w:t>
      </w:r>
      <w:r w:rsidR="00003FE1" w:rsidRPr="00003FE1">
        <w:rPr>
          <w:rFonts w:eastAsia="DengXian" w:cs="Calibri"/>
          <w:szCs w:val="24"/>
          <w:lang w:eastAsia="zh-CN"/>
        </w:rPr>
        <w:t>,</w:t>
      </w:r>
      <w:r w:rsidR="00003FE1">
        <w:rPr>
          <w:rFonts w:eastAsia="DengXian" w:cs="Calibri"/>
          <w:b/>
          <w:szCs w:val="24"/>
          <w:lang w:eastAsia="zh-CN"/>
        </w:rPr>
        <w:t xml:space="preserve"> </w:t>
      </w:r>
      <w:r w:rsidRPr="00BD13D9">
        <w:rPr>
          <w:rFonts w:eastAsia="DengXian" w:cs="Calibri"/>
          <w:szCs w:val="24"/>
          <w:lang w:eastAsia="zh-CN"/>
        </w:rPr>
        <w:t xml:space="preserve">et sollicite en outre que la déclaration </w:t>
      </w:r>
      <w:r w:rsidR="00D36035" w:rsidRPr="00BD13D9">
        <w:rPr>
          <w:rFonts w:eastAsia="DengXian" w:cs="Calibri"/>
          <w:szCs w:val="24"/>
          <w:lang w:eastAsia="zh-CN"/>
        </w:rPr>
        <w:t xml:space="preserve">soit consignée </w:t>
      </w:r>
      <w:r w:rsidRPr="00BD13D9">
        <w:rPr>
          <w:rFonts w:eastAsia="DengXian" w:cs="Calibri"/>
          <w:szCs w:val="24"/>
          <w:lang w:eastAsia="zh-CN"/>
        </w:rPr>
        <w:t>dans le procès</w:t>
      </w:r>
      <w:r w:rsidR="00F76CBB" w:rsidRPr="00BD13D9">
        <w:rPr>
          <w:rFonts w:eastAsia="DengXian" w:cs="Calibri"/>
          <w:szCs w:val="24"/>
          <w:lang w:eastAsia="zh-CN"/>
        </w:rPr>
        <w:noBreakHyphen/>
      </w:r>
      <w:r w:rsidRPr="00BD13D9">
        <w:rPr>
          <w:rFonts w:eastAsia="DengXian" w:cs="Calibri"/>
          <w:szCs w:val="24"/>
          <w:lang w:eastAsia="zh-CN"/>
        </w:rPr>
        <w:t>verbal de la séance</w:t>
      </w:r>
      <w:r w:rsidR="00F23C7C" w:rsidRPr="00BD13D9">
        <w:rPr>
          <w:rFonts w:eastAsia="DengXian" w:cs="Calibri"/>
          <w:szCs w:val="24"/>
          <w:lang w:eastAsia="zh-CN"/>
        </w:rPr>
        <w:t>.</w:t>
      </w:r>
    </w:p>
    <w:p w14:paraId="282535F8" w14:textId="6E15F462" w:rsidR="00F23C7C" w:rsidRPr="00BD13D9" w:rsidRDefault="00D36035" w:rsidP="0056155E">
      <w:r w:rsidRPr="00BD13D9">
        <w:t xml:space="preserve">Nous </w:t>
      </w:r>
      <w:r w:rsidR="00F23C7C" w:rsidRPr="00BD13D9">
        <w:t>remerci</w:t>
      </w:r>
      <w:r w:rsidRPr="00BD13D9">
        <w:t>ons</w:t>
      </w:r>
      <w:r w:rsidR="0056155E" w:rsidRPr="00BD13D9">
        <w:t xml:space="preserve"> </w:t>
      </w:r>
      <w:r w:rsidR="00F23C7C" w:rsidRPr="00BD13D9">
        <w:t>le Secrétaire général pour son point oral sur l</w:t>
      </w:r>
      <w:r w:rsidR="00F76CBB" w:rsidRPr="00BD13D9">
        <w:t>'</w:t>
      </w:r>
      <w:r w:rsidR="00F23C7C" w:rsidRPr="00BD13D9">
        <w:t>application de la Résolution 1408 du Conseil de l</w:t>
      </w:r>
      <w:r w:rsidR="00F76CBB" w:rsidRPr="00BD13D9">
        <w:t>'</w:t>
      </w:r>
      <w:r w:rsidR="00F23C7C" w:rsidRPr="00BD13D9">
        <w:t>UIT de 2022 intitulée "Assistance et appui à l</w:t>
      </w:r>
      <w:r w:rsidR="00F76CBB" w:rsidRPr="00BD13D9">
        <w:t>'</w:t>
      </w:r>
      <w:r w:rsidR="00F23C7C" w:rsidRPr="00BD13D9">
        <w:t>Ukraine pour la reconstruction de son secteur des télécommunications". Ils attendent avec intérêt la publication du premier rapport écrit devant évaluer les conséquences de la guerre en Ukraine dans le domaine des télécommunications, et formuler des propositions visant à fournir à celle</w:t>
      </w:r>
      <w:r w:rsidR="00F76CBB" w:rsidRPr="00BD13D9">
        <w:t>-</w:t>
      </w:r>
      <w:r w:rsidR="00F23C7C" w:rsidRPr="00BD13D9">
        <w:t xml:space="preserve">ci une assistance efficace, dès que possible, et en tout état de cause, </w:t>
      </w:r>
      <w:r w:rsidR="003214DF" w:rsidRPr="00BD13D9">
        <w:t xml:space="preserve">à la </w:t>
      </w:r>
      <w:r w:rsidR="00F23C7C" w:rsidRPr="00BD13D9">
        <w:t xml:space="preserve">fin </w:t>
      </w:r>
      <w:r w:rsidR="003214DF" w:rsidRPr="00BD13D9">
        <w:t>de l</w:t>
      </w:r>
      <w:r w:rsidR="00F76CBB" w:rsidRPr="00BD13D9">
        <w:t>'</w:t>
      </w:r>
      <w:r w:rsidR="003214DF" w:rsidRPr="00BD13D9">
        <w:t xml:space="preserve">année </w:t>
      </w:r>
      <w:r w:rsidR="00F23C7C" w:rsidRPr="00BD13D9">
        <w:t>au plus tard.</w:t>
      </w:r>
    </w:p>
    <w:p w14:paraId="36943712" w14:textId="4B8460A8" w:rsidR="00F23C7C" w:rsidRPr="00BD13D9" w:rsidRDefault="00F23C7C" w:rsidP="0056155E">
      <w:r w:rsidRPr="00BD13D9">
        <w:t>La constitution de l</w:t>
      </w:r>
      <w:r w:rsidR="00F76CBB" w:rsidRPr="00BD13D9">
        <w:t>'</w:t>
      </w:r>
      <w:r w:rsidRPr="00BD13D9">
        <w:t>UIT, dès la première ligne, reconnaît l</w:t>
      </w:r>
      <w:r w:rsidR="00F76CBB" w:rsidRPr="00BD13D9">
        <w:t>'</w:t>
      </w:r>
      <w:r w:rsidRPr="00BD13D9">
        <w:t>importance que les télécommunications revêtent pour la paix et s</w:t>
      </w:r>
      <w:r w:rsidR="00F76CBB" w:rsidRPr="00BD13D9">
        <w:t>'</w:t>
      </w:r>
      <w:r w:rsidRPr="00BD13D9">
        <w:t>agissant de faciliter le développement économique et social de tous les États Membres. Le soutien apporté à l</w:t>
      </w:r>
      <w:r w:rsidR="00F76CBB" w:rsidRPr="00BD13D9">
        <w:t>'</w:t>
      </w:r>
      <w:r w:rsidRPr="00BD13D9">
        <w:t>Ukraine par l</w:t>
      </w:r>
      <w:r w:rsidR="00F76CBB" w:rsidRPr="00BD13D9">
        <w:t>'</w:t>
      </w:r>
      <w:r w:rsidRPr="00BD13D9">
        <w:t>UIT et ses États Membres est du plus grand intérêt pour la reconstruction du secteur des télécommunications de l</w:t>
      </w:r>
      <w:r w:rsidR="00F76CBB" w:rsidRPr="00BD13D9">
        <w:t>'</w:t>
      </w:r>
      <w:r w:rsidRPr="00BD13D9">
        <w:t>Ukraine. Nous sommes fiers que notre Union se soit mobilisée pour aider un État Membre dont les besoins sont urgents.</w:t>
      </w:r>
    </w:p>
    <w:p w14:paraId="6F118E6B" w14:textId="7495A71D" w:rsidR="00F23C7C" w:rsidRPr="00BD13D9" w:rsidRDefault="00F23C7C" w:rsidP="0056155E">
      <w:r w:rsidRPr="00BD13D9">
        <w:t>Nous accueillons avec satisfaction la création d</w:t>
      </w:r>
      <w:r w:rsidR="00F76CBB" w:rsidRPr="00BD13D9">
        <w:t>'</w:t>
      </w:r>
      <w:r w:rsidRPr="00BD13D9">
        <w:t>un Groupe de travail spécial au niveau du Secrétariat général, et d</w:t>
      </w:r>
      <w:r w:rsidR="00F76CBB" w:rsidRPr="00BD13D9">
        <w:t>'</w:t>
      </w:r>
      <w:r w:rsidRPr="00BD13D9">
        <w:t>un Fonds d</w:t>
      </w:r>
      <w:r w:rsidR="00F76CBB" w:rsidRPr="00BD13D9">
        <w:t>'</w:t>
      </w:r>
      <w:r w:rsidRPr="00BD13D9">
        <w:t>affectation spéciale, afin de mettre en place l</w:t>
      </w:r>
      <w:r w:rsidR="00F76CBB" w:rsidRPr="00BD13D9">
        <w:t>'</w:t>
      </w:r>
      <w:r w:rsidRPr="00BD13D9">
        <w:t>assistance et l</w:t>
      </w:r>
      <w:r w:rsidR="00F76CBB" w:rsidRPr="00BD13D9">
        <w:t>'</w:t>
      </w:r>
      <w:r w:rsidRPr="00BD13D9">
        <w:t>appui voulus pour reconstruire l</w:t>
      </w:r>
      <w:r w:rsidR="00F76CBB" w:rsidRPr="00BD13D9">
        <w:t>'</w:t>
      </w:r>
      <w:r w:rsidRPr="00BD13D9">
        <w:t>infrastructure de télécommunication de l</w:t>
      </w:r>
      <w:r w:rsidR="00F76CBB" w:rsidRPr="00BD13D9">
        <w:t>'</w:t>
      </w:r>
      <w:r w:rsidRPr="00BD13D9">
        <w:t>Ukraine, et d</w:t>
      </w:r>
      <w:r w:rsidR="00F76CBB" w:rsidRPr="00BD13D9">
        <w:t>'</w:t>
      </w:r>
      <w:r w:rsidRPr="00BD13D9">
        <w:t>assurer selon que de besoin un appui et un renforcement des capacités techniques. Nous sommes reconnaissants aux États Membres de l</w:t>
      </w:r>
      <w:r w:rsidR="00F76CBB" w:rsidRPr="00BD13D9">
        <w:t>'</w:t>
      </w:r>
      <w:r w:rsidRPr="00BD13D9">
        <w:t>UIT pour leurs contributions à l</w:t>
      </w:r>
      <w:r w:rsidR="00F76CBB" w:rsidRPr="00BD13D9">
        <w:t>'</w:t>
      </w:r>
      <w:r w:rsidRPr="00BD13D9">
        <w:t>appui de ces initiatives, parmi lesquelles les projets et engagements annoncés à l</w:t>
      </w:r>
      <w:r w:rsidR="00F76CBB" w:rsidRPr="00BD13D9">
        <w:t>'</w:t>
      </w:r>
      <w:r w:rsidRPr="00BD13D9">
        <w:t>occasion du dialogue de haut niveau "Partner2Connect" sur le développement du numérique, tenu à la Conférence mondiale de développement des télécommunications, à Kigali, en juin 2022.</w:t>
      </w:r>
    </w:p>
    <w:p w14:paraId="0F9199C2" w14:textId="567FA394" w:rsidR="00F23C7C" w:rsidRPr="00BD13D9" w:rsidRDefault="00F23C7C" w:rsidP="0056155E">
      <w:r w:rsidRPr="00BD13D9">
        <w:t>Nous invitons les États Membres et l</w:t>
      </w:r>
      <w:r w:rsidR="00F76CBB" w:rsidRPr="00BD13D9">
        <w:t>'</w:t>
      </w:r>
      <w:r w:rsidRPr="00BD13D9">
        <w:t>Union à ne pas perdre cet élan, mais à continuer d</w:t>
      </w:r>
      <w:r w:rsidR="00F76CBB" w:rsidRPr="00BD13D9">
        <w:t>'</w:t>
      </w:r>
      <w:r w:rsidRPr="00BD13D9">
        <w:t>apporter une assistance et des contributions financières à l</w:t>
      </w:r>
      <w:r w:rsidR="00F76CBB" w:rsidRPr="00BD13D9">
        <w:t>'</w:t>
      </w:r>
      <w:r w:rsidRPr="00BD13D9">
        <w:t>Ukraine pour la reconstruction de son secteur des télécommunications et de faciliter l</w:t>
      </w:r>
      <w:r w:rsidR="00F76CBB" w:rsidRPr="00BD13D9">
        <w:t>'</w:t>
      </w:r>
      <w:r w:rsidRPr="00BD13D9">
        <w:t>utilisation des télécommunications/TIC pour le relèvement et le développement durable de celui-ci. En outre, nous invitons l</w:t>
      </w:r>
      <w:r w:rsidR="00F76CBB" w:rsidRPr="00BD13D9">
        <w:t>'</w:t>
      </w:r>
      <w:r w:rsidRPr="00BD13D9">
        <w:t>UIT à faire en sorte que des ressources financières et humaines suffisantes soient mobilisées dans son budget pour soutenir cet effort, conformément à la Résolution 1408 du Conseil.</w:t>
      </w:r>
    </w:p>
    <w:p w14:paraId="5FC456C1" w14:textId="7049F926" w:rsidR="00F23C7C" w:rsidRPr="00BD13D9" w:rsidRDefault="000922FF" w:rsidP="0056155E">
      <w:r>
        <w:rPr>
          <w:lang w:val="fr-CH"/>
        </w:rPr>
        <w:t>Membre important de la famille des Nations Unies</w:t>
      </w:r>
      <w:r w:rsidR="00F23C7C" w:rsidRPr="00BD13D9">
        <w:t>, l</w:t>
      </w:r>
      <w:r w:rsidR="00F76CBB" w:rsidRPr="00BD13D9">
        <w:t>'</w:t>
      </w:r>
      <w:r w:rsidR="00F23C7C" w:rsidRPr="00BD13D9">
        <w:t>UIT ne peut méconnaître le fait que c</w:t>
      </w:r>
      <w:r w:rsidR="00F76CBB" w:rsidRPr="00BD13D9">
        <w:t>'</w:t>
      </w:r>
      <w:r w:rsidR="00F23C7C" w:rsidRPr="00BD13D9">
        <w:t>est la Russie qui est responsable de la guerre en Ukraine. Comme le constate la Résolution du 2 mars 2022 de l</w:t>
      </w:r>
      <w:r w:rsidR="00F76CBB" w:rsidRPr="00BD13D9">
        <w:t>'</w:t>
      </w:r>
      <w:r w:rsidR="00F23C7C" w:rsidRPr="00BD13D9">
        <w:t>Assemblée générale des Nations Unies (A/RES/ES-11/1) sur l</w:t>
      </w:r>
      <w:r w:rsidR="00F76CBB" w:rsidRPr="00BD13D9">
        <w:t>'</w:t>
      </w:r>
      <w:r w:rsidR="00F23C7C" w:rsidRPr="00BD13D9">
        <w:t>agression contre l</w:t>
      </w:r>
      <w:r w:rsidR="00F76CBB" w:rsidRPr="00BD13D9">
        <w:t>'</w:t>
      </w:r>
      <w:r w:rsidR="00F23C7C" w:rsidRPr="00BD13D9">
        <w:t>Ukraine, l</w:t>
      </w:r>
      <w:r w:rsidR="00F76CBB" w:rsidRPr="00BD13D9">
        <w:t>'</w:t>
      </w:r>
      <w:r w:rsidR="00F23C7C" w:rsidRPr="00BD13D9">
        <w:t>invasion injustifiée et non provoquée de l</w:t>
      </w:r>
      <w:r w:rsidR="00F76CBB" w:rsidRPr="00BD13D9">
        <w:t>'</w:t>
      </w:r>
      <w:r w:rsidR="00F23C7C" w:rsidRPr="00BD13D9">
        <w:t>Ukraine par la Russie viole le droit international, y compris la Charte des Nations Unies, et témoigne d</w:t>
      </w:r>
      <w:r w:rsidR="00F76CBB" w:rsidRPr="00BD13D9">
        <w:t>'</w:t>
      </w:r>
      <w:r w:rsidR="00F23C7C" w:rsidRPr="00BD13D9">
        <w:t>un mépris flagrant des souffrances humaines.</w:t>
      </w:r>
    </w:p>
    <w:p w14:paraId="0A411B8F" w14:textId="6D5FE0AD" w:rsidR="00F23C7C" w:rsidRPr="00BD13D9" w:rsidRDefault="00F23C7C" w:rsidP="0056155E">
      <w:r w:rsidRPr="00BD13D9">
        <w:lastRenderedPageBreak/>
        <w:t>Depuis l</w:t>
      </w:r>
      <w:r w:rsidR="00F76CBB" w:rsidRPr="00BD13D9">
        <w:t>'</w:t>
      </w:r>
      <w:r w:rsidRPr="00BD13D9">
        <w:t>invasion en règle opérée par la Russie le 24 février 2022, l</w:t>
      </w:r>
      <w:r w:rsidR="00F76CBB" w:rsidRPr="00BD13D9">
        <w:t>'</w:t>
      </w:r>
      <w:r w:rsidRPr="00BD13D9">
        <w:t>Ukraine a subi des attaques visant des infrastructures de télécommunication essentielles, des défaillances de services de télécommunication et des pannes de réseaux mobiles. Les actes de la Russie ont eu des conséquences dévastatrices pour le fonctionnement des installations et des services de télécommunication ukrainiens et l</w:t>
      </w:r>
      <w:r w:rsidR="00F76CBB" w:rsidRPr="00BD13D9">
        <w:t>'</w:t>
      </w:r>
      <w:r w:rsidRPr="00BD13D9">
        <w:t>exercice du droit souverain de l</w:t>
      </w:r>
      <w:r w:rsidR="00F76CBB" w:rsidRPr="00BD13D9">
        <w:t>'</w:t>
      </w:r>
      <w:r w:rsidRPr="00BD13D9">
        <w:t>Ukraine de réglementer les télécommunications sur son territoire internationalement reconnu. Ces actes injustifiés sont en contradiction flagrante avec la mission de l</w:t>
      </w:r>
      <w:r w:rsidR="00F76CBB" w:rsidRPr="00BD13D9">
        <w:t>'</w:t>
      </w:r>
      <w:r w:rsidRPr="00BD13D9">
        <w:t>UIT consistant à promouvoir la connectivité numérique pour le développement durable partout dans le monde, et ne respectent pas les principes fondamentaux inscrits dans la Constitution de l</w:t>
      </w:r>
      <w:r w:rsidR="00F76CBB" w:rsidRPr="00BD13D9">
        <w:t>'</w:t>
      </w:r>
      <w:r w:rsidRPr="00BD13D9">
        <w:t>UIT. La Russie a perdu son statut de partenaire crédible pour les activités de l</w:t>
      </w:r>
      <w:r w:rsidR="00F76CBB" w:rsidRPr="00BD13D9">
        <w:t>'</w:t>
      </w:r>
      <w:r w:rsidRPr="00BD13D9">
        <w:t>UIT et ne peut prétendre promouvoir les valeurs de l</w:t>
      </w:r>
      <w:r w:rsidR="00F76CBB" w:rsidRPr="00BD13D9">
        <w:t>'</w:t>
      </w:r>
      <w:r w:rsidRPr="00BD13D9">
        <w:t>organisation.</w:t>
      </w:r>
    </w:p>
    <w:p w14:paraId="7ECAF092" w14:textId="153AAFD2" w:rsidR="00F23C7C" w:rsidRPr="00BD13D9" w:rsidRDefault="00F23C7C" w:rsidP="0056155E">
      <w:r w:rsidRPr="00BD13D9">
        <w:t>Nous rejetons fermement et condamnons sans équivoque la tentative d</w:t>
      </w:r>
      <w:r w:rsidR="00F76CBB" w:rsidRPr="00BD13D9">
        <w:t>'</w:t>
      </w:r>
      <w:r w:rsidRPr="00BD13D9">
        <w:t>annexion illégale par la Russie des régions ukrainiennes de Donetsk, Lougansk, Zaporijjia et Kherson. Ces actes, fondés sur des simulacres de "référendums" menés par les responsables installés par la Russie dans les territoires ukrainiens temporairement saisis, constituent une violation flagrante supplémentaire de l</w:t>
      </w:r>
      <w:r w:rsidR="00F76CBB" w:rsidRPr="00BD13D9">
        <w:t>'</w:t>
      </w:r>
      <w:r w:rsidRPr="00BD13D9">
        <w:t>indépendance, de la souveraineté et de l</w:t>
      </w:r>
      <w:r w:rsidR="00F76CBB" w:rsidRPr="00BD13D9">
        <w:t>'</w:t>
      </w:r>
      <w:r w:rsidRPr="00BD13D9">
        <w:t>intégrité territoriale de l</w:t>
      </w:r>
      <w:r w:rsidR="00F76CBB" w:rsidRPr="00BD13D9">
        <w:t>'</w:t>
      </w:r>
      <w:r w:rsidRPr="00BD13D9">
        <w:t>Ukraine, ainsi que du droit international. Les résultats de ces "votes" illégaux sont nuls et non avenus et ces zones ne seront jamais reconnues par la communauté internationale autrement que comme faisant partie du territoire souverain de l</w:t>
      </w:r>
      <w:r w:rsidR="00F76CBB" w:rsidRPr="00BD13D9">
        <w:t>'</w:t>
      </w:r>
      <w:r w:rsidRPr="00BD13D9">
        <w:t>Ukraine. Nous demandons à l</w:t>
      </w:r>
      <w:r w:rsidR="00F76CBB" w:rsidRPr="00BD13D9">
        <w:t>'</w:t>
      </w:r>
      <w:r w:rsidRPr="00BD13D9">
        <w:t>UIT de s</w:t>
      </w:r>
      <w:r w:rsidR="00F76CBB" w:rsidRPr="00BD13D9">
        <w:t>'</w:t>
      </w:r>
      <w:r w:rsidRPr="00BD13D9">
        <w:t>abstenir de tout acte ou toute publication susceptibles d</w:t>
      </w:r>
      <w:r w:rsidR="00F76CBB" w:rsidRPr="00BD13D9">
        <w:t>'</w:t>
      </w:r>
      <w:r w:rsidRPr="00BD13D9">
        <w:t>être interprétés comme reconnaissant ou entérinant quelque modification que ce soit des frontières internationalement reconnues de l</w:t>
      </w:r>
      <w:r w:rsidR="00F76CBB" w:rsidRPr="00BD13D9">
        <w:t>'</w:t>
      </w:r>
      <w:r w:rsidRPr="00BD13D9">
        <w:t>Ukraine, et de soutenir l</w:t>
      </w:r>
      <w:r w:rsidR="00F76CBB" w:rsidRPr="00BD13D9">
        <w:t>'</w:t>
      </w:r>
      <w:r w:rsidRPr="00BD13D9">
        <w:t>Ukraine dans l</w:t>
      </w:r>
      <w:r w:rsidR="00F76CBB" w:rsidRPr="00BD13D9">
        <w:t>'</w:t>
      </w:r>
      <w:r w:rsidRPr="00BD13D9">
        <w:t>exercice de son droit souverain de réglementer les télécommunications à l</w:t>
      </w:r>
      <w:r w:rsidR="00F76CBB" w:rsidRPr="00BD13D9">
        <w:t>'</w:t>
      </w:r>
      <w:r w:rsidRPr="00BD13D9">
        <w:t>intérieur desdites frontières.</w:t>
      </w:r>
    </w:p>
    <w:p w14:paraId="209E8C88" w14:textId="45139BF4" w:rsidR="00F476A5" w:rsidRDefault="00F23C7C" w:rsidP="0056155E">
      <w:r w:rsidRPr="00F476A5">
        <w:t>Les co</w:t>
      </w:r>
      <w:r w:rsidR="000922FF">
        <w:t>-</w:t>
      </w:r>
      <w:r w:rsidRPr="00F476A5">
        <w:t>auteurs de la présente déclaration sont fermement et indéfectiblement solidaires de l</w:t>
      </w:r>
      <w:r w:rsidR="00F76CBB" w:rsidRPr="00F476A5">
        <w:t>'</w:t>
      </w:r>
      <w:r w:rsidRPr="00F476A5">
        <w:t>Ukraine. Nous condamnons vigoureusement la violation par la Fédération de Russie de la souveraineté et de l</w:t>
      </w:r>
      <w:r w:rsidR="00F76CBB" w:rsidRPr="00F476A5">
        <w:t>'</w:t>
      </w:r>
      <w:r w:rsidRPr="00F476A5">
        <w:t>intégrité territoriale de l</w:t>
      </w:r>
      <w:r w:rsidR="00F76CBB" w:rsidRPr="00F476A5">
        <w:t>'</w:t>
      </w:r>
      <w:r w:rsidRPr="00F476A5">
        <w:t>Ukraine, et déplorons les souffrances et les pertes en vies humaines qu</w:t>
      </w:r>
      <w:r w:rsidR="00F76CBB" w:rsidRPr="00F476A5">
        <w:t>'</w:t>
      </w:r>
      <w:r w:rsidRPr="00F476A5">
        <w:t>elle a causées. Nous réaffirmons l</w:t>
      </w:r>
      <w:r w:rsidR="00F76CBB" w:rsidRPr="00F476A5">
        <w:t>'</w:t>
      </w:r>
      <w:r w:rsidRPr="00F476A5">
        <w:t>appel lancé dans la Résolution du 2 mars de l</w:t>
      </w:r>
      <w:r w:rsidR="00F76CBB" w:rsidRPr="00F476A5">
        <w:t>'</w:t>
      </w:r>
      <w:r w:rsidRPr="00F476A5">
        <w:t xml:space="preserve">Assemblée générale des Nations </w:t>
      </w:r>
      <w:r w:rsidR="003214DF" w:rsidRPr="00F476A5">
        <w:t xml:space="preserve">Unies </w:t>
      </w:r>
      <w:r w:rsidRPr="00F476A5">
        <w:t>et demandons instamment à la Russie de cesser immédiatement d</w:t>
      </w:r>
      <w:r w:rsidR="00F76CBB" w:rsidRPr="00F476A5">
        <w:t>'</w:t>
      </w:r>
      <w:r w:rsidRPr="00F476A5">
        <w:t>employer la force contre l</w:t>
      </w:r>
      <w:r w:rsidR="00F76CBB" w:rsidRPr="00F476A5">
        <w:t>'</w:t>
      </w:r>
      <w:r w:rsidRPr="00F476A5">
        <w:t>Ukraine et de retirer immédiatement, complètement et sans condition toutes ses forces militaires du territoire ukrainien à l</w:t>
      </w:r>
      <w:r w:rsidR="00F76CBB" w:rsidRPr="00F476A5">
        <w:t>'</w:t>
      </w:r>
      <w:r w:rsidRPr="00F476A5">
        <w:t>intérieur des frontières internationalement reconnues du pays. Et nous demandons instamment à la Russie de respecter intégralement, ce faisant, les obligations qui découlent de la qualité de membre de l</w:t>
      </w:r>
      <w:r w:rsidR="00F76CBB" w:rsidRPr="00F476A5">
        <w:t>'</w:t>
      </w:r>
      <w:r w:rsidRPr="00F476A5">
        <w:t>UIT.</w:t>
      </w:r>
    </w:p>
    <w:p w14:paraId="78EAFCC3" w14:textId="77777777" w:rsidR="00F476A5" w:rsidRDefault="00F476A5" w:rsidP="00F476A5">
      <w:r>
        <w:t>Je vous remercie.</w:t>
      </w:r>
    </w:p>
    <w:p w14:paraId="0E2BD82B" w14:textId="2E3BEA9C" w:rsidR="00F476A5" w:rsidRDefault="00F476A5" w:rsidP="00F476A5">
      <w:r>
        <w:t>Tous solidaires de l'Ukraine.</w:t>
      </w:r>
    </w:p>
    <w:p w14:paraId="4BA42D26" w14:textId="7464F9C5" w:rsidR="00F476A5" w:rsidRDefault="00F476A5">
      <w:pPr>
        <w:tabs>
          <w:tab w:val="clear" w:pos="567"/>
          <w:tab w:val="clear" w:pos="1134"/>
          <w:tab w:val="clear" w:pos="1701"/>
          <w:tab w:val="clear" w:pos="2268"/>
          <w:tab w:val="clear" w:pos="2835"/>
        </w:tabs>
        <w:overflowPunct/>
        <w:autoSpaceDE/>
        <w:autoSpaceDN/>
        <w:adjustRightInd/>
        <w:spacing w:before="0"/>
        <w:textAlignment w:val="auto"/>
      </w:pPr>
      <w:r>
        <w:br w:type="page"/>
      </w:r>
    </w:p>
    <w:p w14:paraId="490B9B9C" w14:textId="720ED441" w:rsidR="00F23C7C" w:rsidRPr="00BD13D9" w:rsidRDefault="00F23C7C" w:rsidP="0056155E">
      <w:pPr>
        <w:pStyle w:val="AnnexNo"/>
      </w:pPr>
      <w:r w:rsidRPr="00BD13D9">
        <w:lastRenderedPageBreak/>
        <w:t>AnnexE B</w:t>
      </w:r>
    </w:p>
    <w:p w14:paraId="5D5D8923" w14:textId="7E341BC1" w:rsidR="00F23C7C" w:rsidRPr="00BD13D9" w:rsidRDefault="00F23C7C" w:rsidP="0056155E">
      <w:pPr>
        <w:spacing w:after="120"/>
        <w:jc w:val="right"/>
        <w:rPr>
          <w:rFonts w:cstheme="minorHAnsi"/>
          <w:iCs/>
          <w:szCs w:val="24"/>
        </w:rPr>
      </w:pPr>
      <w:r w:rsidRPr="00BD13D9">
        <w:rPr>
          <w:rFonts w:cstheme="minorHAnsi"/>
          <w:iCs/>
          <w:szCs w:val="24"/>
        </w:rPr>
        <w:t>Original: russe</w:t>
      </w:r>
    </w:p>
    <w:p w14:paraId="6862D8E8" w14:textId="0D69B0D6" w:rsidR="00F23C7C" w:rsidRPr="00BD13D9" w:rsidRDefault="00DA16C5" w:rsidP="0056155E">
      <w:pPr>
        <w:pStyle w:val="Annextitle"/>
      </w:pPr>
      <w:r w:rsidRPr="00BD13D9">
        <w:t>Déclaration de la Fédération de Russie concernant le</w:t>
      </w:r>
      <w:r w:rsidR="00F23C7C" w:rsidRPr="00BD13D9">
        <w:t xml:space="preserve"> Document 70 </w:t>
      </w:r>
      <w:r w:rsidR="00F23C7C" w:rsidRPr="00BD13D9">
        <w:br/>
        <w:t>(</w:t>
      </w:r>
      <w:r w:rsidRPr="00BD13D9">
        <w:t xml:space="preserve">Rapport sur les progrès accomplis dans la mise en œuvre </w:t>
      </w:r>
      <w:r w:rsidR="003A0977">
        <w:br/>
      </w:r>
      <w:r w:rsidRPr="00BD13D9">
        <w:t>de la Résolution</w:t>
      </w:r>
      <w:r w:rsidR="001C0498" w:rsidRPr="00BD13D9">
        <w:t> </w:t>
      </w:r>
      <w:r w:rsidRPr="00BD13D9">
        <w:t>1408 du Conseil de l</w:t>
      </w:r>
      <w:r w:rsidR="00F76CBB" w:rsidRPr="00BD13D9">
        <w:t>'</w:t>
      </w:r>
      <w:r w:rsidRPr="00BD13D9">
        <w:t>UIT</w:t>
      </w:r>
      <w:r w:rsidR="00F23C7C" w:rsidRPr="00BD13D9">
        <w:t>)</w:t>
      </w:r>
    </w:p>
    <w:p w14:paraId="33282A47" w14:textId="71EB2514" w:rsidR="00F23C7C" w:rsidRPr="00BD13D9" w:rsidRDefault="00DA16C5" w:rsidP="0040550C">
      <w:pPr>
        <w:pStyle w:val="Normalaftertitle"/>
        <w:spacing w:before="480"/>
      </w:pPr>
      <w:r w:rsidRPr="00BD13D9">
        <w:t>À la session de 2022 du Conseil, lors de</w:t>
      </w:r>
      <w:r w:rsidR="00D36035" w:rsidRPr="00BD13D9">
        <w:t>s</w:t>
      </w:r>
      <w:r w:rsidR="0056155E" w:rsidRPr="00BD13D9">
        <w:t xml:space="preserve"> </w:t>
      </w:r>
      <w:r w:rsidRPr="00BD13D9">
        <w:t>discussions concernant le projet de Résolution 1408, l</w:t>
      </w:r>
      <w:r w:rsidR="00F76CBB" w:rsidRPr="00BD13D9">
        <w:t>'</w:t>
      </w:r>
      <w:r w:rsidRPr="00BD13D9">
        <w:t>Administration de la Fédération de Russie s</w:t>
      </w:r>
      <w:r w:rsidR="00F76CBB" w:rsidRPr="00BD13D9">
        <w:t>'</w:t>
      </w:r>
      <w:r w:rsidRPr="00BD13D9">
        <w:t xml:space="preserve">est </w:t>
      </w:r>
      <w:r w:rsidR="00D36035" w:rsidRPr="00BD13D9">
        <w:t>prononcée contre</w:t>
      </w:r>
      <w:r w:rsidRPr="00BD13D9">
        <w:t xml:space="preserve"> la politisation</w:t>
      </w:r>
      <w:r w:rsidR="00D36035" w:rsidRPr="00BD13D9">
        <w:t xml:space="preserve"> marquée</w:t>
      </w:r>
      <w:r w:rsidR="0056155E" w:rsidRPr="00BD13D9">
        <w:t xml:space="preserve"> </w:t>
      </w:r>
      <w:r w:rsidRPr="00BD13D9">
        <w:t>de</w:t>
      </w:r>
      <w:r w:rsidR="00D36035" w:rsidRPr="00BD13D9">
        <w:t>s</w:t>
      </w:r>
      <w:r w:rsidR="0056155E" w:rsidRPr="00BD13D9">
        <w:t xml:space="preserve"> </w:t>
      </w:r>
      <w:r w:rsidRPr="00BD13D9">
        <w:t>aspect</w:t>
      </w:r>
      <w:r w:rsidR="00D36035" w:rsidRPr="00BD13D9">
        <w:t>s</w:t>
      </w:r>
      <w:r w:rsidRPr="00BD13D9">
        <w:t xml:space="preserve"> des travaux de l</w:t>
      </w:r>
      <w:r w:rsidR="00F76CBB" w:rsidRPr="00BD13D9">
        <w:t>'</w:t>
      </w:r>
      <w:r w:rsidRPr="00BD13D9">
        <w:t>Union et des relations entre</w:t>
      </w:r>
      <w:r w:rsidR="00D36035" w:rsidRPr="00BD13D9">
        <w:t xml:space="preserve"> les</w:t>
      </w:r>
      <w:r w:rsidR="0056155E" w:rsidRPr="00BD13D9">
        <w:t xml:space="preserve"> </w:t>
      </w:r>
      <w:r w:rsidRPr="00BD13D9">
        <w:t xml:space="preserve">États Membres qui </w:t>
      </w:r>
      <w:r w:rsidR="00D36035" w:rsidRPr="00BD13D9">
        <w:t>ne relèvent pas</w:t>
      </w:r>
      <w:r w:rsidR="0056155E" w:rsidRPr="00BD13D9">
        <w:t xml:space="preserve"> </w:t>
      </w:r>
      <w:r w:rsidRPr="00BD13D9">
        <w:t>du mandat de l</w:t>
      </w:r>
      <w:r w:rsidR="00F76CBB" w:rsidRPr="00BD13D9">
        <w:t>'</w:t>
      </w:r>
      <w:r w:rsidRPr="00BD13D9">
        <w:t>UIT,</w:t>
      </w:r>
      <w:r w:rsidR="0056155E" w:rsidRPr="00BD13D9">
        <w:t xml:space="preserve"> </w:t>
      </w:r>
      <w:r w:rsidR="00D36035" w:rsidRPr="00BD13D9">
        <w:t>tel qu</w:t>
      </w:r>
      <w:r w:rsidR="00F76CBB" w:rsidRPr="00BD13D9">
        <w:t>'</w:t>
      </w:r>
      <w:r w:rsidR="00D36035" w:rsidRPr="00BD13D9">
        <w:t>il est</w:t>
      </w:r>
      <w:r w:rsidR="0056155E" w:rsidRPr="00BD13D9">
        <w:t xml:space="preserve"> </w:t>
      </w:r>
      <w:r w:rsidR="00D36035" w:rsidRPr="00BD13D9">
        <w:t>strictement</w:t>
      </w:r>
      <w:r w:rsidRPr="00BD13D9">
        <w:t xml:space="preserve"> défini dans</w:t>
      </w:r>
      <w:r w:rsidR="0056155E" w:rsidRPr="00BD13D9">
        <w:t xml:space="preserve"> </w:t>
      </w:r>
      <w:r w:rsidR="00D36035" w:rsidRPr="00BD13D9">
        <w:t>la</w:t>
      </w:r>
      <w:r w:rsidR="0056155E" w:rsidRPr="00BD13D9">
        <w:t xml:space="preserve"> </w:t>
      </w:r>
      <w:r w:rsidRPr="00BD13D9">
        <w:t>Constitution et</w:t>
      </w:r>
      <w:r w:rsidR="0056155E" w:rsidRPr="00BD13D9">
        <w:t xml:space="preserve"> </w:t>
      </w:r>
      <w:r w:rsidR="00D36035" w:rsidRPr="00BD13D9">
        <w:t>la</w:t>
      </w:r>
      <w:r w:rsidR="0056155E" w:rsidRPr="00BD13D9">
        <w:t xml:space="preserve"> </w:t>
      </w:r>
      <w:r w:rsidRPr="00BD13D9">
        <w:t>Convention</w:t>
      </w:r>
      <w:r w:rsidR="00F23C7C" w:rsidRPr="00BD13D9">
        <w:t>.</w:t>
      </w:r>
    </w:p>
    <w:p w14:paraId="26EAB226" w14:textId="2D53A164" w:rsidR="00F23C7C" w:rsidRPr="00BD13D9" w:rsidRDefault="00DA16C5" w:rsidP="00E46F7F">
      <w:r w:rsidRPr="00BD13D9">
        <w:t>La Fédération de Russie remercie le Secrétaire général pour la présentation qu</w:t>
      </w:r>
      <w:r w:rsidR="00F76CBB" w:rsidRPr="00BD13D9">
        <w:t>'</w:t>
      </w:r>
      <w:r w:rsidRPr="00BD13D9">
        <w:t>il a faite du rapport sur les progrès accomplis dans la mise en œuvre de la Résolution 1408 du Conseil de l</w:t>
      </w:r>
      <w:r w:rsidR="00F76CBB" w:rsidRPr="00BD13D9">
        <w:t>'</w:t>
      </w:r>
      <w:r w:rsidRPr="00BD13D9">
        <w:t>UIT</w:t>
      </w:r>
      <w:r w:rsidR="00D36035" w:rsidRPr="00BD13D9">
        <w:t>, qui</w:t>
      </w:r>
      <w:r w:rsidR="0056155E" w:rsidRPr="00BD13D9">
        <w:t xml:space="preserve"> </w:t>
      </w:r>
      <w:r w:rsidRPr="00BD13D9">
        <w:t>figur</w:t>
      </w:r>
      <w:r w:rsidR="00D36035" w:rsidRPr="00BD13D9">
        <w:t xml:space="preserve">e </w:t>
      </w:r>
      <w:r w:rsidRPr="00BD13D9">
        <w:t xml:space="preserve">dans le </w:t>
      </w:r>
      <w:hyperlink r:id="rId30" w:tgtFrame="_blank" w:history="1">
        <w:r w:rsidR="00F23C7C" w:rsidRPr="00BD13D9">
          <w:rPr>
            <w:rStyle w:val="Hyperlink"/>
          </w:rPr>
          <w:t>Document 70</w:t>
        </w:r>
      </w:hyperlink>
      <w:r w:rsidR="00F23C7C" w:rsidRPr="00BD13D9">
        <w:t xml:space="preserve">, </w:t>
      </w:r>
      <w:r w:rsidR="00CE6A06" w:rsidRPr="00BD13D9">
        <w:t>et</w:t>
      </w:r>
      <w:r w:rsidR="0056155E" w:rsidRPr="00BD13D9">
        <w:t xml:space="preserve"> </w:t>
      </w:r>
      <w:r w:rsidR="00D36035" w:rsidRPr="00BD13D9">
        <w:t>nous souscrivons au</w:t>
      </w:r>
      <w:r w:rsidR="00CE6A06" w:rsidRPr="00BD13D9">
        <w:t xml:space="preserve"> </w:t>
      </w:r>
      <w:r w:rsidR="00CE6A06" w:rsidRPr="00BD13D9">
        <w:rPr>
          <w:i/>
          <w:iCs/>
        </w:rPr>
        <w:t>notant</w:t>
      </w:r>
      <w:r w:rsidR="00CE6A06" w:rsidRPr="00BD13D9">
        <w:t xml:space="preserve"> du rapport de la Conférence de plénipotentiaires. Toutefois,</w:t>
      </w:r>
      <w:r w:rsidR="0056155E" w:rsidRPr="00BD13D9">
        <w:t xml:space="preserve"> </w:t>
      </w:r>
      <w:r w:rsidR="007B0D19" w:rsidRPr="00BD13D9">
        <w:t>nous appelons</w:t>
      </w:r>
      <w:r w:rsidR="0056155E" w:rsidRPr="00BD13D9">
        <w:t xml:space="preserve"> </w:t>
      </w:r>
      <w:r w:rsidR="00CE6A06" w:rsidRPr="00BD13D9">
        <w:t>l</w:t>
      </w:r>
      <w:r w:rsidR="00F76CBB" w:rsidRPr="00BD13D9">
        <w:t>'</w:t>
      </w:r>
      <w:r w:rsidR="00CE6A06" w:rsidRPr="00BD13D9">
        <w:t>attention sur un certain nombre de</w:t>
      </w:r>
      <w:r w:rsidR="0056155E" w:rsidRPr="00BD13D9">
        <w:t xml:space="preserve"> </w:t>
      </w:r>
      <w:r w:rsidR="007B0D19" w:rsidRPr="00BD13D9">
        <w:t>questions</w:t>
      </w:r>
      <w:r w:rsidR="0056155E" w:rsidRPr="00BD13D9">
        <w:t xml:space="preserve"> </w:t>
      </w:r>
      <w:r w:rsidR="007B0D19" w:rsidRPr="00BD13D9">
        <w:t>liées à l</w:t>
      </w:r>
      <w:r w:rsidR="00F76CBB" w:rsidRPr="00BD13D9">
        <w:t>'</w:t>
      </w:r>
      <w:r w:rsidR="007B0D19" w:rsidRPr="00BD13D9">
        <w:t>accomplissement par</w:t>
      </w:r>
      <w:r w:rsidR="00CE6A06" w:rsidRPr="00BD13D9">
        <w:t xml:space="preserve"> l</w:t>
      </w:r>
      <w:r w:rsidR="00F76CBB" w:rsidRPr="00BD13D9">
        <w:t>'</w:t>
      </w:r>
      <w:r w:rsidR="00CE6A06" w:rsidRPr="00BD13D9">
        <w:t xml:space="preserve">Union </w:t>
      </w:r>
      <w:r w:rsidR="007B0D19" w:rsidRPr="00BD13D9">
        <w:t>de</w:t>
      </w:r>
      <w:r w:rsidR="00CE6A06" w:rsidRPr="00BD13D9">
        <w:t xml:space="preserve"> son mandat </w:t>
      </w:r>
      <w:r w:rsidR="007B0D19" w:rsidRPr="00BD13D9">
        <w:t>visant à fournir</w:t>
      </w:r>
      <w:r w:rsidR="0056155E" w:rsidRPr="00BD13D9">
        <w:t xml:space="preserve"> </w:t>
      </w:r>
      <w:r w:rsidR="007B0D19" w:rsidRPr="00BD13D9">
        <w:t xml:space="preserve">une </w:t>
      </w:r>
      <w:r w:rsidR="00CE6A06" w:rsidRPr="00BD13D9">
        <w:t>assistance et</w:t>
      </w:r>
      <w:r w:rsidR="0056155E" w:rsidRPr="00BD13D9">
        <w:t xml:space="preserve"> </w:t>
      </w:r>
      <w:r w:rsidR="007B0D19" w:rsidRPr="00BD13D9">
        <w:t xml:space="preserve">un </w:t>
      </w:r>
      <w:r w:rsidR="00CE6A06" w:rsidRPr="00BD13D9">
        <w:t>appui</w:t>
      </w:r>
      <w:r w:rsidR="0056155E" w:rsidRPr="00BD13D9">
        <w:t xml:space="preserve"> </w:t>
      </w:r>
      <w:r w:rsidR="00CE6A06" w:rsidRPr="00BD13D9">
        <w:t xml:space="preserve">aux pays en difficulté, comme </w:t>
      </w:r>
      <w:r w:rsidR="007B0D19" w:rsidRPr="00BD13D9">
        <w:t>indiqué ci-après</w:t>
      </w:r>
      <w:r w:rsidR="00F23C7C" w:rsidRPr="00BD13D9">
        <w:t>.</w:t>
      </w:r>
    </w:p>
    <w:p w14:paraId="14C112CE" w14:textId="396F444C" w:rsidR="00F23C7C" w:rsidRPr="00BD13D9" w:rsidRDefault="007B0D19" w:rsidP="00E46F7F">
      <w:r w:rsidRPr="00BD13D9">
        <w:t xml:space="preserve">Dans le </w:t>
      </w:r>
      <w:r w:rsidR="00F23C7C" w:rsidRPr="00BD13D9">
        <w:t>Document 70</w:t>
      </w:r>
      <w:r w:rsidRPr="00BD13D9">
        <w:t>, il est</w:t>
      </w:r>
      <w:r w:rsidR="0056155E" w:rsidRPr="00BD13D9">
        <w:t xml:space="preserve"> </w:t>
      </w:r>
      <w:r w:rsidR="00CE6A06" w:rsidRPr="00BD13D9">
        <w:t>indiqu</w:t>
      </w:r>
      <w:r w:rsidRPr="00BD13D9">
        <w:t>é</w:t>
      </w:r>
      <w:r w:rsidR="0056155E" w:rsidRPr="00BD13D9">
        <w:t xml:space="preserve"> </w:t>
      </w:r>
      <w:r w:rsidR="00CE6A06" w:rsidRPr="00BD13D9">
        <w:t xml:space="preserve">que le </w:t>
      </w:r>
      <w:r w:rsidR="008D0C54" w:rsidRPr="00BD13D9">
        <w:t>s</w:t>
      </w:r>
      <w:r w:rsidR="00CE6A06" w:rsidRPr="00BD13D9">
        <w:t>ecrétariat de l</w:t>
      </w:r>
      <w:r w:rsidR="00F76CBB" w:rsidRPr="00BD13D9">
        <w:t>'</w:t>
      </w:r>
      <w:r w:rsidR="00CE6A06" w:rsidRPr="00BD13D9">
        <w:t>UIT a pris plusieurs mesures en vue d</w:t>
      </w:r>
      <w:r w:rsidR="00F76CBB" w:rsidRPr="00BD13D9">
        <w:t>'</w:t>
      </w:r>
      <w:r w:rsidR="00CE6A06" w:rsidRPr="00BD13D9">
        <w:t>appliquer la Résolution, notamment la création d</w:t>
      </w:r>
      <w:r w:rsidR="00F76CBB" w:rsidRPr="00BD13D9">
        <w:t>'</w:t>
      </w:r>
      <w:r w:rsidR="00CE6A06" w:rsidRPr="00BD13D9">
        <w:t>un</w:t>
      </w:r>
      <w:r w:rsidR="00F23C7C" w:rsidRPr="00BD13D9">
        <w:t xml:space="preserve"> </w:t>
      </w:r>
      <w:hyperlink r:id="rId31" w:tgtFrame="_blank" w:history="1">
        <w:r w:rsidR="00E46F7F" w:rsidRPr="00BD13D9">
          <w:rPr>
            <w:rStyle w:val="Hyperlink"/>
          </w:rPr>
          <w:t>site web</w:t>
        </w:r>
      </w:hyperlink>
      <w:r w:rsidR="00CE6A06" w:rsidRPr="00BD13D9">
        <w:t xml:space="preserve"> spécial</w:t>
      </w:r>
      <w:r w:rsidR="00F23C7C" w:rsidRPr="00BD13D9">
        <w:t>.</w:t>
      </w:r>
    </w:p>
    <w:p w14:paraId="4DFB28C0" w14:textId="266D1E9E" w:rsidR="00F23C7C" w:rsidRPr="00BD13D9" w:rsidRDefault="00EF7FF6" w:rsidP="00E46F7F">
      <w:r w:rsidRPr="00BD13D9">
        <w:t>Il convient de rappeler que la Résolution susmentionnée concerne l</w:t>
      </w:r>
      <w:r w:rsidR="00F76CBB" w:rsidRPr="00BD13D9">
        <w:t>'</w:t>
      </w:r>
      <w:r w:rsidRPr="00BD13D9">
        <w:t>assistance et l</w:t>
      </w:r>
      <w:r w:rsidR="00F76CBB" w:rsidRPr="00BD13D9">
        <w:t>'</w:t>
      </w:r>
      <w:r w:rsidRPr="00BD13D9">
        <w:t xml:space="preserve">appui apportés </w:t>
      </w:r>
      <w:r w:rsidR="008D0C54" w:rsidRPr="00BD13D9">
        <w:t xml:space="preserve">à un </w:t>
      </w:r>
      <w:r w:rsidRPr="00BD13D9">
        <w:t>État Membre pour la</w:t>
      </w:r>
      <w:r w:rsidR="007B0D19" w:rsidRPr="00BD13D9">
        <w:t xml:space="preserve"> reconstruction </w:t>
      </w:r>
      <w:r w:rsidRPr="00BD13D9">
        <w:t xml:space="preserve">de </w:t>
      </w:r>
      <w:r w:rsidR="008D0C54" w:rsidRPr="00BD13D9">
        <w:t xml:space="preserve">son </w:t>
      </w:r>
      <w:r w:rsidRPr="00BD13D9">
        <w:t>secteur des télécommunications.</w:t>
      </w:r>
      <w:r w:rsidR="0056155E" w:rsidRPr="00BD13D9">
        <w:t xml:space="preserve"> </w:t>
      </w:r>
      <w:r w:rsidR="007B0D19" w:rsidRPr="00BD13D9">
        <w:t>P</w:t>
      </w:r>
      <w:r w:rsidRPr="00BD13D9">
        <w:t>arallèle</w:t>
      </w:r>
      <w:r w:rsidR="007B0D19" w:rsidRPr="00BD13D9">
        <w:t>ment</w:t>
      </w:r>
      <w:r w:rsidRPr="00BD13D9">
        <w:t>, l</w:t>
      </w:r>
      <w:r w:rsidR="00F76CBB" w:rsidRPr="00BD13D9">
        <w:t>'</w:t>
      </w:r>
      <w:r w:rsidRPr="00BD13D9">
        <w:t>UIT, en tant qu</w:t>
      </w:r>
      <w:r w:rsidR="00F76CBB" w:rsidRPr="00BD13D9">
        <w:t>'</w:t>
      </w:r>
      <w:r w:rsidRPr="00BD13D9">
        <w:t>institution spécialisée du système des Nations Unies pour les télécommunications/TIC, n</w:t>
      </w:r>
      <w:r w:rsidR="00F76CBB" w:rsidRPr="00BD13D9">
        <w:t>'</w:t>
      </w:r>
      <w:r w:rsidRPr="00BD13D9">
        <w:t>est pas habilitée à</w:t>
      </w:r>
      <w:r w:rsidR="0056155E" w:rsidRPr="00BD13D9">
        <w:t xml:space="preserve"> </w:t>
      </w:r>
      <w:r w:rsidR="007B0D19" w:rsidRPr="00BD13D9">
        <w:t>définir</w:t>
      </w:r>
      <w:r w:rsidR="0056155E" w:rsidRPr="00BD13D9">
        <w:t xml:space="preserve"> </w:t>
      </w:r>
      <w:r w:rsidRPr="00BD13D9">
        <w:t>le statut juridique et la nature des relations entre ses États Membres</w:t>
      </w:r>
      <w:r w:rsidR="00F23C7C" w:rsidRPr="00BD13D9">
        <w:t>.</w:t>
      </w:r>
    </w:p>
    <w:p w14:paraId="37572544" w14:textId="056F058C" w:rsidR="00F23C7C" w:rsidRPr="00BD13D9" w:rsidRDefault="00EF7FF6" w:rsidP="00E46F7F">
      <w:r w:rsidRPr="00BD13D9">
        <w:t xml:space="preserve">Cependant, la page web thématique créée sur le site </w:t>
      </w:r>
      <w:r w:rsidR="007B0D19" w:rsidRPr="00BD13D9">
        <w:t xml:space="preserve">web </w:t>
      </w:r>
      <w:r w:rsidRPr="00BD13D9">
        <w:t>officiel de l</w:t>
      </w:r>
      <w:r w:rsidR="00F76CBB" w:rsidRPr="00BD13D9">
        <w:t>'</w:t>
      </w:r>
      <w:r w:rsidRPr="00BD13D9">
        <w:t>UIT</w:t>
      </w:r>
      <w:r w:rsidR="0056155E" w:rsidRPr="00BD13D9">
        <w:t xml:space="preserve"> </w:t>
      </w:r>
      <w:r w:rsidR="007B0D19" w:rsidRPr="00BD13D9">
        <w:t>dans le cadre de</w:t>
      </w:r>
      <w:r w:rsidRPr="00BD13D9">
        <w:t xml:space="preserve"> la mise en œuvre de cette Résolution</w:t>
      </w:r>
      <w:r w:rsidR="0056155E" w:rsidRPr="00BD13D9">
        <w:t xml:space="preserve"> </w:t>
      </w:r>
      <w:r w:rsidR="007B0D19" w:rsidRPr="00BD13D9">
        <w:t xml:space="preserve">contient </w:t>
      </w:r>
      <w:r w:rsidRPr="00BD13D9">
        <w:t xml:space="preserve">des commentaires subjectifs et politisés </w:t>
      </w:r>
      <w:r w:rsidR="007B0D19" w:rsidRPr="00BD13D9">
        <w:t xml:space="preserve">qui sont </w:t>
      </w:r>
      <w:r w:rsidRPr="00BD13D9">
        <w:t>inacceptables. Cela</w:t>
      </w:r>
      <w:r w:rsidR="0056155E" w:rsidRPr="00BD13D9">
        <w:t xml:space="preserve"> </w:t>
      </w:r>
      <w:r w:rsidR="007B0D19" w:rsidRPr="00BD13D9">
        <w:t>n</w:t>
      </w:r>
      <w:r w:rsidR="00F76CBB" w:rsidRPr="00BD13D9">
        <w:t>'</w:t>
      </w:r>
      <w:r w:rsidR="007B0D19" w:rsidRPr="00BD13D9">
        <w:t>est pas du ressort</w:t>
      </w:r>
      <w:r w:rsidR="0056155E" w:rsidRPr="00BD13D9">
        <w:t xml:space="preserve"> </w:t>
      </w:r>
      <w:r w:rsidRPr="00BD13D9">
        <w:t>de l</w:t>
      </w:r>
      <w:r w:rsidR="00F76CBB" w:rsidRPr="00BD13D9">
        <w:t>'</w:t>
      </w:r>
      <w:r w:rsidRPr="00BD13D9">
        <w:t>Union et n</w:t>
      </w:r>
      <w:r w:rsidR="00F76CBB" w:rsidRPr="00BD13D9">
        <w:t>'</w:t>
      </w:r>
      <w:r w:rsidRPr="00BD13D9">
        <w:t>est pas conforme à la pratique acceptée</w:t>
      </w:r>
      <w:r w:rsidR="0056155E" w:rsidRPr="00BD13D9">
        <w:t xml:space="preserve"> </w:t>
      </w:r>
      <w:r w:rsidR="007B0D19" w:rsidRPr="00BD13D9">
        <w:t>dans ces situations</w:t>
      </w:r>
      <w:r w:rsidRPr="00BD13D9">
        <w:t>.</w:t>
      </w:r>
      <w:r w:rsidR="0056155E" w:rsidRPr="00BD13D9">
        <w:t xml:space="preserve"> </w:t>
      </w:r>
      <w:r w:rsidR="007B0D19" w:rsidRPr="00BD13D9">
        <w:t>Nous</w:t>
      </w:r>
      <w:r w:rsidR="0056155E" w:rsidRPr="00BD13D9">
        <w:t xml:space="preserve"> </w:t>
      </w:r>
      <w:r w:rsidR="008D0C54" w:rsidRPr="00BD13D9">
        <w:t>not</w:t>
      </w:r>
      <w:r w:rsidR="007B0D19" w:rsidRPr="00BD13D9">
        <w:t>ons</w:t>
      </w:r>
      <w:r w:rsidR="0056155E" w:rsidRPr="00BD13D9">
        <w:t xml:space="preserve"> </w:t>
      </w:r>
      <w:r w:rsidRPr="00BD13D9">
        <w:t xml:space="preserve">par ailleurs que le </w:t>
      </w:r>
      <w:r w:rsidR="00A81872" w:rsidRPr="00BD13D9">
        <w:t>secrétariat</w:t>
      </w:r>
      <w:r w:rsidRPr="00BD13D9">
        <w:t xml:space="preserve"> de l</w:t>
      </w:r>
      <w:r w:rsidR="00F76CBB" w:rsidRPr="00BD13D9">
        <w:t>'</w:t>
      </w:r>
      <w:r w:rsidRPr="00BD13D9">
        <w:t xml:space="preserve">UIT </w:t>
      </w:r>
      <w:r w:rsidR="00A81872" w:rsidRPr="00BD13D9">
        <w:t>n</w:t>
      </w:r>
      <w:r w:rsidR="00F76CBB" w:rsidRPr="00BD13D9">
        <w:t>'</w:t>
      </w:r>
      <w:r w:rsidR="00A81872" w:rsidRPr="00BD13D9">
        <w:t>a pas</w:t>
      </w:r>
      <w:r w:rsidR="0056155E" w:rsidRPr="00BD13D9">
        <w:t xml:space="preserve"> </w:t>
      </w:r>
      <w:r w:rsidR="007B0D19" w:rsidRPr="00BD13D9">
        <w:t>fourni une</w:t>
      </w:r>
      <w:r w:rsidR="0056155E" w:rsidRPr="00BD13D9">
        <w:t xml:space="preserve"> </w:t>
      </w:r>
      <w:r w:rsidR="00A81872" w:rsidRPr="00BD13D9">
        <w:t>traduction de la page web, dans la</w:t>
      </w:r>
      <w:r w:rsidR="0056155E" w:rsidRPr="00BD13D9">
        <w:t xml:space="preserve"> </w:t>
      </w:r>
      <w:r w:rsidR="007B0D19" w:rsidRPr="00BD13D9">
        <w:t xml:space="preserve">partie </w:t>
      </w:r>
      <w:r w:rsidR="00A81872" w:rsidRPr="00BD13D9">
        <w:t>du site web de l</w:t>
      </w:r>
      <w:r w:rsidR="00F76CBB" w:rsidRPr="00BD13D9">
        <w:t>'</w:t>
      </w:r>
      <w:r w:rsidR="00A81872" w:rsidRPr="00BD13D9">
        <w:t>UIT</w:t>
      </w:r>
      <w:r w:rsidR="007B0D19" w:rsidRPr="00BD13D9">
        <w:t xml:space="preserve"> consacrée</w:t>
      </w:r>
      <w:r w:rsidR="0056155E" w:rsidRPr="00BD13D9">
        <w:t xml:space="preserve"> </w:t>
      </w:r>
      <w:r w:rsidR="00A81872" w:rsidRPr="00BD13D9">
        <w:t>au Secteur du développement des télécommunications, dans les six langues officielles de l</w:t>
      </w:r>
      <w:r w:rsidR="00F76CBB" w:rsidRPr="00BD13D9">
        <w:t>'</w:t>
      </w:r>
      <w:r w:rsidR="00A81872" w:rsidRPr="00BD13D9">
        <w:t>Union, ce qui est contraire aux dispositions de la Constitution et de la Convention de l</w:t>
      </w:r>
      <w:r w:rsidR="00F76CBB" w:rsidRPr="00BD13D9">
        <w:t>'</w:t>
      </w:r>
      <w:r w:rsidR="00A81872" w:rsidRPr="00BD13D9">
        <w:t>UIT et</w:t>
      </w:r>
      <w:r w:rsidR="0056155E" w:rsidRPr="00BD13D9">
        <w:t xml:space="preserve"> </w:t>
      </w:r>
      <w:r w:rsidR="007B0D19" w:rsidRPr="00BD13D9">
        <w:t>à</w:t>
      </w:r>
      <w:r w:rsidR="0056155E" w:rsidRPr="00BD13D9">
        <w:t xml:space="preserve"> </w:t>
      </w:r>
      <w:r w:rsidR="00A81872" w:rsidRPr="00BD13D9">
        <w:t>la Résolution 154 (Rév. Dubaï, 2018) de la Conférence de plénipotentiaires</w:t>
      </w:r>
      <w:r w:rsidR="00F23C7C" w:rsidRPr="00BD13D9">
        <w:t>.</w:t>
      </w:r>
    </w:p>
    <w:p w14:paraId="253D818A" w14:textId="7C9BD845" w:rsidR="00F23C7C" w:rsidRPr="00BD13D9" w:rsidRDefault="00A81872" w:rsidP="00E46F7F">
      <w:r w:rsidRPr="00BD13D9">
        <w:t>En outre,</w:t>
      </w:r>
      <w:r w:rsidR="0056155E" w:rsidRPr="00BD13D9">
        <w:t xml:space="preserve"> </w:t>
      </w:r>
      <w:r w:rsidRPr="00BD13D9">
        <w:t>l</w:t>
      </w:r>
      <w:r w:rsidR="00F76CBB" w:rsidRPr="00BD13D9">
        <w:t>'</w:t>
      </w:r>
      <w:r w:rsidRPr="00BD13D9">
        <w:t xml:space="preserve">impression </w:t>
      </w:r>
      <w:r w:rsidR="009F41D0" w:rsidRPr="00BD13D9">
        <w:t xml:space="preserve">qui prévaut est </w:t>
      </w:r>
      <w:r w:rsidRPr="00BD13D9">
        <w:t>qu</w:t>
      </w:r>
      <w:r w:rsidR="00F76CBB" w:rsidRPr="00BD13D9">
        <w:t>'</w:t>
      </w:r>
      <w:r w:rsidRPr="00BD13D9">
        <w:t xml:space="preserve">une approche </w:t>
      </w:r>
      <w:r w:rsidR="00AE7AD8" w:rsidRPr="00BD13D9">
        <w:t>sélective</w:t>
      </w:r>
      <w:r w:rsidRPr="00BD13D9">
        <w:t xml:space="preserve"> est </w:t>
      </w:r>
      <w:r w:rsidR="00AE7AD8" w:rsidRPr="00BD13D9">
        <w:t>adoptée</w:t>
      </w:r>
      <w:r w:rsidRPr="00BD13D9">
        <w:t xml:space="preserve"> en </w:t>
      </w:r>
      <w:r w:rsidR="009F41D0" w:rsidRPr="00BD13D9">
        <w:t>vue de</w:t>
      </w:r>
      <w:r w:rsidR="0056155E" w:rsidRPr="00BD13D9">
        <w:t xml:space="preserve"> </w:t>
      </w:r>
      <w:r w:rsidRPr="00BD13D9">
        <w:t>l</w:t>
      </w:r>
      <w:r w:rsidR="00F76CBB" w:rsidRPr="00BD13D9">
        <w:t>'</w:t>
      </w:r>
      <w:r w:rsidRPr="00BD13D9">
        <w:t>utilisation des ressources de l</w:t>
      </w:r>
      <w:r w:rsidR="00F76CBB" w:rsidRPr="00BD13D9">
        <w:t>'</w:t>
      </w:r>
      <w:r w:rsidRPr="00BD13D9">
        <w:t>UIT dans le cadre de</w:t>
      </w:r>
      <w:r w:rsidR="009F41D0" w:rsidRPr="00BD13D9">
        <w:t xml:space="preserve"> l</w:t>
      </w:r>
      <w:r w:rsidR="00F76CBB" w:rsidRPr="00BD13D9">
        <w:t>'</w:t>
      </w:r>
      <w:r w:rsidR="009F41D0" w:rsidRPr="00BD13D9">
        <w:t>exécution de</w:t>
      </w:r>
      <w:r w:rsidR="0056155E" w:rsidRPr="00BD13D9">
        <w:t xml:space="preserve"> </w:t>
      </w:r>
      <w:r w:rsidRPr="00BD13D9">
        <w:t>son mandat visant à apporter une assistance et un appui techniques aux pays en difficulté</w:t>
      </w:r>
      <w:r w:rsidR="008D0C54" w:rsidRPr="00BD13D9">
        <w:t>,</w:t>
      </w:r>
      <w:r w:rsidRPr="00BD13D9">
        <w:t xml:space="preserve"> </w:t>
      </w:r>
      <w:r w:rsidR="009F41D0" w:rsidRPr="00BD13D9">
        <w:t>en faveur</w:t>
      </w:r>
      <w:r w:rsidR="0056155E" w:rsidRPr="00BD13D9">
        <w:t xml:space="preserve"> </w:t>
      </w:r>
      <w:r w:rsidR="009F41D0" w:rsidRPr="00BD13D9">
        <w:t>d</w:t>
      </w:r>
      <w:r w:rsidR="00F76CBB" w:rsidRPr="00BD13D9">
        <w:t>'</w:t>
      </w:r>
      <w:r w:rsidRPr="00BD13D9">
        <w:t>un seul État Membre de l</w:t>
      </w:r>
      <w:r w:rsidR="00F76CBB" w:rsidRPr="00BD13D9">
        <w:t>'</w:t>
      </w:r>
      <w:r w:rsidRPr="00BD13D9">
        <w:t>UIT, bien que</w:t>
      </w:r>
      <w:r w:rsidR="009F41D0" w:rsidRPr="00BD13D9">
        <w:t xml:space="preserve"> rien qu</w:t>
      </w:r>
      <w:r w:rsidR="00F76CBB" w:rsidRPr="00BD13D9">
        <w:t>'</w:t>
      </w:r>
      <w:r w:rsidR="009F41D0" w:rsidRPr="00BD13D9">
        <w:t>en</w:t>
      </w:r>
      <w:r w:rsidR="0056155E" w:rsidRPr="00BD13D9">
        <w:t xml:space="preserve"> </w:t>
      </w:r>
      <w:r w:rsidRPr="00BD13D9">
        <w:t>2022, plusieurs États Membres de l</w:t>
      </w:r>
      <w:r w:rsidR="00F76CBB" w:rsidRPr="00BD13D9">
        <w:t>'</w:t>
      </w:r>
      <w:r w:rsidRPr="00BD13D9">
        <w:t xml:space="preserve">UIT déjà couverts par des Résolutions </w:t>
      </w:r>
      <w:r w:rsidR="00AE7AD8" w:rsidRPr="00BD13D9">
        <w:t>existantes</w:t>
      </w:r>
      <w:r w:rsidRPr="00BD13D9">
        <w:t xml:space="preserve"> de la Conférence de plénipotentiaires, en particulier les Résolutions</w:t>
      </w:r>
      <w:r w:rsidR="008D0C54" w:rsidRPr="00BD13D9">
        <w:t> </w:t>
      </w:r>
      <w:r w:rsidRPr="00BD13D9">
        <w:t xml:space="preserve">34, 125, 126, 127, 159 et 193, ont </w:t>
      </w:r>
      <w:r w:rsidR="00AE7AD8" w:rsidRPr="00BD13D9">
        <w:t xml:space="preserve">eu besoin </w:t>
      </w:r>
      <w:r w:rsidRPr="00BD13D9">
        <w:t>d</w:t>
      </w:r>
      <w:r w:rsidR="00F76CBB" w:rsidRPr="00BD13D9">
        <w:t>'</w:t>
      </w:r>
      <w:r w:rsidRPr="00BD13D9">
        <w:t>une</w:t>
      </w:r>
      <w:r w:rsidR="0056155E" w:rsidRPr="00BD13D9">
        <w:t xml:space="preserve"> </w:t>
      </w:r>
      <w:r w:rsidRPr="00BD13D9">
        <w:t xml:space="preserve">assistance </w:t>
      </w:r>
      <w:r w:rsidR="009F41D0" w:rsidRPr="00BD13D9">
        <w:t xml:space="preserve">accrue </w:t>
      </w:r>
      <w:r w:rsidRPr="00BD13D9">
        <w:t>de la part de l</w:t>
      </w:r>
      <w:r w:rsidR="00F76CBB" w:rsidRPr="00BD13D9">
        <w:t>'</w:t>
      </w:r>
      <w:r w:rsidRPr="00BD13D9">
        <w:t>UIT</w:t>
      </w:r>
      <w:r w:rsidR="00F23C7C" w:rsidRPr="00BD13D9">
        <w:t>.</w:t>
      </w:r>
    </w:p>
    <w:p w14:paraId="67029BAF" w14:textId="36432FA7" w:rsidR="00E46F7F" w:rsidRPr="00BD13D9" w:rsidRDefault="00AE7AD8" w:rsidP="00E46F7F">
      <w:r w:rsidRPr="00BD13D9">
        <w:t>Au vu de ce qui précède, et en vertu d</w:t>
      </w:r>
      <w:r w:rsidR="008D0C54" w:rsidRPr="00BD13D9">
        <w:t>u</w:t>
      </w:r>
      <w:r w:rsidRPr="00BD13D9">
        <w:t xml:space="preserve"> principe de l</w:t>
      </w:r>
      <w:r w:rsidR="00F76CBB" w:rsidRPr="00BD13D9">
        <w:t>'</w:t>
      </w:r>
      <w:r w:rsidRPr="00BD13D9">
        <w:t>égalité des droits pour tous les États</w:t>
      </w:r>
      <w:r w:rsidR="00E46F7F" w:rsidRPr="00BD13D9">
        <w:t> </w:t>
      </w:r>
      <w:r w:rsidRPr="00BD13D9">
        <w:t>Membres de l</w:t>
      </w:r>
      <w:r w:rsidR="00F76CBB" w:rsidRPr="00BD13D9">
        <w:t>'</w:t>
      </w:r>
      <w:r w:rsidRPr="00BD13D9">
        <w:t>UIT, la Fédération de Russie invite le Secrétaire</w:t>
      </w:r>
      <w:r w:rsidR="0040550C">
        <w:t xml:space="preserve"> général à établir des rapports </w:t>
      </w:r>
      <w:r w:rsidRPr="00BD13D9">
        <w:t xml:space="preserve">sur toutes les </w:t>
      </w:r>
      <w:r w:rsidR="00604212" w:rsidRPr="00BD13D9">
        <w:t>r</w:t>
      </w:r>
      <w:r w:rsidRPr="00BD13D9">
        <w:t>ésolutions concernant l</w:t>
      </w:r>
      <w:r w:rsidR="00F76CBB" w:rsidRPr="00BD13D9">
        <w:t>'</w:t>
      </w:r>
      <w:r w:rsidRPr="00BD13D9">
        <w:t>assistance apportée aux pays en difficulté, en précisant l</w:t>
      </w:r>
      <w:r w:rsidR="00F76CBB" w:rsidRPr="00BD13D9">
        <w:t>'</w:t>
      </w:r>
      <w:r w:rsidRPr="00BD13D9">
        <w:t>ensemble complet de mesures, les sources et le volume du financement, ainsi que les résultats concrets</w:t>
      </w:r>
      <w:r w:rsidR="0056155E" w:rsidRPr="00BD13D9">
        <w:t xml:space="preserve"> </w:t>
      </w:r>
      <w:r w:rsidR="00604212" w:rsidRPr="00BD13D9">
        <w:t xml:space="preserve">obtenus </w:t>
      </w:r>
      <w:r w:rsidRPr="00BD13D9">
        <w:t>pour chacune des 12</w:t>
      </w:r>
      <w:r w:rsidR="008D0C54" w:rsidRPr="00BD13D9">
        <w:t> </w:t>
      </w:r>
      <w:r w:rsidR="00604212" w:rsidRPr="00BD13D9">
        <w:t>r</w:t>
      </w:r>
      <w:r w:rsidRPr="00BD13D9">
        <w:t xml:space="preserve">ésolutions de la Conférence de plénipotentiaires. </w:t>
      </w:r>
      <w:r w:rsidRPr="00BD13D9">
        <w:lastRenderedPageBreak/>
        <w:t>De plus, il conviendrait de créer une page unique sur le site web du Secteur du développement des télécommunications</w:t>
      </w:r>
      <w:r w:rsidR="00604212" w:rsidRPr="00BD13D9">
        <w:t>, consacrée</w:t>
      </w:r>
      <w:r w:rsidR="0056155E" w:rsidRPr="00BD13D9">
        <w:t xml:space="preserve"> </w:t>
      </w:r>
      <w:r w:rsidRPr="00BD13D9">
        <w:t>à la mise en œuvre de</w:t>
      </w:r>
      <w:r w:rsidR="0056155E" w:rsidRPr="00BD13D9">
        <w:t xml:space="preserve"> </w:t>
      </w:r>
      <w:r w:rsidR="00604212" w:rsidRPr="00BD13D9">
        <w:t xml:space="preserve">toutes </w:t>
      </w:r>
      <w:r w:rsidRPr="00BD13D9">
        <w:t xml:space="preserve">ces </w:t>
      </w:r>
      <w:r w:rsidR="00604212" w:rsidRPr="00BD13D9">
        <w:t>r</w:t>
      </w:r>
      <w:r w:rsidRPr="00BD13D9">
        <w:t>ésolutions de la Conférence de plénipotentiaires et indiquant les mesures et les résultats concrets de l</w:t>
      </w:r>
      <w:r w:rsidR="00F76CBB" w:rsidRPr="00BD13D9">
        <w:t>'</w:t>
      </w:r>
      <w:r w:rsidRPr="00BD13D9">
        <w:t xml:space="preserve">assistance technique apportée. Ces </w:t>
      </w:r>
      <w:r w:rsidR="00604212" w:rsidRPr="00BD13D9">
        <w:t>r</w:t>
      </w:r>
      <w:r w:rsidRPr="00BD13D9">
        <w:t>ésolutions concernent actuellement quelque 20 États Membres</w:t>
      </w:r>
      <w:r w:rsidR="0056155E" w:rsidRPr="00BD13D9">
        <w:t xml:space="preserve"> </w:t>
      </w:r>
      <w:r w:rsidR="00604212" w:rsidRPr="00BD13D9">
        <w:t>issus de</w:t>
      </w:r>
      <w:r w:rsidR="0056155E" w:rsidRPr="00BD13D9">
        <w:t xml:space="preserve"> </w:t>
      </w:r>
      <w:r w:rsidRPr="00BD13D9">
        <w:t>diverses régions du monde</w:t>
      </w:r>
      <w:r w:rsidR="00F23C7C" w:rsidRPr="00BD13D9">
        <w:t>.</w:t>
      </w:r>
    </w:p>
    <w:p w14:paraId="51064343" w14:textId="1DC34389" w:rsidR="00F23C7C" w:rsidRPr="00BD13D9" w:rsidRDefault="00F23C7C" w:rsidP="00E46F7F">
      <w:r w:rsidRPr="00BD13D9">
        <w:rPr>
          <w:rFonts w:cstheme="minorHAnsi"/>
          <w:b/>
          <w:bCs/>
          <w:iCs/>
          <w:szCs w:val="24"/>
        </w:rPr>
        <w:br w:type="page"/>
      </w:r>
    </w:p>
    <w:p w14:paraId="3D89CCDD" w14:textId="2BB7B3A9" w:rsidR="00F23C7C" w:rsidRPr="00BD13D9" w:rsidRDefault="00F23C7C" w:rsidP="0056155E">
      <w:pPr>
        <w:pStyle w:val="AnnexNo"/>
      </w:pPr>
      <w:r w:rsidRPr="00BD13D9">
        <w:lastRenderedPageBreak/>
        <w:t>AnnexE C</w:t>
      </w:r>
    </w:p>
    <w:p w14:paraId="6A8501D7" w14:textId="2D615990" w:rsidR="00F23C7C" w:rsidRPr="00BD13D9" w:rsidRDefault="00F23C7C" w:rsidP="0056155E">
      <w:pPr>
        <w:spacing w:after="120"/>
        <w:jc w:val="right"/>
        <w:rPr>
          <w:rFonts w:cstheme="minorHAnsi"/>
          <w:iCs/>
          <w:szCs w:val="24"/>
        </w:rPr>
      </w:pPr>
      <w:r w:rsidRPr="00BD13D9">
        <w:rPr>
          <w:rFonts w:cstheme="minorHAnsi"/>
          <w:iCs/>
          <w:szCs w:val="24"/>
        </w:rPr>
        <w:t>Original: russe</w:t>
      </w:r>
    </w:p>
    <w:p w14:paraId="0BA480DB" w14:textId="377BEBBA" w:rsidR="00F23C7C" w:rsidRPr="00BD13D9" w:rsidRDefault="00AE7AD8" w:rsidP="0056155E">
      <w:pPr>
        <w:pStyle w:val="Annextitle"/>
        <w:rPr>
          <w:lang w:eastAsia="zh-CN" w:bidi="hi-IN"/>
        </w:rPr>
      </w:pPr>
      <w:r w:rsidRPr="00BD13D9">
        <w:t>Déclaration de la Fédération de Russie</w:t>
      </w:r>
      <w:r w:rsidRPr="00BD13D9">
        <w:rPr>
          <w:lang w:eastAsia="zh-CN" w:bidi="hi-IN"/>
        </w:rPr>
        <w:t xml:space="preserve"> en réponse à la déclaration de l</w:t>
      </w:r>
      <w:r w:rsidR="00F76CBB" w:rsidRPr="00BD13D9">
        <w:rPr>
          <w:lang w:eastAsia="zh-CN" w:bidi="hi-IN"/>
        </w:rPr>
        <w:t>'</w:t>
      </w:r>
      <w:r w:rsidRPr="00BD13D9">
        <w:rPr>
          <w:lang w:eastAsia="zh-CN" w:bidi="hi-IN"/>
        </w:rPr>
        <w:t>Ukraine</w:t>
      </w:r>
    </w:p>
    <w:p w14:paraId="40F00CAD" w14:textId="120B187B" w:rsidR="00F23C7C" w:rsidRPr="00BD13D9" w:rsidRDefault="00AE7AD8" w:rsidP="0040550C">
      <w:pPr>
        <w:pStyle w:val="Normalaftertitle"/>
        <w:tabs>
          <w:tab w:val="clear" w:pos="567"/>
          <w:tab w:val="clear" w:pos="1134"/>
          <w:tab w:val="clear" w:pos="1701"/>
          <w:tab w:val="clear" w:pos="2268"/>
          <w:tab w:val="clear" w:pos="2835"/>
        </w:tabs>
        <w:spacing w:after="120"/>
      </w:pPr>
      <w:r w:rsidRPr="00BD13D9">
        <w:t xml:space="preserve">La </w:t>
      </w:r>
      <w:r w:rsidR="00A96CFB" w:rsidRPr="00BD13D9">
        <w:t>délégation</w:t>
      </w:r>
      <w:r w:rsidRPr="00BD13D9">
        <w:t xml:space="preserve"> de la Fédération de Russie </w:t>
      </w:r>
      <w:r w:rsidR="00A96CFB" w:rsidRPr="00BD13D9">
        <w:t xml:space="preserve">rejette </w:t>
      </w:r>
      <w:r w:rsidR="00604212" w:rsidRPr="00BD13D9">
        <w:t>catégoriquement</w:t>
      </w:r>
      <w:r w:rsidR="0056155E" w:rsidRPr="00BD13D9">
        <w:t xml:space="preserve"> </w:t>
      </w:r>
      <w:r w:rsidR="00A96CFB" w:rsidRPr="00BD13D9">
        <w:t xml:space="preserve">les </w:t>
      </w:r>
      <w:r w:rsidRPr="00BD13D9">
        <w:t>tentatives de certains États</w:t>
      </w:r>
      <w:r w:rsidR="00E46F7F" w:rsidRPr="00BD13D9">
        <w:t> </w:t>
      </w:r>
      <w:r w:rsidRPr="00BD13D9">
        <w:t>Membres,</w:t>
      </w:r>
      <w:r w:rsidR="0056155E" w:rsidRPr="00BD13D9">
        <w:t xml:space="preserve"> </w:t>
      </w:r>
      <w:r w:rsidR="00604212" w:rsidRPr="00BD13D9">
        <w:t>dont</w:t>
      </w:r>
      <w:r w:rsidR="0056155E" w:rsidRPr="00BD13D9">
        <w:t xml:space="preserve"> </w:t>
      </w:r>
      <w:r w:rsidRPr="00BD13D9">
        <w:t>l</w:t>
      </w:r>
      <w:r w:rsidR="00F76CBB" w:rsidRPr="00BD13D9">
        <w:t>'</w:t>
      </w:r>
      <w:r w:rsidRPr="00BD13D9">
        <w:t>Ukraine, d</w:t>
      </w:r>
      <w:r w:rsidR="00F76CBB" w:rsidRPr="00BD13D9">
        <w:t>'</w:t>
      </w:r>
      <w:r w:rsidRPr="00BD13D9">
        <w:t>utiliser</w:t>
      </w:r>
      <w:r w:rsidR="0056155E" w:rsidRPr="00BD13D9">
        <w:t xml:space="preserve"> </w:t>
      </w:r>
      <w:r w:rsidR="00604212" w:rsidRPr="00BD13D9">
        <w:t>le cadre que constitue</w:t>
      </w:r>
      <w:r w:rsidR="0056155E" w:rsidRPr="00BD13D9">
        <w:t xml:space="preserve"> </w:t>
      </w:r>
      <w:r w:rsidR="00A96CFB" w:rsidRPr="00BD13D9">
        <w:t>l</w:t>
      </w:r>
      <w:r w:rsidR="00F76CBB" w:rsidRPr="00BD13D9">
        <w:t>'</w:t>
      </w:r>
      <w:r w:rsidR="00A96CFB" w:rsidRPr="00BD13D9">
        <w:t>Union internationale des télécommunications (UIT) pour politiser</w:t>
      </w:r>
      <w:r w:rsidR="0056155E" w:rsidRPr="00BD13D9">
        <w:t xml:space="preserve"> </w:t>
      </w:r>
      <w:r w:rsidR="00604212" w:rsidRPr="00BD13D9">
        <w:t>les débats</w:t>
      </w:r>
      <w:r w:rsidR="00A96CFB" w:rsidRPr="00BD13D9">
        <w:t xml:space="preserve"> et </w:t>
      </w:r>
      <w:r w:rsidR="00604212" w:rsidRPr="00BD13D9">
        <w:t>discuter</w:t>
      </w:r>
      <w:r w:rsidR="00A96CFB" w:rsidRPr="00BD13D9">
        <w:t xml:space="preserve"> de </w:t>
      </w:r>
      <w:r w:rsidR="008D0C54" w:rsidRPr="00BD13D9">
        <w:t xml:space="preserve">points </w:t>
      </w:r>
      <w:r w:rsidR="00A96CFB" w:rsidRPr="00BD13D9">
        <w:t>qui ne relèvent pas de la compétence de l</w:t>
      </w:r>
      <w:r w:rsidR="00F76CBB" w:rsidRPr="00BD13D9">
        <w:t>'</w:t>
      </w:r>
      <w:r w:rsidR="00A96CFB" w:rsidRPr="00BD13D9">
        <w:t>organisation. Une telle conduite est de nature essentiellement provocatrice et témoigne d</w:t>
      </w:r>
      <w:r w:rsidR="00F76CBB" w:rsidRPr="00BD13D9">
        <w:t>'</w:t>
      </w:r>
      <w:r w:rsidR="00A96CFB" w:rsidRPr="00BD13D9">
        <w:t>un manque de considération pour la Constitution et la Convention de l</w:t>
      </w:r>
      <w:r w:rsidR="00F76CBB" w:rsidRPr="00BD13D9">
        <w:t>'</w:t>
      </w:r>
      <w:r w:rsidR="00A96CFB" w:rsidRPr="00BD13D9">
        <w:t>UIT et pour ses États membres</w:t>
      </w:r>
      <w:r w:rsidR="00F23C7C" w:rsidRPr="00BD13D9">
        <w:t>.</w:t>
      </w:r>
    </w:p>
    <w:p w14:paraId="54232EC0" w14:textId="717345A1" w:rsidR="00F23C7C" w:rsidRPr="00BD13D9" w:rsidRDefault="00A96CFB" w:rsidP="00E46F7F">
      <w:r w:rsidRPr="00BD13D9">
        <w:t>La délégation de la Fédération de Russie rappelle que l</w:t>
      </w:r>
      <w:r w:rsidR="00F76CBB" w:rsidRPr="00BD13D9">
        <w:t>'</w:t>
      </w:r>
      <w:r w:rsidRPr="00BD13D9">
        <w:t xml:space="preserve">UIT, en vertu </w:t>
      </w:r>
      <w:r w:rsidR="00604212" w:rsidRPr="00BD13D9">
        <w:t>des dispositions</w:t>
      </w:r>
      <w:r w:rsidR="0056155E" w:rsidRPr="00BD13D9">
        <w:t xml:space="preserve"> </w:t>
      </w:r>
      <w:r w:rsidRPr="00BD13D9">
        <w:t>de ses textes fondamentaux, n</w:t>
      </w:r>
      <w:r w:rsidR="00F76CBB" w:rsidRPr="00BD13D9">
        <w:t>'</w:t>
      </w:r>
      <w:r w:rsidRPr="00BD13D9">
        <w:t>est pas habilitée à examiner les questions à caractère politique général, notamment les questions relatives à l</w:t>
      </w:r>
      <w:r w:rsidR="00F76CBB" w:rsidRPr="00BD13D9">
        <w:t>'</w:t>
      </w:r>
      <w:r w:rsidRPr="00BD13D9">
        <w:t>intégrité territoriale et à la souveraineté nationale des États, pas plus qu</w:t>
      </w:r>
      <w:r w:rsidR="00F76CBB" w:rsidRPr="00BD13D9">
        <w:t>'</w:t>
      </w:r>
      <w:r w:rsidRPr="00BD13D9">
        <w:t>elle n</w:t>
      </w:r>
      <w:r w:rsidR="00F76CBB" w:rsidRPr="00BD13D9">
        <w:t>'</w:t>
      </w:r>
      <w:r w:rsidRPr="00BD13D9">
        <w:t>est habilitée à</w:t>
      </w:r>
      <w:r w:rsidR="00604212" w:rsidRPr="00BD13D9">
        <w:t xml:space="preserve"> qualifier</w:t>
      </w:r>
      <w:r w:rsidRPr="00BD13D9">
        <w:t xml:space="preserve"> la situation en Ukraine de "guerre" ou d</w:t>
      </w:r>
      <w:r w:rsidR="00F76CBB" w:rsidRPr="00BD13D9">
        <w:t>'</w:t>
      </w:r>
      <w:r w:rsidRPr="00BD13D9">
        <w:t>"invasion", à déterminer qui est responsable ou à qualifier les actions d</w:t>
      </w:r>
      <w:r w:rsidR="00F76CBB" w:rsidRPr="00BD13D9">
        <w:t>'</w:t>
      </w:r>
      <w:r w:rsidRPr="00BD13D9">
        <w:t>États d</w:t>
      </w:r>
      <w:r w:rsidR="00F76CBB" w:rsidRPr="00BD13D9">
        <w:t>'</w:t>
      </w:r>
      <w:r w:rsidRPr="00BD13D9">
        <w:t>actes d</w:t>
      </w:r>
      <w:r w:rsidR="00F76CBB" w:rsidRPr="00BD13D9">
        <w:t>'</w:t>
      </w:r>
      <w:r w:rsidRPr="00BD13D9">
        <w:t>agression</w:t>
      </w:r>
      <w:r w:rsidR="00F23C7C" w:rsidRPr="00BD13D9">
        <w:t>.</w:t>
      </w:r>
    </w:p>
    <w:p w14:paraId="54E2EA43" w14:textId="6B09CADD" w:rsidR="00F23C7C" w:rsidRPr="00BD13D9" w:rsidRDefault="00604212" w:rsidP="00E46F7F">
      <w:r w:rsidRPr="00BD13D9">
        <w:t>Nous tenons à</w:t>
      </w:r>
      <w:r w:rsidR="0056155E" w:rsidRPr="00BD13D9">
        <w:t xml:space="preserve"> </w:t>
      </w:r>
      <w:r w:rsidRPr="00BD13D9">
        <w:t>souligner</w:t>
      </w:r>
      <w:r w:rsidR="00A96CFB" w:rsidRPr="00BD13D9">
        <w:t xml:space="preserve"> que la situation actuelle e</w:t>
      </w:r>
      <w:r w:rsidR="0040550C">
        <w:t>st la conséquence du refus des A</w:t>
      </w:r>
      <w:r w:rsidR="00A96CFB" w:rsidRPr="00BD13D9">
        <w:t>utorités ukrainiennes d</w:t>
      </w:r>
      <w:r w:rsidRPr="00BD13D9">
        <w:t xml:space="preserve">e se conformer à </w:t>
      </w:r>
      <w:r w:rsidR="00A96CFB" w:rsidRPr="00BD13D9">
        <w:t>l</w:t>
      </w:r>
      <w:r w:rsidR="00F76CBB" w:rsidRPr="00BD13D9">
        <w:t>'</w:t>
      </w:r>
      <w:r w:rsidR="00A96CFB" w:rsidRPr="00BD13D9">
        <w:t xml:space="preserve">ensemble de mesures </w:t>
      </w:r>
      <w:r w:rsidRPr="00BD13D9">
        <w:t>de</w:t>
      </w:r>
      <w:r w:rsidR="0056155E" w:rsidRPr="00BD13D9">
        <w:t xml:space="preserve"> </w:t>
      </w:r>
      <w:r w:rsidR="00A96CFB" w:rsidRPr="00BD13D9">
        <w:t xml:space="preserve">Minsk, qui a été entériné par la Résolution 2202 du Conseil de sécurité </w:t>
      </w:r>
      <w:r w:rsidRPr="00BD13D9">
        <w:t>de l</w:t>
      </w:r>
      <w:r w:rsidR="00F76CBB" w:rsidRPr="00BD13D9">
        <w:t>'</w:t>
      </w:r>
      <w:r w:rsidRPr="00BD13D9">
        <w:t xml:space="preserve">Organisation </w:t>
      </w:r>
      <w:r w:rsidR="00A96CFB" w:rsidRPr="00BD13D9">
        <w:t>des Nations Unies le 17 février 2015</w:t>
      </w:r>
      <w:r w:rsidR="00F23C7C" w:rsidRPr="00BD13D9">
        <w:t>.</w:t>
      </w:r>
    </w:p>
    <w:p w14:paraId="43D52BDF" w14:textId="36F5AA42" w:rsidR="007139F5" w:rsidRPr="00BD13D9" w:rsidRDefault="007139F5" w:rsidP="00E46F7F">
      <w:r w:rsidRPr="00BD13D9">
        <w:t>La décision d</w:t>
      </w:r>
      <w:r w:rsidR="00F76CBB" w:rsidRPr="00BD13D9">
        <w:t>'</w:t>
      </w:r>
      <w:r w:rsidRPr="00BD13D9">
        <w:t>accepter au sein de la Fédération de Russie les républiques populaires de Donetsk et de Louhansk ainsi que les provinces de Zaporijia et de Kherson est fondée sur l</w:t>
      </w:r>
      <w:r w:rsidR="00F76CBB" w:rsidRPr="00BD13D9">
        <w:t>'</w:t>
      </w:r>
      <w:r w:rsidRPr="00BD13D9">
        <w:t>expression de la volonté de leurs citoyens, lors des référendums tenus entre le 23 et le 27 septembre 2022. Les habitants de ces territoires ont eu la possibilité d</w:t>
      </w:r>
      <w:r w:rsidR="00F76CBB" w:rsidRPr="00BD13D9">
        <w:t>'</w:t>
      </w:r>
      <w:r w:rsidRPr="00BD13D9">
        <w:t>exprimer leur opinion en toute indépendance et liberté, comme l</w:t>
      </w:r>
      <w:r w:rsidR="00F76CBB" w:rsidRPr="00BD13D9">
        <w:t>'</w:t>
      </w:r>
      <w:r w:rsidRPr="00BD13D9">
        <w:t>ont confirmé de nombreux observateurs, y compris des observateurs internationaux.</w:t>
      </w:r>
    </w:p>
    <w:p w14:paraId="6400DADC" w14:textId="699C6B31" w:rsidR="007139F5" w:rsidRPr="00BD13D9" w:rsidRDefault="007139F5" w:rsidP="00E46F7F">
      <w:r w:rsidRPr="00BD13D9">
        <w:t>Toutes ces actions ont été menées en pleine conformité avec le droit international, en particulier le droit des peuples à l</w:t>
      </w:r>
      <w:r w:rsidR="00F76CBB" w:rsidRPr="00BD13D9">
        <w:t>'</w:t>
      </w:r>
      <w:r w:rsidR="0040550C">
        <w:t>auto</w:t>
      </w:r>
      <w:r w:rsidRPr="00BD13D9">
        <w:t xml:space="preserve">détermination, qui est ancré dans la Charte des Nations Unies, la Déclaration de 1970 relative aux principes du droit international touchant les relations amicales et la coopération entre les États conformément à la Charte des Nations Unies, et dans de nombreux autres textes. </w:t>
      </w:r>
      <w:r w:rsidR="006F768E" w:rsidRPr="00BD13D9">
        <w:t>L</w:t>
      </w:r>
      <w:r w:rsidRPr="00BD13D9">
        <w:t>a déclaration susmentionnée stipule que: "Tout État a le devoir de s</w:t>
      </w:r>
      <w:r w:rsidR="00F76CBB" w:rsidRPr="00BD13D9">
        <w:t>'</w:t>
      </w:r>
      <w:r w:rsidRPr="00BD13D9">
        <w:t>abstenir de recourir à toute mesure de coercition qui priverait de leur droit à l</w:t>
      </w:r>
      <w:r w:rsidR="00F76CBB" w:rsidRPr="00BD13D9">
        <w:t>'</w:t>
      </w:r>
      <w:r w:rsidR="0040550C">
        <w:t>auto</w:t>
      </w:r>
      <w:r w:rsidRPr="00BD13D9">
        <w:t>détermination, à la liberté et à l</w:t>
      </w:r>
      <w:r w:rsidR="00F76CBB" w:rsidRPr="00BD13D9">
        <w:t>'</w:t>
      </w:r>
      <w:r w:rsidRPr="00BD13D9">
        <w:t>indépendance les peuples mentionnés dans la formulation du principe de l</w:t>
      </w:r>
      <w:r w:rsidR="00F76CBB" w:rsidRPr="00BD13D9">
        <w:t>'</w:t>
      </w:r>
      <w:r w:rsidRPr="00BD13D9">
        <w:t>égalité des droits et de leur droit à disposer d</w:t>
      </w:r>
      <w:r w:rsidR="00F76CBB" w:rsidRPr="00BD13D9">
        <w:t>'</w:t>
      </w:r>
      <w:r w:rsidRPr="00BD13D9">
        <w:t>eux-mêmes".</w:t>
      </w:r>
    </w:p>
    <w:p w14:paraId="0FD90364" w14:textId="2DDB6DEC" w:rsidR="007139F5" w:rsidRPr="00BD13D9" w:rsidRDefault="007139F5" w:rsidP="00E46F7F">
      <w:r w:rsidRPr="00BD13D9">
        <w:t>Tous les droits et obligations concernant la fourniture de services de télécommunication aux populations de la République populaire de Donetsk et de la République populaire de Louhansk et des provinces de Zaporijia et de Kherson, ainsi qu</w:t>
      </w:r>
      <w:r w:rsidR="00F76CBB" w:rsidRPr="00BD13D9">
        <w:t>'</w:t>
      </w:r>
      <w:r w:rsidRPr="00BD13D9">
        <w:t>aux installations situées dans ces territoires, ont été transférés à la Fédération de Russie, y compris s</w:t>
      </w:r>
      <w:r w:rsidR="00F76CBB" w:rsidRPr="00BD13D9">
        <w:t>'</w:t>
      </w:r>
      <w:r w:rsidRPr="00BD13D9">
        <w:t>agissant du respect des dispositions de la Constitution et de la Convention de l</w:t>
      </w:r>
      <w:r w:rsidR="00F76CBB" w:rsidRPr="00BD13D9">
        <w:t>'</w:t>
      </w:r>
      <w:r w:rsidRPr="00BD13D9">
        <w:t>UIT et du Règlement des radiocommunications de l</w:t>
      </w:r>
      <w:r w:rsidR="00F76CBB" w:rsidRPr="00BD13D9">
        <w:t>'</w:t>
      </w:r>
      <w:r w:rsidRPr="00BD13D9">
        <w:t>UIT. Toute tentative de contestation de ce fait est sans fondement et dénuée de sens.</w:t>
      </w:r>
    </w:p>
    <w:p w14:paraId="1363C229" w14:textId="10C49E70" w:rsidR="007139F5" w:rsidRPr="00BD13D9" w:rsidRDefault="007139F5" w:rsidP="00E46F7F">
      <w:r w:rsidRPr="00BD13D9">
        <w:t>La Fédération de Russie agit en pleine conformité avec l</w:t>
      </w:r>
      <w:r w:rsidR="00F76CBB" w:rsidRPr="00BD13D9">
        <w:t>'</w:t>
      </w:r>
      <w:r w:rsidRPr="00BD13D9">
        <w:t>article 1 de la Constitution de l</w:t>
      </w:r>
      <w:r w:rsidR="00F76CBB" w:rsidRPr="00BD13D9">
        <w:t>'</w:t>
      </w:r>
      <w:r w:rsidRPr="00BD13D9">
        <w:t>UIT, en répondant aux besoins des habitants des territoires susmentionnés de la Fédération de Russie et en mettant à leur disposition des moyens de télécommunication/TIC.</w:t>
      </w:r>
    </w:p>
    <w:p w14:paraId="3D9BE31C" w14:textId="4954393C" w:rsidR="006F768E" w:rsidRPr="00BD13D9" w:rsidRDefault="00604212" w:rsidP="00433984">
      <w:pPr>
        <w:keepLines/>
      </w:pPr>
      <w:r w:rsidRPr="00BD13D9">
        <w:lastRenderedPageBreak/>
        <w:t>Nous rejetons</w:t>
      </w:r>
      <w:r w:rsidR="008D0C54" w:rsidRPr="00BD13D9">
        <w:t xml:space="preserve"> </w:t>
      </w:r>
      <w:r w:rsidR="006F768E" w:rsidRPr="00BD13D9">
        <w:t xml:space="preserve">les accusations </w:t>
      </w:r>
      <w:r w:rsidRPr="00BD13D9">
        <w:t xml:space="preserve">illégales </w:t>
      </w:r>
      <w:r w:rsidR="006F768E" w:rsidRPr="00BD13D9">
        <w:t>à</w:t>
      </w:r>
      <w:r w:rsidR="0056155E" w:rsidRPr="00BD13D9">
        <w:t xml:space="preserve"> </w:t>
      </w:r>
      <w:r w:rsidRPr="00BD13D9">
        <w:t>l</w:t>
      </w:r>
      <w:r w:rsidR="00F76CBB" w:rsidRPr="00BD13D9">
        <w:t>'</w:t>
      </w:r>
      <w:r w:rsidRPr="00BD13D9">
        <w:t>encontre de notre pays</w:t>
      </w:r>
      <w:r w:rsidR="0056155E" w:rsidRPr="00BD13D9">
        <w:t xml:space="preserve"> </w:t>
      </w:r>
      <w:r w:rsidR="006F768E" w:rsidRPr="00BD13D9">
        <w:t>et exhort</w:t>
      </w:r>
      <w:r w:rsidRPr="00BD13D9">
        <w:t>ons</w:t>
      </w:r>
      <w:r w:rsidR="006F768E" w:rsidRPr="00BD13D9">
        <w:t xml:space="preserve"> tous les</w:t>
      </w:r>
      <w:r w:rsidR="0056155E" w:rsidRPr="00BD13D9">
        <w:t xml:space="preserve"> </w:t>
      </w:r>
      <w:r w:rsidRPr="00BD13D9">
        <w:t>participants</w:t>
      </w:r>
      <w:r w:rsidR="0056155E" w:rsidRPr="00BD13D9">
        <w:t xml:space="preserve"> </w:t>
      </w:r>
      <w:r w:rsidR="006F768E" w:rsidRPr="00BD13D9">
        <w:t>à s</w:t>
      </w:r>
      <w:r w:rsidR="00F76CBB" w:rsidRPr="00BD13D9">
        <w:t>'</w:t>
      </w:r>
      <w:r w:rsidR="006F768E" w:rsidRPr="00BD13D9">
        <w:t>abstenir de faire des déclarations</w:t>
      </w:r>
      <w:r w:rsidR="0056155E" w:rsidRPr="00BD13D9">
        <w:t xml:space="preserve"> </w:t>
      </w:r>
      <w:r w:rsidRPr="00BD13D9">
        <w:t>à motivation politique</w:t>
      </w:r>
      <w:r w:rsidR="006F768E" w:rsidRPr="00BD13D9">
        <w:t xml:space="preserve"> sur les États Membres de l</w:t>
      </w:r>
      <w:r w:rsidR="00F76CBB" w:rsidRPr="00BD13D9">
        <w:t>'</w:t>
      </w:r>
      <w:r w:rsidR="006F768E" w:rsidRPr="00BD13D9">
        <w:t xml:space="preserve">Union, </w:t>
      </w:r>
      <w:r w:rsidRPr="00BD13D9">
        <w:t xml:space="preserve">ce </w:t>
      </w:r>
      <w:r w:rsidR="008D0C54" w:rsidRPr="00BD13D9">
        <w:t>qu</w:t>
      </w:r>
      <w:r w:rsidR="00F76CBB" w:rsidRPr="00BD13D9">
        <w:t>'</w:t>
      </w:r>
      <w:r w:rsidR="008D0C54" w:rsidRPr="00BD13D9">
        <w:t xml:space="preserve">elle considère </w:t>
      </w:r>
      <w:r w:rsidRPr="00BD13D9">
        <w:t>comme des éléments d</w:t>
      </w:r>
      <w:r w:rsidR="00F76CBB" w:rsidRPr="00BD13D9">
        <w:t>'</w:t>
      </w:r>
      <w:r w:rsidR="006F768E" w:rsidRPr="00BD13D9">
        <w:t>une confrontation mondiale. L</w:t>
      </w:r>
      <w:r w:rsidR="00F76CBB" w:rsidRPr="00BD13D9">
        <w:t>'</w:t>
      </w:r>
      <w:r w:rsidR="006F768E" w:rsidRPr="00BD13D9">
        <w:t>UIT est une organisation</w:t>
      </w:r>
      <w:r w:rsidR="0056155E" w:rsidRPr="00BD13D9">
        <w:t xml:space="preserve"> </w:t>
      </w:r>
      <w:r w:rsidRPr="00BD13D9">
        <w:t>investie</w:t>
      </w:r>
      <w:r w:rsidR="0056155E" w:rsidRPr="00BD13D9">
        <w:t xml:space="preserve"> </w:t>
      </w:r>
      <w:r w:rsidR="006F768E" w:rsidRPr="00BD13D9">
        <w:t>d</w:t>
      </w:r>
      <w:r w:rsidR="00F76CBB" w:rsidRPr="00BD13D9">
        <w:t>'</w:t>
      </w:r>
      <w:r w:rsidR="006F768E" w:rsidRPr="00BD13D9">
        <w:t>une mission pacifique et technique.</w:t>
      </w:r>
    </w:p>
    <w:p w14:paraId="46421BD5" w14:textId="1CAC4A04" w:rsidR="004046C1" w:rsidRPr="00BD13D9" w:rsidRDefault="006F768E" w:rsidP="00433984">
      <w:r w:rsidRPr="00BD13D9">
        <w:t xml:space="preserve">La Fédération de Russie </w:t>
      </w:r>
      <w:r w:rsidR="004046C1" w:rsidRPr="00BD13D9">
        <w:t>appelle la Conférence de plénipotentiaires de l</w:t>
      </w:r>
      <w:r w:rsidR="00F76CBB" w:rsidRPr="00BD13D9">
        <w:t>'</w:t>
      </w:r>
      <w:r w:rsidR="004046C1" w:rsidRPr="00BD13D9">
        <w:t xml:space="preserve">UIT de 2022 à faire </w:t>
      </w:r>
      <w:r w:rsidR="00433984" w:rsidRPr="00BD13D9">
        <w:t>abstraction</w:t>
      </w:r>
      <w:r w:rsidR="004046C1" w:rsidRPr="00BD13D9">
        <w:t xml:space="preserve"> des</w:t>
      </w:r>
      <w:r w:rsidR="0056155E" w:rsidRPr="00BD13D9">
        <w:t xml:space="preserve"> </w:t>
      </w:r>
      <w:r w:rsidR="004046C1" w:rsidRPr="00BD13D9">
        <w:t>déclarations</w:t>
      </w:r>
      <w:r w:rsidR="0056155E" w:rsidRPr="00BD13D9">
        <w:t xml:space="preserve"> </w:t>
      </w:r>
      <w:r w:rsidR="004046C1" w:rsidRPr="00BD13D9">
        <w:t>qui ne relèvent</w:t>
      </w:r>
      <w:r w:rsidR="0056155E" w:rsidRPr="00BD13D9">
        <w:t xml:space="preserve"> </w:t>
      </w:r>
      <w:r w:rsidR="004046C1" w:rsidRPr="00BD13D9">
        <w:t>pas du mandat de l</w:t>
      </w:r>
      <w:r w:rsidR="00F76CBB" w:rsidRPr="00BD13D9">
        <w:t>'</w:t>
      </w:r>
      <w:r w:rsidR="004046C1" w:rsidRPr="00BD13D9">
        <w:t>Union</w:t>
      </w:r>
      <w:r w:rsidR="0056155E" w:rsidRPr="00BD13D9">
        <w:t xml:space="preserve"> </w:t>
      </w:r>
      <w:r w:rsidR="004046C1" w:rsidRPr="00BD13D9">
        <w:t>et</w:t>
      </w:r>
      <w:r w:rsidR="0056155E" w:rsidRPr="00BD13D9">
        <w:t xml:space="preserve"> </w:t>
      </w:r>
      <w:r w:rsidR="004046C1" w:rsidRPr="00BD13D9">
        <w:t>à ne pas autoriser l</w:t>
      </w:r>
      <w:r w:rsidR="00F76CBB" w:rsidRPr="00BD13D9">
        <w:t>'</w:t>
      </w:r>
      <w:r w:rsidR="004046C1" w:rsidRPr="00BD13D9">
        <w:t>adoption de décisions politisées</w:t>
      </w:r>
      <w:r w:rsidR="0056155E" w:rsidRPr="00BD13D9">
        <w:t xml:space="preserve"> </w:t>
      </w:r>
      <w:r w:rsidR="004046C1" w:rsidRPr="00BD13D9">
        <w:t>sous</w:t>
      </w:r>
      <w:r w:rsidR="0056155E" w:rsidRPr="00BD13D9">
        <w:t xml:space="preserve"> </w:t>
      </w:r>
      <w:r w:rsidR="004046C1" w:rsidRPr="00BD13D9">
        <w:t>ces</w:t>
      </w:r>
      <w:r w:rsidR="0056155E" w:rsidRPr="00BD13D9">
        <w:t xml:space="preserve"> </w:t>
      </w:r>
      <w:r w:rsidR="004046C1" w:rsidRPr="00BD13D9">
        <w:t>pressions.</w:t>
      </w:r>
    </w:p>
    <w:p w14:paraId="6305A33C" w14:textId="61FFF378" w:rsidR="007139F5" w:rsidRPr="00BD13D9" w:rsidRDefault="006F768E" w:rsidP="00433984">
      <w:r w:rsidRPr="00BD13D9">
        <w:t>Au vu de ce qui précède, la délégation de la Fédération de Russie</w:t>
      </w:r>
      <w:r w:rsidR="00442357" w:rsidRPr="00BD13D9">
        <w:t>, e</w:t>
      </w:r>
      <w:r w:rsidR="007139F5" w:rsidRPr="00BD13D9">
        <w:t>n signant les Actes finals de la Conférence de plénipotentiaires, se réserve le droit de refuser de se conformer</w:t>
      </w:r>
      <w:r w:rsidR="004046C1" w:rsidRPr="00BD13D9">
        <w:t xml:space="preserve"> à</w:t>
      </w:r>
      <w:r w:rsidR="0056155E" w:rsidRPr="00BD13D9">
        <w:t xml:space="preserve"> </w:t>
      </w:r>
      <w:r w:rsidR="004046C1" w:rsidRPr="00BD13D9">
        <w:t>l</w:t>
      </w:r>
      <w:r w:rsidR="00F76CBB" w:rsidRPr="00BD13D9">
        <w:t>'</w:t>
      </w:r>
      <w:r w:rsidR="004046C1" w:rsidRPr="00BD13D9">
        <w:t>une quelconque de leurs dispositions</w:t>
      </w:r>
      <w:r w:rsidR="004046C1" w:rsidRPr="00BD13D9" w:rsidDel="004046C1">
        <w:t xml:space="preserve"> </w:t>
      </w:r>
      <w:r w:rsidRPr="00BD13D9">
        <w:t xml:space="preserve">si elle considère que </w:t>
      </w:r>
      <w:r w:rsidR="004046C1" w:rsidRPr="00BD13D9">
        <w:t>celles-ci</w:t>
      </w:r>
      <w:r w:rsidRPr="00BD13D9">
        <w:t xml:space="preserve"> </w:t>
      </w:r>
      <w:r w:rsidR="007139F5" w:rsidRPr="00BD13D9">
        <w:t>porte</w:t>
      </w:r>
      <w:r w:rsidR="004046C1" w:rsidRPr="00BD13D9">
        <w:t>nt</w:t>
      </w:r>
      <w:r w:rsidR="0056155E" w:rsidRPr="00BD13D9">
        <w:t xml:space="preserve"> </w:t>
      </w:r>
      <w:r w:rsidR="007139F5" w:rsidRPr="00BD13D9">
        <w:t>atteinte à la souveraineté et à l</w:t>
      </w:r>
      <w:r w:rsidR="00F76CBB" w:rsidRPr="00BD13D9">
        <w:t>'</w:t>
      </w:r>
      <w:r w:rsidR="007139F5" w:rsidRPr="00BD13D9">
        <w:t xml:space="preserve">intégrité territoriale de la Fédération de Russie </w:t>
      </w:r>
      <w:r w:rsidR="004046C1" w:rsidRPr="00BD13D9">
        <w:t>au regard de ses lois ou qualifient ses actes de quelque manière que ce soit, en contravention du mandat de l</w:t>
      </w:r>
      <w:r w:rsidR="00F76CBB" w:rsidRPr="00BD13D9">
        <w:t>'</w:t>
      </w:r>
      <w:r w:rsidR="004046C1" w:rsidRPr="00BD13D9">
        <w:t>UIT.</w:t>
      </w:r>
    </w:p>
    <w:p w14:paraId="1AF26808" w14:textId="590887FE" w:rsidR="00433984" w:rsidRDefault="00750D67" w:rsidP="00433984">
      <w:r w:rsidRPr="00BD13D9">
        <w:t>Au cas où un État adopterait des mesures portant atteinte à ses intérêts, la Fédération de Russie se réserve le droit d</w:t>
      </w:r>
      <w:r w:rsidR="00F76CBB" w:rsidRPr="00BD13D9">
        <w:t>'</w:t>
      </w:r>
      <w:r w:rsidRPr="00BD13D9">
        <w:t>adopter toutes contre-mesures nécessaires pour protéger ses intérêts, conformément au droit international.</w:t>
      </w:r>
    </w:p>
    <w:p w14:paraId="3756024D" w14:textId="77777777" w:rsidR="00697B46" w:rsidRPr="00BD13D9" w:rsidRDefault="00697B46" w:rsidP="00433984"/>
    <w:p w14:paraId="63AA6505" w14:textId="20C52F3D" w:rsidR="00433984" w:rsidRPr="00BD13D9" w:rsidRDefault="00433984" w:rsidP="00433984">
      <w:pPr>
        <w:jc w:val="center"/>
      </w:pPr>
      <w:r w:rsidRPr="00BD13D9">
        <w:t>______________</w:t>
      </w:r>
    </w:p>
    <w:sectPr w:rsidR="00433984" w:rsidRPr="00BD13D9" w:rsidSect="003A0B7D">
      <w:headerReference w:type="default" r:id="rId32"/>
      <w:footerReference w:type="default" r:id="rId33"/>
      <w:footerReference w:type="first" r:id="rId3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A37A" w14:textId="77777777" w:rsidR="00BA1301" w:rsidRDefault="00BA1301">
      <w:r>
        <w:separator/>
      </w:r>
    </w:p>
  </w:endnote>
  <w:endnote w:type="continuationSeparator" w:id="0">
    <w:p w14:paraId="44750C58" w14:textId="77777777" w:rsidR="00BA1301" w:rsidRDefault="00BA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0DC3" w14:textId="283F0ECD" w:rsidR="000967CD" w:rsidRPr="000967CD" w:rsidRDefault="000967CD" w:rsidP="000967CD">
    <w:pPr>
      <w:pStyle w:val="Footer"/>
      <w:rPr>
        <w:lang w:val="en-US"/>
      </w:rPr>
    </w:pPr>
    <w:r>
      <w:fldChar w:fldCharType="begin"/>
    </w:r>
    <w:r w:rsidRPr="000967CD">
      <w:rPr>
        <w:lang w:val="en-US"/>
      </w:rPr>
      <w:instrText xml:space="preserve"> FILENAME \p  \* MERGEFORMAT </w:instrText>
    </w:r>
    <w:r>
      <w:fldChar w:fldCharType="separate"/>
    </w:r>
    <w:r w:rsidR="00E05D02">
      <w:rPr>
        <w:lang w:val="en-US"/>
      </w:rPr>
      <w:t>P:\FRA\SG\CONF-SG\PP22\200\203F.docx</w:t>
    </w:r>
    <w:r>
      <w:fldChar w:fldCharType="end"/>
    </w:r>
    <w:r w:rsidRPr="000967CD">
      <w:rPr>
        <w:lang w:val="en-US"/>
      </w:rPr>
      <w:t xml:space="preserve"> (</w:t>
    </w:r>
    <w:r>
      <w:rPr>
        <w:lang w:val="en-US"/>
      </w:rPr>
      <w:t>515423</w:t>
    </w:r>
    <w:r w:rsidRPr="000967C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E860" w14:textId="35386948" w:rsidR="000D15FB" w:rsidRDefault="000D15FB" w:rsidP="006359E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6359EF" w:rsidRPr="006359EF">
        <w:rPr>
          <w:rStyle w:val="Hyperlink"/>
          <w:sz w:val="22"/>
          <w:szCs w:val="22"/>
          <w:lang w:val="en-GB"/>
        </w:rPr>
        <w:t>www.itu.int/plenipotentiary/</w:t>
      </w:r>
    </w:hyperlink>
    <w:r w:rsidR="006359EF"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7D9FA" w14:textId="77777777" w:rsidR="00BA1301" w:rsidRDefault="00BA1301">
      <w:r>
        <w:t>____________________</w:t>
      </w:r>
    </w:p>
  </w:footnote>
  <w:footnote w:type="continuationSeparator" w:id="0">
    <w:p w14:paraId="5EB2FC9B" w14:textId="77777777" w:rsidR="00BA1301" w:rsidRDefault="00BA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6A7" w14:textId="36300094" w:rsidR="00BD1614" w:rsidRDefault="00BD1614" w:rsidP="00BD1614">
    <w:pPr>
      <w:pStyle w:val="Header"/>
    </w:pPr>
    <w:r>
      <w:fldChar w:fldCharType="begin"/>
    </w:r>
    <w:r>
      <w:instrText xml:space="preserve"> PAGE </w:instrText>
    </w:r>
    <w:r>
      <w:fldChar w:fldCharType="separate"/>
    </w:r>
    <w:r w:rsidR="00E05D02">
      <w:rPr>
        <w:noProof/>
      </w:rPr>
      <w:t>7</w:t>
    </w:r>
    <w:r>
      <w:fldChar w:fldCharType="end"/>
    </w:r>
  </w:p>
  <w:p w14:paraId="650D8FD2" w14:textId="3D898ED9" w:rsidR="00BD1614" w:rsidRDefault="00BD1614" w:rsidP="001E2226">
    <w:pPr>
      <w:pStyle w:val="Header"/>
    </w:pPr>
    <w:r>
      <w:t>PP</w:t>
    </w:r>
    <w:r w:rsidR="002A7A1D">
      <w:t>22</w:t>
    </w:r>
    <w:r>
      <w:t>/</w:t>
    </w:r>
    <w:r w:rsidR="000967CD">
      <w:t>203</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485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708B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FEA7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AE0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3E6E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AA6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4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23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D896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E3E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3FE1"/>
    <w:rsid w:val="0000418C"/>
    <w:rsid w:val="000054D8"/>
    <w:rsid w:val="0002543B"/>
    <w:rsid w:val="00044685"/>
    <w:rsid w:val="000541E1"/>
    <w:rsid w:val="00060D74"/>
    <w:rsid w:val="00072D5C"/>
    <w:rsid w:val="0008398C"/>
    <w:rsid w:val="00084308"/>
    <w:rsid w:val="000922FF"/>
    <w:rsid w:val="000967CD"/>
    <w:rsid w:val="000B14B6"/>
    <w:rsid w:val="000C467B"/>
    <w:rsid w:val="000D15FB"/>
    <w:rsid w:val="000F58F7"/>
    <w:rsid w:val="000F6A1E"/>
    <w:rsid w:val="001051E4"/>
    <w:rsid w:val="001337F3"/>
    <w:rsid w:val="001354EA"/>
    <w:rsid w:val="00136FCE"/>
    <w:rsid w:val="0014030A"/>
    <w:rsid w:val="00153BA4"/>
    <w:rsid w:val="001941AD"/>
    <w:rsid w:val="0019732C"/>
    <w:rsid w:val="001A0682"/>
    <w:rsid w:val="001B4D8D"/>
    <w:rsid w:val="001B7D5A"/>
    <w:rsid w:val="001C0498"/>
    <w:rsid w:val="001C799F"/>
    <w:rsid w:val="001D31B2"/>
    <w:rsid w:val="001E1B9B"/>
    <w:rsid w:val="001E2226"/>
    <w:rsid w:val="001F6233"/>
    <w:rsid w:val="002355CD"/>
    <w:rsid w:val="0027049A"/>
    <w:rsid w:val="00270B2F"/>
    <w:rsid w:val="002A0E1B"/>
    <w:rsid w:val="002A7A1D"/>
    <w:rsid w:val="002C1059"/>
    <w:rsid w:val="002C29B7"/>
    <w:rsid w:val="002C2F9C"/>
    <w:rsid w:val="00306E16"/>
    <w:rsid w:val="003214DF"/>
    <w:rsid w:val="00322DEA"/>
    <w:rsid w:val="00352A2E"/>
    <w:rsid w:val="00355FBD"/>
    <w:rsid w:val="00377F22"/>
    <w:rsid w:val="00381461"/>
    <w:rsid w:val="0038560C"/>
    <w:rsid w:val="00391C12"/>
    <w:rsid w:val="003A0977"/>
    <w:rsid w:val="003A0B7D"/>
    <w:rsid w:val="003A45C2"/>
    <w:rsid w:val="003C4BE2"/>
    <w:rsid w:val="003D147D"/>
    <w:rsid w:val="003D637A"/>
    <w:rsid w:val="003F1ABF"/>
    <w:rsid w:val="004046C1"/>
    <w:rsid w:val="00404B4E"/>
    <w:rsid w:val="0040550C"/>
    <w:rsid w:val="00420EF8"/>
    <w:rsid w:val="00430015"/>
    <w:rsid w:val="00433984"/>
    <w:rsid w:val="00442357"/>
    <w:rsid w:val="00467518"/>
    <w:rsid w:val="004678D0"/>
    <w:rsid w:val="00482954"/>
    <w:rsid w:val="004951C0"/>
    <w:rsid w:val="004C7646"/>
    <w:rsid w:val="004D1FD5"/>
    <w:rsid w:val="00524001"/>
    <w:rsid w:val="00560953"/>
    <w:rsid w:val="0056155E"/>
    <w:rsid w:val="00564B63"/>
    <w:rsid w:val="00575929"/>
    <w:rsid w:val="00575DC7"/>
    <w:rsid w:val="005836C2"/>
    <w:rsid w:val="005A4EFD"/>
    <w:rsid w:val="005A5ABE"/>
    <w:rsid w:val="005C2ECC"/>
    <w:rsid w:val="005C6744"/>
    <w:rsid w:val="005E419E"/>
    <w:rsid w:val="005F0241"/>
    <w:rsid w:val="005F63BD"/>
    <w:rsid w:val="00604212"/>
    <w:rsid w:val="0061013B"/>
    <w:rsid w:val="00611CF1"/>
    <w:rsid w:val="006201D9"/>
    <w:rsid w:val="006208E2"/>
    <w:rsid w:val="006277DB"/>
    <w:rsid w:val="006359EF"/>
    <w:rsid w:val="00635B7B"/>
    <w:rsid w:val="00655B98"/>
    <w:rsid w:val="006710E6"/>
    <w:rsid w:val="00686973"/>
    <w:rsid w:val="00696B2D"/>
    <w:rsid w:val="00697B46"/>
    <w:rsid w:val="006A2656"/>
    <w:rsid w:val="006A3475"/>
    <w:rsid w:val="006A6342"/>
    <w:rsid w:val="006B6C9C"/>
    <w:rsid w:val="006C7AE3"/>
    <w:rsid w:val="006D552B"/>
    <w:rsid w:val="006D55E8"/>
    <w:rsid w:val="006E1921"/>
    <w:rsid w:val="006F36F9"/>
    <w:rsid w:val="006F768E"/>
    <w:rsid w:val="0070576B"/>
    <w:rsid w:val="00713335"/>
    <w:rsid w:val="007139F5"/>
    <w:rsid w:val="00727C2F"/>
    <w:rsid w:val="00734BB8"/>
    <w:rsid w:val="00735F13"/>
    <w:rsid w:val="00745B49"/>
    <w:rsid w:val="00750D67"/>
    <w:rsid w:val="007717F2"/>
    <w:rsid w:val="00772E3B"/>
    <w:rsid w:val="0078134C"/>
    <w:rsid w:val="00790861"/>
    <w:rsid w:val="007A5830"/>
    <w:rsid w:val="007B0D19"/>
    <w:rsid w:val="007C48D1"/>
    <w:rsid w:val="007C615A"/>
    <w:rsid w:val="007D21FB"/>
    <w:rsid w:val="00801256"/>
    <w:rsid w:val="0081180C"/>
    <w:rsid w:val="00813F8C"/>
    <w:rsid w:val="0082134B"/>
    <w:rsid w:val="008703CB"/>
    <w:rsid w:val="00877DF4"/>
    <w:rsid w:val="008B61AF"/>
    <w:rsid w:val="008C33C2"/>
    <w:rsid w:val="008C6137"/>
    <w:rsid w:val="008D0C54"/>
    <w:rsid w:val="008E2DB4"/>
    <w:rsid w:val="00901DD5"/>
    <w:rsid w:val="0090735B"/>
    <w:rsid w:val="00912D5E"/>
    <w:rsid w:val="00934340"/>
    <w:rsid w:val="00954107"/>
    <w:rsid w:val="00956DC7"/>
    <w:rsid w:val="00966CD3"/>
    <w:rsid w:val="00987A20"/>
    <w:rsid w:val="00994348"/>
    <w:rsid w:val="009A0E15"/>
    <w:rsid w:val="009A3A2E"/>
    <w:rsid w:val="009D4037"/>
    <w:rsid w:val="009E0342"/>
    <w:rsid w:val="009E0B19"/>
    <w:rsid w:val="009F0592"/>
    <w:rsid w:val="009F41D0"/>
    <w:rsid w:val="00A20E72"/>
    <w:rsid w:val="00A246DC"/>
    <w:rsid w:val="00A47BAF"/>
    <w:rsid w:val="00A542D3"/>
    <w:rsid w:val="00A56AA5"/>
    <w:rsid w:val="00A5784F"/>
    <w:rsid w:val="00A81872"/>
    <w:rsid w:val="00A8436E"/>
    <w:rsid w:val="00A95B66"/>
    <w:rsid w:val="00A96CFB"/>
    <w:rsid w:val="00AA43BB"/>
    <w:rsid w:val="00AE0667"/>
    <w:rsid w:val="00AE7AD8"/>
    <w:rsid w:val="00B32D5A"/>
    <w:rsid w:val="00B41E0A"/>
    <w:rsid w:val="00B56DE0"/>
    <w:rsid w:val="00B71F12"/>
    <w:rsid w:val="00B76FEC"/>
    <w:rsid w:val="00B96B1E"/>
    <w:rsid w:val="00BA1301"/>
    <w:rsid w:val="00BB2A6F"/>
    <w:rsid w:val="00BB551E"/>
    <w:rsid w:val="00BD13D9"/>
    <w:rsid w:val="00BD1614"/>
    <w:rsid w:val="00BD382C"/>
    <w:rsid w:val="00BD5DA6"/>
    <w:rsid w:val="00BF1E43"/>
    <w:rsid w:val="00BF7D25"/>
    <w:rsid w:val="00C010C0"/>
    <w:rsid w:val="00C40CB5"/>
    <w:rsid w:val="00C54CE6"/>
    <w:rsid w:val="00C5702D"/>
    <w:rsid w:val="00C575E2"/>
    <w:rsid w:val="00C7368B"/>
    <w:rsid w:val="00C80DC2"/>
    <w:rsid w:val="00C85A49"/>
    <w:rsid w:val="00C92746"/>
    <w:rsid w:val="00CA32E5"/>
    <w:rsid w:val="00CC4DC5"/>
    <w:rsid w:val="00CE1A7C"/>
    <w:rsid w:val="00CE6A06"/>
    <w:rsid w:val="00D0464B"/>
    <w:rsid w:val="00D12C74"/>
    <w:rsid w:val="00D2263F"/>
    <w:rsid w:val="00D239FD"/>
    <w:rsid w:val="00D31E78"/>
    <w:rsid w:val="00D36035"/>
    <w:rsid w:val="00D56483"/>
    <w:rsid w:val="00D5658F"/>
    <w:rsid w:val="00D56AD6"/>
    <w:rsid w:val="00D63896"/>
    <w:rsid w:val="00D70019"/>
    <w:rsid w:val="00D74B58"/>
    <w:rsid w:val="00D82ABE"/>
    <w:rsid w:val="00D85410"/>
    <w:rsid w:val="00DA16C5"/>
    <w:rsid w:val="00DA4ABA"/>
    <w:rsid w:val="00DA685B"/>
    <w:rsid w:val="00DA742B"/>
    <w:rsid w:val="00DF25C1"/>
    <w:rsid w:val="00DF48F7"/>
    <w:rsid w:val="00DF4964"/>
    <w:rsid w:val="00DF4D73"/>
    <w:rsid w:val="00DF79B0"/>
    <w:rsid w:val="00E02EE6"/>
    <w:rsid w:val="00E05D02"/>
    <w:rsid w:val="00E1047D"/>
    <w:rsid w:val="00E378A2"/>
    <w:rsid w:val="00E443FA"/>
    <w:rsid w:val="00E46F7F"/>
    <w:rsid w:val="00E54FCE"/>
    <w:rsid w:val="00E60DA1"/>
    <w:rsid w:val="00E6668B"/>
    <w:rsid w:val="00E93D35"/>
    <w:rsid w:val="00EA45DB"/>
    <w:rsid w:val="00EC0F03"/>
    <w:rsid w:val="00EC2DD3"/>
    <w:rsid w:val="00EC6503"/>
    <w:rsid w:val="00ED2CD9"/>
    <w:rsid w:val="00ED3961"/>
    <w:rsid w:val="00EF1C21"/>
    <w:rsid w:val="00EF469A"/>
    <w:rsid w:val="00EF7FF6"/>
    <w:rsid w:val="00F07DA7"/>
    <w:rsid w:val="00F21995"/>
    <w:rsid w:val="00F23C7C"/>
    <w:rsid w:val="00F476A5"/>
    <w:rsid w:val="00F564C1"/>
    <w:rsid w:val="00F57B62"/>
    <w:rsid w:val="00F622E7"/>
    <w:rsid w:val="00F76CBB"/>
    <w:rsid w:val="00F77FA2"/>
    <w:rsid w:val="00F80CB0"/>
    <w:rsid w:val="00F8357A"/>
    <w:rsid w:val="00F93DAE"/>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character" w:customStyle="1" w:styleId="msohyperlinkmrcssattr">
    <w:name w:val="msohyperlink_mr_css_attr"/>
    <w:basedOn w:val="DefaultParagraphFont"/>
    <w:rsid w:val="00F23C7C"/>
  </w:style>
  <w:style w:type="paragraph" w:styleId="Revision">
    <w:name w:val="Revision"/>
    <w:hidden/>
    <w:uiPriority w:val="99"/>
    <w:semiHidden/>
    <w:rsid w:val="00D85410"/>
    <w:rPr>
      <w:rFonts w:ascii="Calibri" w:hAnsi="Calibri"/>
      <w:sz w:val="24"/>
      <w:lang w:val="fr-FR" w:eastAsia="en-US"/>
    </w:rPr>
  </w:style>
  <w:style w:type="character" w:styleId="CommentReference">
    <w:name w:val="annotation reference"/>
    <w:basedOn w:val="DefaultParagraphFont"/>
    <w:semiHidden/>
    <w:unhideWhenUsed/>
    <w:rsid w:val="00D31E78"/>
    <w:rPr>
      <w:sz w:val="16"/>
      <w:szCs w:val="16"/>
    </w:rPr>
  </w:style>
  <w:style w:type="paragraph" w:styleId="CommentText">
    <w:name w:val="annotation text"/>
    <w:basedOn w:val="Normal"/>
    <w:link w:val="CommentTextChar"/>
    <w:unhideWhenUsed/>
    <w:rsid w:val="00D31E78"/>
    <w:rPr>
      <w:sz w:val="20"/>
    </w:rPr>
  </w:style>
  <w:style w:type="character" w:customStyle="1" w:styleId="CommentTextChar">
    <w:name w:val="Comment Text Char"/>
    <w:basedOn w:val="DefaultParagraphFont"/>
    <w:link w:val="CommentText"/>
    <w:rsid w:val="00D31E78"/>
    <w:rPr>
      <w:rFonts w:ascii="Calibri" w:hAnsi="Calibri"/>
      <w:lang w:val="fr-FR" w:eastAsia="en-US"/>
    </w:rPr>
  </w:style>
  <w:style w:type="paragraph" w:styleId="CommentSubject">
    <w:name w:val="annotation subject"/>
    <w:basedOn w:val="CommentText"/>
    <w:next w:val="CommentText"/>
    <w:link w:val="CommentSubjectChar"/>
    <w:semiHidden/>
    <w:unhideWhenUsed/>
    <w:rsid w:val="00D31E78"/>
    <w:rPr>
      <w:b/>
      <w:bCs/>
    </w:rPr>
  </w:style>
  <w:style w:type="character" w:customStyle="1" w:styleId="CommentSubjectChar">
    <w:name w:val="Comment Subject Char"/>
    <w:basedOn w:val="CommentTextChar"/>
    <w:link w:val="CommentSubject"/>
    <w:semiHidden/>
    <w:rsid w:val="00D31E78"/>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0316">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45/en" TargetMode="External"/><Relationship Id="rId18" Type="http://schemas.openxmlformats.org/officeDocument/2006/relationships/hyperlink" Target="https://www.itu.int/md/S22-PP-C-0070/en" TargetMode="External"/><Relationship Id="rId26" Type="http://schemas.openxmlformats.org/officeDocument/2006/relationships/hyperlink" Target="https://www.itu.int/md/S22-PP-C-0154/en" TargetMode="External"/><Relationship Id="rId3" Type="http://schemas.openxmlformats.org/officeDocument/2006/relationships/numbering" Target="numbering.xml"/><Relationship Id="rId21" Type="http://schemas.openxmlformats.org/officeDocument/2006/relationships/hyperlink" Target="https://www.itu.int/md/S22-PP-C-0144/en"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md/S22-PP-C-0144/en" TargetMode="External"/><Relationship Id="rId17" Type="http://schemas.openxmlformats.org/officeDocument/2006/relationships/hyperlink" Target="https://pp22.itu.int/fr/itu_policy_statements/masahiko-metoki-universal-postal-union/" TargetMode="External"/><Relationship Id="rId25" Type="http://schemas.openxmlformats.org/officeDocument/2006/relationships/hyperlink" Target="https://www.itu.int/md/S22-PP-C-0153/en"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itu.int/md/S22-PP-C-0155/en" TargetMode="External"/><Relationship Id="rId20" Type="http://schemas.openxmlformats.org/officeDocument/2006/relationships/hyperlink" Target="https://www.itu.int/md/S22-PP-C-0144/en" TargetMode="External"/><Relationship Id="rId29" Type="http://schemas.openxmlformats.org/officeDocument/2006/relationships/hyperlink" Target="https://www.itu.int/md/S22-PP-C-0155/e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22-PP-C-0143/en" TargetMode="External"/><Relationship Id="rId24" Type="http://schemas.openxmlformats.org/officeDocument/2006/relationships/hyperlink" Target="https://www.itu.int/md/S22-PP-C-0153/e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itu.int/md/S22-PP-C-0154/en" TargetMode="External"/><Relationship Id="rId23" Type="http://schemas.openxmlformats.org/officeDocument/2006/relationships/hyperlink" Target="https://www.itu.int/md/S22-PP-C-0145/en" TargetMode="External"/><Relationship Id="rId28" Type="http://schemas.openxmlformats.org/officeDocument/2006/relationships/hyperlink" Target="https://www.itu.int/md/S22-PP-C-0155/en" TargetMode="External"/><Relationship Id="rId36" Type="http://schemas.openxmlformats.org/officeDocument/2006/relationships/theme" Target="theme/theme1.xml"/><Relationship Id="rId10" Type="http://schemas.openxmlformats.org/officeDocument/2006/relationships/hyperlink" Target="https://www.itu.int/md/S22-PP-C-0070/en" TargetMode="External"/><Relationship Id="rId19" Type="http://schemas.openxmlformats.org/officeDocument/2006/relationships/hyperlink" Target="https://www.itu.int/md/S22-PP-C-0143/en" TargetMode="External"/><Relationship Id="rId31"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S22-PP-C-0153/en" TargetMode="External"/><Relationship Id="rId22" Type="http://schemas.openxmlformats.org/officeDocument/2006/relationships/hyperlink" Target="https://www.itu.int/md/S22-PP-C-0145/en" TargetMode="External"/><Relationship Id="rId27" Type="http://schemas.openxmlformats.org/officeDocument/2006/relationships/hyperlink" Target="https://www.itu.int/md/S22-PP-C-0154/en" TargetMode="External"/><Relationship Id="rId30" Type="http://schemas.openxmlformats.org/officeDocument/2006/relationships/hyperlink" Target="https://www.itu.int/md/S22-PP-C-0070/en"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00758-2983-4DFA-970D-810245A2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15</Pages>
  <Words>5527</Words>
  <Characters>32154</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37606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Royer, Veronique</cp:lastModifiedBy>
  <cp:revision>11</cp:revision>
  <dcterms:created xsi:type="dcterms:W3CDTF">2022-11-11T14:42:00Z</dcterms:created>
  <dcterms:modified xsi:type="dcterms:W3CDTF">2022-11-14T09:33:00Z</dcterms:modified>
  <cp:category>Conference document</cp:category>
</cp:coreProperties>
</file>