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BA5395" w14:paraId="53E2F3C9" w14:textId="77777777" w:rsidTr="00C44D21">
        <w:trPr>
          <w:cantSplit/>
        </w:trPr>
        <w:tc>
          <w:tcPr>
            <w:tcW w:w="6911" w:type="dxa"/>
          </w:tcPr>
          <w:p w14:paraId="1A0FEE8F" w14:textId="27F7A80E" w:rsidR="00255FA1" w:rsidRPr="00BA5395" w:rsidRDefault="00255FA1" w:rsidP="009D1BE0">
            <w:pPr>
              <w:rPr>
                <w:b/>
                <w:bCs/>
                <w:szCs w:val="22"/>
              </w:rPr>
            </w:pPr>
            <w:bookmarkStart w:id="0" w:name="dbreak"/>
            <w:bookmarkStart w:id="1" w:name="dpp"/>
            <w:bookmarkEnd w:id="0"/>
            <w:bookmarkEnd w:id="1"/>
            <w:r w:rsidRPr="00BA5395">
              <w:rPr>
                <w:rStyle w:val="PageNumber"/>
                <w:rFonts w:cs="Times"/>
                <w:b/>
                <w:sz w:val="30"/>
                <w:szCs w:val="30"/>
              </w:rPr>
              <w:t>Conferencia de Plenipotenciarios (PP-</w:t>
            </w:r>
            <w:r w:rsidR="009D1BE0" w:rsidRPr="00BA5395">
              <w:rPr>
                <w:rStyle w:val="PageNumber"/>
                <w:rFonts w:cs="Times"/>
                <w:b/>
                <w:sz w:val="30"/>
                <w:szCs w:val="30"/>
              </w:rPr>
              <w:t>22</w:t>
            </w:r>
            <w:r w:rsidRPr="00BA5395">
              <w:rPr>
                <w:rStyle w:val="PageNumber"/>
                <w:rFonts w:cs="Times"/>
                <w:b/>
                <w:sz w:val="30"/>
                <w:szCs w:val="30"/>
              </w:rPr>
              <w:t>)</w:t>
            </w:r>
            <w:r w:rsidRPr="00BA5395">
              <w:rPr>
                <w:rStyle w:val="PageNumber"/>
                <w:rFonts w:cs="Times"/>
                <w:sz w:val="26"/>
                <w:szCs w:val="26"/>
              </w:rPr>
              <w:br/>
            </w:r>
            <w:r w:rsidR="009D1BE0" w:rsidRPr="00BA5395">
              <w:rPr>
                <w:b/>
                <w:bCs/>
                <w:szCs w:val="24"/>
              </w:rPr>
              <w:t>Bucarest</w:t>
            </w:r>
            <w:r w:rsidRPr="00BA5395">
              <w:rPr>
                <w:rStyle w:val="PageNumber"/>
                <w:b/>
                <w:bCs/>
                <w:szCs w:val="24"/>
              </w:rPr>
              <w:t xml:space="preserve">, </w:t>
            </w:r>
            <w:r w:rsidRPr="00BA5395">
              <w:rPr>
                <w:rStyle w:val="PageNumber"/>
                <w:b/>
                <w:szCs w:val="24"/>
              </w:rPr>
              <w:t>2</w:t>
            </w:r>
            <w:r w:rsidR="009D1BE0" w:rsidRPr="00BA5395">
              <w:rPr>
                <w:rStyle w:val="PageNumber"/>
                <w:b/>
                <w:szCs w:val="24"/>
              </w:rPr>
              <w:t>6</w:t>
            </w:r>
            <w:r w:rsidRPr="00BA5395">
              <w:rPr>
                <w:rStyle w:val="PageNumber"/>
                <w:b/>
                <w:szCs w:val="24"/>
              </w:rPr>
              <w:t xml:space="preserve"> de </w:t>
            </w:r>
            <w:r w:rsidR="009D1BE0" w:rsidRPr="00BA5395">
              <w:rPr>
                <w:rStyle w:val="PageNumber"/>
                <w:b/>
                <w:szCs w:val="24"/>
              </w:rPr>
              <w:t>septiembre</w:t>
            </w:r>
            <w:r w:rsidRPr="00BA5395">
              <w:rPr>
                <w:rStyle w:val="PageNumber"/>
                <w:b/>
                <w:szCs w:val="24"/>
              </w:rPr>
              <w:t xml:space="preserve"> </w:t>
            </w:r>
            <w:r w:rsidR="00491A25" w:rsidRPr="00BA5395">
              <w:rPr>
                <w:rStyle w:val="PageNumber"/>
                <w:b/>
                <w:szCs w:val="24"/>
              </w:rPr>
              <w:t>–</w:t>
            </w:r>
            <w:r w:rsidRPr="00BA5395">
              <w:rPr>
                <w:rStyle w:val="PageNumber"/>
                <w:b/>
                <w:szCs w:val="24"/>
              </w:rPr>
              <w:t xml:space="preserve"> </w:t>
            </w:r>
            <w:r w:rsidR="00C43474" w:rsidRPr="00BA5395">
              <w:rPr>
                <w:rStyle w:val="PageNumber"/>
                <w:b/>
                <w:szCs w:val="24"/>
              </w:rPr>
              <w:t>1</w:t>
            </w:r>
            <w:r w:rsidR="009D1BE0" w:rsidRPr="00BA5395">
              <w:rPr>
                <w:rStyle w:val="PageNumber"/>
                <w:b/>
                <w:szCs w:val="24"/>
              </w:rPr>
              <w:t>4</w:t>
            </w:r>
            <w:r w:rsidRPr="00BA5395">
              <w:rPr>
                <w:rStyle w:val="PageNumber"/>
                <w:b/>
                <w:szCs w:val="24"/>
              </w:rPr>
              <w:t xml:space="preserve"> de </w:t>
            </w:r>
            <w:r w:rsidR="009D1BE0" w:rsidRPr="00BA5395">
              <w:rPr>
                <w:rStyle w:val="PageNumber"/>
                <w:b/>
                <w:szCs w:val="24"/>
              </w:rPr>
              <w:t>octubre</w:t>
            </w:r>
            <w:r w:rsidRPr="00BA5395">
              <w:rPr>
                <w:rStyle w:val="PageNumber"/>
                <w:b/>
                <w:szCs w:val="24"/>
              </w:rPr>
              <w:t xml:space="preserve"> de 2</w:t>
            </w:r>
            <w:r w:rsidR="009D1BE0" w:rsidRPr="00BA5395">
              <w:rPr>
                <w:rStyle w:val="PageNumber"/>
                <w:b/>
                <w:szCs w:val="24"/>
              </w:rPr>
              <w:t>022</w:t>
            </w:r>
          </w:p>
        </w:tc>
        <w:tc>
          <w:tcPr>
            <w:tcW w:w="3120" w:type="dxa"/>
          </w:tcPr>
          <w:p w14:paraId="703F9FD0" w14:textId="5BFAFB55" w:rsidR="00255FA1" w:rsidRPr="00BA5395" w:rsidRDefault="009D1BE0" w:rsidP="00C44D21">
            <w:pPr>
              <w:spacing w:before="0" w:line="240" w:lineRule="atLeast"/>
              <w:rPr>
                <w:rFonts w:cstheme="minorHAnsi"/>
              </w:rPr>
            </w:pPr>
            <w:bookmarkStart w:id="2" w:name="ditulogo"/>
            <w:bookmarkEnd w:id="2"/>
            <w:r w:rsidRPr="00BA5395">
              <w:rPr>
                <w:noProof/>
              </w:rPr>
              <w:drawing>
                <wp:inline distT="0" distB="0" distL="0" distR="0" wp14:anchorId="4688C472" wp14:editId="07E517B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55FA1" w:rsidRPr="00BA5395" w14:paraId="7936D6CB" w14:textId="77777777" w:rsidTr="00C44D21">
        <w:trPr>
          <w:cantSplit/>
        </w:trPr>
        <w:tc>
          <w:tcPr>
            <w:tcW w:w="6911" w:type="dxa"/>
            <w:tcBorders>
              <w:bottom w:val="single" w:sz="12" w:space="0" w:color="auto"/>
            </w:tcBorders>
          </w:tcPr>
          <w:p w14:paraId="44AF3E5C" w14:textId="77777777" w:rsidR="00255FA1" w:rsidRPr="00BA5395" w:rsidRDefault="00255FA1" w:rsidP="00C44D21">
            <w:pPr>
              <w:spacing w:before="0" w:after="48" w:line="240" w:lineRule="atLeast"/>
              <w:rPr>
                <w:rFonts w:cstheme="minorHAnsi"/>
                <w:b/>
                <w:smallCaps/>
                <w:szCs w:val="24"/>
              </w:rPr>
            </w:pPr>
            <w:bookmarkStart w:id="3" w:name="dhead"/>
          </w:p>
        </w:tc>
        <w:tc>
          <w:tcPr>
            <w:tcW w:w="3120" w:type="dxa"/>
            <w:tcBorders>
              <w:bottom w:val="single" w:sz="12" w:space="0" w:color="auto"/>
            </w:tcBorders>
          </w:tcPr>
          <w:p w14:paraId="11F82F2F" w14:textId="77777777" w:rsidR="00255FA1" w:rsidRPr="00BA5395" w:rsidRDefault="00255FA1" w:rsidP="00930E84">
            <w:pPr>
              <w:spacing w:before="0" w:after="48" w:line="240" w:lineRule="atLeast"/>
              <w:rPr>
                <w:rFonts w:cstheme="minorHAnsi"/>
                <w:b/>
                <w:smallCaps/>
                <w:szCs w:val="24"/>
              </w:rPr>
            </w:pPr>
          </w:p>
        </w:tc>
      </w:tr>
      <w:tr w:rsidR="00255FA1" w:rsidRPr="00BA5395" w14:paraId="420A698C" w14:textId="77777777" w:rsidTr="00C44D21">
        <w:trPr>
          <w:cantSplit/>
        </w:trPr>
        <w:tc>
          <w:tcPr>
            <w:tcW w:w="6911" w:type="dxa"/>
            <w:tcBorders>
              <w:top w:val="single" w:sz="12" w:space="0" w:color="auto"/>
            </w:tcBorders>
          </w:tcPr>
          <w:p w14:paraId="47DB16D7" w14:textId="77777777" w:rsidR="00255FA1" w:rsidRPr="00BA5395" w:rsidRDefault="00255FA1" w:rsidP="004F4BB1">
            <w:pPr>
              <w:spacing w:before="0"/>
              <w:ind w:firstLine="720"/>
              <w:rPr>
                <w:rFonts w:cstheme="minorHAnsi"/>
                <w:b/>
                <w:smallCaps/>
                <w:szCs w:val="24"/>
              </w:rPr>
            </w:pPr>
          </w:p>
        </w:tc>
        <w:tc>
          <w:tcPr>
            <w:tcW w:w="3120" w:type="dxa"/>
            <w:tcBorders>
              <w:top w:val="single" w:sz="12" w:space="0" w:color="auto"/>
            </w:tcBorders>
          </w:tcPr>
          <w:p w14:paraId="3B0821EE" w14:textId="77777777" w:rsidR="00255FA1" w:rsidRPr="00BA5395" w:rsidRDefault="00255FA1" w:rsidP="004F4BB1">
            <w:pPr>
              <w:spacing w:before="0"/>
              <w:rPr>
                <w:rFonts w:cstheme="minorHAnsi"/>
                <w:szCs w:val="24"/>
              </w:rPr>
            </w:pPr>
          </w:p>
        </w:tc>
      </w:tr>
      <w:tr w:rsidR="00255FA1" w:rsidRPr="00BA5395" w14:paraId="6E5D99D3" w14:textId="77777777" w:rsidTr="00C44D21">
        <w:trPr>
          <w:cantSplit/>
        </w:trPr>
        <w:tc>
          <w:tcPr>
            <w:tcW w:w="6911" w:type="dxa"/>
          </w:tcPr>
          <w:p w14:paraId="248001A5" w14:textId="6D21E375" w:rsidR="00255FA1" w:rsidRPr="00BA5395" w:rsidRDefault="009A443B" w:rsidP="004F4BB1">
            <w:pPr>
              <w:pStyle w:val="Committee"/>
              <w:framePr w:hSpace="0" w:wrap="auto" w:hAnchor="text" w:yAlign="inline"/>
              <w:spacing w:after="0" w:line="240" w:lineRule="auto"/>
              <w:rPr>
                <w:lang w:val="es-ES_tradnl"/>
              </w:rPr>
            </w:pPr>
            <w:r w:rsidRPr="00BA5395">
              <w:rPr>
                <w:lang w:val="es-ES_tradnl"/>
              </w:rPr>
              <w:t>SESIÓN PLENARIA</w:t>
            </w:r>
          </w:p>
        </w:tc>
        <w:tc>
          <w:tcPr>
            <w:tcW w:w="3120" w:type="dxa"/>
          </w:tcPr>
          <w:p w14:paraId="5DCBCBFD" w14:textId="63E2E61B" w:rsidR="00255FA1" w:rsidRPr="00BA5395" w:rsidRDefault="009A443B" w:rsidP="004F4BB1">
            <w:pPr>
              <w:spacing w:before="0"/>
              <w:rPr>
                <w:rFonts w:cstheme="minorHAnsi"/>
                <w:szCs w:val="24"/>
              </w:rPr>
            </w:pPr>
            <w:r w:rsidRPr="00BA5395">
              <w:rPr>
                <w:rFonts w:cstheme="minorHAnsi"/>
                <w:b/>
                <w:szCs w:val="24"/>
              </w:rPr>
              <w:t xml:space="preserve">Documento </w:t>
            </w:r>
            <w:r w:rsidR="0039623D" w:rsidRPr="00BA5395">
              <w:rPr>
                <w:rFonts w:cstheme="minorHAnsi"/>
                <w:b/>
                <w:szCs w:val="24"/>
              </w:rPr>
              <w:t>203</w:t>
            </w:r>
            <w:r w:rsidRPr="00BA5395">
              <w:rPr>
                <w:rFonts w:cstheme="minorHAnsi"/>
                <w:b/>
                <w:szCs w:val="24"/>
              </w:rPr>
              <w:t>-S</w:t>
            </w:r>
          </w:p>
        </w:tc>
      </w:tr>
      <w:tr w:rsidR="00255FA1" w:rsidRPr="00BA5395" w14:paraId="483D078B" w14:textId="77777777" w:rsidTr="00C44D21">
        <w:trPr>
          <w:cantSplit/>
        </w:trPr>
        <w:tc>
          <w:tcPr>
            <w:tcW w:w="6911" w:type="dxa"/>
          </w:tcPr>
          <w:p w14:paraId="17E32998" w14:textId="03E0A90A" w:rsidR="00255FA1" w:rsidRPr="00BA5395" w:rsidRDefault="00255FA1" w:rsidP="004F4BB1">
            <w:pPr>
              <w:spacing w:before="0"/>
              <w:rPr>
                <w:rFonts w:cstheme="minorHAnsi"/>
                <w:b/>
                <w:szCs w:val="24"/>
              </w:rPr>
            </w:pPr>
          </w:p>
        </w:tc>
        <w:tc>
          <w:tcPr>
            <w:tcW w:w="3120" w:type="dxa"/>
          </w:tcPr>
          <w:p w14:paraId="00BF5C1A" w14:textId="18ABA4B0" w:rsidR="00255FA1" w:rsidRPr="00BA5395" w:rsidRDefault="0039623D" w:rsidP="004F4BB1">
            <w:pPr>
              <w:spacing w:before="0"/>
              <w:rPr>
                <w:rFonts w:cstheme="minorHAnsi"/>
                <w:b/>
                <w:szCs w:val="24"/>
              </w:rPr>
            </w:pPr>
            <w:r w:rsidRPr="00BA5395">
              <w:rPr>
                <w:rStyle w:val="PageNumber"/>
                <w:b/>
                <w:szCs w:val="24"/>
              </w:rPr>
              <w:t>26</w:t>
            </w:r>
            <w:r w:rsidR="009A443B" w:rsidRPr="00BA5395">
              <w:rPr>
                <w:rStyle w:val="PageNumber"/>
                <w:b/>
                <w:szCs w:val="24"/>
              </w:rPr>
              <w:t xml:space="preserve"> de </w:t>
            </w:r>
            <w:r w:rsidR="0024729D" w:rsidRPr="00BA5395">
              <w:rPr>
                <w:rStyle w:val="PageNumber"/>
                <w:b/>
                <w:szCs w:val="24"/>
              </w:rPr>
              <w:t>octubre</w:t>
            </w:r>
            <w:r w:rsidR="009A443B" w:rsidRPr="00BA5395">
              <w:rPr>
                <w:rStyle w:val="PageNumber"/>
                <w:b/>
                <w:szCs w:val="24"/>
              </w:rPr>
              <w:t xml:space="preserve"> </w:t>
            </w:r>
            <w:r w:rsidR="009A443B" w:rsidRPr="00BA5395">
              <w:rPr>
                <w:rFonts w:cstheme="minorHAnsi"/>
                <w:b/>
                <w:szCs w:val="24"/>
              </w:rPr>
              <w:t>de 202</w:t>
            </w:r>
            <w:r w:rsidR="0024729D" w:rsidRPr="00BA5395">
              <w:rPr>
                <w:rFonts w:cstheme="minorHAnsi"/>
                <w:b/>
                <w:szCs w:val="24"/>
              </w:rPr>
              <w:t>2</w:t>
            </w:r>
          </w:p>
        </w:tc>
      </w:tr>
      <w:tr w:rsidR="00255FA1" w:rsidRPr="00BA5395" w14:paraId="7EE17784" w14:textId="77777777" w:rsidTr="00C44D21">
        <w:trPr>
          <w:cantSplit/>
        </w:trPr>
        <w:tc>
          <w:tcPr>
            <w:tcW w:w="6911" w:type="dxa"/>
          </w:tcPr>
          <w:p w14:paraId="68573EE1" w14:textId="77777777" w:rsidR="00255FA1" w:rsidRPr="00BA5395" w:rsidRDefault="00255FA1" w:rsidP="004F4BB1">
            <w:pPr>
              <w:spacing w:before="0"/>
              <w:rPr>
                <w:rFonts w:cstheme="minorHAnsi"/>
                <w:b/>
                <w:smallCaps/>
                <w:szCs w:val="24"/>
              </w:rPr>
            </w:pPr>
          </w:p>
        </w:tc>
        <w:tc>
          <w:tcPr>
            <w:tcW w:w="3120" w:type="dxa"/>
          </w:tcPr>
          <w:p w14:paraId="76142BCE" w14:textId="3C72C0F4" w:rsidR="00255FA1" w:rsidRPr="00BA5395" w:rsidRDefault="009A443B" w:rsidP="004F4BB1">
            <w:pPr>
              <w:spacing w:before="0"/>
              <w:rPr>
                <w:rFonts w:cstheme="minorHAnsi"/>
                <w:b/>
                <w:szCs w:val="24"/>
              </w:rPr>
            </w:pPr>
            <w:r w:rsidRPr="00BA5395">
              <w:rPr>
                <w:rFonts w:cstheme="minorHAnsi"/>
                <w:b/>
                <w:szCs w:val="24"/>
              </w:rPr>
              <w:t>Original: inglés</w:t>
            </w:r>
          </w:p>
        </w:tc>
      </w:tr>
      <w:tr w:rsidR="00255FA1" w:rsidRPr="00BA5395" w14:paraId="3075E850" w14:textId="77777777" w:rsidTr="00C44D21">
        <w:trPr>
          <w:cantSplit/>
        </w:trPr>
        <w:tc>
          <w:tcPr>
            <w:tcW w:w="10031" w:type="dxa"/>
            <w:gridSpan w:val="2"/>
          </w:tcPr>
          <w:p w14:paraId="2AB3028F" w14:textId="77777777" w:rsidR="00255FA1" w:rsidRPr="00BA5395" w:rsidRDefault="00255FA1" w:rsidP="00C44D21">
            <w:pPr>
              <w:spacing w:before="0" w:line="240" w:lineRule="atLeast"/>
              <w:rPr>
                <w:rFonts w:cstheme="minorHAnsi"/>
                <w:b/>
                <w:szCs w:val="24"/>
              </w:rPr>
            </w:pPr>
          </w:p>
        </w:tc>
      </w:tr>
      <w:tr w:rsidR="00255FA1" w:rsidRPr="00BA5395" w14:paraId="6C060127" w14:textId="77777777" w:rsidTr="00C44D21">
        <w:trPr>
          <w:cantSplit/>
        </w:trPr>
        <w:tc>
          <w:tcPr>
            <w:tcW w:w="10031" w:type="dxa"/>
            <w:gridSpan w:val="2"/>
          </w:tcPr>
          <w:p w14:paraId="02545C39" w14:textId="4410F254" w:rsidR="00255FA1" w:rsidRPr="00BA5395" w:rsidRDefault="00056C11" w:rsidP="00F61267">
            <w:pPr>
              <w:pStyle w:val="Title1"/>
            </w:pPr>
            <w:bookmarkStart w:id="4" w:name="dtitle1" w:colFirst="0" w:colLast="0"/>
            <w:bookmarkEnd w:id="3"/>
            <w:r w:rsidRPr="00BA5395">
              <w:t>actas</w:t>
            </w:r>
          </w:p>
          <w:p w14:paraId="1E1A1ED4" w14:textId="77777777" w:rsidR="00056C11" w:rsidRPr="00BA5395" w:rsidRDefault="00056C11" w:rsidP="00F61267">
            <w:pPr>
              <w:pStyle w:val="Title1"/>
            </w:pPr>
            <w:r w:rsidRPr="00BA5395">
              <w:t>de la</w:t>
            </w:r>
          </w:p>
          <w:p w14:paraId="0A048F9C" w14:textId="2C9C8A18" w:rsidR="00056C11" w:rsidRPr="00BA5395" w:rsidRDefault="00457960" w:rsidP="00F61267">
            <w:pPr>
              <w:pStyle w:val="Title1"/>
              <w:rPr>
                <w:caps w:val="0"/>
              </w:rPr>
            </w:pPr>
            <w:r w:rsidRPr="00BA5395">
              <w:t xml:space="preserve">decimotercera </w:t>
            </w:r>
            <w:r w:rsidR="00056C11" w:rsidRPr="00BA5395">
              <w:t>sesión plenaria</w:t>
            </w:r>
          </w:p>
        </w:tc>
      </w:tr>
      <w:tr w:rsidR="00255FA1" w:rsidRPr="00BA5395" w14:paraId="3730209C" w14:textId="77777777" w:rsidTr="00C44D21">
        <w:trPr>
          <w:cantSplit/>
        </w:trPr>
        <w:tc>
          <w:tcPr>
            <w:tcW w:w="10031" w:type="dxa"/>
            <w:gridSpan w:val="2"/>
          </w:tcPr>
          <w:p w14:paraId="3D6718D3" w14:textId="671C225C" w:rsidR="00255FA1" w:rsidRPr="00BA5395" w:rsidRDefault="007935E5" w:rsidP="00BC79F5">
            <w:pPr>
              <w:pStyle w:val="Title2"/>
              <w:rPr>
                <w:caps w:val="0"/>
                <w:sz w:val="24"/>
                <w:szCs w:val="24"/>
              </w:rPr>
            </w:pPr>
            <w:bookmarkStart w:id="5" w:name="dtitle2" w:colFirst="0" w:colLast="0"/>
            <w:bookmarkEnd w:id="4"/>
            <w:r w:rsidRPr="00BA5395">
              <w:rPr>
                <w:caps w:val="0"/>
                <w:sz w:val="24"/>
                <w:szCs w:val="24"/>
              </w:rPr>
              <w:t>Lunes</w:t>
            </w:r>
            <w:r w:rsidR="00056C11" w:rsidRPr="00BA5395">
              <w:rPr>
                <w:caps w:val="0"/>
                <w:sz w:val="24"/>
                <w:szCs w:val="24"/>
              </w:rPr>
              <w:t xml:space="preserve"> </w:t>
            </w:r>
            <w:r w:rsidRPr="00BA5395">
              <w:rPr>
                <w:caps w:val="0"/>
                <w:sz w:val="24"/>
                <w:szCs w:val="24"/>
              </w:rPr>
              <w:t>10</w:t>
            </w:r>
            <w:r w:rsidR="00056C11" w:rsidRPr="00BA5395">
              <w:rPr>
                <w:caps w:val="0"/>
                <w:sz w:val="24"/>
                <w:szCs w:val="24"/>
              </w:rPr>
              <w:t xml:space="preserve"> de octubre de 2022, a las 1</w:t>
            </w:r>
            <w:r w:rsidRPr="00BA5395">
              <w:rPr>
                <w:caps w:val="0"/>
                <w:sz w:val="24"/>
                <w:szCs w:val="24"/>
              </w:rPr>
              <w:t>3</w:t>
            </w:r>
            <w:r w:rsidR="00056C11" w:rsidRPr="00BA5395">
              <w:rPr>
                <w:caps w:val="0"/>
                <w:sz w:val="24"/>
                <w:szCs w:val="24"/>
              </w:rPr>
              <w:t>.</w:t>
            </w:r>
            <w:r w:rsidRPr="00BA5395">
              <w:rPr>
                <w:caps w:val="0"/>
                <w:sz w:val="24"/>
                <w:szCs w:val="24"/>
              </w:rPr>
              <w:t>3</w:t>
            </w:r>
            <w:r w:rsidR="00BC79F5" w:rsidRPr="00BA5395">
              <w:rPr>
                <w:caps w:val="0"/>
                <w:sz w:val="24"/>
                <w:szCs w:val="24"/>
              </w:rPr>
              <w:t>5</w:t>
            </w:r>
            <w:r w:rsidR="00056C11" w:rsidRPr="00BA5395">
              <w:rPr>
                <w:caps w:val="0"/>
                <w:sz w:val="24"/>
                <w:szCs w:val="24"/>
              </w:rPr>
              <w:t xml:space="preserve"> horas</w:t>
            </w:r>
          </w:p>
        </w:tc>
      </w:tr>
      <w:tr w:rsidR="00255FA1" w:rsidRPr="00BA5395" w14:paraId="1029F4FC" w14:textId="77777777" w:rsidTr="00C44D21">
        <w:trPr>
          <w:cantSplit/>
        </w:trPr>
        <w:tc>
          <w:tcPr>
            <w:tcW w:w="10031" w:type="dxa"/>
            <w:gridSpan w:val="2"/>
          </w:tcPr>
          <w:p w14:paraId="4C5FBEDD" w14:textId="033D3E88" w:rsidR="00255FA1" w:rsidRPr="00BA5395" w:rsidRDefault="00056C11" w:rsidP="00056C11">
            <w:pPr>
              <w:jc w:val="center"/>
            </w:pPr>
            <w:bookmarkStart w:id="6" w:name="dtitle3" w:colFirst="0" w:colLast="0"/>
            <w:bookmarkEnd w:id="5"/>
            <w:r w:rsidRPr="00BA5395">
              <w:rPr>
                <w:b/>
                <w:bCs/>
              </w:rPr>
              <w:t>Presidente:</w:t>
            </w:r>
            <w:r w:rsidR="0024729D" w:rsidRPr="00BA5395">
              <w:t xml:space="preserve"> </w:t>
            </w:r>
            <w:r w:rsidRPr="00BA5395">
              <w:t>Sr</w:t>
            </w:r>
            <w:r w:rsidR="00D7704D" w:rsidRPr="00BA5395">
              <w:t>.</w:t>
            </w:r>
            <w:r w:rsidRPr="00BA5395">
              <w:t xml:space="preserve"> S</w:t>
            </w:r>
            <w:r w:rsidR="0039623D" w:rsidRPr="00BA5395">
              <w:rPr>
                <w:bCs/>
              </w:rPr>
              <w:t>abin</w:t>
            </w:r>
            <w:r w:rsidRPr="00BA5395">
              <w:t xml:space="preserve"> </w:t>
            </w:r>
            <w:proofErr w:type="spellStart"/>
            <w:r w:rsidRPr="00BA5395">
              <w:t>SĂRMAȘ</w:t>
            </w:r>
            <w:proofErr w:type="spellEnd"/>
            <w:r w:rsidRPr="00BA5395">
              <w:t xml:space="preserve"> (Rumania)</w:t>
            </w:r>
          </w:p>
        </w:tc>
      </w:tr>
      <w:bookmarkEnd w:id="6"/>
    </w:tbl>
    <w:tbl>
      <w:tblPr>
        <w:tblW w:w="10040" w:type="dxa"/>
        <w:tblLayout w:type="fixed"/>
        <w:tblLook w:val="0000" w:firstRow="0" w:lastRow="0" w:firstColumn="0" w:lastColumn="0" w:noHBand="0" w:noVBand="0"/>
      </w:tblPr>
      <w:tblGrid>
        <w:gridCol w:w="460"/>
        <w:gridCol w:w="8101"/>
        <w:gridCol w:w="1479"/>
      </w:tblGrid>
      <w:tr w:rsidR="00F61267" w:rsidRPr="00BA5395" w14:paraId="04163661" w14:textId="77777777" w:rsidTr="004B3B29">
        <w:trPr>
          <w:trHeight w:val="667"/>
        </w:trPr>
        <w:tc>
          <w:tcPr>
            <w:tcW w:w="460" w:type="dxa"/>
          </w:tcPr>
          <w:p w14:paraId="1B73EACB" w14:textId="77777777" w:rsidR="00441EFC" w:rsidRPr="00BA5395" w:rsidRDefault="00441EFC" w:rsidP="00DF5D7B">
            <w:pPr>
              <w:tabs>
                <w:tab w:val="clear" w:pos="567"/>
                <w:tab w:val="clear" w:pos="1134"/>
                <w:tab w:val="clear" w:pos="1701"/>
                <w:tab w:val="clear" w:pos="2268"/>
                <w:tab w:val="clear" w:pos="2835"/>
                <w:tab w:val="right" w:pos="9781"/>
              </w:tabs>
              <w:spacing w:before="360" w:after="40"/>
              <w:rPr>
                <w:rFonts w:eastAsia="SimSun"/>
                <w:b/>
                <w:szCs w:val="24"/>
              </w:rPr>
            </w:pPr>
            <w:r w:rsidRPr="00BA5395">
              <w:rPr>
                <w:rFonts w:eastAsia="SimSun"/>
                <w:szCs w:val="24"/>
              </w:rPr>
              <w:br w:type="page"/>
            </w:r>
            <w:r w:rsidRPr="00BA5395">
              <w:rPr>
                <w:rFonts w:eastAsia="SimSun"/>
                <w:szCs w:val="24"/>
              </w:rPr>
              <w:br w:type="page"/>
            </w:r>
          </w:p>
        </w:tc>
        <w:tc>
          <w:tcPr>
            <w:tcW w:w="8101" w:type="dxa"/>
          </w:tcPr>
          <w:p w14:paraId="49033C1F" w14:textId="77777777" w:rsidR="00441EFC" w:rsidRPr="00BA5395" w:rsidRDefault="00441EFC" w:rsidP="00DF5D7B">
            <w:pPr>
              <w:tabs>
                <w:tab w:val="clear" w:pos="567"/>
                <w:tab w:val="clear" w:pos="1134"/>
                <w:tab w:val="clear" w:pos="1701"/>
                <w:tab w:val="clear" w:pos="2268"/>
                <w:tab w:val="clear" w:pos="2835"/>
                <w:tab w:val="right" w:pos="9781"/>
              </w:tabs>
              <w:spacing w:before="360" w:after="40"/>
              <w:rPr>
                <w:rFonts w:eastAsia="SimSun"/>
                <w:szCs w:val="24"/>
              </w:rPr>
            </w:pPr>
            <w:r w:rsidRPr="00BA5395">
              <w:rPr>
                <w:rFonts w:eastAsia="SimSun"/>
                <w:b/>
                <w:szCs w:val="24"/>
              </w:rPr>
              <w:t>Asuntos</w:t>
            </w:r>
            <w:r w:rsidRPr="00BA5395">
              <w:rPr>
                <w:rFonts w:eastAsia="SimSun"/>
                <w:szCs w:val="24"/>
              </w:rPr>
              <w:t xml:space="preserve"> </w:t>
            </w:r>
            <w:r w:rsidRPr="00BA5395">
              <w:rPr>
                <w:rFonts w:eastAsia="SimSun"/>
                <w:b/>
                <w:bCs/>
                <w:szCs w:val="24"/>
              </w:rPr>
              <w:t>tratados</w:t>
            </w:r>
          </w:p>
        </w:tc>
        <w:tc>
          <w:tcPr>
            <w:tcW w:w="1479" w:type="dxa"/>
          </w:tcPr>
          <w:p w14:paraId="1C264AF4" w14:textId="77777777" w:rsidR="00441EFC" w:rsidRPr="00BA5395" w:rsidRDefault="00441EFC" w:rsidP="00DF5D7B">
            <w:pPr>
              <w:tabs>
                <w:tab w:val="clear" w:pos="567"/>
                <w:tab w:val="clear" w:pos="1134"/>
                <w:tab w:val="clear" w:pos="1701"/>
                <w:tab w:val="clear" w:pos="2268"/>
                <w:tab w:val="clear" w:pos="2835"/>
                <w:tab w:val="right" w:pos="9781"/>
              </w:tabs>
              <w:spacing w:before="360" w:after="40"/>
              <w:rPr>
                <w:rFonts w:eastAsia="SimSun"/>
                <w:b/>
                <w:szCs w:val="24"/>
              </w:rPr>
            </w:pPr>
            <w:r w:rsidRPr="00BA5395">
              <w:rPr>
                <w:rFonts w:eastAsia="SimSun"/>
                <w:b/>
                <w:szCs w:val="24"/>
              </w:rPr>
              <w:t>Documentos</w:t>
            </w:r>
          </w:p>
        </w:tc>
      </w:tr>
      <w:tr w:rsidR="00F61267" w:rsidRPr="00BA5395" w14:paraId="4B5450C5" w14:textId="77777777" w:rsidTr="004B3B29">
        <w:tc>
          <w:tcPr>
            <w:tcW w:w="460" w:type="dxa"/>
          </w:tcPr>
          <w:p w14:paraId="0227BB30" w14:textId="77777777" w:rsidR="00F61267" w:rsidRPr="00BA5395" w:rsidRDefault="00F61267" w:rsidP="00DF4CD5">
            <w:pPr>
              <w:spacing w:before="40" w:after="40"/>
              <w:ind w:left="567" w:hanging="567"/>
              <w:rPr>
                <w:szCs w:val="24"/>
              </w:rPr>
            </w:pPr>
            <w:r w:rsidRPr="00BA5395">
              <w:rPr>
                <w:szCs w:val="24"/>
              </w:rPr>
              <w:t>1</w:t>
            </w:r>
          </w:p>
        </w:tc>
        <w:tc>
          <w:tcPr>
            <w:tcW w:w="8101" w:type="dxa"/>
          </w:tcPr>
          <w:p w14:paraId="4944CCF2" w14:textId="1BDDFA99" w:rsidR="00F61267" w:rsidRPr="00BA5395" w:rsidRDefault="00F61267" w:rsidP="00DF4CD5">
            <w:pPr>
              <w:spacing w:before="40" w:after="40"/>
              <w:rPr>
                <w:szCs w:val="24"/>
              </w:rPr>
            </w:pPr>
            <w:r w:rsidRPr="00BA5395">
              <w:rPr>
                <w:szCs w:val="24"/>
              </w:rPr>
              <w:t xml:space="preserve">Declaración del </w:t>
            </w:r>
            <w:proofErr w:type="gramStart"/>
            <w:r w:rsidRPr="00BA5395">
              <w:rPr>
                <w:szCs w:val="24"/>
              </w:rPr>
              <w:t>Director General</w:t>
            </w:r>
            <w:proofErr w:type="gramEnd"/>
            <w:r w:rsidRPr="00BA5395">
              <w:rPr>
                <w:szCs w:val="24"/>
              </w:rPr>
              <w:t xml:space="preserve"> de la Unión Postal Universal</w:t>
            </w:r>
          </w:p>
        </w:tc>
        <w:tc>
          <w:tcPr>
            <w:tcW w:w="1479" w:type="dxa"/>
          </w:tcPr>
          <w:p w14:paraId="6F7735B5" w14:textId="77777777" w:rsidR="00F61267" w:rsidRPr="00BA5395" w:rsidRDefault="00F61267" w:rsidP="00DF4CD5">
            <w:pPr>
              <w:spacing w:before="40" w:after="40"/>
              <w:jc w:val="center"/>
              <w:rPr>
                <w:szCs w:val="24"/>
              </w:rPr>
            </w:pPr>
            <w:r w:rsidRPr="00BA5395">
              <w:rPr>
                <w:szCs w:val="24"/>
              </w:rPr>
              <w:t>-</w:t>
            </w:r>
          </w:p>
        </w:tc>
      </w:tr>
      <w:tr w:rsidR="00F61267" w:rsidRPr="00BA5395" w14:paraId="0FF661F6" w14:textId="77777777" w:rsidTr="004B3B29">
        <w:tc>
          <w:tcPr>
            <w:tcW w:w="460" w:type="dxa"/>
          </w:tcPr>
          <w:p w14:paraId="7CAB84AF" w14:textId="77777777" w:rsidR="00F61267" w:rsidRPr="00BA5395" w:rsidRDefault="00F61267" w:rsidP="00DF4CD5">
            <w:pPr>
              <w:spacing w:before="40" w:after="40"/>
              <w:ind w:left="567" w:hanging="567"/>
              <w:rPr>
                <w:szCs w:val="24"/>
              </w:rPr>
            </w:pPr>
            <w:r w:rsidRPr="00BA5395">
              <w:rPr>
                <w:szCs w:val="24"/>
              </w:rPr>
              <w:t>2</w:t>
            </w:r>
          </w:p>
        </w:tc>
        <w:tc>
          <w:tcPr>
            <w:tcW w:w="8101" w:type="dxa"/>
          </w:tcPr>
          <w:p w14:paraId="5B0E15B9" w14:textId="47770956" w:rsidR="00F61267" w:rsidRPr="00BA5395" w:rsidRDefault="00F61267" w:rsidP="00DF4CD5">
            <w:pPr>
              <w:spacing w:before="40" w:after="40"/>
              <w:rPr>
                <w:szCs w:val="24"/>
              </w:rPr>
            </w:pPr>
            <w:r w:rsidRPr="00BA5395">
              <w:rPr>
                <w:szCs w:val="24"/>
              </w:rPr>
              <w:t xml:space="preserve">Informe sobre los progresos logrados en la aplicación de la Resolución 1408 del </w:t>
            </w:r>
            <w:r w:rsidR="00CA1585" w:rsidRPr="00BA5395">
              <w:rPr>
                <w:szCs w:val="24"/>
              </w:rPr>
              <w:t xml:space="preserve">Consejo </w:t>
            </w:r>
            <w:r w:rsidRPr="00BA5395">
              <w:rPr>
                <w:szCs w:val="24"/>
              </w:rPr>
              <w:t>de la UIT</w:t>
            </w:r>
          </w:p>
        </w:tc>
        <w:tc>
          <w:tcPr>
            <w:tcW w:w="1479" w:type="dxa"/>
          </w:tcPr>
          <w:p w14:paraId="466446A1" w14:textId="77777777" w:rsidR="00F61267" w:rsidRPr="00BA5395" w:rsidRDefault="00B71386" w:rsidP="00DF4CD5">
            <w:pPr>
              <w:spacing w:before="40" w:after="40"/>
              <w:jc w:val="center"/>
              <w:rPr>
                <w:szCs w:val="24"/>
              </w:rPr>
            </w:pPr>
            <w:hyperlink r:id="rId9" w:history="1">
              <w:r w:rsidR="00F61267" w:rsidRPr="00BA5395">
                <w:rPr>
                  <w:szCs w:val="24"/>
                </w:rPr>
                <w:t>70</w:t>
              </w:r>
            </w:hyperlink>
          </w:p>
        </w:tc>
      </w:tr>
      <w:tr w:rsidR="00F61267" w:rsidRPr="00BA5395" w14:paraId="2D91C4EA" w14:textId="77777777" w:rsidTr="004B3B29">
        <w:tc>
          <w:tcPr>
            <w:tcW w:w="460" w:type="dxa"/>
          </w:tcPr>
          <w:p w14:paraId="7A18DB2D" w14:textId="77777777" w:rsidR="00F61267" w:rsidRPr="00BA5395" w:rsidRDefault="00F61267" w:rsidP="00DF4CD5">
            <w:pPr>
              <w:spacing w:before="40" w:after="40"/>
              <w:ind w:left="567" w:hanging="567"/>
              <w:rPr>
                <w:szCs w:val="24"/>
              </w:rPr>
            </w:pPr>
            <w:r w:rsidRPr="00BA5395">
              <w:rPr>
                <w:szCs w:val="24"/>
              </w:rPr>
              <w:t>3</w:t>
            </w:r>
          </w:p>
        </w:tc>
        <w:tc>
          <w:tcPr>
            <w:tcW w:w="8101" w:type="dxa"/>
          </w:tcPr>
          <w:p w14:paraId="269D521F" w14:textId="2898C897" w:rsidR="00F61267" w:rsidRPr="00BA5395" w:rsidRDefault="00F61267" w:rsidP="00DF4CD5">
            <w:pPr>
              <w:spacing w:before="40" w:after="40"/>
              <w:rPr>
                <w:szCs w:val="24"/>
              </w:rPr>
            </w:pPr>
            <w:bookmarkStart w:id="7" w:name="lt_pId024"/>
            <w:r w:rsidRPr="00BA5395">
              <w:rPr>
                <w:rFonts w:asciiTheme="minorHAnsi" w:eastAsiaTheme="minorHAnsi" w:hAnsiTheme="minorHAnsi" w:cstheme="minorHAnsi"/>
                <w:szCs w:val="24"/>
              </w:rPr>
              <w:t>Novena serie de textos sometidos por la Comisión de Redacción en primera lectura</w:t>
            </w:r>
            <w:r w:rsidRPr="00BA5395">
              <w:rPr>
                <w:szCs w:val="24"/>
              </w:rPr>
              <w:t xml:space="preserve"> (</w:t>
            </w:r>
            <w:proofErr w:type="spellStart"/>
            <w:r w:rsidRPr="00BA5395">
              <w:rPr>
                <w:szCs w:val="24"/>
              </w:rPr>
              <w:t>B.9</w:t>
            </w:r>
            <w:proofErr w:type="spellEnd"/>
            <w:r w:rsidRPr="00BA5395">
              <w:rPr>
                <w:szCs w:val="24"/>
              </w:rPr>
              <w:t>)</w:t>
            </w:r>
            <w:bookmarkEnd w:id="7"/>
          </w:p>
        </w:tc>
        <w:tc>
          <w:tcPr>
            <w:tcW w:w="1479" w:type="dxa"/>
          </w:tcPr>
          <w:p w14:paraId="7C644401" w14:textId="77777777" w:rsidR="00F61267" w:rsidRPr="00BA5395" w:rsidRDefault="00B71386" w:rsidP="00DF4CD5">
            <w:pPr>
              <w:spacing w:before="40" w:after="40"/>
              <w:jc w:val="center"/>
              <w:rPr>
                <w:szCs w:val="24"/>
              </w:rPr>
            </w:pPr>
            <w:hyperlink r:id="rId10" w:history="1">
              <w:r w:rsidR="00F61267" w:rsidRPr="00BA5395">
                <w:rPr>
                  <w:rStyle w:val="Hyperlink"/>
                  <w:szCs w:val="24"/>
                </w:rPr>
                <w:t>143</w:t>
              </w:r>
            </w:hyperlink>
          </w:p>
        </w:tc>
      </w:tr>
      <w:tr w:rsidR="00F61267" w:rsidRPr="00BA5395" w14:paraId="40FD94D8" w14:textId="77777777" w:rsidTr="004B3B29">
        <w:tc>
          <w:tcPr>
            <w:tcW w:w="460" w:type="dxa"/>
          </w:tcPr>
          <w:p w14:paraId="4C3C03DF" w14:textId="77777777" w:rsidR="00F61267" w:rsidRPr="00BA5395" w:rsidRDefault="00F61267" w:rsidP="00DF4CD5">
            <w:pPr>
              <w:spacing w:before="40" w:after="40"/>
              <w:ind w:left="567" w:hanging="567"/>
              <w:rPr>
                <w:szCs w:val="24"/>
              </w:rPr>
            </w:pPr>
            <w:r w:rsidRPr="00BA5395">
              <w:rPr>
                <w:szCs w:val="24"/>
              </w:rPr>
              <w:t>4</w:t>
            </w:r>
          </w:p>
        </w:tc>
        <w:tc>
          <w:tcPr>
            <w:tcW w:w="8101" w:type="dxa"/>
          </w:tcPr>
          <w:p w14:paraId="356D6B10" w14:textId="04056427" w:rsidR="00F61267" w:rsidRPr="00BA5395" w:rsidRDefault="00F61267" w:rsidP="00DF4CD5">
            <w:pPr>
              <w:spacing w:before="40" w:after="40"/>
              <w:rPr>
                <w:szCs w:val="24"/>
              </w:rPr>
            </w:pPr>
            <w:r w:rsidRPr="00BA5395">
              <w:rPr>
                <w:rFonts w:asciiTheme="minorHAnsi" w:eastAsiaTheme="minorHAnsi" w:hAnsiTheme="minorHAnsi" w:cstheme="minorHAnsi"/>
                <w:szCs w:val="24"/>
              </w:rPr>
              <w:t>Novena serie de textos sometidos por la Comisión de Redacción – segunda lectura</w:t>
            </w:r>
          </w:p>
        </w:tc>
        <w:tc>
          <w:tcPr>
            <w:tcW w:w="1479" w:type="dxa"/>
          </w:tcPr>
          <w:p w14:paraId="41B1119D" w14:textId="77777777" w:rsidR="00F61267" w:rsidRPr="00BA5395" w:rsidRDefault="00F61267" w:rsidP="00DF4CD5">
            <w:pPr>
              <w:spacing w:before="40" w:after="40"/>
              <w:jc w:val="center"/>
              <w:rPr>
                <w:szCs w:val="24"/>
              </w:rPr>
            </w:pPr>
            <w:r w:rsidRPr="00BA5395">
              <w:rPr>
                <w:szCs w:val="24"/>
              </w:rPr>
              <w:t>143</w:t>
            </w:r>
          </w:p>
        </w:tc>
      </w:tr>
      <w:tr w:rsidR="00F61267" w:rsidRPr="00BA5395" w14:paraId="47D87FE4" w14:textId="77777777" w:rsidTr="004B3B29">
        <w:tc>
          <w:tcPr>
            <w:tcW w:w="460" w:type="dxa"/>
          </w:tcPr>
          <w:p w14:paraId="5B43F005" w14:textId="77777777" w:rsidR="00F61267" w:rsidRPr="00BA5395" w:rsidRDefault="00F61267" w:rsidP="00DF4CD5">
            <w:pPr>
              <w:spacing w:before="40" w:after="40"/>
              <w:ind w:left="567" w:hanging="567"/>
              <w:rPr>
                <w:szCs w:val="24"/>
              </w:rPr>
            </w:pPr>
            <w:r w:rsidRPr="00BA5395">
              <w:rPr>
                <w:szCs w:val="24"/>
              </w:rPr>
              <w:t>5</w:t>
            </w:r>
          </w:p>
        </w:tc>
        <w:tc>
          <w:tcPr>
            <w:tcW w:w="8101" w:type="dxa"/>
          </w:tcPr>
          <w:p w14:paraId="585BC994" w14:textId="44F63CDC" w:rsidR="00F61267" w:rsidRPr="00BA5395" w:rsidRDefault="00F61267" w:rsidP="00DF4CD5">
            <w:pPr>
              <w:spacing w:before="40" w:after="40"/>
              <w:rPr>
                <w:spacing w:val="-2"/>
                <w:szCs w:val="24"/>
              </w:rPr>
            </w:pPr>
            <w:bookmarkStart w:id="8" w:name="lt_pId030"/>
            <w:r w:rsidRPr="00BA5395">
              <w:rPr>
                <w:rFonts w:asciiTheme="minorHAnsi" w:eastAsiaTheme="minorHAnsi" w:hAnsiTheme="minorHAnsi" w:cstheme="minorHAnsi"/>
                <w:szCs w:val="24"/>
              </w:rPr>
              <w:t>Décima serie de textos sometidos por la Comisión de Redacción en primera lectura</w:t>
            </w:r>
            <w:r w:rsidRPr="00BA5395">
              <w:rPr>
                <w:spacing w:val="-2"/>
                <w:szCs w:val="24"/>
              </w:rPr>
              <w:t xml:space="preserve"> (</w:t>
            </w:r>
            <w:proofErr w:type="spellStart"/>
            <w:r w:rsidRPr="00BA5395">
              <w:rPr>
                <w:spacing w:val="-2"/>
                <w:szCs w:val="24"/>
              </w:rPr>
              <w:t>B.10</w:t>
            </w:r>
            <w:proofErr w:type="spellEnd"/>
            <w:r w:rsidRPr="00BA5395">
              <w:rPr>
                <w:spacing w:val="-2"/>
                <w:szCs w:val="24"/>
              </w:rPr>
              <w:t>)</w:t>
            </w:r>
            <w:bookmarkEnd w:id="8"/>
          </w:p>
        </w:tc>
        <w:tc>
          <w:tcPr>
            <w:tcW w:w="1479" w:type="dxa"/>
          </w:tcPr>
          <w:p w14:paraId="545123D5" w14:textId="77777777" w:rsidR="00F61267" w:rsidRPr="00BA5395" w:rsidRDefault="00B71386" w:rsidP="00DF4CD5">
            <w:pPr>
              <w:spacing w:before="40" w:after="40"/>
              <w:jc w:val="center"/>
              <w:rPr>
                <w:szCs w:val="24"/>
              </w:rPr>
            </w:pPr>
            <w:hyperlink r:id="rId11" w:history="1">
              <w:r w:rsidR="00F61267" w:rsidRPr="00BA5395">
                <w:rPr>
                  <w:rStyle w:val="Hyperlink"/>
                  <w:szCs w:val="24"/>
                </w:rPr>
                <w:t>144</w:t>
              </w:r>
            </w:hyperlink>
          </w:p>
        </w:tc>
      </w:tr>
      <w:tr w:rsidR="00F61267" w:rsidRPr="00BA5395" w14:paraId="09D57993" w14:textId="77777777" w:rsidTr="004B3B29">
        <w:tc>
          <w:tcPr>
            <w:tcW w:w="460" w:type="dxa"/>
          </w:tcPr>
          <w:p w14:paraId="57AF1BAD" w14:textId="77777777" w:rsidR="00F61267" w:rsidRPr="00BA5395" w:rsidRDefault="00F61267" w:rsidP="00DF4CD5">
            <w:pPr>
              <w:spacing w:before="40" w:after="40"/>
              <w:ind w:left="567" w:hanging="567"/>
              <w:rPr>
                <w:szCs w:val="24"/>
              </w:rPr>
            </w:pPr>
            <w:r w:rsidRPr="00BA5395">
              <w:rPr>
                <w:szCs w:val="24"/>
              </w:rPr>
              <w:t>6</w:t>
            </w:r>
          </w:p>
        </w:tc>
        <w:tc>
          <w:tcPr>
            <w:tcW w:w="8101" w:type="dxa"/>
          </w:tcPr>
          <w:p w14:paraId="73C5B17B" w14:textId="4183EAF4" w:rsidR="00F61267" w:rsidRPr="00BA5395" w:rsidRDefault="00F61267" w:rsidP="00DF4CD5">
            <w:pPr>
              <w:tabs>
                <w:tab w:val="left" w:pos="4660"/>
              </w:tabs>
              <w:spacing w:before="40" w:after="40"/>
              <w:rPr>
                <w:szCs w:val="24"/>
              </w:rPr>
            </w:pPr>
            <w:r w:rsidRPr="00BA5395">
              <w:rPr>
                <w:rFonts w:asciiTheme="minorHAnsi" w:eastAsiaTheme="minorHAnsi" w:hAnsiTheme="minorHAnsi" w:cstheme="minorHAnsi"/>
                <w:szCs w:val="24"/>
              </w:rPr>
              <w:t>Décima serie de textos sometidos por la Comisión de Redacción – segunda lectura</w:t>
            </w:r>
          </w:p>
        </w:tc>
        <w:tc>
          <w:tcPr>
            <w:tcW w:w="1479" w:type="dxa"/>
          </w:tcPr>
          <w:p w14:paraId="0236C2A2" w14:textId="77777777" w:rsidR="00F61267" w:rsidRPr="00BA5395" w:rsidRDefault="00F61267" w:rsidP="00DF4CD5">
            <w:pPr>
              <w:spacing w:before="40" w:after="40"/>
              <w:jc w:val="center"/>
              <w:rPr>
                <w:szCs w:val="24"/>
              </w:rPr>
            </w:pPr>
            <w:r w:rsidRPr="00BA5395">
              <w:rPr>
                <w:szCs w:val="24"/>
              </w:rPr>
              <w:t>144</w:t>
            </w:r>
          </w:p>
        </w:tc>
      </w:tr>
      <w:tr w:rsidR="00F61267" w:rsidRPr="00BA5395" w14:paraId="1E88125B" w14:textId="77777777" w:rsidTr="004B3B29">
        <w:tc>
          <w:tcPr>
            <w:tcW w:w="460" w:type="dxa"/>
          </w:tcPr>
          <w:p w14:paraId="5DA5C323" w14:textId="77777777" w:rsidR="00F61267" w:rsidRPr="00BA5395" w:rsidRDefault="00F61267" w:rsidP="00DF4CD5">
            <w:pPr>
              <w:spacing w:before="40" w:after="40"/>
              <w:ind w:left="567" w:hanging="567"/>
              <w:rPr>
                <w:szCs w:val="24"/>
              </w:rPr>
            </w:pPr>
            <w:r w:rsidRPr="00BA5395">
              <w:rPr>
                <w:szCs w:val="24"/>
              </w:rPr>
              <w:t>7</w:t>
            </w:r>
          </w:p>
        </w:tc>
        <w:tc>
          <w:tcPr>
            <w:tcW w:w="8101" w:type="dxa"/>
          </w:tcPr>
          <w:p w14:paraId="3B3BF22B" w14:textId="4915E88B" w:rsidR="00F61267" w:rsidRPr="00BA5395" w:rsidRDefault="004B3B29" w:rsidP="00DF4CD5">
            <w:pPr>
              <w:tabs>
                <w:tab w:val="left" w:pos="4660"/>
              </w:tabs>
              <w:spacing w:before="40" w:after="40"/>
              <w:rPr>
                <w:szCs w:val="24"/>
              </w:rPr>
            </w:pPr>
            <w:bookmarkStart w:id="9" w:name="lt_pId036"/>
            <w:r w:rsidRPr="00BA5395">
              <w:rPr>
                <w:rFonts w:asciiTheme="minorHAnsi" w:eastAsiaTheme="minorHAnsi" w:hAnsiTheme="minorHAnsi" w:cstheme="minorHAnsi"/>
                <w:szCs w:val="24"/>
              </w:rPr>
              <w:t>Decimoprimera</w:t>
            </w:r>
            <w:r w:rsidR="00F61267" w:rsidRPr="00BA5395">
              <w:rPr>
                <w:rFonts w:asciiTheme="minorHAnsi" w:eastAsiaTheme="minorHAnsi" w:hAnsiTheme="minorHAnsi" w:cstheme="minorHAnsi"/>
                <w:szCs w:val="24"/>
              </w:rPr>
              <w:t xml:space="preserve"> serie de textos sometidos por la Comisión de Redacción en primera lectura</w:t>
            </w:r>
            <w:r w:rsidR="00F61267" w:rsidRPr="00BA5395">
              <w:rPr>
                <w:szCs w:val="24"/>
              </w:rPr>
              <w:t xml:space="preserve"> (</w:t>
            </w:r>
            <w:proofErr w:type="spellStart"/>
            <w:r w:rsidR="00F61267" w:rsidRPr="00BA5395">
              <w:rPr>
                <w:szCs w:val="24"/>
              </w:rPr>
              <w:t>B.11</w:t>
            </w:r>
            <w:proofErr w:type="spellEnd"/>
            <w:r w:rsidR="00F61267" w:rsidRPr="00BA5395">
              <w:rPr>
                <w:szCs w:val="24"/>
              </w:rPr>
              <w:t>)</w:t>
            </w:r>
            <w:bookmarkEnd w:id="9"/>
          </w:p>
        </w:tc>
        <w:tc>
          <w:tcPr>
            <w:tcW w:w="1479" w:type="dxa"/>
          </w:tcPr>
          <w:p w14:paraId="05C62BB9" w14:textId="77777777" w:rsidR="00F61267" w:rsidRPr="00BA5395" w:rsidRDefault="00B71386" w:rsidP="00DF4CD5">
            <w:pPr>
              <w:spacing w:before="40" w:after="40"/>
              <w:jc w:val="center"/>
              <w:rPr>
                <w:szCs w:val="24"/>
              </w:rPr>
            </w:pPr>
            <w:hyperlink r:id="rId12" w:history="1">
              <w:r w:rsidR="00F61267" w:rsidRPr="00BA5395">
                <w:rPr>
                  <w:rStyle w:val="Hyperlink"/>
                  <w:szCs w:val="24"/>
                </w:rPr>
                <w:t>145</w:t>
              </w:r>
            </w:hyperlink>
          </w:p>
        </w:tc>
      </w:tr>
      <w:tr w:rsidR="00F61267" w:rsidRPr="00BA5395" w14:paraId="4D642169" w14:textId="77777777" w:rsidTr="004B3B29">
        <w:tc>
          <w:tcPr>
            <w:tcW w:w="460" w:type="dxa"/>
          </w:tcPr>
          <w:p w14:paraId="6534DEBC" w14:textId="77777777" w:rsidR="00F61267" w:rsidRPr="00BA5395" w:rsidRDefault="00F61267" w:rsidP="00DF4CD5">
            <w:pPr>
              <w:spacing w:before="40" w:after="40"/>
              <w:ind w:left="567" w:hanging="567"/>
              <w:rPr>
                <w:szCs w:val="24"/>
              </w:rPr>
            </w:pPr>
            <w:r w:rsidRPr="00BA5395">
              <w:rPr>
                <w:szCs w:val="24"/>
              </w:rPr>
              <w:t>8</w:t>
            </w:r>
          </w:p>
        </w:tc>
        <w:tc>
          <w:tcPr>
            <w:tcW w:w="8101" w:type="dxa"/>
          </w:tcPr>
          <w:p w14:paraId="3851BC8C" w14:textId="6886FAAE" w:rsidR="00F61267" w:rsidRPr="00BA5395" w:rsidRDefault="004B3B29" w:rsidP="00DF4CD5">
            <w:pPr>
              <w:tabs>
                <w:tab w:val="left" w:pos="4660"/>
              </w:tabs>
              <w:spacing w:before="40" w:after="40"/>
              <w:rPr>
                <w:szCs w:val="24"/>
              </w:rPr>
            </w:pPr>
            <w:r w:rsidRPr="00BA5395">
              <w:rPr>
                <w:rFonts w:asciiTheme="minorHAnsi" w:eastAsiaTheme="minorHAnsi" w:hAnsiTheme="minorHAnsi" w:cstheme="minorHAnsi"/>
                <w:szCs w:val="24"/>
              </w:rPr>
              <w:t xml:space="preserve">Decimoprimera </w:t>
            </w:r>
            <w:r w:rsidR="00F61267" w:rsidRPr="00BA5395">
              <w:rPr>
                <w:rFonts w:asciiTheme="minorHAnsi" w:eastAsiaTheme="minorHAnsi" w:hAnsiTheme="minorHAnsi" w:cstheme="minorHAnsi"/>
                <w:szCs w:val="24"/>
              </w:rPr>
              <w:t>serie de textos sometidos por la Comisión de Redacción – segunda lectura</w:t>
            </w:r>
          </w:p>
        </w:tc>
        <w:tc>
          <w:tcPr>
            <w:tcW w:w="1479" w:type="dxa"/>
          </w:tcPr>
          <w:p w14:paraId="32BB1011" w14:textId="77777777" w:rsidR="00F61267" w:rsidRPr="00BA5395" w:rsidRDefault="00F61267" w:rsidP="00DF4CD5">
            <w:pPr>
              <w:spacing w:before="40" w:after="40"/>
              <w:jc w:val="center"/>
              <w:rPr>
                <w:szCs w:val="24"/>
              </w:rPr>
            </w:pPr>
            <w:r w:rsidRPr="00BA5395">
              <w:rPr>
                <w:szCs w:val="24"/>
              </w:rPr>
              <w:t>145</w:t>
            </w:r>
          </w:p>
        </w:tc>
      </w:tr>
      <w:tr w:rsidR="00F61267" w:rsidRPr="00BA5395" w14:paraId="2498A97E" w14:textId="77777777" w:rsidTr="004B3B29">
        <w:tc>
          <w:tcPr>
            <w:tcW w:w="460" w:type="dxa"/>
          </w:tcPr>
          <w:p w14:paraId="15628CB1" w14:textId="77777777" w:rsidR="00F61267" w:rsidRPr="00BA5395" w:rsidRDefault="00F61267" w:rsidP="00DF4CD5">
            <w:pPr>
              <w:spacing w:before="40" w:after="40"/>
              <w:ind w:left="567" w:hanging="567"/>
              <w:rPr>
                <w:szCs w:val="24"/>
              </w:rPr>
            </w:pPr>
            <w:r w:rsidRPr="00BA5395">
              <w:rPr>
                <w:szCs w:val="24"/>
              </w:rPr>
              <w:t>9</w:t>
            </w:r>
          </w:p>
        </w:tc>
        <w:tc>
          <w:tcPr>
            <w:tcW w:w="8101" w:type="dxa"/>
          </w:tcPr>
          <w:p w14:paraId="00BC2A16" w14:textId="0E6021C5" w:rsidR="00F61267" w:rsidRPr="00BA5395" w:rsidRDefault="00F61267" w:rsidP="00DF4CD5">
            <w:pPr>
              <w:tabs>
                <w:tab w:val="left" w:pos="4660"/>
              </w:tabs>
              <w:spacing w:before="40" w:after="40"/>
              <w:rPr>
                <w:szCs w:val="24"/>
              </w:rPr>
            </w:pPr>
            <w:bookmarkStart w:id="10" w:name="lt_pId042"/>
            <w:r w:rsidRPr="00BA5395">
              <w:rPr>
                <w:rFonts w:asciiTheme="minorHAnsi" w:eastAsiaTheme="minorHAnsi" w:hAnsiTheme="minorHAnsi" w:cstheme="minorHAnsi"/>
                <w:szCs w:val="24"/>
              </w:rPr>
              <w:t>Decimosegunda serie de textos sometidos por la Comisión de Redacción en primera lectura</w:t>
            </w:r>
            <w:r w:rsidRPr="00BA5395">
              <w:rPr>
                <w:szCs w:val="24"/>
              </w:rPr>
              <w:t xml:space="preserve"> (</w:t>
            </w:r>
            <w:proofErr w:type="spellStart"/>
            <w:r w:rsidRPr="00BA5395">
              <w:rPr>
                <w:szCs w:val="24"/>
              </w:rPr>
              <w:t>B.12</w:t>
            </w:r>
            <w:proofErr w:type="spellEnd"/>
            <w:r w:rsidRPr="00BA5395">
              <w:rPr>
                <w:szCs w:val="24"/>
              </w:rPr>
              <w:t>)</w:t>
            </w:r>
            <w:bookmarkEnd w:id="10"/>
          </w:p>
        </w:tc>
        <w:tc>
          <w:tcPr>
            <w:tcW w:w="1479" w:type="dxa"/>
          </w:tcPr>
          <w:p w14:paraId="4DA741EB" w14:textId="77777777" w:rsidR="00F61267" w:rsidRPr="00BA5395" w:rsidRDefault="00B71386" w:rsidP="00DF4CD5">
            <w:pPr>
              <w:spacing w:before="40" w:after="40"/>
              <w:jc w:val="center"/>
              <w:rPr>
                <w:szCs w:val="24"/>
              </w:rPr>
            </w:pPr>
            <w:hyperlink r:id="rId13" w:history="1">
              <w:r w:rsidR="00F61267" w:rsidRPr="00BA5395">
                <w:rPr>
                  <w:rStyle w:val="Hyperlink"/>
                  <w:szCs w:val="24"/>
                </w:rPr>
                <w:t>153</w:t>
              </w:r>
            </w:hyperlink>
          </w:p>
        </w:tc>
      </w:tr>
      <w:tr w:rsidR="00F61267" w:rsidRPr="00BA5395" w14:paraId="37D93190" w14:textId="77777777" w:rsidTr="004B3B29">
        <w:tc>
          <w:tcPr>
            <w:tcW w:w="460" w:type="dxa"/>
          </w:tcPr>
          <w:p w14:paraId="0FAB12E7" w14:textId="77777777" w:rsidR="00F61267" w:rsidRPr="00BA5395" w:rsidRDefault="00F61267" w:rsidP="00DF4CD5">
            <w:pPr>
              <w:spacing w:before="40" w:after="40"/>
              <w:ind w:left="567" w:hanging="567"/>
              <w:rPr>
                <w:szCs w:val="24"/>
              </w:rPr>
            </w:pPr>
            <w:r w:rsidRPr="00BA5395">
              <w:rPr>
                <w:szCs w:val="24"/>
              </w:rPr>
              <w:t>10</w:t>
            </w:r>
          </w:p>
        </w:tc>
        <w:tc>
          <w:tcPr>
            <w:tcW w:w="8101" w:type="dxa"/>
          </w:tcPr>
          <w:p w14:paraId="3100F060" w14:textId="627F65C1" w:rsidR="00F61267" w:rsidRPr="00BA5395" w:rsidRDefault="00F61267" w:rsidP="00DF4CD5">
            <w:pPr>
              <w:tabs>
                <w:tab w:val="left" w:pos="4660"/>
              </w:tabs>
              <w:spacing w:before="40" w:after="40"/>
              <w:rPr>
                <w:szCs w:val="24"/>
              </w:rPr>
            </w:pPr>
            <w:r w:rsidRPr="00BA5395">
              <w:rPr>
                <w:rFonts w:asciiTheme="minorHAnsi" w:eastAsiaTheme="minorHAnsi" w:hAnsiTheme="minorHAnsi" w:cstheme="minorHAnsi"/>
                <w:szCs w:val="24"/>
              </w:rPr>
              <w:t>Decimosegunda serie de textos sometidos por la Comisión de Redacción – segunda lectura</w:t>
            </w:r>
          </w:p>
        </w:tc>
        <w:tc>
          <w:tcPr>
            <w:tcW w:w="1479" w:type="dxa"/>
          </w:tcPr>
          <w:p w14:paraId="0C125F28" w14:textId="77777777" w:rsidR="00F61267" w:rsidRPr="00BA5395" w:rsidRDefault="00F61267" w:rsidP="00DF4CD5">
            <w:pPr>
              <w:spacing w:before="40" w:after="40"/>
              <w:jc w:val="center"/>
              <w:rPr>
                <w:szCs w:val="24"/>
              </w:rPr>
            </w:pPr>
            <w:r w:rsidRPr="00BA5395">
              <w:rPr>
                <w:szCs w:val="24"/>
              </w:rPr>
              <w:t>153</w:t>
            </w:r>
          </w:p>
        </w:tc>
      </w:tr>
      <w:tr w:rsidR="00F61267" w:rsidRPr="00BA5395" w14:paraId="3D55B05B" w14:textId="77777777" w:rsidTr="004B3B29">
        <w:tc>
          <w:tcPr>
            <w:tcW w:w="460" w:type="dxa"/>
          </w:tcPr>
          <w:p w14:paraId="224F2559" w14:textId="77777777" w:rsidR="00F61267" w:rsidRPr="00BA5395" w:rsidRDefault="00F61267" w:rsidP="00DF4CD5">
            <w:pPr>
              <w:spacing w:before="40" w:after="40"/>
              <w:ind w:left="567" w:hanging="567"/>
              <w:rPr>
                <w:szCs w:val="24"/>
              </w:rPr>
            </w:pPr>
            <w:r w:rsidRPr="00BA5395">
              <w:rPr>
                <w:szCs w:val="24"/>
              </w:rPr>
              <w:t>11</w:t>
            </w:r>
          </w:p>
        </w:tc>
        <w:tc>
          <w:tcPr>
            <w:tcW w:w="8101" w:type="dxa"/>
          </w:tcPr>
          <w:p w14:paraId="51589E79" w14:textId="77352791" w:rsidR="00F61267" w:rsidRPr="00BA5395" w:rsidRDefault="00F61267" w:rsidP="00DF4CD5">
            <w:pPr>
              <w:tabs>
                <w:tab w:val="left" w:pos="4660"/>
              </w:tabs>
              <w:spacing w:before="40" w:after="40"/>
              <w:rPr>
                <w:szCs w:val="24"/>
              </w:rPr>
            </w:pPr>
            <w:bookmarkStart w:id="11" w:name="lt_pId048"/>
            <w:r w:rsidRPr="00BA5395">
              <w:rPr>
                <w:rFonts w:asciiTheme="minorHAnsi" w:eastAsiaTheme="minorHAnsi" w:hAnsiTheme="minorHAnsi" w:cstheme="minorHAnsi"/>
                <w:szCs w:val="24"/>
              </w:rPr>
              <w:t>Decimotercera serie de textos sometidos por la Comisión de Redacción en primera lectura</w:t>
            </w:r>
            <w:r w:rsidRPr="00BA5395">
              <w:rPr>
                <w:szCs w:val="24"/>
              </w:rPr>
              <w:t xml:space="preserve"> (</w:t>
            </w:r>
            <w:proofErr w:type="spellStart"/>
            <w:r w:rsidRPr="00BA5395">
              <w:rPr>
                <w:szCs w:val="24"/>
              </w:rPr>
              <w:t>B.13</w:t>
            </w:r>
            <w:proofErr w:type="spellEnd"/>
            <w:r w:rsidRPr="00BA5395">
              <w:rPr>
                <w:szCs w:val="24"/>
              </w:rPr>
              <w:t>)</w:t>
            </w:r>
            <w:bookmarkEnd w:id="11"/>
          </w:p>
        </w:tc>
        <w:tc>
          <w:tcPr>
            <w:tcW w:w="1479" w:type="dxa"/>
          </w:tcPr>
          <w:p w14:paraId="4FC46B50" w14:textId="77777777" w:rsidR="00F61267" w:rsidRPr="00BA5395" w:rsidRDefault="00B71386" w:rsidP="00DF4CD5">
            <w:pPr>
              <w:spacing w:before="40" w:after="40"/>
              <w:jc w:val="center"/>
              <w:rPr>
                <w:szCs w:val="24"/>
              </w:rPr>
            </w:pPr>
            <w:hyperlink r:id="rId14" w:history="1">
              <w:r w:rsidR="00F61267" w:rsidRPr="00BA5395">
                <w:rPr>
                  <w:rStyle w:val="Hyperlink"/>
                  <w:szCs w:val="24"/>
                </w:rPr>
                <w:t>154</w:t>
              </w:r>
            </w:hyperlink>
          </w:p>
        </w:tc>
      </w:tr>
      <w:tr w:rsidR="00F61267" w:rsidRPr="00BA5395" w14:paraId="1D5F7FFC" w14:textId="77777777" w:rsidTr="004B3B29">
        <w:tc>
          <w:tcPr>
            <w:tcW w:w="460" w:type="dxa"/>
          </w:tcPr>
          <w:p w14:paraId="1B5B7A2A" w14:textId="77777777" w:rsidR="00F61267" w:rsidRPr="00BA5395" w:rsidRDefault="00F61267" w:rsidP="00DF4CD5">
            <w:pPr>
              <w:spacing w:before="40" w:after="40"/>
              <w:ind w:left="567" w:hanging="567"/>
              <w:rPr>
                <w:szCs w:val="24"/>
              </w:rPr>
            </w:pPr>
            <w:r w:rsidRPr="00BA5395">
              <w:rPr>
                <w:szCs w:val="24"/>
              </w:rPr>
              <w:t>12</w:t>
            </w:r>
          </w:p>
        </w:tc>
        <w:tc>
          <w:tcPr>
            <w:tcW w:w="8101" w:type="dxa"/>
          </w:tcPr>
          <w:p w14:paraId="1F6A4E57" w14:textId="49FCCEE1" w:rsidR="00F61267" w:rsidRPr="00BA5395" w:rsidRDefault="00F61267" w:rsidP="00DF4CD5">
            <w:pPr>
              <w:tabs>
                <w:tab w:val="left" w:pos="4660"/>
              </w:tabs>
              <w:spacing w:before="40" w:after="40"/>
              <w:rPr>
                <w:szCs w:val="24"/>
              </w:rPr>
            </w:pPr>
            <w:r w:rsidRPr="00BA5395">
              <w:rPr>
                <w:rFonts w:asciiTheme="minorHAnsi" w:eastAsiaTheme="minorHAnsi" w:hAnsiTheme="minorHAnsi" w:cstheme="minorHAnsi"/>
                <w:szCs w:val="24"/>
              </w:rPr>
              <w:t>Decimotercera serie de textos sometidos por la Comisión de Redacción – segunda lectura</w:t>
            </w:r>
          </w:p>
        </w:tc>
        <w:tc>
          <w:tcPr>
            <w:tcW w:w="1479" w:type="dxa"/>
          </w:tcPr>
          <w:p w14:paraId="4C4C121B" w14:textId="77777777" w:rsidR="00F61267" w:rsidRPr="00BA5395" w:rsidRDefault="00F61267" w:rsidP="00DF4CD5">
            <w:pPr>
              <w:spacing w:before="40" w:after="40"/>
              <w:jc w:val="center"/>
              <w:rPr>
                <w:szCs w:val="24"/>
              </w:rPr>
            </w:pPr>
            <w:r w:rsidRPr="00BA5395">
              <w:rPr>
                <w:szCs w:val="24"/>
              </w:rPr>
              <w:t>154</w:t>
            </w:r>
          </w:p>
        </w:tc>
      </w:tr>
      <w:tr w:rsidR="00F61267" w:rsidRPr="00BA5395" w14:paraId="7DE48588" w14:textId="77777777" w:rsidTr="004B3B29">
        <w:tc>
          <w:tcPr>
            <w:tcW w:w="460" w:type="dxa"/>
          </w:tcPr>
          <w:p w14:paraId="73BDA8C8" w14:textId="77777777" w:rsidR="00F61267" w:rsidRPr="00BA5395" w:rsidRDefault="00F61267" w:rsidP="00DF4CD5">
            <w:pPr>
              <w:spacing w:before="40" w:after="40"/>
              <w:ind w:left="567" w:hanging="567"/>
              <w:rPr>
                <w:szCs w:val="24"/>
              </w:rPr>
            </w:pPr>
            <w:r w:rsidRPr="00BA5395">
              <w:rPr>
                <w:szCs w:val="24"/>
              </w:rPr>
              <w:lastRenderedPageBreak/>
              <w:t>13</w:t>
            </w:r>
          </w:p>
        </w:tc>
        <w:tc>
          <w:tcPr>
            <w:tcW w:w="8101" w:type="dxa"/>
          </w:tcPr>
          <w:p w14:paraId="4E00F060" w14:textId="4EDDB0E1" w:rsidR="00F61267" w:rsidRPr="00BA5395" w:rsidRDefault="00F61267" w:rsidP="00DF4CD5">
            <w:pPr>
              <w:tabs>
                <w:tab w:val="left" w:pos="4660"/>
              </w:tabs>
              <w:spacing w:before="40" w:after="40"/>
              <w:rPr>
                <w:szCs w:val="24"/>
              </w:rPr>
            </w:pPr>
            <w:bookmarkStart w:id="12" w:name="lt_pId054"/>
            <w:r w:rsidRPr="00BA5395">
              <w:rPr>
                <w:rFonts w:asciiTheme="minorHAnsi" w:eastAsiaTheme="minorHAnsi" w:hAnsiTheme="minorHAnsi" w:cstheme="minorHAnsi"/>
                <w:szCs w:val="24"/>
              </w:rPr>
              <w:t>Decimocuarta serie de textos sometidos por la Comisión de Redacción en primera lectura</w:t>
            </w:r>
            <w:r w:rsidRPr="00BA5395">
              <w:rPr>
                <w:szCs w:val="24"/>
              </w:rPr>
              <w:t xml:space="preserve"> (</w:t>
            </w:r>
            <w:proofErr w:type="spellStart"/>
            <w:r w:rsidRPr="00BA5395">
              <w:rPr>
                <w:szCs w:val="24"/>
              </w:rPr>
              <w:t>B.14</w:t>
            </w:r>
            <w:proofErr w:type="spellEnd"/>
            <w:r w:rsidRPr="00BA5395">
              <w:rPr>
                <w:szCs w:val="24"/>
              </w:rPr>
              <w:t>)</w:t>
            </w:r>
            <w:bookmarkEnd w:id="12"/>
          </w:p>
        </w:tc>
        <w:tc>
          <w:tcPr>
            <w:tcW w:w="1479" w:type="dxa"/>
          </w:tcPr>
          <w:p w14:paraId="15126620" w14:textId="77777777" w:rsidR="00F61267" w:rsidRPr="00BA5395" w:rsidRDefault="00B71386" w:rsidP="00DF4CD5">
            <w:pPr>
              <w:spacing w:before="40" w:after="40"/>
              <w:jc w:val="center"/>
              <w:rPr>
                <w:szCs w:val="24"/>
              </w:rPr>
            </w:pPr>
            <w:hyperlink r:id="rId15" w:history="1">
              <w:r w:rsidR="00F61267" w:rsidRPr="00BA5395">
                <w:rPr>
                  <w:rStyle w:val="Hyperlink"/>
                  <w:szCs w:val="24"/>
                </w:rPr>
                <w:t>155</w:t>
              </w:r>
            </w:hyperlink>
          </w:p>
        </w:tc>
      </w:tr>
      <w:tr w:rsidR="00F61267" w:rsidRPr="00BA5395" w14:paraId="4DC2688C" w14:textId="77777777" w:rsidTr="004B3B29">
        <w:tc>
          <w:tcPr>
            <w:tcW w:w="460" w:type="dxa"/>
          </w:tcPr>
          <w:p w14:paraId="42E39D2E" w14:textId="77777777" w:rsidR="00F61267" w:rsidRPr="00BA5395" w:rsidRDefault="00F61267" w:rsidP="00DF4CD5">
            <w:pPr>
              <w:spacing w:before="40" w:after="40"/>
              <w:ind w:left="567" w:hanging="567"/>
              <w:rPr>
                <w:szCs w:val="24"/>
              </w:rPr>
            </w:pPr>
            <w:r w:rsidRPr="00BA5395">
              <w:rPr>
                <w:szCs w:val="24"/>
              </w:rPr>
              <w:t>14</w:t>
            </w:r>
          </w:p>
        </w:tc>
        <w:tc>
          <w:tcPr>
            <w:tcW w:w="8101" w:type="dxa"/>
          </w:tcPr>
          <w:p w14:paraId="3111C168" w14:textId="2CCED2FD" w:rsidR="00F61267" w:rsidRPr="00BA5395" w:rsidRDefault="00F61267" w:rsidP="00DF4CD5">
            <w:pPr>
              <w:tabs>
                <w:tab w:val="left" w:pos="4660"/>
              </w:tabs>
              <w:spacing w:before="40" w:after="40"/>
              <w:rPr>
                <w:szCs w:val="24"/>
              </w:rPr>
            </w:pPr>
            <w:r w:rsidRPr="00BA5395">
              <w:rPr>
                <w:rFonts w:asciiTheme="minorHAnsi" w:eastAsiaTheme="minorHAnsi" w:hAnsiTheme="minorHAnsi" w:cstheme="minorHAnsi"/>
                <w:szCs w:val="24"/>
              </w:rPr>
              <w:t>Decimocuarta serie de textos sometidos por la Comisión de Redacción – segunda lectura</w:t>
            </w:r>
          </w:p>
        </w:tc>
        <w:tc>
          <w:tcPr>
            <w:tcW w:w="1479" w:type="dxa"/>
          </w:tcPr>
          <w:p w14:paraId="11358881" w14:textId="77777777" w:rsidR="00F61267" w:rsidRPr="00BA5395" w:rsidRDefault="00F61267" w:rsidP="00DF4CD5">
            <w:pPr>
              <w:spacing w:before="40" w:after="40"/>
              <w:jc w:val="center"/>
              <w:rPr>
                <w:szCs w:val="24"/>
              </w:rPr>
            </w:pPr>
            <w:r w:rsidRPr="00BA5395">
              <w:rPr>
                <w:szCs w:val="24"/>
              </w:rPr>
              <w:t>155</w:t>
            </w:r>
          </w:p>
        </w:tc>
      </w:tr>
      <w:tr w:rsidR="004B3B29" w:rsidRPr="00BA5395" w14:paraId="22821B15" w14:textId="77777777" w:rsidTr="004B3B29">
        <w:tc>
          <w:tcPr>
            <w:tcW w:w="460" w:type="dxa"/>
          </w:tcPr>
          <w:p w14:paraId="77A90EE5" w14:textId="24322DF3" w:rsidR="004B3B29" w:rsidRPr="00BA5395" w:rsidRDefault="004B3B29" w:rsidP="00DF4CD5">
            <w:pPr>
              <w:spacing w:before="40" w:after="40"/>
              <w:ind w:left="567" w:hanging="567"/>
              <w:rPr>
                <w:szCs w:val="24"/>
              </w:rPr>
            </w:pPr>
            <w:r w:rsidRPr="00BA5395">
              <w:rPr>
                <w:szCs w:val="24"/>
              </w:rPr>
              <w:t>15</w:t>
            </w:r>
          </w:p>
        </w:tc>
        <w:tc>
          <w:tcPr>
            <w:tcW w:w="8101" w:type="dxa"/>
          </w:tcPr>
          <w:p w14:paraId="2BAD5BA2" w14:textId="1860A6C9" w:rsidR="004B3B29" w:rsidRPr="00BA5395" w:rsidRDefault="004B3B29" w:rsidP="00DF4CD5">
            <w:pPr>
              <w:tabs>
                <w:tab w:val="left" w:pos="4660"/>
              </w:tabs>
              <w:spacing w:before="40" w:after="40"/>
              <w:rPr>
                <w:rFonts w:asciiTheme="minorHAnsi" w:eastAsiaTheme="minorHAnsi" w:hAnsiTheme="minorHAnsi" w:cstheme="minorHAnsi"/>
                <w:szCs w:val="24"/>
              </w:rPr>
            </w:pPr>
            <w:bookmarkStart w:id="13" w:name="lt_pId060"/>
            <w:r w:rsidRPr="00BA5395">
              <w:rPr>
                <w:szCs w:val="24"/>
              </w:rPr>
              <w:t xml:space="preserve">Presentación del Editor </w:t>
            </w:r>
            <w:proofErr w:type="gramStart"/>
            <w:r w:rsidRPr="00BA5395">
              <w:rPr>
                <w:szCs w:val="24"/>
              </w:rPr>
              <w:t>Jefe</w:t>
            </w:r>
            <w:proofErr w:type="gramEnd"/>
            <w:r w:rsidRPr="00BA5395">
              <w:rPr>
                <w:szCs w:val="24"/>
              </w:rPr>
              <w:t xml:space="preserve"> de la Gaceta de la UIT</w:t>
            </w:r>
            <w:bookmarkEnd w:id="13"/>
          </w:p>
        </w:tc>
        <w:tc>
          <w:tcPr>
            <w:tcW w:w="1479" w:type="dxa"/>
          </w:tcPr>
          <w:p w14:paraId="34A113D1" w14:textId="547F8726" w:rsidR="004B3B29" w:rsidRPr="00BA5395" w:rsidRDefault="004B3B29" w:rsidP="00DF4CD5">
            <w:pPr>
              <w:spacing w:before="40" w:after="40"/>
              <w:jc w:val="center"/>
              <w:rPr>
                <w:szCs w:val="24"/>
              </w:rPr>
            </w:pPr>
            <w:r w:rsidRPr="00BA5395">
              <w:rPr>
                <w:szCs w:val="24"/>
              </w:rPr>
              <w:t>-</w:t>
            </w:r>
          </w:p>
        </w:tc>
      </w:tr>
    </w:tbl>
    <w:p w14:paraId="2D146BB4" w14:textId="31CB3FCC" w:rsidR="00CA1585" w:rsidRPr="00BA5395" w:rsidRDefault="00CA1585" w:rsidP="00C44D21">
      <w:pPr>
        <w:pStyle w:val="Reasons"/>
      </w:pPr>
      <w:r w:rsidRPr="00BA5395">
        <w:br w:type="page"/>
      </w:r>
    </w:p>
    <w:p w14:paraId="7E645FDD" w14:textId="46F3478F" w:rsidR="00F61267" w:rsidRPr="00BA5395" w:rsidRDefault="00F61267" w:rsidP="00DF4CD5">
      <w:pPr>
        <w:pStyle w:val="Heading1"/>
      </w:pPr>
      <w:bookmarkStart w:id="14" w:name="_Hlk118124659"/>
      <w:r w:rsidRPr="00BA5395">
        <w:rPr>
          <w:rFonts w:asciiTheme="minorHAnsi" w:hAnsiTheme="minorHAnsi" w:cstheme="minorHAnsi"/>
          <w:bCs/>
        </w:rPr>
        <w:lastRenderedPageBreak/>
        <w:t>1</w:t>
      </w:r>
      <w:r w:rsidRPr="00BA5395">
        <w:rPr>
          <w:rFonts w:asciiTheme="minorHAnsi" w:hAnsiTheme="minorHAnsi" w:cstheme="minorHAnsi"/>
          <w:bCs/>
        </w:rPr>
        <w:tab/>
      </w:r>
      <w:proofErr w:type="gramStart"/>
      <w:r w:rsidRPr="00BA5395">
        <w:t>Declaración</w:t>
      </w:r>
      <w:proofErr w:type="gramEnd"/>
      <w:r w:rsidRPr="00BA5395">
        <w:t xml:space="preserve"> del Director General de la Unión Postal Universal</w:t>
      </w:r>
    </w:p>
    <w:p w14:paraId="668CE279" w14:textId="1599D22A" w:rsidR="00F61267" w:rsidRPr="00BA5395" w:rsidRDefault="00F61267" w:rsidP="00380D08">
      <w:pPr>
        <w:rPr>
          <w:b/>
          <w:bCs/>
        </w:rPr>
      </w:pPr>
      <w:r w:rsidRPr="00BA5395">
        <w:t>1.1</w:t>
      </w:r>
      <w:r w:rsidRPr="00BA5395">
        <w:tab/>
      </w:r>
      <w:bookmarkStart w:id="15" w:name="lt_pId065"/>
      <w:r w:rsidR="00AC2C5C" w:rsidRPr="00BA5395">
        <w:t>El</w:t>
      </w:r>
      <w:r w:rsidRPr="00BA5395">
        <w:t xml:space="preserve"> </w:t>
      </w:r>
      <w:proofErr w:type="gramStart"/>
      <w:r w:rsidRPr="00BA5395">
        <w:rPr>
          <w:b/>
          <w:bCs/>
        </w:rPr>
        <w:t>Director General</w:t>
      </w:r>
      <w:proofErr w:type="gramEnd"/>
      <w:r w:rsidRPr="00BA5395">
        <w:rPr>
          <w:b/>
          <w:bCs/>
        </w:rPr>
        <w:t xml:space="preserve"> </w:t>
      </w:r>
      <w:r w:rsidR="00AC2C5C" w:rsidRPr="00BA5395">
        <w:rPr>
          <w:b/>
          <w:bCs/>
        </w:rPr>
        <w:t xml:space="preserve">de la Unión Postal </w:t>
      </w:r>
      <w:r w:rsidRPr="00BA5395">
        <w:rPr>
          <w:b/>
          <w:bCs/>
        </w:rPr>
        <w:t xml:space="preserve">Universal, </w:t>
      </w:r>
      <w:r w:rsidR="00AC2C5C" w:rsidRPr="00BA5395">
        <w:t xml:space="preserve">Sr. </w:t>
      </w:r>
      <w:r w:rsidRPr="00BA5395">
        <w:t xml:space="preserve">Masahiko </w:t>
      </w:r>
      <w:proofErr w:type="spellStart"/>
      <w:r w:rsidRPr="00BA5395">
        <w:t>Metoki</w:t>
      </w:r>
      <w:proofErr w:type="spellEnd"/>
      <w:r w:rsidRPr="00BA5395">
        <w:t xml:space="preserve">, </w:t>
      </w:r>
      <w:r w:rsidR="00AC2C5C" w:rsidRPr="00BA5395">
        <w:t xml:space="preserve">pronuncia el discurso </w:t>
      </w:r>
      <w:r w:rsidR="00440FF8" w:rsidRPr="00BA5395">
        <w:t xml:space="preserve">que figura </w:t>
      </w:r>
      <w:r w:rsidR="00AC2C5C" w:rsidRPr="00BA5395">
        <w:t>en</w:t>
      </w:r>
      <w:bookmarkEnd w:id="15"/>
      <w:r w:rsidR="00AC2C5C" w:rsidRPr="00BA5395">
        <w:t xml:space="preserve"> </w:t>
      </w:r>
      <w:r w:rsidRPr="00BA5395">
        <w:br/>
      </w:r>
      <w:bookmarkStart w:id="16" w:name="lt_pId066"/>
      <w:r w:rsidRPr="00BA5395">
        <w:fldChar w:fldCharType="begin"/>
      </w:r>
      <w:r w:rsidRPr="00BA5395">
        <w:instrText>HYPERLINK "https://pp22.itu.int/en/itu_policy_statements/masahiko-metoki-universal-postal-union/"</w:instrText>
      </w:r>
      <w:r w:rsidRPr="00BA5395">
        <w:fldChar w:fldCharType="separate"/>
      </w:r>
      <w:r w:rsidRPr="00BA5395">
        <w:rPr>
          <w:rStyle w:val="Hyperlink"/>
          <w:rFonts w:asciiTheme="minorHAnsi" w:hAnsiTheme="minorHAnsi" w:cstheme="minorHAnsi"/>
          <w:szCs w:val="24"/>
        </w:rPr>
        <w:t>https://pp22.itu.int/en/itu_policy_statements/masahiko-metoki-universal-postal-union/</w:t>
      </w:r>
      <w:r w:rsidRPr="00BA5395">
        <w:rPr>
          <w:rStyle w:val="Hyperlink"/>
          <w:rFonts w:asciiTheme="minorHAnsi" w:hAnsiTheme="minorHAnsi" w:cstheme="minorHAnsi"/>
          <w:szCs w:val="24"/>
        </w:rPr>
        <w:fldChar w:fldCharType="end"/>
      </w:r>
      <w:r w:rsidRPr="00BA5395">
        <w:t>.</w:t>
      </w:r>
      <w:bookmarkEnd w:id="16"/>
    </w:p>
    <w:p w14:paraId="45D9399D" w14:textId="25AE9F2F" w:rsidR="00F61267" w:rsidRPr="00BA5395" w:rsidRDefault="00F61267" w:rsidP="00BE42DA">
      <w:r w:rsidRPr="00BA5395">
        <w:t>1.2</w:t>
      </w:r>
      <w:r w:rsidRPr="00BA5395">
        <w:tab/>
      </w:r>
      <w:bookmarkStart w:id="17" w:name="lt_pId068"/>
      <w:r w:rsidR="00D151D4" w:rsidRPr="00BA5395">
        <w:t xml:space="preserve">El </w:t>
      </w:r>
      <w:proofErr w:type="gramStart"/>
      <w:r w:rsidR="00D151D4" w:rsidRPr="00BA5395">
        <w:rPr>
          <w:b/>
          <w:bCs/>
        </w:rPr>
        <w:t xml:space="preserve">Secretario </w:t>
      </w:r>
      <w:r w:rsidRPr="00BA5395">
        <w:rPr>
          <w:b/>
          <w:bCs/>
        </w:rPr>
        <w:t>General</w:t>
      </w:r>
      <w:proofErr w:type="gramEnd"/>
      <w:r w:rsidRPr="00BA5395">
        <w:t xml:space="preserve"> </w:t>
      </w:r>
      <w:r w:rsidR="00D151D4" w:rsidRPr="00BA5395">
        <w:t xml:space="preserve">acoge con agrado la tradicional cooperación entre la </w:t>
      </w:r>
      <w:proofErr w:type="spellStart"/>
      <w:r w:rsidR="00D151D4" w:rsidRPr="00BA5395">
        <w:t>UPU</w:t>
      </w:r>
      <w:proofErr w:type="spellEnd"/>
      <w:r w:rsidR="00D151D4" w:rsidRPr="00BA5395">
        <w:t xml:space="preserve"> y la UIT, que se manifiesta en múltiples proyectos conjuntos, entre otras cosas. Tras señalar que muchas delegaciones de la UIT también trabajan de manera activa en el ámbito de los servicios postales y las TIC, se muestra confiado por la continuación futura de la fructífera colaboración entre las dos organizaciones</w:t>
      </w:r>
      <w:bookmarkStart w:id="18" w:name="lt_pId069"/>
      <w:bookmarkEnd w:id="17"/>
      <w:r w:rsidRPr="00BA5395">
        <w:t>.</w:t>
      </w:r>
      <w:bookmarkEnd w:id="18"/>
    </w:p>
    <w:p w14:paraId="398406F7" w14:textId="158C8542" w:rsidR="00F61267" w:rsidRPr="00BA5395" w:rsidRDefault="00F61267" w:rsidP="00F61267">
      <w:pPr>
        <w:pStyle w:val="Heading1"/>
        <w:rPr>
          <w:rFonts w:asciiTheme="minorHAnsi" w:hAnsiTheme="minorHAnsi" w:cstheme="minorHAnsi"/>
          <w:szCs w:val="24"/>
        </w:rPr>
      </w:pPr>
      <w:r w:rsidRPr="00BA5395">
        <w:rPr>
          <w:rFonts w:asciiTheme="minorHAnsi" w:hAnsiTheme="minorHAnsi" w:cstheme="minorHAnsi"/>
          <w:bCs/>
          <w:szCs w:val="24"/>
        </w:rPr>
        <w:t>2</w:t>
      </w:r>
      <w:r w:rsidRPr="00BA5395">
        <w:rPr>
          <w:rFonts w:asciiTheme="minorHAnsi" w:hAnsiTheme="minorHAnsi" w:cstheme="minorHAnsi"/>
          <w:bCs/>
          <w:szCs w:val="24"/>
        </w:rPr>
        <w:tab/>
      </w:r>
      <w:proofErr w:type="gramStart"/>
      <w:r w:rsidRPr="00BA5395">
        <w:t>Informe</w:t>
      </w:r>
      <w:proofErr w:type="gramEnd"/>
      <w:r w:rsidRPr="00BA5395">
        <w:t xml:space="preserve"> </w:t>
      </w:r>
      <w:r w:rsidRPr="00BA5395">
        <w:rPr>
          <w:bCs/>
        </w:rPr>
        <w:t>sobre</w:t>
      </w:r>
      <w:r w:rsidRPr="00BA5395">
        <w:t xml:space="preserve"> los progresos logrados en la aplicación de la Resolución 1408 del </w:t>
      </w:r>
      <w:r w:rsidR="00CA1585" w:rsidRPr="00BA5395">
        <w:t xml:space="preserve">Consejo </w:t>
      </w:r>
      <w:r w:rsidRPr="00BA5395">
        <w:t>de la UIT</w:t>
      </w:r>
      <w:bookmarkStart w:id="19" w:name="lt_pId072"/>
      <w:r w:rsidRPr="00BA5395">
        <w:rPr>
          <w:sz w:val="24"/>
          <w:szCs w:val="24"/>
        </w:rPr>
        <w:t xml:space="preserve"> </w:t>
      </w:r>
      <w:r w:rsidRPr="00BA5395">
        <w:rPr>
          <w:rFonts w:asciiTheme="minorHAnsi" w:hAnsiTheme="minorHAnsi" w:cstheme="minorHAnsi"/>
          <w:bCs/>
          <w:szCs w:val="24"/>
        </w:rPr>
        <w:t xml:space="preserve">(Documento </w:t>
      </w:r>
      <w:hyperlink r:id="rId16" w:history="1">
        <w:r w:rsidRPr="00BA5395">
          <w:rPr>
            <w:rStyle w:val="Hyperlink"/>
            <w:rFonts w:asciiTheme="minorHAnsi" w:hAnsiTheme="minorHAnsi" w:cstheme="minorHAnsi"/>
            <w:bCs/>
            <w:szCs w:val="24"/>
          </w:rPr>
          <w:t>70</w:t>
        </w:r>
      </w:hyperlink>
      <w:r w:rsidRPr="00BA5395">
        <w:rPr>
          <w:rFonts w:asciiTheme="minorHAnsi" w:hAnsiTheme="minorHAnsi" w:cstheme="minorHAnsi"/>
          <w:bCs/>
          <w:szCs w:val="24"/>
        </w:rPr>
        <w:t>)</w:t>
      </w:r>
      <w:bookmarkEnd w:id="19"/>
    </w:p>
    <w:p w14:paraId="190BFDC9" w14:textId="0FDD5159" w:rsidR="00F61267" w:rsidRPr="00BA5395" w:rsidRDefault="00F61267" w:rsidP="00380D08">
      <w:r w:rsidRPr="00BA5395">
        <w:t>2.1</w:t>
      </w:r>
      <w:r w:rsidRPr="00BA5395">
        <w:tab/>
      </w:r>
      <w:bookmarkStart w:id="20" w:name="lt_pId074"/>
      <w:r w:rsidR="005A656E" w:rsidRPr="00BA5395">
        <w:t>El</w:t>
      </w:r>
      <w:r w:rsidR="005A656E" w:rsidRPr="00BA5395">
        <w:rPr>
          <w:b/>
          <w:bCs/>
        </w:rPr>
        <w:t xml:space="preserve"> </w:t>
      </w:r>
      <w:proofErr w:type="gramStart"/>
      <w:r w:rsidR="005A656E" w:rsidRPr="00BA5395">
        <w:rPr>
          <w:b/>
          <w:bCs/>
        </w:rPr>
        <w:t>Secretario G</w:t>
      </w:r>
      <w:r w:rsidRPr="00BA5395">
        <w:rPr>
          <w:b/>
          <w:bCs/>
        </w:rPr>
        <w:t>eneral</w:t>
      </w:r>
      <w:proofErr w:type="gramEnd"/>
      <w:r w:rsidR="005A656E" w:rsidRPr="00BA5395">
        <w:t xml:space="preserve"> presenta el</w:t>
      </w:r>
      <w:r w:rsidRPr="00BA5395">
        <w:rPr>
          <w:b/>
          <w:bCs/>
        </w:rPr>
        <w:t xml:space="preserve"> </w:t>
      </w:r>
      <w:r w:rsidRPr="00BA5395">
        <w:t>Document</w:t>
      </w:r>
      <w:r w:rsidR="005A656E" w:rsidRPr="00BA5395">
        <w:t>o</w:t>
      </w:r>
      <w:r w:rsidRPr="00BA5395">
        <w:t xml:space="preserve"> 70</w:t>
      </w:r>
      <w:r w:rsidR="005A656E" w:rsidRPr="00BA5395">
        <w:t xml:space="preserve"> y da las gracias a los Estados Miembros y las partes interesadas que han respondido a la llamada de apoyo a las iniciativas de la UIT encaminadas a reconstruir la infraestructura de telecomunicaciones y radiodifusión de Ucrania, que ha quedado destruida por la guerra. En este sentido, se han compr</w:t>
      </w:r>
      <w:bookmarkStart w:id="21" w:name="lt_pId075"/>
      <w:bookmarkEnd w:id="20"/>
      <w:r w:rsidR="005A656E" w:rsidRPr="00BA5395">
        <w:t xml:space="preserve">ometido más de </w:t>
      </w:r>
      <w:r w:rsidRPr="00BA5395">
        <w:t xml:space="preserve">100 </w:t>
      </w:r>
      <w:r w:rsidR="005A656E" w:rsidRPr="00BA5395">
        <w:t xml:space="preserve">millones de EUR para la iniciativa Coalición Digital </w:t>
      </w:r>
      <w:proofErr w:type="spellStart"/>
      <w:r w:rsidRPr="00BA5395">
        <w:t>Partner2Connect</w:t>
      </w:r>
      <w:proofErr w:type="spellEnd"/>
      <w:r w:rsidRPr="00BA5395">
        <w:t xml:space="preserve"> </w:t>
      </w:r>
      <w:r w:rsidR="005A656E" w:rsidRPr="00BA5395">
        <w:t xml:space="preserve">de la UIT. En concreto, </w:t>
      </w:r>
      <w:r w:rsidR="009E6A4E" w:rsidRPr="00BA5395">
        <w:t xml:space="preserve">el </w:t>
      </w:r>
      <w:proofErr w:type="gramStart"/>
      <w:r w:rsidR="009E6A4E" w:rsidRPr="00BA5395">
        <w:t>Secretario General</w:t>
      </w:r>
      <w:proofErr w:type="gramEnd"/>
      <w:r w:rsidR="009E6A4E" w:rsidRPr="00BA5395">
        <w:t xml:space="preserve"> </w:t>
      </w:r>
      <w:r w:rsidR="005A656E" w:rsidRPr="00BA5395">
        <w:t xml:space="preserve">desea transmitir su agradecimiento a Polonia, que ha incrementado su promesa de contribución a </w:t>
      </w:r>
      <w:bookmarkStart w:id="22" w:name="lt_pId076"/>
      <w:bookmarkEnd w:id="21"/>
      <w:r w:rsidRPr="00BA5395">
        <w:t xml:space="preserve">21 </w:t>
      </w:r>
      <w:r w:rsidR="005A656E" w:rsidRPr="00BA5395">
        <w:t xml:space="preserve">millones de USD; a </w:t>
      </w:r>
      <w:r w:rsidRPr="00BA5395">
        <w:t xml:space="preserve">Lituania, </w:t>
      </w:r>
      <w:r w:rsidR="005A656E" w:rsidRPr="00BA5395">
        <w:t>España</w:t>
      </w:r>
      <w:r w:rsidRPr="00BA5395">
        <w:t xml:space="preserve">, Estonia, </w:t>
      </w:r>
      <w:r w:rsidR="005A656E" w:rsidRPr="00BA5395">
        <w:t>Eslovenia</w:t>
      </w:r>
      <w:r w:rsidRPr="00BA5395">
        <w:t xml:space="preserve">, </w:t>
      </w:r>
      <w:r w:rsidR="005A656E" w:rsidRPr="00BA5395">
        <w:t>el Japón, los Estados Unidos, Alemania, el Reino Unido y la Unión Europea, que han anunciado compromisos; y a las delegaciones que los están preparando actualmente</w:t>
      </w:r>
      <w:r w:rsidRPr="00BA5395">
        <w:t>.</w:t>
      </w:r>
      <w:bookmarkEnd w:id="22"/>
    </w:p>
    <w:p w14:paraId="7C13C981" w14:textId="3404058E" w:rsidR="00F61267" w:rsidRPr="00BA5395" w:rsidRDefault="00F61267" w:rsidP="00380D08">
      <w:r w:rsidRPr="00BA5395">
        <w:t>2.2</w:t>
      </w:r>
      <w:r w:rsidRPr="00BA5395">
        <w:tab/>
      </w:r>
      <w:bookmarkStart w:id="23" w:name="lt_pId078"/>
      <w:r w:rsidR="00761635" w:rsidRPr="00BA5395">
        <w:t xml:space="preserve">La asistencia técnica debe estar basada en datos comprobados, pero todavía no se ha podido completar la </w:t>
      </w:r>
      <w:r w:rsidR="00C417C9" w:rsidRPr="00BA5395">
        <w:t>evaluación</w:t>
      </w:r>
      <w:r w:rsidR="00761635" w:rsidRPr="00BA5395">
        <w:t xml:space="preserve"> de los daños que se está realizando en Ucrania debido al conflicto en curso. Se requiere más coordinación y se reanudarán los trabajos al finalizar la presente Conferencia. </w:t>
      </w:r>
      <w:bookmarkStart w:id="24" w:name="lt_pId079"/>
      <w:bookmarkEnd w:id="23"/>
      <w:r w:rsidR="00761635" w:rsidRPr="00BA5395">
        <w:t xml:space="preserve">Los resultados de la </w:t>
      </w:r>
      <w:r w:rsidR="00C417C9" w:rsidRPr="00BA5395">
        <w:t>evaluación</w:t>
      </w:r>
      <w:r w:rsidR="00761635" w:rsidRPr="00BA5395">
        <w:t xml:space="preserve"> se utilizarán para diseñar un programa de asistencia técnica eficaz, que se ejecutará en estrecha coordinación con la Administración de Ucrania. En este contexto, se ha intensificado la cooperación de la UIT </w:t>
      </w:r>
      <w:r w:rsidR="00BA4208" w:rsidRPr="00BA5395">
        <w:t>d</w:t>
      </w:r>
      <w:r w:rsidR="00103884" w:rsidRPr="00BA5395">
        <w:t>entro</w:t>
      </w:r>
      <w:r w:rsidR="00761635" w:rsidRPr="00BA5395">
        <w:t xml:space="preserve"> del sistema de las Naciones Unidas </w:t>
      </w:r>
      <w:bookmarkStart w:id="25" w:name="lt_pId081"/>
      <w:bookmarkEnd w:id="24"/>
      <w:r w:rsidR="00761635" w:rsidRPr="00BA5395">
        <w:t>y en los planos nacional, regional y mundial, y la Resolución 1408 se ha se</w:t>
      </w:r>
      <w:r w:rsidR="002239BB" w:rsidRPr="00BA5395">
        <w:t>ñalado a la atención de la</w:t>
      </w:r>
      <w:r w:rsidR="00761635" w:rsidRPr="00BA5395">
        <w:t xml:space="preserve"> </w:t>
      </w:r>
      <w:r w:rsidR="002239BB" w:rsidRPr="00BA5395">
        <w:t>dirección ejecutiva</w:t>
      </w:r>
      <w:r w:rsidR="00761635" w:rsidRPr="00BA5395">
        <w:t xml:space="preserve"> de otros organismos de las Naciones Unidas y del Banco Mundial</w:t>
      </w:r>
      <w:r w:rsidRPr="00BA5395">
        <w:t>.</w:t>
      </w:r>
      <w:bookmarkEnd w:id="25"/>
      <w:r w:rsidRPr="00BA5395">
        <w:t xml:space="preserve"> </w:t>
      </w:r>
      <w:bookmarkStart w:id="26" w:name="lt_pId082"/>
      <w:r w:rsidR="00761635" w:rsidRPr="00BA5395">
        <w:t>A la vista de la gran cantidad de recursos humanos y financieros que se precisarán para reconstruir la infraestructura de telecomunicaciones y radiodifusión de Ucrania, el orador anima a los Miembros de la UIT a prestar apoyo adicional</w:t>
      </w:r>
      <w:r w:rsidRPr="00BA5395">
        <w:t>.</w:t>
      </w:r>
      <w:bookmarkEnd w:id="26"/>
    </w:p>
    <w:p w14:paraId="1E2650A1" w14:textId="774000D0" w:rsidR="00F61267" w:rsidRPr="00BA5395" w:rsidRDefault="00F61267" w:rsidP="00380D08">
      <w:r w:rsidRPr="00BA5395">
        <w:t>2.3</w:t>
      </w:r>
      <w:r w:rsidRPr="00BA5395">
        <w:tab/>
      </w:r>
      <w:bookmarkStart w:id="27" w:name="lt_pId084"/>
      <w:r w:rsidR="00122ACF" w:rsidRPr="0057418C">
        <w:t xml:space="preserve">La </w:t>
      </w:r>
      <w:r w:rsidR="00122ACF" w:rsidRPr="0057418C">
        <w:rPr>
          <w:b/>
          <w:bCs/>
        </w:rPr>
        <w:t>delegada de Ucrania</w:t>
      </w:r>
      <w:r w:rsidRPr="0057418C">
        <w:t xml:space="preserve"> conde</w:t>
      </w:r>
      <w:r w:rsidR="00122ACF" w:rsidRPr="0057418C">
        <w:t>na los</w:t>
      </w:r>
      <w:r w:rsidR="00122ACF" w:rsidRPr="00BA5395">
        <w:t xml:space="preserve"> actuales ataques rusos contra instalaciones críticas de su país, como la infraestructura de telecomunicaciones, que constituyen una violación flagrante de los valores de la Unión y están causando muchas </w:t>
      </w:r>
      <w:r w:rsidR="00B84A04" w:rsidRPr="00BA5395">
        <w:t>víctimas</w:t>
      </w:r>
      <w:r w:rsidR="00122ACF" w:rsidRPr="00BA5395">
        <w:t>. Hablando en nombre de los Estados miembros de la Unión Europea</w:t>
      </w:r>
      <w:bookmarkStart w:id="28" w:name="lt_pId085"/>
      <w:bookmarkEnd w:id="27"/>
      <w:r w:rsidRPr="00BA5395">
        <w:t xml:space="preserve">, Albania, Andorra, Australia, </w:t>
      </w:r>
      <w:r w:rsidR="00122ACF" w:rsidRPr="00BA5395">
        <w:t>el Canadá</w:t>
      </w:r>
      <w:r w:rsidRPr="00BA5395">
        <w:t xml:space="preserve">, Ecuador, Georgia, </w:t>
      </w:r>
      <w:r w:rsidR="00122ACF" w:rsidRPr="00BA5395">
        <w:t>Islandia</w:t>
      </w:r>
      <w:r w:rsidRPr="00BA5395">
        <w:t xml:space="preserve">, Israel, </w:t>
      </w:r>
      <w:r w:rsidR="00122ACF" w:rsidRPr="00BA5395">
        <w:t xml:space="preserve">el </w:t>
      </w:r>
      <w:r w:rsidRPr="00BA5395">
        <w:t>Jap</w:t>
      </w:r>
      <w:r w:rsidR="00122ACF" w:rsidRPr="00BA5395">
        <w:t>ó</w:t>
      </w:r>
      <w:r w:rsidRPr="00BA5395">
        <w:t xml:space="preserve">n, Liechtenstein, </w:t>
      </w:r>
      <w:r w:rsidR="00122ACF" w:rsidRPr="00BA5395">
        <w:t>Moldova, Mónaco, Montenegro, Nueva</w:t>
      </w:r>
      <w:r w:rsidRPr="00BA5395">
        <w:t xml:space="preserve"> Zeland</w:t>
      </w:r>
      <w:r w:rsidR="00122ACF" w:rsidRPr="00BA5395">
        <w:t>ia</w:t>
      </w:r>
      <w:r w:rsidRPr="00BA5395">
        <w:t>, Macedonia</w:t>
      </w:r>
      <w:r w:rsidR="00122ACF" w:rsidRPr="00BA5395">
        <w:t xml:space="preserve"> del Norte</w:t>
      </w:r>
      <w:r w:rsidRPr="00BA5395">
        <w:t>, Nor</w:t>
      </w:r>
      <w:r w:rsidR="00122ACF" w:rsidRPr="00BA5395">
        <w:t>uega</w:t>
      </w:r>
      <w:r w:rsidRPr="00BA5395">
        <w:t xml:space="preserve">, </w:t>
      </w:r>
      <w:r w:rsidR="00122ACF" w:rsidRPr="00BA5395">
        <w:t>el Perú, la República de C</w:t>
      </w:r>
      <w:r w:rsidRPr="00BA5395">
        <w:t xml:space="preserve">orea, </w:t>
      </w:r>
      <w:r w:rsidR="00122ACF" w:rsidRPr="00BA5395">
        <w:t xml:space="preserve">Suiza, el Reino Unido y los Estados Unidos, pronuncia la declaración conjunta que se recoge en el </w:t>
      </w:r>
      <w:r w:rsidRPr="00BA5395">
        <w:rPr>
          <w:b/>
          <w:bCs/>
        </w:rPr>
        <w:t>Anex</w:t>
      </w:r>
      <w:r w:rsidR="00122ACF" w:rsidRPr="00BA5395">
        <w:rPr>
          <w:b/>
          <w:bCs/>
        </w:rPr>
        <w:t>o</w:t>
      </w:r>
      <w:r w:rsidRPr="00BA5395">
        <w:rPr>
          <w:b/>
          <w:bCs/>
        </w:rPr>
        <w:t xml:space="preserve"> A </w:t>
      </w:r>
      <w:bookmarkStart w:id="29" w:name="_Hlk117589686"/>
      <w:r w:rsidR="00122ACF" w:rsidRPr="00BA5395">
        <w:t>de la presente acta. Para concluir, formula un llamamiento a guardar un minuto de silencia en memoria de las víctimas de la guerra de Ucrania</w:t>
      </w:r>
      <w:bookmarkStart w:id="30" w:name="lt_pId086"/>
      <w:bookmarkEnd w:id="28"/>
      <w:bookmarkEnd w:id="29"/>
      <w:r w:rsidRPr="00BA5395">
        <w:t>.</w:t>
      </w:r>
      <w:bookmarkEnd w:id="30"/>
    </w:p>
    <w:p w14:paraId="3F413605" w14:textId="77777777" w:rsidR="0046117C" w:rsidRPr="00BA5395" w:rsidRDefault="0046117C">
      <w:pPr>
        <w:tabs>
          <w:tab w:val="clear" w:pos="567"/>
          <w:tab w:val="clear" w:pos="1134"/>
          <w:tab w:val="clear" w:pos="1701"/>
          <w:tab w:val="clear" w:pos="2268"/>
          <w:tab w:val="clear" w:pos="2835"/>
        </w:tabs>
        <w:overflowPunct/>
        <w:autoSpaceDE/>
        <w:autoSpaceDN/>
        <w:adjustRightInd/>
        <w:spacing w:before="0"/>
        <w:textAlignment w:val="auto"/>
      </w:pPr>
      <w:r w:rsidRPr="00BA5395">
        <w:br w:type="page"/>
      </w:r>
    </w:p>
    <w:p w14:paraId="3EEFE038" w14:textId="07360A99" w:rsidR="00F61267" w:rsidRPr="00BA5395" w:rsidRDefault="00F61267" w:rsidP="00380D08">
      <w:r w:rsidRPr="00BA5395">
        <w:lastRenderedPageBreak/>
        <w:t>2.4</w:t>
      </w:r>
      <w:r w:rsidRPr="00BA5395">
        <w:tab/>
      </w:r>
      <w:r w:rsidR="00C12AA1" w:rsidRPr="00BA5395">
        <w:rPr>
          <w:b/>
        </w:rPr>
        <w:t>Los participante</w:t>
      </w:r>
      <w:r w:rsidR="00431765" w:rsidRPr="00BA5395">
        <w:rPr>
          <w:b/>
        </w:rPr>
        <w:t>s guardan un minuto de silencio.</w:t>
      </w:r>
    </w:p>
    <w:p w14:paraId="137992DF" w14:textId="66B288DA" w:rsidR="00F61267" w:rsidRPr="00BA5395" w:rsidRDefault="00F61267" w:rsidP="00380D08">
      <w:r w:rsidRPr="00BA5395">
        <w:t>2.5</w:t>
      </w:r>
      <w:r w:rsidRPr="00BA5395">
        <w:tab/>
      </w:r>
      <w:bookmarkStart w:id="31" w:name="lt_pId090"/>
      <w:r w:rsidR="004B4E0B" w:rsidRPr="00BA5395">
        <w:t xml:space="preserve">El </w:t>
      </w:r>
      <w:r w:rsidR="004B4E0B" w:rsidRPr="00BA5395">
        <w:rPr>
          <w:b/>
          <w:bCs/>
        </w:rPr>
        <w:t>delegado de la Federación de Rusia</w:t>
      </w:r>
      <w:r w:rsidRPr="00BA5395">
        <w:t xml:space="preserve">, </w:t>
      </w:r>
      <w:r w:rsidR="004B4E0B" w:rsidRPr="00BA5395">
        <w:t xml:space="preserve">en referencia al </w:t>
      </w:r>
      <w:r w:rsidR="004B4E0B" w:rsidRPr="00BA5395">
        <w:rPr>
          <w:szCs w:val="24"/>
        </w:rPr>
        <w:t xml:space="preserve">Informe </w:t>
      </w:r>
      <w:r w:rsidR="004B4E0B" w:rsidRPr="00BA5395">
        <w:t xml:space="preserve">del </w:t>
      </w:r>
      <w:proofErr w:type="gramStart"/>
      <w:r w:rsidR="004B4E0B" w:rsidRPr="00BA5395">
        <w:t>Secretario General</w:t>
      </w:r>
      <w:proofErr w:type="gramEnd"/>
      <w:r w:rsidR="004B4E0B" w:rsidRPr="00BA5395">
        <w:t xml:space="preserve"> </w:t>
      </w:r>
      <w:r w:rsidR="004B4E0B" w:rsidRPr="00BA5395">
        <w:rPr>
          <w:szCs w:val="24"/>
        </w:rPr>
        <w:t xml:space="preserve">sobre los progresos logrados en </w:t>
      </w:r>
      <w:r w:rsidR="004B4E0B" w:rsidRPr="00BA5395">
        <w:t xml:space="preserve">la Resolución </w:t>
      </w:r>
      <w:r w:rsidRPr="00BA5395">
        <w:t>1408</w:t>
      </w:r>
      <w:r w:rsidR="004B4E0B" w:rsidRPr="00BA5395">
        <w:t xml:space="preserve"> del Consejo</w:t>
      </w:r>
      <w:r w:rsidRPr="00BA5395">
        <w:t xml:space="preserve">, </w:t>
      </w:r>
      <w:r w:rsidR="004B4E0B" w:rsidRPr="00BA5395">
        <w:t xml:space="preserve">pronuncia la declaración reproducida en el </w:t>
      </w:r>
      <w:r w:rsidRPr="00BA5395">
        <w:rPr>
          <w:b/>
          <w:bCs/>
        </w:rPr>
        <w:t>Anex</w:t>
      </w:r>
      <w:r w:rsidR="004B4E0B" w:rsidRPr="00BA5395">
        <w:rPr>
          <w:b/>
          <w:bCs/>
        </w:rPr>
        <w:t>o</w:t>
      </w:r>
      <w:r w:rsidRPr="00BA5395">
        <w:rPr>
          <w:b/>
          <w:bCs/>
        </w:rPr>
        <w:t> B</w:t>
      </w:r>
      <w:r w:rsidRPr="00BA5395">
        <w:t xml:space="preserve"> </w:t>
      </w:r>
      <w:r w:rsidR="004B4E0B" w:rsidRPr="00BA5395">
        <w:t>de la presente acta.</w:t>
      </w:r>
      <w:bookmarkStart w:id="32" w:name="lt_pId091"/>
      <w:bookmarkEnd w:id="31"/>
      <w:r w:rsidR="004B4E0B" w:rsidRPr="00BA5395">
        <w:t xml:space="preserve"> En lo que respecta a la intervención de la delegación de Ucrania, afirma que la Federación de Rusia enviará a la </w:t>
      </w:r>
      <w:r w:rsidR="002A6DD5" w:rsidRPr="00BA5395">
        <w:t>S</w:t>
      </w:r>
      <w:r w:rsidR="004B4E0B" w:rsidRPr="00BA5395">
        <w:t xml:space="preserve">ecretaría una declaración oficial y las reservas de su Administración, que figuran en el </w:t>
      </w:r>
      <w:r w:rsidR="004B4E0B" w:rsidRPr="00BA5395">
        <w:rPr>
          <w:b/>
          <w:bCs/>
        </w:rPr>
        <w:t>Ane</w:t>
      </w:r>
      <w:r w:rsidRPr="00BA5395">
        <w:rPr>
          <w:b/>
          <w:bCs/>
        </w:rPr>
        <w:t>x</w:t>
      </w:r>
      <w:r w:rsidR="004B4E0B" w:rsidRPr="00BA5395">
        <w:rPr>
          <w:b/>
          <w:bCs/>
        </w:rPr>
        <w:t>o</w:t>
      </w:r>
      <w:r w:rsidRPr="00BA5395">
        <w:rPr>
          <w:b/>
          <w:bCs/>
        </w:rPr>
        <w:t xml:space="preserve"> C</w:t>
      </w:r>
      <w:r w:rsidRPr="00BA5395">
        <w:t xml:space="preserve"> </w:t>
      </w:r>
      <w:r w:rsidR="004B4E0B" w:rsidRPr="00BA5395">
        <w:t>de la presente acta</w:t>
      </w:r>
      <w:r w:rsidRPr="00BA5395">
        <w:t>.</w:t>
      </w:r>
      <w:bookmarkEnd w:id="32"/>
    </w:p>
    <w:p w14:paraId="3A043646" w14:textId="7A0C52B0" w:rsidR="00F61267" w:rsidRPr="00BA5395" w:rsidRDefault="00F61267" w:rsidP="00380D08">
      <w:r w:rsidRPr="00BA5395">
        <w:t>2.6</w:t>
      </w:r>
      <w:r w:rsidRPr="00BA5395">
        <w:tab/>
      </w:r>
      <w:bookmarkStart w:id="33" w:name="lt_pId093"/>
      <w:r w:rsidR="00C44D21" w:rsidRPr="00BA5395">
        <w:t xml:space="preserve">El </w:t>
      </w:r>
      <w:r w:rsidR="00C44D21" w:rsidRPr="00BA5395">
        <w:rPr>
          <w:b/>
          <w:bCs/>
        </w:rPr>
        <w:t xml:space="preserve">delegado de la República Árabe Siria </w:t>
      </w:r>
      <w:r w:rsidR="00C44D21" w:rsidRPr="00BA5395">
        <w:t xml:space="preserve">indica que el mandato de la UIT no contempla el examen de cuestiones políticas y que la Unión no debe ser utilizada para dar impulso a las agendas políticas. Las críticas o condenas contra algún Estado Miembro de la UIT debido a su agenda política sentarán un precedente en la Unión, </w:t>
      </w:r>
      <w:r w:rsidR="00D121C6" w:rsidRPr="00BA5395">
        <w:t xml:space="preserve">crearán divisiones entre </w:t>
      </w:r>
      <w:r w:rsidR="00C44D21" w:rsidRPr="00BA5395">
        <w:t>sus Miembros y dificultarán los esfuerzos por alcanzar sus metas</w:t>
      </w:r>
      <w:bookmarkStart w:id="34" w:name="lt_pId094"/>
      <w:bookmarkEnd w:id="33"/>
      <w:r w:rsidRPr="00BA5395">
        <w:t>.</w:t>
      </w:r>
      <w:bookmarkEnd w:id="34"/>
    </w:p>
    <w:p w14:paraId="4EA2FD49" w14:textId="282C9A1A" w:rsidR="00F61267" w:rsidRPr="00BA5395" w:rsidRDefault="00F61267" w:rsidP="00380D08">
      <w:r w:rsidRPr="00BA5395">
        <w:t>2.7</w:t>
      </w:r>
      <w:r w:rsidRPr="00BA5395">
        <w:tab/>
      </w:r>
      <w:bookmarkStart w:id="35" w:name="lt_pId096"/>
      <w:r w:rsidR="00C44D21" w:rsidRPr="00BA5395">
        <w:t xml:space="preserve">El </w:t>
      </w:r>
      <w:r w:rsidR="00C44D21" w:rsidRPr="00BA5395">
        <w:rPr>
          <w:b/>
          <w:bCs/>
        </w:rPr>
        <w:t xml:space="preserve">delegado de la República Checa, </w:t>
      </w:r>
      <w:r w:rsidR="00C44D21" w:rsidRPr="00BA5395">
        <w:rPr>
          <w:bCs/>
        </w:rPr>
        <w:t>hablando en</w:t>
      </w:r>
      <w:r w:rsidR="00C44D21" w:rsidRPr="00BA5395">
        <w:rPr>
          <w:b/>
          <w:bCs/>
        </w:rPr>
        <w:t xml:space="preserve"> </w:t>
      </w:r>
      <w:r w:rsidR="00C44D21" w:rsidRPr="00BA5395">
        <w:t>representación de la Unión Europea y sus Estados miembros, señala que la Unión Europea se opone a la declaración formulada por la Federación de Rusia, expresa su apoyo incondicional a Ucrania y condena la agresión gratuita contra ese país. Insta a la Federación de Rusia a detener sus ataques y a retirar todas las tropas y el equipamiento militar de todo el territorio de Ucrania, de inmediato y sin condiciones</w:t>
      </w:r>
      <w:bookmarkStart w:id="36" w:name="lt_pId097"/>
      <w:bookmarkEnd w:id="35"/>
      <w:r w:rsidRPr="00BA5395">
        <w:t>.</w:t>
      </w:r>
      <w:bookmarkEnd w:id="36"/>
      <w:r w:rsidRPr="00BA5395">
        <w:t xml:space="preserve"> </w:t>
      </w:r>
      <w:bookmarkStart w:id="37" w:name="lt_pId098"/>
      <w:r w:rsidR="00C44D21" w:rsidRPr="00BA5395">
        <w:t xml:space="preserve">Además, exige que la Federación de Rusia respete plenamente la integridad territorial, la soberanía y la independencia de Ucrania dentro de </w:t>
      </w:r>
      <w:r w:rsidR="00CA7BE2" w:rsidRPr="00BA5395">
        <w:t>los límites de las</w:t>
      </w:r>
      <w:r w:rsidR="00C44D21" w:rsidRPr="00BA5395">
        <w:t xml:space="preserve"> fronteras nacionales c</w:t>
      </w:r>
      <w:r w:rsidR="00CA7BE2" w:rsidRPr="00BA5395">
        <w:t xml:space="preserve">on reconocimiento internacional, observe la Resolución de la Asamblea General de las Naciones Unidas </w:t>
      </w:r>
      <w:r w:rsidR="001A4C3A" w:rsidRPr="00BA5395">
        <w:t>sobre</w:t>
      </w:r>
      <w:r w:rsidR="00CA7BE2" w:rsidRPr="00BA5395">
        <w:t xml:space="preserve"> la agresión contra Ucrania, y suspenda su campaña de desinformación</w:t>
      </w:r>
      <w:r w:rsidRPr="00BA5395">
        <w:t>.</w:t>
      </w:r>
      <w:bookmarkEnd w:id="37"/>
    </w:p>
    <w:p w14:paraId="5DDBBBE6" w14:textId="5F73F38B" w:rsidR="00F61267" w:rsidRPr="00BA5395" w:rsidRDefault="00F61267" w:rsidP="0057418C">
      <w:r w:rsidRPr="00BA5395">
        <w:t>2.8</w:t>
      </w:r>
      <w:r w:rsidRPr="00BA5395">
        <w:tab/>
      </w:r>
      <w:bookmarkStart w:id="38" w:name="lt_pId100"/>
      <w:r w:rsidR="00C417C9" w:rsidRPr="00BA5395">
        <w:t xml:space="preserve">El </w:t>
      </w:r>
      <w:r w:rsidR="00C417C9" w:rsidRPr="00BA5395">
        <w:rPr>
          <w:b/>
          <w:bCs/>
        </w:rPr>
        <w:t>delegado de Polonia</w:t>
      </w:r>
      <w:r w:rsidRPr="00BA5395">
        <w:t xml:space="preserve"> expres</w:t>
      </w:r>
      <w:r w:rsidR="00C417C9" w:rsidRPr="00BA5395">
        <w:t xml:space="preserve">a su plena solidaridad con Ucrania y su pueblo. No hay cabida para ningún Estado que incumpla los principios fundamentales de la Carta de las Naciones Unidas y que no respete la vida humana. Desde que comenzó el conflicto en Ucrania, Polonia ha adoptado todas las medidas necesarias no solo para conectar a los no conectados, sino también para volver a conectar a quienes han quedado temporalmente desconectados. </w:t>
      </w:r>
      <w:bookmarkStart w:id="39" w:name="lt_pId103"/>
      <w:bookmarkEnd w:id="38"/>
      <w:r w:rsidR="00C417C9" w:rsidRPr="00BA5395">
        <w:t xml:space="preserve">Polonia agradece el informe sobre los progresos que figura en el Documento </w:t>
      </w:r>
      <w:r w:rsidRPr="00BA5395">
        <w:t>70</w:t>
      </w:r>
      <w:r w:rsidR="00C417C9" w:rsidRPr="00BA5395">
        <w:t xml:space="preserve"> y espera con interés la publicación del informe de la evaluación y de cualquier otro documento relacionado con la ayuda a Ucrania, que determinarán los siguientes pasos de las contramedidas </w:t>
      </w:r>
      <w:r w:rsidR="00852FB5" w:rsidRPr="00BA5395">
        <w:t>acordadas para la guerra injustificada que se está llevando a cabo en Europa</w:t>
      </w:r>
      <w:r w:rsidRPr="00BA5395">
        <w:t>.</w:t>
      </w:r>
      <w:bookmarkEnd w:id="39"/>
    </w:p>
    <w:p w14:paraId="51C4535A" w14:textId="72880EBA" w:rsidR="00F61267" w:rsidRPr="00BA5395" w:rsidRDefault="00F61267" w:rsidP="0057418C">
      <w:r w:rsidRPr="00BA5395">
        <w:t>2.9</w:t>
      </w:r>
      <w:r w:rsidRPr="00BA5395">
        <w:tab/>
      </w:r>
      <w:bookmarkStart w:id="40" w:name="lt_pId105"/>
      <w:r w:rsidR="00852FB5" w:rsidRPr="00BA5395">
        <w:t xml:space="preserve">El </w:t>
      </w:r>
      <w:r w:rsidR="00852FB5" w:rsidRPr="00BA5395">
        <w:rPr>
          <w:b/>
          <w:bCs/>
        </w:rPr>
        <w:t>delegado del Japón,</w:t>
      </w:r>
      <w:r w:rsidRPr="00BA5395">
        <w:t xml:space="preserve"> </w:t>
      </w:r>
      <w:r w:rsidR="00852FB5" w:rsidRPr="00BA5395">
        <w:t xml:space="preserve">tras </w:t>
      </w:r>
      <w:r w:rsidRPr="00BA5395">
        <w:t>expres</w:t>
      </w:r>
      <w:r w:rsidR="00852FB5" w:rsidRPr="00BA5395">
        <w:t xml:space="preserve">ar su solidaridad con el pueblo de Ucrania, afirma que su país respalda plenamente el contenido del </w:t>
      </w:r>
      <w:r w:rsidRPr="00BA5395">
        <w:t>Document</w:t>
      </w:r>
      <w:r w:rsidR="00852FB5" w:rsidRPr="00BA5395">
        <w:t>o</w:t>
      </w:r>
      <w:r w:rsidRPr="00BA5395">
        <w:t xml:space="preserve"> 70 </w:t>
      </w:r>
      <w:r w:rsidR="00852FB5" w:rsidRPr="00BA5395">
        <w:t xml:space="preserve">y continuará apoyando la reconstrucción del sector de las telecomunicaciones de Ucrania. Insta a los demás delegados </w:t>
      </w:r>
      <w:proofErr w:type="gramStart"/>
      <w:r w:rsidR="00852FB5" w:rsidRPr="00BA5395">
        <w:t>a</w:t>
      </w:r>
      <w:proofErr w:type="gramEnd"/>
      <w:r w:rsidR="00852FB5" w:rsidRPr="00BA5395">
        <w:t xml:space="preserve"> tener en cuenta el informe y a contribuir a los trabajos en curso</w:t>
      </w:r>
      <w:bookmarkStart w:id="41" w:name="lt_pId106"/>
      <w:bookmarkEnd w:id="40"/>
      <w:r w:rsidRPr="00BA5395">
        <w:t>.</w:t>
      </w:r>
      <w:bookmarkEnd w:id="41"/>
    </w:p>
    <w:p w14:paraId="73BE73A4" w14:textId="26AAE7EC" w:rsidR="00F61267" w:rsidRPr="00BA5395" w:rsidRDefault="00F61267" w:rsidP="00380D08">
      <w:r w:rsidRPr="00BA5395">
        <w:t>2.10</w:t>
      </w:r>
      <w:r w:rsidRPr="00BA5395">
        <w:tab/>
      </w:r>
      <w:bookmarkStart w:id="42" w:name="lt_pId108"/>
      <w:r w:rsidR="009B3273" w:rsidRPr="00BA5395">
        <w:t xml:space="preserve">El </w:t>
      </w:r>
      <w:r w:rsidR="009B3273" w:rsidRPr="00BA5395">
        <w:rPr>
          <w:b/>
          <w:bCs/>
        </w:rPr>
        <w:t>delegado</w:t>
      </w:r>
      <w:r w:rsidRPr="00BA5395">
        <w:rPr>
          <w:b/>
          <w:bCs/>
        </w:rPr>
        <w:t xml:space="preserve"> </w:t>
      </w:r>
      <w:r w:rsidR="009B3273" w:rsidRPr="00BA5395">
        <w:rPr>
          <w:b/>
          <w:bCs/>
        </w:rPr>
        <w:t xml:space="preserve">de </w:t>
      </w:r>
      <w:proofErr w:type="spellStart"/>
      <w:r w:rsidR="009B3273" w:rsidRPr="00BA5395">
        <w:rPr>
          <w:b/>
          <w:bCs/>
        </w:rPr>
        <w:t>Belarú</w:t>
      </w:r>
      <w:r w:rsidRPr="00BA5395">
        <w:rPr>
          <w:b/>
          <w:bCs/>
        </w:rPr>
        <w:t>s</w:t>
      </w:r>
      <w:proofErr w:type="spellEnd"/>
      <w:r w:rsidRPr="00BA5395">
        <w:rPr>
          <w:b/>
          <w:bCs/>
        </w:rPr>
        <w:t xml:space="preserve"> </w:t>
      </w:r>
      <w:r w:rsidR="00B31415" w:rsidRPr="00BA5395">
        <w:t>señala</w:t>
      </w:r>
      <w:r w:rsidR="009B3273" w:rsidRPr="00BA5395">
        <w:t xml:space="preserve"> que </w:t>
      </w:r>
      <w:r w:rsidR="00942FFA" w:rsidRPr="00BA5395">
        <w:t>el hecho de expresar posturas y opiniones politizadas durante la Conferencia de Plenipotenciarios con el objetivo de presionar a un lado del conflicto de Ucrania no ayudará a resolver de verdad la situación de crisis, que solo se puede solucionar con esfuerzos políticos y diplomáticos en los que participen todas las partes. La Conferencia debe evitar la politización y no debe crear divisiones entre los Miembros que socaven la constructiva labor desarrollada por la UIT</w:t>
      </w:r>
      <w:bookmarkStart w:id="43" w:name="lt_pId109"/>
      <w:bookmarkEnd w:id="42"/>
      <w:r w:rsidRPr="00BA5395">
        <w:t>.</w:t>
      </w:r>
      <w:bookmarkEnd w:id="43"/>
    </w:p>
    <w:p w14:paraId="6C675383" w14:textId="2ED7765E" w:rsidR="00F61267" w:rsidRPr="00BA5395" w:rsidRDefault="00F61267" w:rsidP="00DB45A5">
      <w:pPr>
        <w:keepLines/>
      </w:pPr>
      <w:r w:rsidRPr="00BA5395">
        <w:lastRenderedPageBreak/>
        <w:t>2.11</w:t>
      </w:r>
      <w:r w:rsidRPr="00BA5395">
        <w:tab/>
      </w:r>
      <w:bookmarkStart w:id="44" w:name="lt_pId111"/>
      <w:r w:rsidR="00E82F83" w:rsidRPr="00BA5395">
        <w:t xml:space="preserve">La </w:t>
      </w:r>
      <w:r w:rsidR="00E82F83" w:rsidRPr="00BA5395">
        <w:rPr>
          <w:b/>
          <w:bCs/>
        </w:rPr>
        <w:t xml:space="preserve">delegada de los Estados Unidos </w:t>
      </w:r>
      <w:r w:rsidR="00E7739B" w:rsidRPr="00BA5395">
        <w:rPr>
          <w:bCs/>
        </w:rPr>
        <w:t xml:space="preserve">acoge con </w:t>
      </w:r>
      <w:r w:rsidR="00D57C38" w:rsidRPr="00BA5395">
        <w:rPr>
          <w:bCs/>
        </w:rPr>
        <w:t>satisfacción</w:t>
      </w:r>
      <w:r w:rsidR="00E82F83" w:rsidRPr="00BA5395">
        <w:t xml:space="preserve"> el informe del </w:t>
      </w:r>
      <w:proofErr w:type="gramStart"/>
      <w:r w:rsidR="00E82F83" w:rsidRPr="00BA5395">
        <w:t>Secretario General</w:t>
      </w:r>
      <w:proofErr w:type="gramEnd"/>
      <w:r w:rsidR="00E82F83" w:rsidRPr="00BA5395">
        <w:t xml:space="preserve"> y manifiesta su agradecimiento por l</w:t>
      </w:r>
      <w:r w:rsidR="00E7739B" w:rsidRPr="00BA5395">
        <w:t xml:space="preserve">as iniciativas en curso para brindar apoyo a Ucrania y completar la evaluación. </w:t>
      </w:r>
      <w:bookmarkStart w:id="45" w:name="lt_pId112"/>
      <w:bookmarkEnd w:id="44"/>
      <w:r w:rsidR="00E7739B" w:rsidRPr="00BA5395">
        <w:t>Aunque la UIT no es un organismo pol</w:t>
      </w:r>
      <w:r w:rsidR="00693E2C" w:rsidRPr="00BA5395">
        <w:t>í</w:t>
      </w:r>
      <w:r w:rsidR="00E7739B" w:rsidRPr="00BA5395">
        <w:t xml:space="preserve">tico, le preocupa la destrucción de la infraestructura de telecomunicaciones de Ucrania debido a la </w:t>
      </w:r>
      <w:r w:rsidR="00693E2C" w:rsidRPr="00BA5395">
        <w:t>g</w:t>
      </w:r>
      <w:r w:rsidR="00E7739B" w:rsidRPr="00BA5395">
        <w:t xml:space="preserve">uerra. El problema se resolvería si la Federación de Rusia </w:t>
      </w:r>
      <w:bookmarkStart w:id="46" w:name="lt_pId113"/>
      <w:bookmarkEnd w:id="45"/>
      <w:r w:rsidR="00E7739B" w:rsidRPr="00BA5395">
        <w:t>cumpliera las resoluciones de la Asamblea General de las Naciones Unidas y se retirara por completo del territorio de Ucrania</w:t>
      </w:r>
      <w:r w:rsidRPr="00BA5395">
        <w:t>.</w:t>
      </w:r>
      <w:bookmarkEnd w:id="46"/>
    </w:p>
    <w:p w14:paraId="52FBA906" w14:textId="0EA5B62B" w:rsidR="00F61267" w:rsidRPr="00BA5395" w:rsidRDefault="00F61267" w:rsidP="00380D08">
      <w:r w:rsidRPr="00BA5395">
        <w:t>2.12</w:t>
      </w:r>
      <w:r w:rsidRPr="00BA5395">
        <w:tab/>
      </w:r>
      <w:bookmarkStart w:id="47" w:name="lt_pId115"/>
      <w:r w:rsidR="00B31415" w:rsidRPr="00BA5395">
        <w:t xml:space="preserve">El delegado de la </w:t>
      </w:r>
      <w:r w:rsidR="00B31415" w:rsidRPr="00BA5395">
        <w:rPr>
          <w:b/>
          <w:bCs/>
        </w:rPr>
        <w:t>Federación de Rusia</w:t>
      </w:r>
      <w:r w:rsidRPr="00BA5395">
        <w:t xml:space="preserve"> </w:t>
      </w:r>
      <w:r w:rsidR="00B31415" w:rsidRPr="00BA5395">
        <w:t xml:space="preserve">afirma que las críticas expresadas contra la Federación de Rusia constituyen en esencia una provocación y </w:t>
      </w:r>
      <w:r w:rsidR="000B2EE0" w:rsidRPr="00BA5395">
        <w:t xml:space="preserve">llevan a la Conferencia a ocuparse de asuntos ajenos a su mandato. Sin embargo, desea ejercer su derecho a señalar brevemente que la situación actual es el resultado de la negativa de las autoridades ucranianas a </w:t>
      </w:r>
      <w:bookmarkStart w:id="48" w:name="lt_pId116"/>
      <w:bookmarkEnd w:id="47"/>
      <w:r w:rsidR="000B2EE0" w:rsidRPr="00BA5395">
        <w:t>respetar el paquete de medidas de Minsk, refrendado por la Resolución </w:t>
      </w:r>
      <w:r w:rsidRPr="00BA5395">
        <w:t xml:space="preserve">2202 </w:t>
      </w:r>
      <w:r w:rsidR="000B2EE0" w:rsidRPr="00BA5395">
        <w:t xml:space="preserve">del Consejo de Seguridad de las Naciones Unidas, de 17 de febrero de </w:t>
      </w:r>
      <w:r w:rsidRPr="00BA5395">
        <w:t>2015.</w:t>
      </w:r>
      <w:bookmarkEnd w:id="48"/>
      <w:r w:rsidRPr="00BA5395">
        <w:t xml:space="preserve"> </w:t>
      </w:r>
      <w:bookmarkStart w:id="49" w:name="lt_pId117"/>
      <w:r w:rsidR="000B2EE0" w:rsidRPr="00BA5395">
        <w:t xml:space="preserve">La Federación de Rusia rechaza las acusaciones ilegítimas contra su país </w:t>
      </w:r>
      <w:r w:rsidR="00F058BE" w:rsidRPr="00BA5395">
        <w:t xml:space="preserve">y exhorta </w:t>
      </w:r>
      <w:r w:rsidR="000B2EE0" w:rsidRPr="00BA5395">
        <w:t xml:space="preserve">a todos a abstenerse de pronunciar declaraciones con motivación política destinadas a los Estados Miembros, que considera </w:t>
      </w:r>
      <w:r w:rsidR="00F058BE" w:rsidRPr="00BA5395">
        <w:t>que constituyen jugadas de una confrontación global</w:t>
      </w:r>
      <w:r w:rsidRPr="00BA5395">
        <w:t>.</w:t>
      </w:r>
      <w:bookmarkEnd w:id="49"/>
      <w:r w:rsidRPr="00BA5395">
        <w:t xml:space="preserve"> </w:t>
      </w:r>
      <w:bookmarkStart w:id="50" w:name="lt_pId118"/>
      <w:r w:rsidR="00F058BE" w:rsidRPr="00BA5395">
        <w:t xml:space="preserve">La UIT es una organización con un programa técnico y pacífico y carece de autoridad para analizar la situación legal de las relaciones entre sus Estados Miembros, en especial en lo que respecta a cuestiones relacionadas con la integridad y la soberanía nacional de los Estados. La Federación de Rusia insta a la Conferencia de Plenipotenciarios de 2022 de la UIT a hacer caso omiso de las declaraciones </w:t>
      </w:r>
      <w:r w:rsidR="005940FC" w:rsidRPr="00BA5395">
        <w:t>sobre</w:t>
      </w:r>
      <w:r w:rsidR="00F058BE" w:rsidRPr="00BA5395">
        <w:t xml:space="preserve"> temas ajenos al mandato de la Unión y a no permitir que se </w:t>
      </w:r>
      <w:r w:rsidR="00F058BE" w:rsidRPr="0057418C">
        <w:t>adopten decisiones politizadas ante esa presión</w:t>
      </w:r>
      <w:bookmarkStart w:id="51" w:name="lt_pId119"/>
      <w:bookmarkEnd w:id="50"/>
      <w:r w:rsidRPr="0057418C">
        <w:t>.</w:t>
      </w:r>
      <w:bookmarkEnd w:id="51"/>
    </w:p>
    <w:p w14:paraId="1B901C54" w14:textId="1EBF7C7B" w:rsidR="00F61267" w:rsidRPr="00BA5395" w:rsidRDefault="00F61267" w:rsidP="00380D08">
      <w:r w:rsidRPr="00BA5395">
        <w:t>2.13</w:t>
      </w:r>
      <w:r w:rsidRPr="00BA5395">
        <w:tab/>
      </w:r>
      <w:bookmarkStart w:id="52" w:name="lt_pId121"/>
      <w:r w:rsidR="00F058BE" w:rsidRPr="00BA5395">
        <w:t xml:space="preserve">La </w:t>
      </w:r>
      <w:r w:rsidR="00F058BE" w:rsidRPr="00BA5395">
        <w:rPr>
          <w:b/>
          <w:bCs/>
        </w:rPr>
        <w:t>delegada</w:t>
      </w:r>
      <w:r w:rsidRPr="00BA5395">
        <w:rPr>
          <w:b/>
          <w:bCs/>
        </w:rPr>
        <w:t xml:space="preserve"> </w:t>
      </w:r>
      <w:r w:rsidR="00F058BE" w:rsidRPr="00BA5395">
        <w:rPr>
          <w:b/>
          <w:bCs/>
        </w:rPr>
        <w:t>de</w:t>
      </w:r>
      <w:r w:rsidRPr="00BA5395">
        <w:rPr>
          <w:b/>
          <w:bCs/>
        </w:rPr>
        <w:t xml:space="preserve"> Australia</w:t>
      </w:r>
      <w:r w:rsidRPr="00BA5395">
        <w:t xml:space="preserve">, </w:t>
      </w:r>
      <w:r w:rsidR="00F058BE" w:rsidRPr="00BA5395">
        <w:t>tras expresar su solidaridad plena con Ucrania y su apoyo, indica que su país condena con firmeza los ataques contra la infraestructura de telecomunica</w:t>
      </w:r>
      <w:r w:rsidR="009E280B" w:rsidRPr="00BA5395">
        <w:t>c</w:t>
      </w:r>
      <w:r w:rsidR="00F058BE" w:rsidRPr="00BA5395">
        <w:t>iones y las acciones encaminadas a bloquear o degradar el acceso a Internet. Estas cuestiones son un elemento central de la misión de la UIT y Australia reconoce los esfuerzos de la UIT por ayudar a Ucrania a ejecutar la Resolución</w:t>
      </w:r>
      <w:bookmarkStart w:id="53" w:name="lt_pId122"/>
      <w:bookmarkEnd w:id="52"/>
      <w:r w:rsidR="00F058BE" w:rsidRPr="00BA5395">
        <w:t> </w:t>
      </w:r>
      <w:r w:rsidRPr="00BA5395">
        <w:t>1408</w:t>
      </w:r>
      <w:r w:rsidR="00F058BE" w:rsidRPr="00BA5395">
        <w:t xml:space="preserve"> del Consejo de la UIT</w:t>
      </w:r>
      <w:r w:rsidRPr="00BA5395">
        <w:t>.</w:t>
      </w:r>
      <w:bookmarkEnd w:id="53"/>
      <w:r w:rsidRPr="00BA5395">
        <w:t xml:space="preserve"> </w:t>
      </w:r>
      <w:bookmarkStart w:id="54" w:name="lt_pId123"/>
      <w:r w:rsidR="00F058BE" w:rsidRPr="00BA5395">
        <w:t xml:space="preserve">Las actividades previstas en esa </w:t>
      </w:r>
      <w:r w:rsidR="009E280B" w:rsidRPr="00BA5395">
        <w:t>R</w:t>
      </w:r>
      <w:r w:rsidR="00F058BE" w:rsidRPr="00BA5395">
        <w:t xml:space="preserve">esolución </w:t>
      </w:r>
      <w:r w:rsidR="00C21DAB" w:rsidRPr="00BA5395">
        <w:t xml:space="preserve">entran </w:t>
      </w:r>
      <w:r w:rsidR="00F058BE" w:rsidRPr="00BA5395">
        <w:t xml:space="preserve">dentro del alcance de la misión y los conocimientos especializados </w:t>
      </w:r>
      <w:r w:rsidR="004B7681" w:rsidRPr="00BA5395">
        <w:t xml:space="preserve">de la UIT </w:t>
      </w:r>
      <w:r w:rsidR="00C21DAB" w:rsidRPr="00BA5395">
        <w:t>y están centradas en ellos</w:t>
      </w:r>
      <w:r w:rsidRPr="00BA5395">
        <w:t>.</w:t>
      </w:r>
      <w:bookmarkEnd w:id="54"/>
    </w:p>
    <w:p w14:paraId="029B917E" w14:textId="4C549037" w:rsidR="00F61267" w:rsidRPr="00BA5395" w:rsidRDefault="00F61267" w:rsidP="00380D08">
      <w:r w:rsidRPr="00BA5395">
        <w:t>2.14</w:t>
      </w:r>
      <w:r w:rsidRPr="00BA5395">
        <w:tab/>
      </w:r>
      <w:bookmarkStart w:id="55" w:name="lt_pId125"/>
      <w:r w:rsidR="009E280B" w:rsidRPr="00BA5395">
        <w:t xml:space="preserve">El </w:t>
      </w:r>
      <w:r w:rsidR="009E280B" w:rsidRPr="00BA5395">
        <w:rPr>
          <w:b/>
          <w:bCs/>
        </w:rPr>
        <w:t>delegado del Reino Unido</w:t>
      </w:r>
      <w:r w:rsidRPr="00BA5395">
        <w:t xml:space="preserve"> expres</w:t>
      </w:r>
      <w:r w:rsidR="009E280B" w:rsidRPr="00BA5395">
        <w:t>a el apoyo incondicional de su país a Ucrania y se suma</w:t>
      </w:r>
      <w:r w:rsidR="00316B40" w:rsidRPr="00BA5395">
        <w:t xml:space="preserve"> a las declaraciones de apoyo </w:t>
      </w:r>
      <w:r w:rsidR="007D20D6" w:rsidRPr="00BA5395">
        <w:t xml:space="preserve">a Ucrania </w:t>
      </w:r>
      <w:r w:rsidR="009E280B" w:rsidRPr="00BA5395">
        <w:t xml:space="preserve">formuladas por oradores anteriores. El Reino Unido condena la guerra ilegal de la Federación de Rusia, </w:t>
      </w:r>
      <w:bookmarkStart w:id="56" w:name="lt_pId126"/>
      <w:bookmarkEnd w:id="55"/>
      <w:r w:rsidR="009E280B" w:rsidRPr="00BA5395">
        <w:t>que constituye una violación grave de la Carta de las Naciones Unidas y de los principios com</w:t>
      </w:r>
      <w:r w:rsidR="001A4C3A" w:rsidRPr="00BA5395">
        <w:t>partidos d</w:t>
      </w:r>
      <w:r w:rsidR="009E280B" w:rsidRPr="00BA5395">
        <w:t>e soberanía e integridad territorial</w:t>
      </w:r>
      <w:r w:rsidR="001A4C3A" w:rsidRPr="00BA5395">
        <w:t xml:space="preserve">, en los que se basan las Naciones Unidas y la UIT y que deben ser respetados. Además, las </w:t>
      </w:r>
      <w:bookmarkStart w:id="57" w:name="lt_pId127"/>
      <w:bookmarkEnd w:id="56"/>
      <w:r w:rsidR="001A4C3A" w:rsidRPr="00BA5395">
        <w:t>telecomunicaciones para la paz son el pilar de la Constitución de la UIT y no se pueden ignorar las acciones encaminadas a menoscabar los valores fundamentales de la Unión</w:t>
      </w:r>
      <w:r w:rsidRPr="00BA5395">
        <w:t>.</w:t>
      </w:r>
      <w:bookmarkEnd w:id="57"/>
      <w:r w:rsidRPr="00BA5395">
        <w:t xml:space="preserve"> </w:t>
      </w:r>
      <w:bookmarkStart w:id="58" w:name="lt_pId128"/>
      <w:r w:rsidR="001A4C3A" w:rsidRPr="00BA5395">
        <w:t>El Reino Unido espera con interés la publicación del informe en virtud de la Resolución</w:t>
      </w:r>
      <w:r w:rsidRPr="00BA5395">
        <w:t xml:space="preserve"> 1408 </w:t>
      </w:r>
      <w:r w:rsidR="001A4C3A" w:rsidRPr="00BA5395">
        <w:t>del Consejo de la UIT, que servirá de base para las acciones en curso de la Unión y el apoyo a Ucrania</w:t>
      </w:r>
      <w:r w:rsidRPr="00BA5395">
        <w:t>.</w:t>
      </w:r>
      <w:bookmarkEnd w:id="58"/>
    </w:p>
    <w:p w14:paraId="2529537C" w14:textId="51DD0F65" w:rsidR="00F61267" w:rsidRPr="00BA5395" w:rsidRDefault="00F61267" w:rsidP="0057418C">
      <w:r w:rsidRPr="00BA5395">
        <w:t>2.15</w:t>
      </w:r>
      <w:r w:rsidRPr="00BA5395">
        <w:tab/>
      </w:r>
      <w:bookmarkStart w:id="59" w:name="lt_pId130"/>
      <w:r w:rsidR="00176FE2" w:rsidRPr="00BA5395">
        <w:t>El</w:t>
      </w:r>
      <w:r w:rsidRPr="00BA5395">
        <w:t xml:space="preserve"> </w:t>
      </w:r>
      <w:r w:rsidR="00176FE2" w:rsidRPr="00BA5395">
        <w:rPr>
          <w:b/>
          <w:bCs/>
        </w:rPr>
        <w:t>delegado del</w:t>
      </w:r>
      <w:r w:rsidRPr="00BA5395">
        <w:rPr>
          <w:b/>
          <w:bCs/>
        </w:rPr>
        <w:t xml:space="preserve"> Canad</w:t>
      </w:r>
      <w:r w:rsidR="00176FE2" w:rsidRPr="00BA5395">
        <w:rPr>
          <w:b/>
          <w:bCs/>
        </w:rPr>
        <w:t>á</w:t>
      </w:r>
      <w:r w:rsidRPr="00BA5395">
        <w:rPr>
          <w:b/>
          <w:bCs/>
        </w:rPr>
        <w:t xml:space="preserve"> </w:t>
      </w:r>
      <w:r w:rsidR="00176FE2" w:rsidRPr="00BA5395">
        <w:rPr>
          <w:bCs/>
        </w:rPr>
        <w:t>afirma</w:t>
      </w:r>
      <w:r w:rsidR="00176FE2" w:rsidRPr="00BA5395">
        <w:t xml:space="preserve"> que el ataque ilegal,</w:t>
      </w:r>
      <w:r w:rsidR="009100CE" w:rsidRPr="00BA5395">
        <w:t xml:space="preserve"> </w:t>
      </w:r>
      <w:r w:rsidR="00176FE2" w:rsidRPr="00BA5395">
        <w:t xml:space="preserve">injustificado e inmoral de la Federación de Rusia está causando sufrimiento. </w:t>
      </w:r>
      <w:bookmarkStart w:id="60" w:name="lt_pId131"/>
      <w:bookmarkEnd w:id="59"/>
      <w:r w:rsidR="00176FE2" w:rsidRPr="00BA5395">
        <w:t>Es preciso examinar y aplicar la Resolución</w:t>
      </w:r>
      <w:r w:rsidRPr="00BA5395">
        <w:t> 1408</w:t>
      </w:r>
      <w:r w:rsidR="00176FE2" w:rsidRPr="00BA5395">
        <w:t xml:space="preserve"> del Consejo de la UIT sobre la reconstrucción de la infraestructura de telecomunicaciones de Ucrania puesto que los ataques diarios están acabando con la infraestructura básica. El Canadá </w:t>
      </w:r>
      <w:bookmarkStart w:id="61" w:name="lt_pId132"/>
      <w:bookmarkEnd w:id="60"/>
      <w:r w:rsidR="00176FE2" w:rsidRPr="00BA5395">
        <w:t>se hace eco de las intervenciones de países con un punto de vista afín y se solidariza de forma decidida con Ucrania y con los principios del comportamiento civilizado</w:t>
      </w:r>
      <w:r w:rsidRPr="00BA5395">
        <w:t>.</w:t>
      </w:r>
      <w:bookmarkEnd w:id="61"/>
    </w:p>
    <w:p w14:paraId="3D74852E" w14:textId="7B42D1D2" w:rsidR="00F61267" w:rsidRPr="00BA5395" w:rsidRDefault="00F61267" w:rsidP="0057418C">
      <w:r w:rsidRPr="00BA5395">
        <w:t>2.16</w:t>
      </w:r>
      <w:r w:rsidRPr="00BA5395">
        <w:tab/>
      </w:r>
      <w:bookmarkStart w:id="62" w:name="lt_pId134"/>
      <w:r w:rsidR="00176FE2" w:rsidRPr="00BA5395">
        <w:t xml:space="preserve">Se </w:t>
      </w:r>
      <w:r w:rsidR="00176FE2" w:rsidRPr="00BA5395">
        <w:rPr>
          <w:b/>
        </w:rPr>
        <w:t>toma nota</w:t>
      </w:r>
      <w:r w:rsidR="00176FE2" w:rsidRPr="00BA5395">
        <w:t xml:space="preserve"> del </w:t>
      </w:r>
      <w:r w:rsidRPr="00BA5395">
        <w:t>Document</w:t>
      </w:r>
      <w:r w:rsidR="00176FE2" w:rsidRPr="00BA5395">
        <w:t>o</w:t>
      </w:r>
      <w:r w:rsidRPr="00BA5395">
        <w:t xml:space="preserve"> 70.</w:t>
      </w:r>
      <w:bookmarkEnd w:id="62"/>
    </w:p>
    <w:p w14:paraId="3A260AFB" w14:textId="200AE4E4" w:rsidR="00F61267" w:rsidRPr="00BA5395" w:rsidRDefault="00F61267" w:rsidP="00502CAC">
      <w:pPr>
        <w:pStyle w:val="Heading1"/>
      </w:pPr>
      <w:r w:rsidRPr="00BA5395">
        <w:rPr>
          <w:bCs/>
        </w:rPr>
        <w:lastRenderedPageBreak/>
        <w:t>3</w:t>
      </w:r>
      <w:r w:rsidRPr="00BA5395">
        <w:rPr>
          <w:bCs/>
        </w:rPr>
        <w:tab/>
      </w:r>
      <w:bookmarkStart w:id="63" w:name="lt_pId136"/>
      <w:proofErr w:type="gramStart"/>
      <w:r w:rsidR="00502CAC" w:rsidRPr="00BA5395">
        <w:rPr>
          <w:rFonts w:eastAsiaTheme="minorHAnsi"/>
        </w:rPr>
        <w:t>Novena</w:t>
      </w:r>
      <w:proofErr w:type="gramEnd"/>
      <w:r w:rsidR="00502CAC" w:rsidRPr="00BA5395">
        <w:rPr>
          <w:rFonts w:eastAsiaTheme="minorHAnsi"/>
        </w:rPr>
        <w:t xml:space="preserve"> serie de textos sometidos por la Comisión de Redacción en primera lectura</w:t>
      </w:r>
      <w:r w:rsidR="000B6C29" w:rsidRPr="00BA5395">
        <w:t xml:space="preserve"> (</w:t>
      </w:r>
      <w:proofErr w:type="spellStart"/>
      <w:r w:rsidR="000B6C29" w:rsidRPr="00BA5395">
        <w:t>B</w:t>
      </w:r>
      <w:r w:rsidR="00502CAC" w:rsidRPr="00BA5395">
        <w:t>9</w:t>
      </w:r>
      <w:proofErr w:type="spellEnd"/>
      <w:r w:rsidR="00502CAC" w:rsidRPr="00BA5395">
        <w:t>)</w:t>
      </w:r>
      <w:r w:rsidRPr="00BA5395">
        <w:t xml:space="preserve"> </w:t>
      </w:r>
      <w:r w:rsidRPr="00BA5395">
        <w:rPr>
          <w:bCs/>
        </w:rPr>
        <w:t>(Document</w:t>
      </w:r>
      <w:r w:rsidR="00502CAC" w:rsidRPr="00BA5395">
        <w:rPr>
          <w:bCs/>
        </w:rPr>
        <w:t>o</w:t>
      </w:r>
      <w:r w:rsidRPr="00BA5395">
        <w:rPr>
          <w:bCs/>
        </w:rPr>
        <w:t xml:space="preserve"> </w:t>
      </w:r>
      <w:hyperlink r:id="rId17" w:history="1">
        <w:r w:rsidRPr="00BA5395">
          <w:rPr>
            <w:rStyle w:val="Hyperlink"/>
            <w:rFonts w:asciiTheme="minorHAnsi" w:hAnsiTheme="minorHAnsi" w:cstheme="minorHAnsi"/>
            <w:bCs/>
            <w:szCs w:val="24"/>
          </w:rPr>
          <w:t>143</w:t>
        </w:r>
      </w:hyperlink>
      <w:r w:rsidRPr="00BA5395">
        <w:rPr>
          <w:bCs/>
        </w:rPr>
        <w:t>)</w:t>
      </w:r>
      <w:bookmarkEnd w:id="63"/>
    </w:p>
    <w:p w14:paraId="60800DC8" w14:textId="58358931" w:rsidR="00F61267" w:rsidRPr="00BA5395" w:rsidRDefault="00F61267" w:rsidP="00380D08">
      <w:r w:rsidRPr="00BA5395">
        <w:t>3.1</w:t>
      </w:r>
      <w:r w:rsidRPr="00BA5395">
        <w:tab/>
      </w:r>
      <w:bookmarkStart w:id="64" w:name="lt_pId138"/>
      <w:r w:rsidR="000B6C29" w:rsidRPr="00BA5395">
        <w:t>El</w:t>
      </w:r>
      <w:r w:rsidRPr="00BA5395">
        <w:t xml:space="preserve"> </w:t>
      </w:r>
      <w:proofErr w:type="gramStart"/>
      <w:r w:rsidR="000B6C29" w:rsidRPr="00BA5395">
        <w:rPr>
          <w:b/>
        </w:rPr>
        <w:t>Presidente</w:t>
      </w:r>
      <w:proofErr w:type="gramEnd"/>
      <w:r w:rsidR="000B6C29" w:rsidRPr="00BA5395">
        <w:rPr>
          <w:b/>
        </w:rPr>
        <w:t xml:space="preserve"> de la Comisión de Redacción </w:t>
      </w:r>
      <w:r w:rsidR="000B6C29" w:rsidRPr="00BA5395">
        <w:t>señala que las propuestas de decisiones y resoluciones que forman parte de la serie de textos presentados a la sesión plenaria contienen referencias a otras decisiones y resoluciones que todavía no se han aprobado o adoptado</w:t>
      </w:r>
      <w:r w:rsidRPr="00BA5395">
        <w:t>.</w:t>
      </w:r>
      <w:bookmarkEnd w:id="64"/>
      <w:r w:rsidRPr="00BA5395">
        <w:t xml:space="preserve"> </w:t>
      </w:r>
      <w:r w:rsidR="00B956E8" w:rsidRPr="00BA5395">
        <w:t xml:space="preserve">La Comisión de Redacción se asegurará </w:t>
      </w:r>
      <w:r w:rsidR="00D31AD4" w:rsidRPr="00BA5395">
        <w:t xml:space="preserve">de </w:t>
      </w:r>
      <w:r w:rsidR="00B956E8" w:rsidRPr="00BA5395">
        <w:t>que todas las referencias cruzadas entre resoluciones y decisiones se refieran a las versiones correctas de las mismas.</w:t>
      </w:r>
    </w:p>
    <w:p w14:paraId="0034A5BC" w14:textId="6EE9224B" w:rsidR="00B956E8" w:rsidRPr="0057418C" w:rsidRDefault="005A0C61" w:rsidP="0057418C">
      <w:pPr>
        <w:rPr>
          <w:b/>
          <w:bCs/>
        </w:rPr>
      </w:pPr>
      <w:bookmarkStart w:id="65" w:name="lt_pId140"/>
      <w:r w:rsidRPr="0057418C">
        <w:rPr>
          <w:b/>
          <w:bCs/>
        </w:rPr>
        <w:t>Proyecto de Resolución</w:t>
      </w:r>
      <w:r w:rsidR="00B956E8" w:rsidRPr="0057418C">
        <w:rPr>
          <w:b/>
          <w:bCs/>
        </w:rPr>
        <w:t xml:space="preserve"> </w:t>
      </w:r>
      <w:r w:rsidR="00F61267" w:rsidRPr="0057418C">
        <w:rPr>
          <w:b/>
          <w:bCs/>
        </w:rPr>
        <w:t xml:space="preserve">123 (Rev. Bucarest, 2022) </w:t>
      </w:r>
      <w:r w:rsidR="00B956E8" w:rsidRPr="0057418C">
        <w:rPr>
          <w:b/>
          <w:bCs/>
        </w:rPr>
        <w:t>–</w:t>
      </w:r>
      <w:r w:rsidR="00F61267" w:rsidRPr="0057418C">
        <w:rPr>
          <w:b/>
          <w:bCs/>
        </w:rPr>
        <w:t xml:space="preserve"> </w:t>
      </w:r>
      <w:bookmarkStart w:id="66" w:name="_Toc406754228"/>
      <w:bookmarkEnd w:id="65"/>
      <w:r w:rsidR="00B956E8" w:rsidRPr="0057418C">
        <w:rPr>
          <w:b/>
          <w:bCs/>
        </w:rPr>
        <w:t>Reducción de la brecha de normalización entre los países en desarrollo y los desarrollados</w:t>
      </w:r>
      <w:bookmarkEnd w:id="66"/>
      <w:r w:rsidR="00B956E8" w:rsidRPr="0057418C">
        <w:rPr>
          <w:b/>
          <w:bCs/>
        </w:rPr>
        <w:t>.</w:t>
      </w:r>
    </w:p>
    <w:p w14:paraId="436CBD72" w14:textId="1A45C960" w:rsidR="00B956E8" w:rsidRPr="0057418C" w:rsidRDefault="005A0C61" w:rsidP="0057418C">
      <w:pPr>
        <w:rPr>
          <w:b/>
          <w:bCs/>
        </w:rPr>
      </w:pPr>
      <w:r w:rsidRPr="0057418C">
        <w:rPr>
          <w:b/>
          <w:bCs/>
        </w:rPr>
        <w:t>Proyecto de Resolución</w:t>
      </w:r>
      <w:r w:rsidR="00B956E8" w:rsidRPr="0057418C">
        <w:rPr>
          <w:b/>
          <w:bCs/>
        </w:rPr>
        <w:t xml:space="preserve"> 198 (Rev. Bucarest, 2022) – </w:t>
      </w:r>
      <w:bookmarkStart w:id="67" w:name="_Toc406754327"/>
      <w:r w:rsidR="00B956E8" w:rsidRPr="0057418C">
        <w:rPr>
          <w:b/>
          <w:bCs/>
        </w:rPr>
        <w:t>Empoderamiento de la juventud a través de las telecomunicaciones y las tecnologías de la información y de la comunicación</w:t>
      </w:r>
      <w:bookmarkEnd w:id="67"/>
    </w:p>
    <w:p w14:paraId="6A9CFD9F" w14:textId="1902EABD" w:rsidR="00B956E8" w:rsidRPr="0057418C" w:rsidRDefault="005A0C61" w:rsidP="0057418C">
      <w:pPr>
        <w:rPr>
          <w:b/>
          <w:bCs/>
        </w:rPr>
      </w:pPr>
      <w:r w:rsidRPr="0057418C">
        <w:rPr>
          <w:b/>
          <w:bCs/>
        </w:rPr>
        <w:t>Proyecto de Resolución</w:t>
      </w:r>
      <w:r w:rsidR="00B956E8" w:rsidRPr="0057418C">
        <w:rPr>
          <w:b/>
          <w:bCs/>
        </w:rPr>
        <w:t xml:space="preserve"> 200 (Rev. Bucarest, 2022) – </w:t>
      </w:r>
      <w:bookmarkStart w:id="68" w:name="_Toc406754331"/>
      <w:r w:rsidR="00B956E8" w:rsidRPr="0057418C">
        <w:rPr>
          <w:b/>
          <w:bCs/>
        </w:rPr>
        <w:t>Agenda Conectar 2030 de las telecomunicaciones/tecnologías de la información y la comunicación mundiales</w:t>
      </w:r>
      <w:bookmarkEnd w:id="68"/>
      <w:r w:rsidR="00B956E8" w:rsidRPr="0057418C">
        <w:rPr>
          <w:b/>
          <w:bCs/>
        </w:rPr>
        <w:t>, incluida la banda ancha, para el desarrollo sostenible</w:t>
      </w:r>
    </w:p>
    <w:p w14:paraId="433DD25F" w14:textId="3C0D3AFD" w:rsidR="00B956E8" w:rsidRPr="00BA5395" w:rsidRDefault="00F61267" w:rsidP="0057418C">
      <w:r w:rsidRPr="00BA5395">
        <w:t>3.2</w:t>
      </w:r>
      <w:r w:rsidRPr="00BA5395">
        <w:tab/>
      </w:r>
      <w:r w:rsidR="00B956E8" w:rsidRPr="00B71386">
        <w:rPr>
          <w:b/>
          <w:bCs/>
        </w:rPr>
        <w:t>Se adopta</w:t>
      </w:r>
      <w:r w:rsidR="003151B1" w:rsidRPr="00B71386">
        <w:rPr>
          <w:b/>
          <w:bCs/>
        </w:rPr>
        <w:t>n</w:t>
      </w:r>
      <w:r w:rsidR="00B956E8" w:rsidRPr="00BA5395">
        <w:t>.</w:t>
      </w:r>
    </w:p>
    <w:p w14:paraId="627C5397" w14:textId="7C721D2A" w:rsidR="00F61267" w:rsidRPr="00BA5395" w:rsidRDefault="00F61267" w:rsidP="0057418C">
      <w:r w:rsidRPr="00BA5395">
        <w:t>3.3</w:t>
      </w:r>
      <w:r w:rsidRPr="00BA5395">
        <w:tab/>
      </w:r>
      <w:r w:rsidR="00B956E8" w:rsidRPr="00BA5395">
        <w:rPr>
          <w:b/>
          <w:bCs/>
        </w:rPr>
        <w:t>Se aprueba</w:t>
      </w:r>
      <w:r w:rsidR="00B956E8" w:rsidRPr="00BA5395">
        <w:t xml:space="preserve"> en primera lectura la </w:t>
      </w:r>
      <w:r w:rsidR="00753251" w:rsidRPr="00BA5395">
        <w:t>novena</w:t>
      </w:r>
      <w:r w:rsidR="00B956E8" w:rsidRPr="00BA5395">
        <w:t xml:space="preserve"> serie de textos sometidos por la Comisión de Redacción (</w:t>
      </w:r>
      <w:proofErr w:type="spellStart"/>
      <w:r w:rsidR="00B956E8" w:rsidRPr="00BA5395">
        <w:t>B</w:t>
      </w:r>
      <w:r w:rsidR="00753251" w:rsidRPr="00BA5395">
        <w:t>9</w:t>
      </w:r>
      <w:proofErr w:type="spellEnd"/>
      <w:r w:rsidR="00B956E8" w:rsidRPr="00BA5395">
        <w:t>) (Documento 1</w:t>
      </w:r>
      <w:r w:rsidR="00753251" w:rsidRPr="00BA5395">
        <w:t>43</w:t>
      </w:r>
      <w:r w:rsidR="00B956E8" w:rsidRPr="00BA5395">
        <w:t>).</w:t>
      </w:r>
    </w:p>
    <w:p w14:paraId="0618A5FB" w14:textId="2A1AE946" w:rsidR="00753251" w:rsidRPr="00BA5395" w:rsidRDefault="00753251" w:rsidP="005B3E9F">
      <w:pPr>
        <w:pStyle w:val="Heading1"/>
      </w:pPr>
      <w:r w:rsidRPr="00BA5395">
        <w:t>4</w:t>
      </w:r>
      <w:r w:rsidRPr="00BA5395">
        <w:tab/>
      </w:r>
      <w:proofErr w:type="gramStart"/>
      <w:r w:rsidRPr="00BA5395">
        <w:t>Novena</w:t>
      </w:r>
      <w:proofErr w:type="gramEnd"/>
      <w:r w:rsidRPr="00BA5395">
        <w:t xml:space="preserve"> serie de textos sometidos por la Comisión de Redacción – segunda lectura (Documento </w:t>
      </w:r>
      <w:hyperlink r:id="rId18" w:history="1">
        <w:r w:rsidRPr="00BA5395">
          <w:rPr>
            <w:rStyle w:val="Hyperlink"/>
            <w:rFonts w:asciiTheme="minorHAnsi" w:hAnsiTheme="minorHAnsi" w:cstheme="minorHAnsi"/>
            <w:bCs/>
            <w:szCs w:val="24"/>
          </w:rPr>
          <w:t>143</w:t>
        </w:r>
      </w:hyperlink>
      <w:r w:rsidRPr="00BA5395">
        <w:t>)</w:t>
      </w:r>
    </w:p>
    <w:p w14:paraId="0F0FA9E4" w14:textId="0D241F49" w:rsidR="00753251" w:rsidRPr="00BA5395" w:rsidRDefault="00753251" w:rsidP="0057418C">
      <w:r w:rsidRPr="00BA5395">
        <w:t>4.1</w:t>
      </w:r>
      <w:r w:rsidRPr="00BA5395">
        <w:tab/>
      </w:r>
      <w:r w:rsidRPr="00BA5395">
        <w:rPr>
          <w:b/>
          <w:bCs/>
        </w:rPr>
        <w:t>Se a</w:t>
      </w:r>
      <w:r w:rsidRPr="00BA5395">
        <w:rPr>
          <w:b/>
        </w:rPr>
        <w:t>prueba</w:t>
      </w:r>
      <w:r w:rsidRPr="00BA5395">
        <w:t xml:space="preserve"> en segunda lectura la novena serie de textos sometidos por la Comisión de Redacción</w:t>
      </w:r>
      <w:r w:rsidR="007F6445" w:rsidRPr="00BA5395">
        <w:t xml:space="preserve"> (Documento 143)</w:t>
      </w:r>
      <w:r w:rsidRPr="00BA5395">
        <w:t>.</w:t>
      </w:r>
    </w:p>
    <w:p w14:paraId="5A5EEB86" w14:textId="23AB8309" w:rsidR="00F61267" w:rsidRPr="00BA5395" w:rsidRDefault="00F61267" w:rsidP="005B3E9F">
      <w:pPr>
        <w:pStyle w:val="Heading1"/>
        <w:rPr>
          <w:rFonts w:asciiTheme="minorHAnsi" w:hAnsiTheme="minorHAnsi" w:cstheme="minorHAnsi"/>
          <w:szCs w:val="24"/>
        </w:rPr>
      </w:pPr>
      <w:r w:rsidRPr="00BA5395">
        <w:rPr>
          <w:rFonts w:asciiTheme="minorHAnsi" w:hAnsiTheme="minorHAnsi" w:cstheme="minorHAnsi"/>
          <w:bCs/>
          <w:szCs w:val="24"/>
        </w:rPr>
        <w:t>5</w:t>
      </w:r>
      <w:r w:rsidRPr="00BA5395">
        <w:rPr>
          <w:rFonts w:asciiTheme="minorHAnsi" w:hAnsiTheme="minorHAnsi" w:cstheme="minorHAnsi"/>
          <w:bCs/>
          <w:szCs w:val="24"/>
        </w:rPr>
        <w:tab/>
      </w:r>
      <w:bookmarkStart w:id="69" w:name="lt_pId153"/>
      <w:proofErr w:type="gramStart"/>
      <w:r w:rsidR="00753251" w:rsidRPr="00BA5395">
        <w:t>Décima</w:t>
      </w:r>
      <w:proofErr w:type="gramEnd"/>
      <w:r w:rsidRPr="00BA5395">
        <w:rPr>
          <w:rFonts w:asciiTheme="minorHAnsi" w:hAnsiTheme="minorHAnsi" w:cstheme="minorHAnsi"/>
          <w:szCs w:val="24"/>
        </w:rPr>
        <w:t xml:space="preserve"> </w:t>
      </w:r>
      <w:r w:rsidR="00753251" w:rsidRPr="00BA5395">
        <w:rPr>
          <w:rFonts w:eastAsiaTheme="minorHAnsi"/>
        </w:rPr>
        <w:t>serie de textos sometidos por la Comisión de Redacción en primera lectura</w:t>
      </w:r>
      <w:r w:rsidRPr="00BA5395">
        <w:rPr>
          <w:rFonts w:asciiTheme="minorHAnsi" w:hAnsiTheme="minorHAnsi" w:cstheme="minorHAnsi"/>
          <w:bCs/>
          <w:szCs w:val="24"/>
        </w:rPr>
        <w:t xml:space="preserve"> (</w:t>
      </w:r>
      <w:proofErr w:type="spellStart"/>
      <w:r w:rsidRPr="00BA5395">
        <w:rPr>
          <w:rFonts w:asciiTheme="minorHAnsi" w:hAnsiTheme="minorHAnsi" w:cstheme="minorHAnsi"/>
          <w:bCs/>
          <w:szCs w:val="24"/>
        </w:rPr>
        <w:t>B10</w:t>
      </w:r>
      <w:proofErr w:type="spellEnd"/>
      <w:r w:rsidRPr="00BA5395">
        <w:rPr>
          <w:rFonts w:asciiTheme="minorHAnsi" w:hAnsiTheme="minorHAnsi" w:cstheme="minorHAnsi"/>
          <w:bCs/>
          <w:szCs w:val="24"/>
        </w:rPr>
        <w:t>) (Document</w:t>
      </w:r>
      <w:r w:rsidR="00753251" w:rsidRPr="00BA5395">
        <w:rPr>
          <w:rFonts w:asciiTheme="minorHAnsi" w:hAnsiTheme="minorHAnsi" w:cstheme="minorHAnsi"/>
          <w:b w:val="0"/>
          <w:bCs/>
          <w:szCs w:val="24"/>
        </w:rPr>
        <w:t>o</w:t>
      </w:r>
      <w:r w:rsidRPr="00BA5395">
        <w:rPr>
          <w:rFonts w:asciiTheme="minorHAnsi" w:hAnsiTheme="minorHAnsi" w:cstheme="minorHAnsi"/>
          <w:bCs/>
          <w:szCs w:val="24"/>
        </w:rPr>
        <w:t xml:space="preserve"> </w:t>
      </w:r>
      <w:hyperlink r:id="rId19" w:history="1">
        <w:r w:rsidRPr="00BA5395">
          <w:rPr>
            <w:rStyle w:val="Hyperlink"/>
            <w:rFonts w:asciiTheme="minorHAnsi" w:hAnsiTheme="minorHAnsi" w:cstheme="minorHAnsi"/>
            <w:bCs/>
            <w:szCs w:val="24"/>
          </w:rPr>
          <w:t>144</w:t>
        </w:r>
      </w:hyperlink>
      <w:r w:rsidRPr="00BA5395">
        <w:rPr>
          <w:rFonts w:asciiTheme="minorHAnsi" w:hAnsiTheme="minorHAnsi" w:cstheme="minorHAnsi"/>
          <w:bCs/>
          <w:szCs w:val="24"/>
        </w:rPr>
        <w:t>)</w:t>
      </w:r>
      <w:bookmarkEnd w:id="69"/>
    </w:p>
    <w:p w14:paraId="067E4D4C" w14:textId="6978335B" w:rsidR="00F61267" w:rsidRPr="00BA5395" w:rsidRDefault="005A0C61" w:rsidP="00BE42DA">
      <w:pPr>
        <w:rPr>
          <w:rFonts w:asciiTheme="minorHAnsi" w:hAnsiTheme="minorHAnsi" w:cstheme="minorHAnsi"/>
          <w:b/>
          <w:bCs/>
          <w:szCs w:val="24"/>
        </w:rPr>
      </w:pPr>
      <w:bookmarkStart w:id="70" w:name="lt_pId154"/>
      <w:r w:rsidRPr="00BA5395">
        <w:rPr>
          <w:rFonts w:asciiTheme="minorHAnsi" w:hAnsiTheme="minorHAnsi" w:cstheme="minorHAnsi"/>
          <w:b/>
          <w:bCs/>
          <w:szCs w:val="24"/>
        </w:rPr>
        <w:t>Proyecto de Resolución</w:t>
      </w:r>
      <w:r w:rsidR="00F61267" w:rsidRPr="00BA5395">
        <w:rPr>
          <w:rFonts w:asciiTheme="minorHAnsi" w:hAnsiTheme="minorHAnsi" w:cstheme="minorHAnsi"/>
          <w:b/>
          <w:bCs/>
          <w:szCs w:val="24"/>
        </w:rPr>
        <w:t xml:space="preserve"> 170 (Rev. </w:t>
      </w:r>
      <w:r w:rsidR="00753251" w:rsidRPr="00BA5395">
        <w:rPr>
          <w:rFonts w:asciiTheme="minorHAnsi" w:hAnsiTheme="minorHAnsi" w:cstheme="minorHAnsi"/>
          <w:b/>
          <w:bCs/>
          <w:szCs w:val="24"/>
        </w:rPr>
        <w:t>Bucarest</w:t>
      </w:r>
      <w:r w:rsidR="00F61267" w:rsidRPr="00BA5395">
        <w:rPr>
          <w:rFonts w:asciiTheme="minorHAnsi" w:hAnsiTheme="minorHAnsi" w:cstheme="minorHAnsi"/>
          <w:b/>
          <w:bCs/>
          <w:szCs w:val="24"/>
        </w:rPr>
        <w:t>, 2022)</w:t>
      </w:r>
      <w:r w:rsidR="001A7ACA" w:rsidRPr="00BA5395">
        <w:rPr>
          <w:rFonts w:asciiTheme="minorHAnsi" w:hAnsiTheme="minorHAnsi" w:cstheme="minorHAnsi"/>
          <w:b/>
          <w:bCs/>
          <w:szCs w:val="24"/>
        </w:rPr>
        <w:t> –</w:t>
      </w:r>
      <w:r w:rsidR="00F61267" w:rsidRPr="00BA5395">
        <w:rPr>
          <w:rFonts w:asciiTheme="minorHAnsi" w:hAnsiTheme="minorHAnsi" w:cstheme="minorHAnsi"/>
          <w:b/>
          <w:bCs/>
          <w:szCs w:val="24"/>
        </w:rPr>
        <w:t xml:space="preserve"> </w:t>
      </w:r>
      <w:bookmarkStart w:id="71" w:name="_Toc406754283"/>
      <w:bookmarkEnd w:id="70"/>
      <w:r w:rsidR="00753251" w:rsidRPr="00BA5395">
        <w:rPr>
          <w:rFonts w:asciiTheme="minorHAnsi" w:hAnsiTheme="minorHAnsi" w:cstheme="minorHAnsi"/>
          <w:b/>
          <w:bCs/>
          <w:szCs w:val="24"/>
        </w:rPr>
        <w:t>Admisión de los Miembros de Sector de los países en desarrollo para participar en los trabajos del Sector de Normalización de las Telecomunicaciones de la UIT y del Sector de Radiocomunicaciones de la UIT</w:t>
      </w:r>
      <w:bookmarkEnd w:id="71"/>
      <w:r w:rsidR="00753251" w:rsidRPr="00BA5395">
        <w:rPr>
          <w:rFonts w:asciiTheme="minorHAnsi" w:hAnsiTheme="minorHAnsi" w:cstheme="minorHAnsi"/>
          <w:b/>
          <w:bCs/>
          <w:szCs w:val="24"/>
        </w:rPr>
        <w:t>.</w:t>
      </w:r>
    </w:p>
    <w:p w14:paraId="36681961" w14:textId="7A2AAC8C" w:rsidR="00F61267" w:rsidRPr="00BA5395" w:rsidRDefault="005A0C61" w:rsidP="00BE42DA">
      <w:pPr>
        <w:rPr>
          <w:rFonts w:asciiTheme="minorHAnsi" w:hAnsiTheme="minorHAnsi" w:cstheme="minorHAnsi"/>
          <w:b/>
          <w:bCs/>
          <w:szCs w:val="24"/>
        </w:rPr>
      </w:pPr>
      <w:bookmarkStart w:id="72" w:name="lt_pId155"/>
      <w:r w:rsidRPr="00BA5395">
        <w:rPr>
          <w:rFonts w:asciiTheme="minorHAnsi" w:hAnsiTheme="minorHAnsi" w:cstheme="minorHAnsi"/>
          <w:b/>
          <w:bCs/>
          <w:szCs w:val="24"/>
        </w:rPr>
        <w:t>Proyecto de Resolución</w:t>
      </w:r>
      <w:r w:rsidR="00F61267" w:rsidRPr="00BA5395">
        <w:rPr>
          <w:rFonts w:asciiTheme="minorHAnsi" w:hAnsiTheme="minorHAnsi" w:cstheme="minorHAnsi"/>
          <w:b/>
          <w:bCs/>
          <w:szCs w:val="24"/>
        </w:rPr>
        <w:t xml:space="preserve"> 176 (Rev. </w:t>
      </w:r>
      <w:r w:rsidR="00753251" w:rsidRPr="00BA5395">
        <w:rPr>
          <w:rFonts w:asciiTheme="minorHAnsi" w:hAnsiTheme="minorHAnsi" w:cstheme="minorHAnsi"/>
          <w:b/>
          <w:bCs/>
          <w:szCs w:val="24"/>
        </w:rPr>
        <w:t>Bucarest</w:t>
      </w:r>
      <w:r w:rsidR="00F61267" w:rsidRPr="00BA5395">
        <w:rPr>
          <w:rFonts w:asciiTheme="minorHAnsi" w:hAnsiTheme="minorHAnsi" w:cstheme="minorHAnsi"/>
          <w:b/>
          <w:bCs/>
          <w:szCs w:val="24"/>
        </w:rPr>
        <w:t>, 2022)</w:t>
      </w:r>
      <w:r w:rsidR="001A7ACA" w:rsidRPr="00BA5395">
        <w:rPr>
          <w:rFonts w:asciiTheme="minorHAnsi" w:hAnsiTheme="minorHAnsi" w:cstheme="minorHAnsi"/>
          <w:b/>
          <w:bCs/>
          <w:szCs w:val="24"/>
        </w:rPr>
        <w:t> –</w:t>
      </w:r>
      <w:r w:rsidR="00F61267" w:rsidRPr="00BA5395">
        <w:rPr>
          <w:rFonts w:asciiTheme="minorHAnsi" w:hAnsiTheme="minorHAnsi" w:cstheme="minorHAnsi"/>
          <w:b/>
          <w:bCs/>
          <w:szCs w:val="24"/>
        </w:rPr>
        <w:t xml:space="preserve"> </w:t>
      </w:r>
      <w:bookmarkEnd w:id="72"/>
      <w:r w:rsidR="00753251" w:rsidRPr="00BA5395">
        <w:rPr>
          <w:rFonts w:asciiTheme="minorHAnsi" w:hAnsiTheme="minorHAnsi" w:cstheme="minorHAnsi"/>
          <w:b/>
          <w:bCs/>
          <w:szCs w:val="24"/>
        </w:rPr>
        <w:t>Problemas de la medición y evaluación de la exposición de las personas a los campos electromagnéticos</w:t>
      </w:r>
    </w:p>
    <w:p w14:paraId="1842249B" w14:textId="2759D372" w:rsidR="00753251" w:rsidRPr="00BA5395" w:rsidRDefault="00F61267" w:rsidP="00380D08">
      <w:r w:rsidRPr="00BA5395">
        <w:t>5.1</w:t>
      </w:r>
      <w:r w:rsidRPr="00BA5395">
        <w:tab/>
      </w:r>
      <w:bookmarkStart w:id="73" w:name="lt_pId157"/>
      <w:r w:rsidR="007F6445" w:rsidRPr="00BA5395">
        <w:rPr>
          <w:b/>
        </w:rPr>
        <w:t>Se adoptan</w:t>
      </w:r>
      <w:r w:rsidR="00753251" w:rsidRPr="00BA5395">
        <w:t>.</w:t>
      </w:r>
    </w:p>
    <w:bookmarkEnd w:id="73"/>
    <w:p w14:paraId="45147128" w14:textId="7708F335" w:rsidR="00753251" w:rsidRPr="00BA5395" w:rsidRDefault="00F61267" w:rsidP="00380D08">
      <w:r w:rsidRPr="00BA5395">
        <w:t>5.2</w:t>
      </w:r>
      <w:r w:rsidRPr="00BA5395">
        <w:tab/>
      </w:r>
      <w:bookmarkStart w:id="74" w:name="lt_pId159"/>
      <w:r w:rsidR="00753251" w:rsidRPr="00BA5395">
        <w:t xml:space="preserve">Se </w:t>
      </w:r>
      <w:r w:rsidR="00753251" w:rsidRPr="00BA5395">
        <w:rPr>
          <w:b/>
        </w:rPr>
        <w:t>aprueba</w:t>
      </w:r>
      <w:r w:rsidR="00753251" w:rsidRPr="00BA5395">
        <w:t xml:space="preserve"> en primera lectura la décima serie de textos sometidos por la Comisión de Redacción (</w:t>
      </w:r>
      <w:proofErr w:type="spellStart"/>
      <w:r w:rsidR="00753251" w:rsidRPr="00BA5395">
        <w:t>B10</w:t>
      </w:r>
      <w:proofErr w:type="spellEnd"/>
      <w:r w:rsidR="00753251" w:rsidRPr="00BA5395">
        <w:t>) (Documento 144).</w:t>
      </w:r>
    </w:p>
    <w:bookmarkEnd w:id="74"/>
    <w:p w14:paraId="15DF952D" w14:textId="4BCDEF0F" w:rsidR="00F61267" w:rsidRPr="00BA5395" w:rsidRDefault="00F61267" w:rsidP="00A412B4">
      <w:pPr>
        <w:pStyle w:val="Heading1"/>
      </w:pPr>
      <w:r w:rsidRPr="00BA5395">
        <w:t>6</w:t>
      </w:r>
      <w:r w:rsidRPr="00BA5395">
        <w:tab/>
      </w:r>
      <w:proofErr w:type="gramStart"/>
      <w:r w:rsidR="00A412B4" w:rsidRPr="00BA5395">
        <w:t>Décima</w:t>
      </w:r>
      <w:proofErr w:type="gramEnd"/>
      <w:r w:rsidR="00A412B4" w:rsidRPr="00BA5395">
        <w:t xml:space="preserve"> serie de textos sometidos por la Comisión de Redacción – segunda lectura</w:t>
      </w:r>
      <w:bookmarkStart w:id="75" w:name="lt_pId162"/>
      <w:r w:rsidR="00A412B4" w:rsidRPr="00BA5395">
        <w:t xml:space="preserve"> </w:t>
      </w:r>
      <w:r w:rsidRPr="00BA5395">
        <w:t>(Document</w:t>
      </w:r>
      <w:r w:rsidR="00A412B4" w:rsidRPr="00BA5395">
        <w:t>o</w:t>
      </w:r>
      <w:r w:rsidRPr="00BA5395">
        <w:t xml:space="preserve"> </w:t>
      </w:r>
      <w:hyperlink r:id="rId20" w:history="1">
        <w:r w:rsidRPr="00BA5395">
          <w:rPr>
            <w:rStyle w:val="Hyperlink"/>
            <w:rFonts w:asciiTheme="minorHAnsi" w:hAnsiTheme="minorHAnsi" w:cstheme="minorHAnsi"/>
            <w:bCs/>
            <w:szCs w:val="24"/>
          </w:rPr>
          <w:t>144</w:t>
        </w:r>
      </w:hyperlink>
      <w:r w:rsidRPr="00BA5395">
        <w:t>)</w:t>
      </w:r>
      <w:bookmarkEnd w:id="75"/>
    </w:p>
    <w:p w14:paraId="4261BBAE" w14:textId="751D9B4E" w:rsidR="00A412B4" w:rsidRPr="00BA5395" w:rsidRDefault="00F61267" w:rsidP="00380D08">
      <w:r w:rsidRPr="00BA5395">
        <w:t>6.1</w:t>
      </w:r>
      <w:r w:rsidRPr="00BA5395">
        <w:tab/>
      </w:r>
      <w:bookmarkStart w:id="76" w:name="lt_pId164"/>
      <w:r w:rsidR="00A412B4" w:rsidRPr="00BA5395">
        <w:rPr>
          <w:b/>
          <w:bCs/>
        </w:rPr>
        <w:t>Se a</w:t>
      </w:r>
      <w:r w:rsidR="00A412B4" w:rsidRPr="00BA5395">
        <w:rPr>
          <w:b/>
        </w:rPr>
        <w:t>prueba</w:t>
      </w:r>
      <w:r w:rsidR="00A412B4" w:rsidRPr="00BA5395">
        <w:t xml:space="preserve"> en segunda lectura la décima serie de textos sometidos por la Comisión de Redacción (Documento 144).</w:t>
      </w:r>
    </w:p>
    <w:bookmarkEnd w:id="76"/>
    <w:p w14:paraId="3DFF69C5" w14:textId="3BD00C5D" w:rsidR="00F61267" w:rsidRPr="00BA5395" w:rsidRDefault="00F61267" w:rsidP="00A412B4">
      <w:pPr>
        <w:pStyle w:val="Heading1"/>
        <w:rPr>
          <w:rFonts w:asciiTheme="minorHAnsi" w:hAnsiTheme="minorHAnsi" w:cstheme="minorHAnsi"/>
          <w:szCs w:val="24"/>
        </w:rPr>
      </w:pPr>
      <w:r w:rsidRPr="00BA5395">
        <w:rPr>
          <w:rFonts w:asciiTheme="minorHAnsi" w:hAnsiTheme="minorHAnsi" w:cstheme="minorHAnsi"/>
          <w:bCs/>
          <w:szCs w:val="24"/>
        </w:rPr>
        <w:lastRenderedPageBreak/>
        <w:t>7</w:t>
      </w:r>
      <w:r w:rsidRPr="00BA5395">
        <w:rPr>
          <w:rFonts w:asciiTheme="minorHAnsi" w:hAnsiTheme="minorHAnsi" w:cstheme="minorHAnsi"/>
          <w:bCs/>
          <w:szCs w:val="24"/>
        </w:rPr>
        <w:tab/>
      </w:r>
      <w:bookmarkStart w:id="77" w:name="lt_pId166"/>
      <w:proofErr w:type="gramStart"/>
      <w:r w:rsidR="004B3B29" w:rsidRPr="00BA5395">
        <w:rPr>
          <w:rFonts w:asciiTheme="minorHAnsi" w:hAnsiTheme="minorHAnsi" w:cstheme="minorHAnsi"/>
          <w:szCs w:val="24"/>
        </w:rPr>
        <w:t>Decimoprimera</w:t>
      </w:r>
      <w:proofErr w:type="gramEnd"/>
      <w:r w:rsidRPr="00BA5395">
        <w:rPr>
          <w:rFonts w:asciiTheme="minorHAnsi" w:hAnsiTheme="minorHAnsi" w:cstheme="minorHAnsi"/>
          <w:bCs/>
          <w:szCs w:val="24"/>
        </w:rPr>
        <w:t xml:space="preserve"> </w:t>
      </w:r>
      <w:r w:rsidR="00A412B4" w:rsidRPr="00BA5395">
        <w:rPr>
          <w:rFonts w:asciiTheme="minorHAnsi" w:hAnsiTheme="minorHAnsi" w:cstheme="minorHAnsi"/>
          <w:bCs/>
          <w:szCs w:val="24"/>
        </w:rPr>
        <w:t>serie de textos sometidos por la Comisión de Redacción en primera lectura</w:t>
      </w:r>
      <w:r w:rsidRPr="00BA5395">
        <w:rPr>
          <w:rFonts w:asciiTheme="minorHAnsi" w:hAnsiTheme="minorHAnsi" w:cstheme="minorHAnsi"/>
          <w:bCs/>
          <w:szCs w:val="24"/>
        </w:rPr>
        <w:t xml:space="preserve"> (</w:t>
      </w:r>
      <w:proofErr w:type="spellStart"/>
      <w:r w:rsidRPr="00BA5395">
        <w:rPr>
          <w:rFonts w:asciiTheme="minorHAnsi" w:hAnsiTheme="minorHAnsi" w:cstheme="minorHAnsi"/>
          <w:bCs/>
          <w:szCs w:val="24"/>
        </w:rPr>
        <w:t>B11</w:t>
      </w:r>
      <w:proofErr w:type="spellEnd"/>
      <w:r w:rsidRPr="00BA5395">
        <w:rPr>
          <w:rFonts w:asciiTheme="minorHAnsi" w:hAnsiTheme="minorHAnsi" w:cstheme="minorHAnsi"/>
          <w:bCs/>
          <w:szCs w:val="24"/>
        </w:rPr>
        <w:t>) (Document</w:t>
      </w:r>
      <w:r w:rsidR="00A412B4" w:rsidRPr="00BA5395">
        <w:rPr>
          <w:rFonts w:asciiTheme="minorHAnsi" w:hAnsiTheme="minorHAnsi" w:cstheme="minorHAnsi"/>
          <w:b w:val="0"/>
          <w:bCs/>
          <w:szCs w:val="24"/>
        </w:rPr>
        <w:t>o</w:t>
      </w:r>
      <w:r w:rsidRPr="00BA5395">
        <w:rPr>
          <w:rFonts w:asciiTheme="minorHAnsi" w:hAnsiTheme="minorHAnsi" w:cstheme="minorHAnsi"/>
          <w:bCs/>
          <w:szCs w:val="24"/>
        </w:rPr>
        <w:t xml:space="preserve"> </w:t>
      </w:r>
      <w:hyperlink r:id="rId21" w:history="1">
        <w:r w:rsidRPr="00BA5395">
          <w:rPr>
            <w:rStyle w:val="Hyperlink"/>
            <w:rFonts w:asciiTheme="minorHAnsi" w:hAnsiTheme="minorHAnsi" w:cstheme="minorHAnsi"/>
            <w:bCs/>
            <w:szCs w:val="24"/>
          </w:rPr>
          <w:t>145</w:t>
        </w:r>
      </w:hyperlink>
      <w:r w:rsidRPr="00BA5395">
        <w:rPr>
          <w:rFonts w:asciiTheme="minorHAnsi" w:hAnsiTheme="minorHAnsi" w:cstheme="minorHAnsi"/>
          <w:bCs/>
          <w:szCs w:val="24"/>
        </w:rPr>
        <w:t>)</w:t>
      </w:r>
      <w:bookmarkEnd w:id="77"/>
    </w:p>
    <w:p w14:paraId="0A898D8D" w14:textId="407FB959" w:rsidR="00F61267" w:rsidRPr="00BA5395" w:rsidRDefault="005A0C61" w:rsidP="00BE42DA">
      <w:pPr>
        <w:rPr>
          <w:rFonts w:asciiTheme="minorHAnsi" w:hAnsiTheme="minorHAnsi" w:cstheme="minorHAnsi"/>
          <w:b/>
          <w:bCs/>
          <w:szCs w:val="24"/>
        </w:rPr>
      </w:pPr>
      <w:bookmarkStart w:id="78" w:name="lt_pId167"/>
      <w:r w:rsidRPr="00BA5395">
        <w:rPr>
          <w:rFonts w:asciiTheme="minorHAnsi" w:hAnsiTheme="minorHAnsi" w:cstheme="minorHAnsi"/>
          <w:b/>
          <w:bCs/>
          <w:szCs w:val="24"/>
        </w:rPr>
        <w:t>Proyecto de Resolución</w:t>
      </w:r>
      <w:r w:rsidR="00F61267" w:rsidRPr="00BA5395">
        <w:rPr>
          <w:rFonts w:asciiTheme="minorHAnsi" w:hAnsiTheme="minorHAnsi" w:cstheme="minorHAnsi"/>
          <w:b/>
          <w:bCs/>
          <w:szCs w:val="24"/>
        </w:rPr>
        <w:t xml:space="preserve"> 154 (Rev. Bucarest, 2022)</w:t>
      </w:r>
      <w:r w:rsidR="001A7ACA" w:rsidRPr="00BA5395">
        <w:rPr>
          <w:rFonts w:asciiTheme="minorHAnsi" w:hAnsiTheme="minorHAnsi" w:cstheme="minorHAnsi"/>
          <w:b/>
          <w:bCs/>
          <w:szCs w:val="24"/>
        </w:rPr>
        <w:t> –</w:t>
      </w:r>
      <w:r w:rsidR="00F61267" w:rsidRPr="00BA5395">
        <w:rPr>
          <w:rFonts w:asciiTheme="minorHAnsi" w:hAnsiTheme="minorHAnsi" w:cstheme="minorHAnsi"/>
          <w:b/>
          <w:bCs/>
          <w:szCs w:val="24"/>
        </w:rPr>
        <w:t xml:space="preserve"> </w:t>
      </w:r>
      <w:bookmarkStart w:id="79" w:name="_Toc406754258"/>
      <w:bookmarkEnd w:id="78"/>
      <w:r w:rsidR="00A412B4" w:rsidRPr="00BA5395">
        <w:rPr>
          <w:rFonts w:asciiTheme="minorHAnsi" w:hAnsiTheme="minorHAnsi" w:cstheme="minorHAnsi"/>
          <w:b/>
          <w:bCs/>
          <w:szCs w:val="24"/>
        </w:rPr>
        <w:t>Utilización de los seis idiomas oficiales de la Unión en igualdad de condiciones</w:t>
      </w:r>
      <w:bookmarkEnd w:id="79"/>
    </w:p>
    <w:p w14:paraId="23599E71" w14:textId="46596D3F" w:rsidR="00A412B4" w:rsidRPr="00BA5395" w:rsidRDefault="00A412B4" w:rsidP="00380D08">
      <w:r w:rsidRPr="00BA5395">
        <w:t>7.1</w:t>
      </w:r>
      <w:r w:rsidRPr="00BA5395">
        <w:tab/>
      </w:r>
      <w:r w:rsidRPr="00BA5395">
        <w:rPr>
          <w:b/>
          <w:bCs/>
        </w:rPr>
        <w:t>Se adopta</w:t>
      </w:r>
      <w:r w:rsidRPr="00BA5395">
        <w:t>.</w:t>
      </w:r>
    </w:p>
    <w:p w14:paraId="5FAD159D" w14:textId="3D588665" w:rsidR="00A412B4" w:rsidRPr="00BA5395" w:rsidRDefault="00F61267" w:rsidP="00380D08">
      <w:r w:rsidRPr="00BA5395">
        <w:t>7.2</w:t>
      </w:r>
      <w:r w:rsidRPr="00BA5395">
        <w:tab/>
      </w:r>
      <w:bookmarkStart w:id="80" w:name="lt_pId171"/>
      <w:r w:rsidR="00A412B4" w:rsidRPr="00BA5395">
        <w:rPr>
          <w:b/>
          <w:bCs/>
        </w:rPr>
        <w:t>Se aprueba</w:t>
      </w:r>
      <w:r w:rsidR="00A412B4" w:rsidRPr="00BA5395">
        <w:t xml:space="preserve"> en primera lectura la </w:t>
      </w:r>
      <w:r w:rsidR="003A237A" w:rsidRPr="00BA5395">
        <w:t>decimoprimera</w:t>
      </w:r>
      <w:r w:rsidR="00A412B4" w:rsidRPr="00BA5395">
        <w:t xml:space="preserve"> serie de textos sometidos por la Comisión de Redacción </w:t>
      </w:r>
      <w:r w:rsidRPr="00BA5395">
        <w:t>(</w:t>
      </w:r>
      <w:proofErr w:type="spellStart"/>
      <w:r w:rsidRPr="00BA5395">
        <w:t>B11</w:t>
      </w:r>
      <w:proofErr w:type="spellEnd"/>
      <w:r w:rsidRPr="00BA5395">
        <w:t>) (Document</w:t>
      </w:r>
      <w:r w:rsidR="00A412B4" w:rsidRPr="00BA5395">
        <w:t>o</w:t>
      </w:r>
      <w:r w:rsidRPr="00BA5395">
        <w:t xml:space="preserve"> 145)</w:t>
      </w:r>
      <w:r w:rsidR="00A412B4" w:rsidRPr="00BA5395">
        <w:t>.</w:t>
      </w:r>
    </w:p>
    <w:bookmarkEnd w:id="80"/>
    <w:p w14:paraId="0E644A5F" w14:textId="43A96275" w:rsidR="00F61267" w:rsidRPr="00BA5395" w:rsidRDefault="00F61267" w:rsidP="00A412B4">
      <w:pPr>
        <w:pStyle w:val="Heading1"/>
        <w:rPr>
          <w:rFonts w:asciiTheme="minorHAnsi" w:hAnsiTheme="minorHAnsi" w:cstheme="minorHAnsi"/>
          <w:b w:val="0"/>
          <w:bCs/>
          <w:szCs w:val="24"/>
        </w:rPr>
      </w:pPr>
      <w:r w:rsidRPr="00BA5395">
        <w:rPr>
          <w:rFonts w:asciiTheme="minorHAnsi" w:hAnsiTheme="minorHAnsi" w:cstheme="minorHAnsi"/>
          <w:bCs/>
          <w:szCs w:val="24"/>
        </w:rPr>
        <w:t>8</w:t>
      </w:r>
      <w:r w:rsidRPr="00BA5395">
        <w:rPr>
          <w:rFonts w:asciiTheme="minorHAnsi" w:hAnsiTheme="minorHAnsi" w:cstheme="minorHAnsi"/>
          <w:bCs/>
          <w:szCs w:val="24"/>
        </w:rPr>
        <w:tab/>
      </w:r>
      <w:bookmarkStart w:id="81" w:name="lt_pId173"/>
      <w:proofErr w:type="gramStart"/>
      <w:r w:rsidR="004B3B29" w:rsidRPr="00BA5395">
        <w:rPr>
          <w:rFonts w:asciiTheme="minorHAnsi" w:hAnsiTheme="minorHAnsi" w:cstheme="minorHAnsi"/>
          <w:szCs w:val="24"/>
        </w:rPr>
        <w:t>Decimoprimera</w:t>
      </w:r>
      <w:proofErr w:type="gramEnd"/>
      <w:r w:rsidR="004B3B29" w:rsidRPr="00BA5395">
        <w:t xml:space="preserve"> </w:t>
      </w:r>
      <w:r w:rsidR="00A412B4" w:rsidRPr="00BA5395">
        <w:t xml:space="preserve">serie de textos sometidos por la Comisión de Redacción – segunda lectura </w:t>
      </w:r>
      <w:r w:rsidRPr="00BA5395">
        <w:rPr>
          <w:rFonts w:asciiTheme="minorHAnsi" w:hAnsiTheme="minorHAnsi" w:cstheme="minorHAnsi"/>
          <w:bCs/>
          <w:szCs w:val="24"/>
        </w:rPr>
        <w:t>(Document</w:t>
      </w:r>
      <w:r w:rsidR="00A412B4" w:rsidRPr="00BA5395">
        <w:rPr>
          <w:rFonts w:asciiTheme="minorHAnsi" w:hAnsiTheme="minorHAnsi" w:cstheme="minorHAnsi"/>
          <w:bCs/>
          <w:szCs w:val="24"/>
        </w:rPr>
        <w:t>o</w:t>
      </w:r>
      <w:r w:rsidRPr="00BA5395">
        <w:rPr>
          <w:rFonts w:asciiTheme="minorHAnsi" w:hAnsiTheme="minorHAnsi" w:cstheme="minorHAnsi"/>
          <w:bCs/>
          <w:szCs w:val="24"/>
        </w:rPr>
        <w:t xml:space="preserve"> </w:t>
      </w:r>
      <w:hyperlink r:id="rId22" w:history="1">
        <w:r w:rsidRPr="00BA5395">
          <w:rPr>
            <w:rStyle w:val="Hyperlink"/>
            <w:rFonts w:asciiTheme="minorHAnsi" w:hAnsiTheme="minorHAnsi" w:cstheme="minorHAnsi"/>
            <w:bCs/>
            <w:szCs w:val="24"/>
          </w:rPr>
          <w:t>145</w:t>
        </w:r>
      </w:hyperlink>
      <w:r w:rsidRPr="00BA5395">
        <w:rPr>
          <w:rFonts w:asciiTheme="minorHAnsi" w:hAnsiTheme="minorHAnsi" w:cstheme="minorHAnsi"/>
          <w:bCs/>
          <w:szCs w:val="24"/>
        </w:rPr>
        <w:t>)</w:t>
      </w:r>
      <w:bookmarkEnd w:id="81"/>
    </w:p>
    <w:p w14:paraId="3885E2A0" w14:textId="7B911A05" w:rsidR="00F61267" w:rsidRPr="00BA5395" w:rsidRDefault="00F61267" w:rsidP="00BE42DA">
      <w:pPr>
        <w:rPr>
          <w:rFonts w:asciiTheme="minorHAnsi" w:hAnsiTheme="minorHAnsi" w:cstheme="minorHAnsi"/>
          <w:szCs w:val="24"/>
        </w:rPr>
      </w:pPr>
      <w:r w:rsidRPr="00BA5395">
        <w:rPr>
          <w:rFonts w:asciiTheme="minorHAnsi" w:hAnsiTheme="minorHAnsi" w:cstheme="minorHAnsi"/>
          <w:szCs w:val="24"/>
        </w:rPr>
        <w:t>8.1</w:t>
      </w:r>
      <w:r w:rsidRPr="00BA5395">
        <w:rPr>
          <w:rFonts w:asciiTheme="minorHAnsi" w:hAnsiTheme="minorHAnsi" w:cstheme="minorHAnsi"/>
          <w:szCs w:val="24"/>
        </w:rPr>
        <w:tab/>
      </w:r>
      <w:bookmarkStart w:id="82" w:name="lt_pId175"/>
      <w:r w:rsidR="00A412B4" w:rsidRPr="00BA5395">
        <w:rPr>
          <w:rFonts w:asciiTheme="minorHAnsi" w:hAnsiTheme="minorHAnsi" w:cstheme="minorHAnsi"/>
          <w:b/>
          <w:bCs/>
          <w:szCs w:val="24"/>
        </w:rPr>
        <w:t>Se a</w:t>
      </w:r>
      <w:r w:rsidR="00A412B4" w:rsidRPr="00BA5395">
        <w:rPr>
          <w:rFonts w:asciiTheme="minorHAnsi" w:hAnsiTheme="minorHAnsi" w:cstheme="minorHAnsi"/>
          <w:b/>
          <w:szCs w:val="24"/>
        </w:rPr>
        <w:t>prueba</w:t>
      </w:r>
      <w:r w:rsidR="00A412B4" w:rsidRPr="00BA5395">
        <w:rPr>
          <w:rFonts w:asciiTheme="minorHAnsi" w:hAnsiTheme="minorHAnsi" w:cstheme="minorHAnsi"/>
          <w:szCs w:val="24"/>
        </w:rPr>
        <w:t xml:space="preserve"> en segunda lectura la undécima serie de textos sometidos por la Comisión de </w:t>
      </w:r>
      <w:bookmarkEnd w:id="82"/>
      <w:r w:rsidR="00B37282" w:rsidRPr="00BA5395">
        <w:rPr>
          <w:rFonts w:asciiTheme="minorHAnsi" w:hAnsiTheme="minorHAnsi" w:cstheme="minorHAnsi"/>
          <w:szCs w:val="24"/>
        </w:rPr>
        <w:t>Redacción (Documento 145).</w:t>
      </w:r>
    </w:p>
    <w:p w14:paraId="0353E2E1" w14:textId="5EFAB245" w:rsidR="00F61267" w:rsidRPr="00BA5395" w:rsidRDefault="00F61267" w:rsidP="00457960">
      <w:pPr>
        <w:pStyle w:val="Heading1"/>
      </w:pPr>
      <w:r w:rsidRPr="00BA5395">
        <w:rPr>
          <w:bCs/>
        </w:rPr>
        <w:t>9</w:t>
      </w:r>
      <w:r w:rsidRPr="00BA5395">
        <w:rPr>
          <w:bCs/>
        </w:rPr>
        <w:tab/>
      </w:r>
      <w:bookmarkStart w:id="83" w:name="lt_pId177"/>
      <w:proofErr w:type="gramStart"/>
      <w:r w:rsidR="00457960" w:rsidRPr="00BA5395">
        <w:rPr>
          <w:rFonts w:eastAsiaTheme="minorHAnsi"/>
        </w:rPr>
        <w:t>Decimosegunda</w:t>
      </w:r>
      <w:proofErr w:type="gramEnd"/>
      <w:r w:rsidR="00457960" w:rsidRPr="00BA5395">
        <w:rPr>
          <w:rFonts w:eastAsiaTheme="minorHAnsi"/>
        </w:rPr>
        <w:t xml:space="preserve"> serie de textos sometidos por la Comisión de Redacción en primera lectura</w:t>
      </w:r>
      <w:r w:rsidRPr="00BA5395">
        <w:rPr>
          <w:bCs/>
        </w:rPr>
        <w:t xml:space="preserve"> (</w:t>
      </w:r>
      <w:proofErr w:type="spellStart"/>
      <w:r w:rsidRPr="00BA5395">
        <w:rPr>
          <w:bCs/>
        </w:rPr>
        <w:t>B12</w:t>
      </w:r>
      <w:proofErr w:type="spellEnd"/>
      <w:r w:rsidRPr="00BA5395">
        <w:rPr>
          <w:bCs/>
        </w:rPr>
        <w:t>) (Document</w:t>
      </w:r>
      <w:r w:rsidR="00457960" w:rsidRPr="00BA5395">
        <w:rPr>
          <w:bCs/>
        </w:rPr>
        <w:t>o</w:t>
      </w:r>
      <w:r w:rsidRPr="00BA5395">
        <w:rPr>
          <w:bCs/>
        </w:rPr>
        <w:t xml:space="preserve"> </w:t>
      </w:r>
      <w:hyperlink r:id="rId23" w:history="1">
        <w:r w:rsidRPr="00BA5395">
          <w:rPr>
            <w:rStyle w:val="Hyperlink"/>
            <w:rFonts w:asciiTheme="minorHAnsi" w:hAnsiTheme="minorHAnsi" w:cstheme="minorHAnsi"/>
            <w:bCs/>
            <w:szCs w:val="24"/>
          </w:rPr>
          <w:t>153</w:t>
        </w:r>
      </w:hyperlink>
      <w:r w:rsidRPr="00BA5395">
        <w:rPr>
          <w:bCs/>
        </w:rPr>
        <w:t>)</w:t>
      </w:r>
      <w:bookmarkEnd w:id="83"/>
    </w:p>
    <w:p w14:paraId="4433818B" w14:textId="7089E724" w:rsidR="00F61267" w:rsidRPr="00BA5395" w:rsidRDefault="005A0C61" w:rsidP="00BE42DA">
      <w:pPr>
        <w:rPr>
          <w:rFonts w:asciiTheme="minorHAnsi" w:hAnsiTheme="minorHAnsi" w:cstheme="minorHAnsi"/>
          <w:b/>
          <w:bCs/>
          <w:szCs w:val="24"/>
        </w:rPr>
      </w:pPr>
      <w:bookmarkStart w:id="84" w:name="lt_pId178"/>
      <w:r w:rsidRPr="00BA5395">
        <w:rPr>
          <w:rFonts w:asciiTheme="minorHAnsi" w:hAnsiTheme="minorHAnsi" w:cstheme="minorHAnsi"/>
          <w:b/>
          <w:bCs/>
          <w:szCs w:val="24"/>
        </w:rPr>
        <w:t>Proyecto de Resolución</w:t>
      </w:r>
      <w:r w:rsidR="00F61267" w:rsidRPr="00BA5395">
        <w:rPr>
          <w:rFonts w:asciiTheme="minorHAnsi" w:hAnsiTheme="minorHAnsi" w:cstheme="minorHAnsi"/>
          <w:b/>
          <w:bCs/>
          <w:szCs w:val="24"/>
        </w:rPr>
        <w:t xml:space="preserve"> </w:t>
      </w:r>
      <w:r w:rsidR="00762317" w:rsidRPr="00BA5395">
        <w:rPr>
          <w:rFonts w:asciiTheme="minorHAnsi" w:hAnsiTheme="minorHAnsi" w:cstheme="minorHAnsi"/>
          <w:b/>
          <w:bCs/>
          <w:szCs w:val="24"/>
        </w:rPr>
        <w:t>30</w:t>
      </w:r>
      <w:r w:rsidR="00F61267" w:rsidRPr="00BA5395">
        <w:rPr>
          <w:rFonts w:asciiTheme="minorHAnsi" w:hAnsiTheme="minorHAnsi" w:cstheme="minorHAnsi"/>
          <w:b/>
          <w:bCs/>
          <w:szCs w:val="24"/>
        </w:rPr>
        <w:t xml:space="preserve"> (Rev. Bucarest, 2022)</w:t>
      </w:r>
      <w:r w:rsidR="001A7ACA" w:rsidRPr="00BA5395">
        <w:rPr>
          <w:rFonts w:asciiTheme="minorHAnsi" w:hAnsiTheme="minorHAnsi" w:cstheme="minorHAnsi"/>
          <w:b/>
          <w:bCs/>
          <w:szCs w:val="24"/>
        </w:rPr>
        <w:t> –</w:t>
      </w:r>
      <w:r w:rsidR="00F61267" w:rsidRPr="00BA5395">
        <w:rPr>
          <w:rFonts w:asciiTheme="minorHAnsi" w:hAnsiTheme="minorHAnsi" w:cstheme="minorHAnsi"/>
          <w:b/>
          <w:bCs/>
          <w:szCs w:val="24"/>
        </w:rPr>
        <w:t xml:space="preserve"> </w:t>
      </w:r>
      <w:bookmarkEnd w:id="84"/>
      <w:r w:rsidR="00457960" w:rsidRPr="00BA5395">
        <w:rPr>
          <w:rFonts w:asciiTheme="minorHAnsi" w:hAnsiTheme="minorHAnsi" w:cstheme="minorHAnsi"/>
          <w:b/>
          <w:bCs/>
          <w:szCs w:val="24"/>
        </w:rPr>
        <w:t>Medidas especiales en favor de los países menos adelantados, los pequeños Estados insulares en desarrollo, los países en desarrollo sin litoral y los países con economías en transición</w:t>
      </w:r>
    </w:p>
    <w:p w14:paraId="06FD86FF" w14:textId="32843EF2" w:rsidR="00F61267" w:rsidRPr="00BA5395" w:rsidRDefault="00F61267" w:rsidP="00BE42DA">
      <w:pPr>
        <w:rPr>
          <w:rFonts w:asciiTheme="minorHAnsi" w:hAnsiTheme="minorHAnsi" w:cstheme="minorHAnsi"/>
          <w:b/>
          <w:bCs/>
          <w:szCs w:val="24"/>
        </w:rPr>
      </w:pPr>
      <w:r w:rsidRPr="00BA5395">
        <w:rPr>
          <w:rFonts w:asciiTheme="minorHAnsi" w:hAnsiTheme="minorHAnsi" w:cstheme="minorHAnsi"/>
          <w:bCs/>
          <w:szCs w:val="24"/>
        </w:rPr>
        <w:t>9.1</w:t>
      </w:r>
      <w:r w:rsidRPr="00BA5395">
        <w:rPr>
          <w:rFonts w:asciiTheme="minorHAnsi" w:hAnsiTheme="minorHAnsi" w:cstheme="minorHAnsi"/>
          <w:b/>
          <w:bCs/>
          <w:szCs w:val="24"/>
        </w:rPr>
        <w:tab/>
      </w:r>
      <w:r w:rsidR="00457960" w:rsidRPr="00BA5395">
        <w:rPr>
          <w:rFonts w:asciiTheme="minorHAnsi" w:hAnsiTheme="minorHAnsi" w:cstheme="minorHAnsi"/>
          <w:b/>
          <w:bCs/>
          <w:szCs w:val="24"/>
        </w:rPr>
        <w:t>Se adopta.</w:t>
      </w:r>
    </w:p>
    <w:p w14:paraId="4730926B" w14:textId="4969A304" w:rsidR="00F61267" w:rsidRPr="00BA5395" w:rsidRDefault="005A0C61" w:rsidP="00BE42DA">
      <w:pPr>
        <w:rPr>
          <w:rFonts w:asciiTheme="minorHAnsi" w:hAnsiTheme="minorHAnsi" w:cstheme="minorHAnsi"/>
          <w:b/>
          <w:bCs/>
          <w:szCs w:val="24"/>
        </w:rPr>
      </w:pPr>
      <w:bookmarkStart w:id="85" w:name="lt_pId181"/>
      <w:r w:rsidRPr="00BA5395">
        <w:rPr>
          <w:rFonts w:asciiTheme="minorHAnsi" w:hAnsiTheme="minorHAnsi" w:cstheme="minorHAnsi"/>
          <w:b/>
          <w:bCs/>
          <w:szCs w:val="24"/>
        </w:rPr>
        <w:t>Proyecto de Resolución</w:t>
      </w:r>
      <w:r w:rsidR="00F61267" w:rsidRPr="00BA5395">
        <w:rPr>
          <w:rFonts w:asciiTheme="minorHAnsi" w:hAnsiTheme="minorHAnsi" w:cstheme="minorHAnsi"/>
          <w:b/>
          <w:bCs/>
          <w:szCs w:val="24"/>
        </w:rPr>
        <w:t xml:space="preserve"> 193 (Rev. Bucarest, 2022)</w:t>
      </w:r>
      <w:r w:rsidR="001A7ACA" w:rsidRPr="00BA5395">
        <w:rPr>
          <w:rFonts w:asciiTheme="minorHAnsi" w:hAnsiTheme="minorHAnsi" w:cstheme="minorHAnsi"/>
          <w:b/>
          <w:bCs/>
          <w:szCs w:val="24"/>
        </w:rPr>
        <w:t> –</w:t>
      </w:r>
      <w:r w:rsidR="00F61267" w:rsidRPr="00BA5395">
        <w:rPr>
          <w:rFonts w:asciiTheme="minorHAnsi" w:hAnsiTheme="minorHAnsi" w:cstheme="minorHAnsi"/>
          <w:b/>
          <w:bCs/>
          <w:szCs w:val="24"/>
        </w:rPr>
        <w:t xml:space="preserve"> </w:t>
      </w:r>
      <w:bookmarkStart w:id="86" w:name="_Toc406754317"/>
      <w:bookmarkEnd w:id="85"/>
      <w:r w:rsidR="00457960" w:rsidRPr="00BA5395">
        <w:rPr>
          <w:rFonts w:asciiTheme="minorHAnsi" w:hAnsiTheme="minorHAnsi" w:cstheme="minorHAnsi"/>
          <w:b/>
          <w:bCs/>
          <w:szCs w:val="24"/>
        </w:rPr>
        <w:t>Apoyo y asistencia a Iraq para proseguir la reconstrucción y el desarrollo de su sector de las telecomunicaciones</w:t>
      </w:r>
      <w:bookmarkEnd w:id="86"/>
      <w:r w:rsidR="00457960" w:rsidRPr="00BA5395">
        <w:rPr>
          <w:rFonts w:asciiTheme="minorHAnsi" w:hAnsiTheme="minorHAnsi" w:cstheme="minorHAnsi"/>
          <w:b/>
          <w:bCs/>
          <w:szCs w:val="24"/>
        </w:rPr>
        <w:t>/tecnologías de la información y la comunicación</w:t>
      </w:r>
    </w:p>
    <w:p w14:paraId="2D6DEC0A" w14:textId="116B5C42" w:rsidR="00F61267" w:rsidRPr="00BA5395" w:rsidRDefault="00F61267" w:rsidP="00BE42DA">
      <w:pPr>
        <w:rPr>
          <w:rFonts w:asciiTheme="minorHAnsi" w:hAnsiTheme="minorHAnsi" w:cstheme="minorHAnsi"/>
          <w:szCs w:val="24"/>
        </w:rPr>
      </w:pPr>
      <w:r w:rsidRPr="00BA5395">
        <w:rPr>
          <w:rFonts w:asciiTheme="minorHAnsi" w:hAnsiTheme="minorHAnsi" w:cstheme="minorHAnsi"/>
          <w:szCs w:val="24"/>
        </w:rPr>
        <w:t>9.2</w:t>
      </w:r>
      <w:r w:rsidRPr="00BA5395">
        <w:rPr>
          <w:rFonts w:asciiTheme="minorHAnsi" w:hAnsiTheme="minorHAnsi" w:cstheme="minorHAnsi"/>
          <w:szCs w:val="24"/>
        </w:rPr>
        <w:tab/>
      </w:r>
      <w:bookmarkStart w:id="87" w:name="lt_pId183"/>
      <w:r w:rsidR="00762317" w:rsidRPr="00BA5395">
        <w:rPr>
          <w:rFonts w:asciiTheme="minorHAnsi" w:hAnsiTheme="minorHAnsi" w:cstheme="minorHAnsi"/>
          <w:szCs w:val="24"/>
        </w:rPr>
        <w:t xml:space="preserve">El </w:t>
      </w:r>
      <w:r w:rsidR="00762317" w:rsidRPr="00BA5395">
        <w:rPr>
          <w:rFonts w:asciiTheme="minorHAnsi" w:hAnsiTheme="minorHAnsi" w:cstheme="minorHAnsi"/>
          <w:b/>
          <w:bCs/>
          <w:szCs w:val="24"/>
        </w:rPr>
        <w:t>delegado</w:t>
      </w:r>
      <w:r w:rsidRPr="00BA5395">
        <w:rPr>
          <w:rFonts w:asciiTheme="minorHAnsi" w:hAnsiTheme="minorHAnsi" w:cstheme="minorHAnsi"/>
          <w:b/>
          <w:bCs/>
          <w:szCs w:val="24"/>
        </w:rPr>
        <w:t xml:space="preserve"> </w:t>
      </w:r>
      <w:r w:rsidR="00762317" w:rsidRPr="00BA5395">
        <w:rPr>
          <w:rFonts w:asciiTheme="minorHAnsi" w:hAnsiTheme="minorHAnsi" w:cstheme="minorHAnsi"/>
          <w:b/>
          <w:bCs/>
          <w:szCs w:val="24"/>
        </w:rPr>
        <w:t xml:space="preserve">de </w:t>
      </w:r>
      <w:r w:rsidRPr="00BA5395">
        <w:rPr>
          <w:rFonts w:asciiTheme="minorHAnsi" w:hAnsiTheme="minorHAnsi" w:cstheme="minorHAnsi"/>
          <w:b/>
          <w:bCs/>
          <w:szCs w:val="24"/>
        </w:rPr>
        <w:t>Jordan</w:t>
      </w:r>
      <w:r w:rsidR="00762317" w:rsidRPr="00BA5395">
        <w:rPr>
          <w:rFonts w:asciiTheme="minorHAnsi" w:hAnsiTheme="minorHAnsi" w:cstheme="minorHAnsi"/>
          <w:b/>
          <w:bCs/>
          <w:szCs w:val="24"/>
        </w:rPr>
        <w:t>ia</w:t>
      </w:r>
      <w:r w:rsidRPr="00BA5395">
        <w:rPr>
          <w:rFonts w:asciiTheme="minorHAnsi" w:hAnsiTheme="minorHAnsi" w:cstheme="minorHAnsi"/>
          <w:szCs w:val="24"/>
        </w:rPr>
        <w:t xml:space="preserve"> </w:t>
      </w:r>
      <w:r w:rsidR="00762317" w:rsidRPr="00BA5395">
        <w:rPr>
          <w:rFonts w:asciiTheme="minorHAnsi" w:hAnsiTheme="minorHAnsi" w:cstheme="minorHAnsi"/>
          <w:szCs w:val="24"/>
        </w:rPr>
        <w:t xml:space="preserve">solicita que la Comisión de Redacción compruebe que la redacción en árabe de la expresión </w:t>
      </w:r>
      <w:r w:rsidRPr="00BA5395">
        <w:rPr>
          <w:rFonts w:asciiTheme="minorHAnsi" w:hAnsiTheme="minorHAnsi" w:cstheme="minorHAnsi"/>
          <w:i/>
          <w:iCs/>
          <w:szCs w:val="24"/>
        </w:rPr>
        <w:t>invit</w:t>
      </w:r>
      <w:r w:rsidR="00762317" w:rsidRPr="00BA5395">
        <w:rPr>
          <w:rFonts w:asciiTheme="minorHAnsi" w:hAnsiTheme="minorHAnsi" w:cstheme="minorHAnsi"/>
          <w:i/>
          <w:iCs/>
          <w:szCs w:val="24"/>
        </w:rPr>
        <w:t>a a los Estados Miembros</w:t>
      </w:r>
      <w:r w:rsidRPr="00BA5395">
        <w:rPr>
          <w:rFonts w:asciiTheme="minorHAnsi" w:hAnsiTheme="minorHAnsi" w:cstheme="minorHAnsi"/>
          <w:szCs w:val="24"/>
        </w:rPr>
        <w:t xml:space="preserve"> </w:t>
      </w:r>
      <w:r w:rsidR="00762317" w:rsidRPr="00BA5395">
        <w:rPr>
          <w:rFonts w:asciiTheme="minorHAnsi" w:hAnsiTheme="minorHAnsi" w:cstheme="minorHAnsi"/>
          <w:szCs w:val="24"/>
        </w:rPr>
        <w:t>se ajusta a la versión en inglés</w:t>
      </w:r>
      <w:r w:rsidRPr="00BA5395">
        <w:rPr>
          <w:rFonts w:asciiTheme="minorHAnsi" w:hAnsiTheme="minorHAnsi" w:cstheme="minorHAnsi"/>
          <w:szCs w:val="24"/>
        </w:rPr>
        <w:t>.</w:t>
      </w:r>
      <w:bookmarkEnd w:id="87"/>
    </w:p>
    <w:p w14:paraId="6D04F4F3" w14:textId="7B00D8C0" w:rsidR="00F61267" w:rsidRPr="00BA5395" w:rsidRDefault="00F61267" w:rsidP="00BE42DA">
      <w:pPr>
        <w:rPr>
          <w:rFonts w:asciiTheme="minorHAnsi" w:hAnsiTheme="minorHAnsi" w:cstheme="minorHAnsi"/>
          <w:szCs w:val="24"/>
        </w:rPr>
      </w:pPr>
      <w:r w:rsidRPr="00BA5395">
        <w:rPr>
          <w:rFonts w:asciiTheme="minorHAnsi" w:hAnsiTheme="minorHAnsi" w:cstheme="minorHAnsi"/>
          <w:szCs w:val="24"/>
        </w:rPr>
        <w:t>9.3</w:t>
      </w:r>
      <w:r w:rsidRPr="00BA5395">
        <w:rPr>
          <w:rFonts w:asciiTheme="minorHAnsi" w:hAnsiTheme="minorHAnsi" w:cstheme="minorHAnsi"/>
          <w:szCs w:val="24"/>
        </w:rPr>
        <w:tab/>
      </w:r>
      <w:bookmarkStart w:id="88" w:name="lt_pId185"/>
      <w:r w:rsidR="00D82F1D" w:rsidRPr="00BA5395">
        <w:rPr>
          <w:rFonts w:asciiTheme="minorHAnsi" w:hAnsiTheme="minorHAnsi" w:cstheme="minorHAnsi"/>
          <w:b/>
          <w:szCs w:val="24"/>
        </w:rPr>
        <w:t>Se</w:t>
      </w:r>
      <w:r w:rsidR="00D82F1D" w:rsidRPr="00BA5395">
        <w:rPr>
          <w:rFonts w:asciiTheme="minorHAnsi" w:hAnsiTheme="minorHAnsi" w:cstheme="minorHAnsi"/>
          <w:szCs w:val="24"/>
        </w:rPr>
        <w:t xml:space="preserve"> </w:t>
      </w:r>
      <w:r w:rsidR="00D82F1D" w:rsidRPr="00BA5395">
        <w:rPr>
          <w:rFonts w:asciiTheme="minorHAnsi" w:hAnsiTheme="minorHAnsi" w:cstheme="minorHAnsi"/>
          <w:b/>
          <w:szCs w:val="24"/>
        </w:rPr>
        <w:t>adopta</w:t>
      </w:r>
      <w:r w:rsidR="00D82F1D" w:rsidRPr="00BA5395">
        <w:rPr>
          <w:rFonts w:asciiTheme="minorHAnsi" w:hAnsiTheme="minorHAnsi" w:cstheme="minorHAnsi"/>
          <w:szCs w:val="24"/>
        </w:rPr>
        <w:t xml:space="preserve"> con esa condición el </w:t>
      </w:r>
      <w:r w:rsidR="00F82378" w:rsidRPr="00BA5395">
        <w:rPr>
          <w:rFonts w:asciiTheme="minorHAnsi" w:hAnsiTheme="minorHAnsi" w:cstheme="minorHAnsi"/>
          <w:szCs w:val="24"/>
        </w:rPr>
        <w:t>p</w:t>
      </w:r>
      <w:r w:rsidR="00D82F1D" w:rsidRPr="00BA5395">
        <w:rPr>
          <w:rFonts w:asciiTheme="minorHAnsi" w:hAnsiTheme="minorHAnsi" w:cstheme="minorHAnsi"/>
          <w:szCs w:val="24"/>
        </w:rPr>
        <w:t>royecto de Resolución </w:t>
      </w:r>
      <w:r w:rsidRPr="00BA5395">
        <w:rPr>
          <w:rFonts w:asciiTheme="minorHAnsi" w:hAnsiTheme="minorHAnsi" w:cstheme="minorHAnsi"/>
          <w:szCs w:val="24"/>
        </w:rPr>
        <w:t>193 (Rev. Bucarest, 2022).</w:t>
      </w:r>
      <w:bookmarkEnd w:id="88"/>
    </w:p>
    <w:p w14:paraId="4AF1A334" w14:textId="1D528F01" w:rsidR="00457960" w:rsidRPr="00BA5395" w:rsidRDefault="00F61267" w:rsidP="00BE42DA">
      <w:pPr>
        <w:rPr>
          <w:rFonts w:asciiTheme="minorHAnsi" w:hAnsiTheme="minorHAnsi" w:cstheme="minorHAnsi"/>
          <w:szCs w:val="24"/>
        </w:rPr>
      </w:pPr>
      <w:r w:rsidRPr="00BA5395">
        <w:rPr>
          <w:rFonts w:asciiTheme="minorHAnsi" w:hAnsiTheme="minorHAnsi" w:cstheme="minorHAnsi"/>
          <w:szCs w:val="24"/>
        </w:rPr>
        <w:t>9.4</w:t>
      </w:r>
      <w:r w:rsidRPr="00BA5395">
        <w:rPr>
          <w:rFonts w:asciiTheme="minorHAnsi" w:hAnsiTheme="minorHAnsi" w:cstheme="minorHAnsi"/>
          <w:szCs w:val="24"/>
        </w:rPr>
        <w:tab/>
      </w:r>
      <w:bookmarkStart w:id="89" w:name="lt_pId187"/>
      <w:r w:rsidR="00457960" w:rsidRPr="00BA5395">
        <w:rPr>
          <w:rFonts w:asciiTheme="minorHAnsi" w:hAnsiTheme="minorHAnsi" w:cstheme="minorHAnsi"/>
          <w:b/>
          <w:bCs/>
          <w:szCs w:val="24"/>
        </w:rPr>
        <w:t xml:space="preserve">Se </w:t>
      </w:r>
      <w:r w:rsidR="00457960" w:rsidRPr="00BA5395">
        <w:rPr>
          <w:rFonts w:asciiTheme="minorHAnsi" w:hAnsiTheme="minorHAnsi" w:cstheme="minorHAnsi"/>
          <w:b/>
          <w:szCs w:val="24"/>
        </w:rPr>
        <w:t>aprueba</w:t>
      </w:r>
      <w:r w:rsidR="00457960" w:rsidRPr="00BA5395">
        <w:rPr>
          <w:rFonts w:asciiTheme="minorHAnsi" w:hAnsiTheme="minorHAnsi" w:cstheme="minorHAnsi"/>
          <w:szCs w:val="24"/>
        </w:rPr>
        <w:t xml:space="preserve"> en primera lectura la </w:t>
      </w:r>
      <w:r w:rsidR="00457960" w:rsidRPr="00BA5395">
        <w:rPr>
          <w:rFonts w:eastAsiaTheme="minorHAnsi"/>
        </w:rPr>
        <w:t>decimosegunda</w:t>
      </w:r>
      <w:r w:rsidR="00457960" w:rsidRPr="00BA5395">
        <w:rPr>
          <w:rFonts w:asciiTheme="minorHAnsi" w:hAnsiTheme="minorHAnsi" w:cstheme="minorHAnsi"/>
          <w:szCs w:val="24"/>
        </w:rPr>
        <w:t xml:space="preserve"> serie de textos sometidos por la Comisión de Redacción (</w:t>
      </w:r>
      <w:proofErr w:type="spellStart"/>
      <w:r w:rsidR="00457960" w:rsidRPr="00BA5395">
        <w:rPr>
          <w:rFonts w:asciiTheme="minorHAnsi" w:hAnsiTheme="minorHAnsi" w:cstheme="minorHAnsi"/>
          <w:szCs w:val="24"/>
        </w:rPr>
        <w:t>B1</w:t>
      </w:r>
      <w:r w:rsidR="00BC2EEB" w:rsidRPr="00BA5395">
        <w:rPr>
          <w:rFonts w:asciiTheme="minorHAnsi" w:hAnsiTheme="minorHAnsi" w:cstheme="minorHAnsi"/>
          <w:szCs w:val="24"/>
        </w:rPr>
        <w:t>2</w:t>
      </w:r>
      <w:proofErr w:type="spellEnd"/>
      <w:r w:rsidR="00457960" w:rsidRPr="00BA5395">
        <w:rPr>
          <w:rFonts w:asciiTheme="minorHAnsi" w:hAnsiTheme="minorHAnsi" w:cstheme="minorHAnsi"/>
          <w:szCs w:val="24"/>
        </w:rPr>
        <w:t>) (Documento 153).</w:t>
      </w:r>
    </w:p>
    <w:bookmarkEnd w:id="89"/>
    <w:p w14:paraId="1E943955" w14:textId="52A31C33" w:rsidR="00F61267" w:rsidRPr="00BA5395" w:rsidRDefault="00F61267" w:rsidP="00457960">
      <w:pPr>
        <w:pStyle w:val="Heading1"/>
        <w:rPr>
          <w:rFonts w:asciiTheme="minorHAnsi" w:hAnsiTheme="minorHAnsi" w:cstheme="minorHAnsi"/>
          <w:b w:val="0"/>
          <w:bCs/>
          <w:szCs w:val="24"/>
        </w:rPr>
      </w:pPr>
      <w:r w:rsidRPr="00BA5395">
        <w:rPr>
          <w:rFonts w:asciiTheme="minorHAnsi" w:hAnsiTheme="minorHAnsi" w:cstheme="minorHAnsi"/>
          <w:bCs/>
          <w:szCs w:val="24"/>
        </w:rPr>
        <w:t>10</w:t>
      </w:r>
      <w:r w:rsidRPr="00BA5395">
        <w:rPr>
          <w:rFonts w:asciiTheme="minorHAnsi" w:hAnsiTheme="minorHAnsi" w:cstheme="minorHAnsi"/>
          <w:bCs/>
          <w:szCs w:val="24"/>
        </w:rPr>
        <w:tab/>
      </w:r>
      <w:bookmarkStart w:id="90" w:name="lt_pId189"/>
      <w:proofErr w:type="gramStart"/>
      <w:r w:rsidR="00457960" w:rsidRPr="00BA5395">
        <w:rPr>
          <w:rFonts w:asciiTheme="minorHAnsi" w:eastAsiaTheme="minorHAnsi" w:hAnsiTheme="minorHAnsi" w:cstheme="minorHAnsi"/>
          <w:szCs w:val="24"/>
        </w:rPr>
        <w:t>Decimosegunda</w:t>
      </w:r>
      <w:proofErr w:type="gramEnd"/>
      <w:r w:rsidR="00457960" w:rsidRPr="00BA5395">
        <w:rPr>
          <w:rFonts w:asciiTheme="minorHAnsi" w:eastAsiaTheme="minorHAnsi" w:hAnsiTheme="minorHAnsi" w:cstheme="minorHAnsi"/>
          <w:szCs w:val="24"/>
        </w:rPr>
        <w:t xml:space="preserve"> serie de textos sometidos por la Comisión de Redacción – segunda lectura</w:t>
      </w:r>
      <w:r w:rsidRPr="00BA5395">
        <w:rPr>
          <w:rFonts w:asciiTheme="minorHAnsi" w:hAnsiTheme="minorHAnsi" w:cstheme="minorHAnsi"/>
          <w:bCs/>
          <w:szCs w:val="24"/>
        </w:rPr>
        <w:t xml:space="preserve"> (Document</w:t>
      </w:r>
      <w:r w:rsidR="00457960" w:rsidRPr="00BA5395">
        <w:rPr>
          <w:rFonts w:asciiTheme="minorHAnsi" w:hAnsiTheme="minorHAnsi" w:cstheme="minorHAnsi"/>
          <w:bCs/>
          <w:szCs w:val="24"/>
        </w:rPr>
        <w:t>o</w:t>
      </w:r>
      <w:r w:rsidRPr="00BA5395">
        <w:rPr>
          <w:rFonts w:asciiTheme="minorHAnsi" w:hAnsiTheme="minorHAnsi" w:cstheme="minorHAnsi"/>
          <w:bCs/>
          <w:szCs w:val="24"/>
        </w:rPr>
        <w:t xml:space="preserve"> </w:t>
      </w:r>
      <w:hyperlink r:id="rId24" w:history="1">
        <w:r w:rsidRPr="00BA5395">
          <w:rPr>
            <w:rStyle w:val="Hyperlink"/>
            <w:rFonts w:asciiTheme="minorHAnsi" w:hAnsiTheme="minorHAnsi" w:cstheme="minorHAnsi"/>
            <w:bCs/>
            <w:szCs w:val="24"/>
          </w:rPr>
          <w:t>153</w:t>
        </w:r>
      </w:hyperlink>
      <w:r w:rsidRPr="00BA5395">
        <w:rPr>
          <w:rFonts w:asciiTheme="minorHAnsi" w:hAnsiTheme="minorHAnsi" w:cstheme="minorHAnsi"/>
          <w:bCs/>
          <w:szCs w:val="24"/>
        </w:rPr>
        <w:t>)</w:t>
      </w:r>
      <w:bookmarkEnd w:id="90"/>
    </w:p>
    <w:p w14:paraId="4130A2EF" w14:textId="26231B6D" w:rsidR="00457960" w:rsidRPr="00BA5395" w:rsidRDefault="00F61267" w:rsidP="00BE42DA">
      <w:r w:rsidRPr="00BA5395">
        <w:t>10.1</w:t>
      </w:r>
      <w:r w:rsidRPr="00BA5395">
        <w:tab/>
      </w:r>
      <w:bookmarkStart w:id="91" w:name="lt_pId191"/>
      <w:r w:rsidR="00457960" w:rsidRPr="00BA5395">
        <w:rPr>
          <w:b/>
          <w:bCs/>
        </w:rPr>
        <w:t>Se a</w:t>
      </w:r>
      <w:r w:rsidR="00457960" w:rsidRPr="00BA5395">
        <w:rPr>
          <w:b/>
        </w:rPr>
        <w:t>prueba</w:t>
      </w:r>
      <w:r w:rsidR="00457960" w:rsidRPr="00BA5395">
        <w:t xml:space="preserve"> en segunda lectura la </w:t>
      </w:r>
      <w:r w:rsidR="00457960" w:rsidRPr="00BA5395">
        <w:rPr>
          <w:rFonts w:eastAsiaTheme="minorHAnsi"/>
        </w:rPr>
        <w:t>decimosegunda</w:t>
      </w:r>
      <w:r w:rsidR="00457960" w:rsidRPr="00BA5395">
        <w:t xml:space="preserve"> serie de textos sometidos por la Comisión de Redacción (Documento 153).</w:t>
      </w:r>
    </w:p>
    <w:bookmarkEnd w:id="91"/>
    <w:p w14:paraId="34144736" w14:textId="09BD9A14" w:rsidR="00F61267" w:rsidRPr="00BA5395" w:rsidRDefault="00F61267" w:rsidP="0062579A">
      <w:pPr>
        <w:pStyle w:val="Heading1"/>
        <w:rPr>
          <w:rFonts w:asciiTheme="minorHAnsi" w:hAnsiTheme="minorHAnsi" w:cstheme="minorHAnsi"/>
          <w:szCs w:val="24"/>
        </w:rPr>
      </w:pPr>
      <w:r w:rsidRPr="00BA5395">
        <w:rPr>
          <w:rFonts w:asciiTheme="minorHAnsi" w:hAnsiTheme="minorHAnsi" w:cstheme="minorHAnsi"/>
          <w:bCs/>
          <w:szCs w:val="24"/>
        </w:rPr>
        <w:t>11</w:t>
      </w:r>
      <w:r w:rsidRPr="00BA5395">
        <w:rPr>
          <w:rFonts w:asciiTheme="minorHAnsi" w:hAnsiTheme="minorHAnsi" w:cstheme="minorHAnsi"/>
          <w:bCs/>
          <w:szCs w:val="24"/>
        </w:rPr>
        <w:tab/>
      </w:r>
      <w:bookmarkStart w:id="92" w:name="lt_pId193"/>
      <w:proofErr w:type="gramStart"/>
      <w:r w:rsidR="0062579A" w:rsidRPr="0057418C">
        <w:rPr>
          <w:rFonts w:eastAsiaTheme="minorHAnsi"/>
        </w:rPr>
        <w:t>Decimotercera</w:t>
      </w:r>
      <w:proofErr w:type="gramEnd"/>
      <w:r w:rsidR="0062579A" w:rsidRPr="0057418C">
        <w:rPr>
          <w:rFonts w:eastAsiaTheme="minorHAnsi"/>
        </w:rPr>
        <w:t xml:space="preserve"> serie </w:t>
      </w:r>
      <w:r w:rsidR="0062579A" w:rsidRPr="0057418C">
        <w:rPr>
          <w:rFonts w:asciiTheme="minorHAnsi" w:eastAsiaTheme="minorHAnsi" w:hAnsiTheme="minorHAnsi" w:cstheme="minorHAnsi"/>
          <w:szCs w:val="24"/>
        </w:rPr>
        <w:t>de</w:t>
      </w:r>
      <w:r w:rsidR="0062579A" w:rsidRPr="0057418C">
        <w:rPr>
          <w:rFonts w:eastAsiaTheme="minorHAnsi"/>
        </w:rPr>
        <w:t xml:space="preserve"> textos sometidos por la Comisión de Redacción en primera lectura</w:t>
      </w:r>
      <w:r w:rsidRPr="0057418C">
        <w:rPr>
          <w:rFonts w:asciiTheme="minorHAnsi" w:hAnsiTheme="minorHAnsi" w:cstheme="minorHAnsi"/>
          <w:bCs/>
          <w:szCs w:val="24"/>
        </w:rPr>
        <w:t xml:space="preserve"> (</w:t>
      </w:r>
      <w:proofErr w:type="spellStart"/>
      <w:r w:rsidRPr="0057418C">
        <w:rPr>
          <w:rFonts w:asciiTheme="minorHAnsi" w:hAnsiTheme="minorHAnsi" w:cstheme="minorHAnsi"/>
          <w:bCs/>
          <w:szCs w:val="24"/>
        </w:rPr>
        <w:t>B13</w:t>
      </w:r>
      <w:proofErr w:type="spellEnd"/>
      <w:r w:rsidRPr="0057418C">
        <w:rPr>
          <w:rFonts w:asciiTheme="minorHAnsi" w:hAnsiTheme="minorHAnsi" w:cstheme="minorHAnsi"/>
          <w:bCs/>
          <w:szCs w:val="24"/>
        </w:rPr>
        <w:t>) (Document</w:t>
      </w:r>
      <w:r w:rsidR="00D421BA" w:rsidRPr="0057418C">
        <w:rPr>
          <w:rFonts w:asciiTheme="minorHAnsi" w:hAnsiTheme="minorHAnsi" w:cstheme="minorHAnsi"/>
          <w:bCs/>
          <w:szCs w:val="24"/>
        </w:rPr>
        <w:t>o</w:t>
      </w:r>
      <w:r w:rsidRPr="0057418C">
        <w:rPr>
          <w:rFonts w:asciiTheme="minorHAnsi" w:hAnsiTheme="minorHAnsi" w:cstheme="minorHAnsi"/>
          <w:bCs/>
          <w:szCs w:val="24"/>
        </w:rPr>
        <w:t xml:space="preserve"> </w:t>
      </w:r>
      <w:hyperlink r:id="rId25" w:history="1">
        <w:r w:rsidRPr="0057418C">
          <w:rPr>
            <w:rStyle w:val="Hyperlink"/>
            <w:rFonts w:asciiTheme="minorHAnsi" w:hAnsiTheme="minorHAnsi" w:cstheme="minorHAnsi"/>
            <w:bCs/>
            <w:szCs w:val="24"/>
          </w:rPr>
          <w:t>154</w:t>
        </w:r>
      </w:hyperlink>
      <w:r w:rsidRPr="0057418C">
        <w:rPr>
          <w:rFonts w:asciiTheme="minorHAnsi" w:hAnsiTheme="minorHAnsi" w:cstheme="minorHAnsi"/>
          <w:bCs/>
          <w:szCs w:val="24"/>
        </w:rPr>
        <w:t>)</w:t>
      </w:r>
      <w:bookmarkEnd w:id="92"/>
    </w:p>
    <w:p w14:paraId="08FCAE86" w14:textId="14A224E4" w:rsidR="00F61267" w:rsidRPr="00BA5395" w:rsidRDefault="005A0C61" w:rsidP="00BE42DA">
      <w:pPr>
        <w:rPr>
          <w:rFonts w:asciiTheme="minorHAnsi" w:hAnsiTheme="minorHAnsi" w:cstheme="minorHAnsi"/>
          <w:b/>
          <w:bCs/>
          <w:szCs w:val="24"/>
        </w:rPr>
      </w:pPr>
      <w:bookmarkStart w:id="93" w:name="lt_pId194"/>
      <w:r w:rsidRPr="00BA5395">
        <w:rPr>
          <w:rFonts w:asciiTheme="minorHAnsi" w:hAnsiTheme="minorHAnsi" w:cstheme="minorHAnsi"/>
          <w:b/>
          <w:bCs/>
          <w:szCs w:val="24"/>
        </w:rPr>
        <w:t>Proyecto de Resolución</w:t>
      </w:r>
      <w:r w:rsidR="00F61267" w:rsidRPr="00BA5395">
        <w:rPr>
          <w:rFonts w:asciiTheme="minorHAnsi" w:hAnsiTheme="minorHAnsi" w:cstheme="minorHAnsi"/>
          <w:b/>
          <w:bCs/>
          <w:szCs w:val="24"/>
        </w:rPr>
        <w:t xml:space="preserve"> 70 (Rev. Bucarest, 2022)</w:t>
      </w:r>
      <w:r w:rsidR="001A7ACA" w:rsidRPr="00BA5395">
        <w:rPr>
          <w:rFonts w:asciiTheme="minorHAnsi" w:hAnsiTheme="minorHAnsi" w:cstheme="minorHAnsi"/>
          <w:b/>
          <w:bCs/>
          <w:szCs w:val="24"/>
        </w:rPr>
        <w:t> –</w:t>
      </w:r>
      <w:r w:rsidR="00F61267" w:rsidRPr="00BA5395">
        <w:rPr>
          <w:rFonts w:asciiTheme="minorHAnsi" w:hAnsiTheme="minorHAnsi" w:cstheme="minorHAnsi"/>
          <w:b/>
          <w:bCs/>
          <w:szCs w:val="24"/>
        </w:rPr>
        <w:t xml:space="preserve"> </w:t>
      </w:r>
      <w:bookmarkEnd w:id="93"/>
      <w:r w:rsidR="005E7A15" w:rsidRPr="00BA5395">
        <w:rPr>
          <w:rFonts w:asciiTheme="minorHAnsi" w:hAnsiTheme="minorHAnsi" w:cstheme="minorHAnsi"/>
          <w:b/>
          <w:bCs/>
          <w:szCs w:val="24"/>
        </w:rPr>
        <w:t>Incorporación de una perspectiva de género en la UIT y promoción de la igualdad de género y el empoderamiento de las mujeres y niñas por medio de las telecomunicaciones/tecnologías de la información y la comunicación</w:t>
      </w:r>
    </w:p>
    <w:p w14:paraId="60BFFE3B" w14:textId="389AB71D" w:rsidR="00F61267" w:rsidRPr="00BA5395" w:rsidRDefault="00F61267" w:rsidP="00BE42DA">
      <w:pPr>
        <w:rPr>
          <w:rFonts w:asciiTheme="minorHAnsi" w:hAnsiTheme="minorHAnsi" w:cstheme="minorHAnsi"/>
          <w:szCs w:val="24"/>
        </w:rPr>
      </w:pPr>
      <w:r w:rsidRPr="00BA5395">
        <w:rPr>
          <w:rFonts w:asciiTheme="minorHAnsi" w:hAnsiTheme="minorHAnsi" w:cstheme="minorHAnsi"/>
          <w:szCs w:val="24"/>
        </w:rPr>
        <w:lastRenderedPageBreak/>
        <w:t>11.1</w:t>
      </w:r>
      <w:r w:rsidRPr="00BA5395">
        <w:rPr>
          <w:rFonts w:asciiTheme="minorHAnsi" w:hAnsiTheme="minorHAnsi" w:cstheme="minorHAnsi"/>
          <w:szCs w:val="24"/>
        </w:rPr>
        <w:tab/>
      </w:r>
      <w:bookmarkStart w:id="94" w:name="lt_pId196"/>
      <w:r w:rsidR="00F82378" w:rsidRPr="00BA5395">
        <w:rPr>
          <w:rFonts w:asciiTheme="minorHAnsi" w:hAnsiTheme="minorHAnsi" w:cstheme="minorHAnsi"/>
          <w:szCs w:val="24"/>
        </w:rPr>
        <w:t xml:space="preserve">El </w:t>
      </w:r>
      <w:r w:rsidR="00F82378" w:rsidRPr="00BA5395">
        <w:rPr>
          <w:rFonts w:asciiTheme="minorHAnsi" w:hAnsiTheme="minorHAnsi" w:cstheme="minorHAnsi"/>
          <w:b/>
          <w:bCs/>
          <w:szCs w:val="24"/>
        </w:rPr>
        <w:t>delegado de Jordania</w:t>
      </w:r>
      <w:r w:rsidR="00F82378" w:rsidRPr="00BA5395">
        <w:rPr>
          <w:rFonts w:asciiTheme="minorHAnsi" w:hAnsiTheme="minorHAnsi" w:cstheme="minorHAnsi"/>
          <w:szCs w:val="24"/>
        </w:rPr>
        <w:t xml:space="preserve"> solicita que la Comisión de Redacción compruebe el término en árabe de la expresión </w:t>
      </w:r>
      <w:r w:rsidR="005E45B3" w:rsidRPr="00BA5395">
        <w:rPr>
          <w:rFonts w:asciiTheme="minorHAnsi" w:hAnsiTheme="minorHAnsi" w:cstheme="minorHAnsi"/>
          <w:szCs w:val="24"/>
        </w:rPr>
        <w:t>"</w:t>
      </w:r>
      <w:r w:rsidR="00F82378" w:rsidRPr="00BA5395">
        <w:rPr>
          <w:rFonts w:asciiTheme="minorHAnsi" w:hAnsiTheme="minorHAnsi" w:cstheme="minorHAnsi"/>
          <w:szCs w:val="24"/>
        </w:rPr>
        <w:t>incorporación</w:t>
      </w:r>
      <w:r w:rsidR="005E45B3" w:rsidRPr="00BA5395">
        <w:rPr>
          <w:rFonts w:asciiTheme="minorHAnsi" w:hAnsiTheme="minorHAnsi" w:cstheme="minorHAnsi"/>
          <w:szCs w:val="24"/>
        </w:rPr>
        <w:t>"</w:t>
      </w:r>
      <w:r w:rsidR="00F82378" w:rsidRPr="00BA5395">
        <w:rPr>
          <w:rFonts w:asciiTheme="minorHAnsi" w:hAnsiTheme="minorHAnsi" w:cstheme="minorHAnsi"/>
          <w:szCs w:val="24"/>
        </w:rPr>
        <w:t xml:space="preserve"> que aparece en el título del proyecto de Resolución</w:t>
      </w:r>
      <w:r w:rsidRPr="00BA5395">
        <w:rPr>
          <w:rFonts w:asciiTheme="minorHAnsi" w:hAnsiTheme="minorHAnsi" w:cstheme="minorHAnsi"/>
          <w:szCs w:val="24"/>
        </w:rPr>
        <w:t>.</w:t>
      </w:r>
      <w:bookmarkEnd w:id="94"/>
    </w:p>
    <w:p w14:paraId="4088F613" w14:textId="18515A60" w:rsidR="00F61267" w:rsidRPr="00BA5395" w:rsidRDefault="00F61267" w:rsidP="00BE42DA">
      <w:r w:rsidRPr="00BA5395">
        <w:rPr>
          <w:rFonts w:asciiTheme="minorHAnsi" w:hAnsiTheme="minorHAnsi" w:cstheme="minorHAnsi"/>
          <w:szCs w:val="24"/>
        </w:rPr>
        <w:t>11.2</w:t>
      </w:r>
      <w:r w:rsidRPr="00BA5395">
        <w:rPr>
          <w:rFonts w:asciiTheme="minorHAnsi" w:hAnsiTheme="minorHAnsi" w:cstheme="minorHAnsi"/>
          <w:szCs w:val="24"/>
        </w:rPr>
        <w:tab/>
      </w:r>
      <w:bookmarkStart w:id="95" w:name="lt_pId198"/>
      <w:r w:rsidR="00F82378" w:rsidRPr="00BA5395">
        <w:rPr>
          <w:rFonts w:asciiTheme="minorHAnsi" w:hAnsiTheme="minorHAnsi" w:cstheme="minorHAnsi"/>
          <w:b/>
          <w:szCs w:val="24"/>
        </w:rPr>
        <w:t>Se</w:t>
      </w:r>
      <w:r w:rsidR="00F82378" w:rsidRPr="00BA5395">
        <w:rPr>
          <w:rFonts w:asciiTheme="minorHAnsi" w:hAnsiTheme="minorHAnsi" w:cstheme="minorHAnsi"/>
          <w:szCs w:val="24"/>
        </w:rPr>
        <w:t xml:space="preserve"> </w:t>
      </w:r>
      <w:r w:rsidR="00F82378" w:rsidRPr="00BA5395">
        <w:rPr>
          <w:rFonts w:asciiTheme="minorHAnsi" w:hAnsiTheme="minorHAnsi" w:cstheme="minorHAnsi"/>
          <w:b/>
          <w:szCs w:val="24"/>
        </w:rPr>
        <w:t>adopta</w:t>
      </w:r>
      <w:r w:rsidR="00F82378" w:rsidRPr="00BA5395">
        <w:rPr>
          <w:rFonts w:asciiTheme="minorHAnsi" w:hAnsiTheme="minorHAnsi" w:cstheme="minorHAnsi"/>
          <w:szCs w:val="24"/>
        </w:rPr>
        <w:t xml:space="preserve"> con esa condición el proyecto de Resolución </w:t>
      </w:r>
      <w:r w:rsidRPr="00BA5395">
        <w:rPr>
          <w:rFonts w:asciiTheme="minorHAnsi" w:hAnsiTheme="minorHAnsi" w:cstheme="minorHAnsi"/>
          <w:szCs w:val="24"/>
        </w:rPr>
        <w:t>70 (Rev. Bucarest, 2022)</w:t>
      </w:r>
      <w:bookmarkEnd w:id="95"/>
      <w:r w:rsidR="00F82378" w:rsidRPr="00BA5395">
        <w:rPr>
          <w:rFonts w:asciiTheme="minorHAnsi" w:hAnsiTheme="minorHAnsi" w:cstheme="minorHAnsi"/>
          <w:szCs w:val="24"/>
        </w:rPr>
        <w:t>.</w:t>
      </w:r>
    </w:p>
    <w:p w14:paraId="61550C2B" w14:textId="4C4B9F4D" w:rsidR="00F61267" w:rsidRPr="00BA5395" w:rsidRDefault="005A0C61" w:rsidP="00BE42DA">
      <w:pPr>
        <w:rPr>
          <w:rFonts w:asciiTheme="minorHAnsi" w:hAnsiTheme="minorHAnsi" w:cstheme="minorHAnsi"/>
          <w:b/>
          <w:bCs/>
          <w:szCs w:val="24"/>
        </w:rPr>
      </w:pPr>
      <w:bookmarkStart w:id="96" w:name="lt_pId199"/>
      <w:r w:rsidRPr="00BA5395">
        <w:rPr>
          <w:rFonts w:asciiTheme="minorHAnsi" w:hAnsiTheme="minorHAnsi" w:cstheme="minorHAnsi"/>
          <w:b/>
          <w:bCs/>
          <w:szCs w:val="24"/>
        </w:rPr>
        <w:t>Proyecto de Resolución</w:t>
      </w:r>
      <w:r w:rsidR="00F61267" w:rsidRPr="00BA5395">
        <w:rPr>
          <w:rFonts w:asciiTheme="minorHAnsi" w:hAnsiTheme="minorHAnsi" w:cstheme="minorHAnsi"/>
          <w:b/>
          <w:bCs/>
          <w:szCs w:val="24"/>
        </w:rPr>
        <w:t xml:space="preserve"> 140 (Rev. </w:t>
      </w:r>
      <w:r w:rsidR="00EF136D" w:rsidRPr="00BA5395">
        <w:rPr>
          <w:rFonts w:asciiTheme="minorHAnsi" w:hAnsiTheme="minorHAnsi" w:cstheme="minorHAnsi"/>
          <w:b/>
          <w:bCs/>
          <w:szCs w:val="24"/>
        </w:rPr>
        <w:t>Bucarest</w:t>
      </w:r>
      <w:r w:rsidR="00F61267" w:rsidRPr="00BA5395">
        <w:rPr>
          <w:rFonts w:asciiTheme="minorHAnsi" w:hAnsiTheme="minorHAnsi" w:cstheme="minorHAnsi"/>
          <w:b/>
          <w:bCs/>
          <w:szCs w:val="24"/>
        </w:rPr>
        <w:t>, 2022)</w:t>
      </w:r>
      <w:r w:rsidR="001A7ACA" w:rsidRPr="00BA5395">
        <w:rPr>
          <w:rFonts w:asciiTheme="minorHAnsi" w:hAnsiTheme="minorHAnsi" w:cstheme="minorHAnsi"/>
          <w:b/>
          <w:bCs/>
          <w:szCs w:val="24"/>
        </w:rPr>
        <w:t> –</w:t>
      </w:r>
      <w:r w:rsidR="00F61267" w:rsidRPr="00BA5395">
        <w:rPr>
          <w:rFonts w:asciiTheme="minorHAnsi" w:hAnsiTheme="minorHAnsi" w:cstheme="minorHAnsi"/>
          <w:b/>
          <w:bCs/>
          <w:szCs w:val="24"/>
        </w:rPr>
        <w:t xml:space="preserve"> </w:t>
      </w:r>
      <w:bookmarkStart w:id="97" w:name="_Toc406754246"/>
      <w:bookmarkEnd w:id="96"/>
      <w:r w:rsidR="00B57A90" w:rsidRPr="00BA5395">
        <w:rPr>
          <w:rFonts w:asciiTheme="minorHAnsi" w:hAnsiTheme="minorHAnsi" w:cstheme="minorHAnsi"/>
          <w:b/>
          <w:bCs/>
          <w:szCs w:val="24"/>
        </w:rPr>
        <w:t>Función de la UIT en la aplicación de los resultados de la Cumbre Mundial sobre la Sociedad de la Información y de la Agenda 2030 para el Desarrollo Sostenible, así como en sus procesos de seguimiento y revisión</w:t>
      </w:r>
      <w:bookmarkEnd w:id="97"/>
    </w:p>
    <w:p w14:paraId="16C0C296" w14:textId="50364458" w:rsidR="00F61267" w:rsidRPr="00BA5395" w:rsidRDefault="00F61267" w:rsidP="00BE42DA">
      <w:pPr>
        <w:rPr>
          <w:rFonts w:asciiTheme="minorHAnsi" w:hAnsiTheme="minorHAnsi" w:cstheme="minorHAnsi"/>
          <w:b/>
          <w:bCs/>
          <w:szCs w:val="24"/>
        </w:rPr>
      </w:pPr>
      <w:r w:rsidRPr="00BE42DA">
        <w:rPr>
          <w:rFonts w:asciiTheme="minorHAnsi" w:hAnsiTheme="minorHAnsi" w:cstheme="minorHAnsi"/>
          <w:szCs w:val="24"/>
        </w:rPr>
        <w:t>11</w:t>
      </w:r>
      <w:r w:rsidRPr="00BA5395">
        <w:rPr>
          <w:rFonts w:asciiTheme="minorHAnsi" w:hAnsiTheme="minorHAnsi" w:cstheme="minorHAnsi"/>
          <w:bCs/>
          <w:szCs w:val="24"/>
        </w:rPr>
        <w:t>.3</w:t>
      </w:r>
      <w:r w:rsidRPr="00BA5395">
        <w:rPr>
          <w:rFonts w:asciiTheme="minorHAnsi" w:hAnsiTheme="minorHAnsi" w:cstheme="minorHAnsi"/>
          <w:b/>
          <w:bCs/>
          <w:szCs w:val="24"/>
        </w:rPr>
        <w:tab/>
      </w:r>
      <w:r w:rsidR="005E7A15" w:rsidRPr="00BA5395">
        <w:rPr>
          <w:rFonts w:asciiTheme="minorHAnsi" w:hAnsiTheme="minorHAnsi" w:cstheme="minorHAnsi"/>
          <w:b/>
          <w:bCs/>
          <w:szCs w:val="24"/>
        </w:rPr>
        <w:t>Se adopta.</w:t>
      </w:r>
    </w:p>
    <w:p w14:paraId="7BF5BCB8" w14:textId="5E879881" w:rsidR="00F61267" w:rsidRPr="00BA5395" w:rsidRDefault="005A0C61" w:rsidP="0057418C">
      <w:pPr>
        <w:tabs>
          <w:tab w:val="clear" w:pos="567"/>
          <w:tab w:val="clear" w:pos="1134"/>
          <w:tab w:val="clear" w:pos="1701"/>
          <w:tab w:val="clear" w:pos="2268"/>
          <w:tab w:val="clear" w:pos="2835"/>
        </w:tabs>
        <w:rPr>
          <w:rFonts w:asciiTheme="minorHAnsi" w:hAnsiTheme="minorHAnsi" w:cstheme="minorHAnsi"/>
          <w:b/>
          <w:bCs/>
          <w:szCs w:val="24"/>
        </w:rPr>
      </w:pPr>
      <w:bookmarkStart w:id="98" w:name="lt_pId202"/>
      <w:r w:rsidRPr="00BA5395">
        <w:rPr>
          <w:rFonts w:asciiTheme="minorHAnsi" w:hAnsiTheme="minorHAnsi" w:cstheme="minorHAnsi"/>
          <w:b/>
          <w:bCs/>
          <w:szCs w:val="24"/>
        </w:rPr>
        <w:t>Proyecto de Resolución</w:t>
      </w:r>
      <w:r w:rsidR="00F61267" w:rsidRPr="00BA5395">
        <w:rPr>
          <w:rFonts w:asciiTheme="minorHAnsi" w:hAnsiTheme="minorHAnsi" w:cstheme="minorHAnsi"/>
          <w:b/>
          <w:bCs/>
          <w:szCs w:val="24"/>
        </w:rPr>
        <w:t xml:space="preserve"> 179 (Rev. Bucarest, 2022)</w:t>
      </w:r>
      <w:r w:rsidR="001A7ACA" w:rsidRPr="00BA5395">
        <w:rPr>
          <w:rFonts w:asciiTheme="minorHAnsi" w:hAnsiTheme="minorHAnsi" w:cstheme="minorHAnsi"/>
          <w:b/>
          <w:bCs/>
          <w:szCs w:val="24"/>
        </w:rPr>
        <w:t> –</w:t>
      </w:r>
      <w:r w:rsidR="00F61267" w:rsidRPr="00BA5395">
        <w:rPr>
          <w:rFonts w:asciiTheme="minorHAnsi" w:hAnsiTheme="minorHAnsi" w:cstheme="minorHAnsi"/>
          <w:b/>
          <w:bCs/>
          <w:szCs w:val="24"/>
        </w:rPr>
        <w:t xml:space="preserve"> </w:t>
      </w:r>
      <w:bookmarkStart w:id="99" w:name="_Toc406754293"/>
      <w:bookmarkEnd w:id="98"/>
      <w:r w:rsidR="00BC1286" w:rsidRPr="00BA5395">
        <w:rPr>
          <w:rFonts w:asciiTheme="minorHAnsi" w:hAnsiTheme="minorHAnsi" w:cstheme="minorHAnsi"/>
          <w:b/>
          <w:bCs/>
          <w:szCs w:val="24"/>
        </w:rPr>
        <w:t>Función de la UIT en la protección de la infancia en línea</w:t>
      </w:r>
      <w:bookmarkEnd w:id="99"/>
    </w:p>
    <w:p w14:paraId="1D55E2F2" w14:textId="042C650E" w:rsidR="00F61267" w:rsidRPr="00BA5395" w:rsidRDefault="00F61267" w:rsidP="00BE42DA">
      <w:pPr>
        <w:rPr>
          <w:rFonts w:asciiTheme="minorHAnsi" w:hAnsiTheme="minorHAnsi" w:cstheme="minorHAnsi"/>
          <w:szCs w:val="24"/>
        </w:rPr>
      </w:pPr>
      <w:r w:rsidRPr="00BA5395">
        <w:rPr>
          <w:rFonts w:asciiTheme="minorHAnsi" w:hAnsiTheme="minorHAnsi" w:cstheme="minorHAnsi"/>
          <w:szCs w:val="24"/>
        </w:rPr>
        <w:t>11.4</w:t>
      </w:r>
      <w:r w:rsidRPr="00BA5395">
        <w:rPr>
          <w:rFonts w:asciiTheme="minorHAnsi" w:hAnsiTheme="minorHAnsi" w:cstheme="minorHAnsi"/>
          <w:szCs w:val="24"/>
        </w:rPr>
        <w:tab/>
      </w:r>
      <w:bookmarkStart w:id="100" w:name="lt_pId204"/>
      <w:r w:rsidR="003760F2" w:rsidRPr="00BA5395">
        <w:rPr>
          <w:rFonts w:asciiTheme="minorHAnsi" w:hAnsiTheme="minorHAnsi" w:cstheme="minorHAnsi"/>
          <w:szCs w:val="24"/>
        </w:rPr>
        <w:t>El</w:t>
      </w:r>
      <w:r w:rsidRPr="00BA5395">
        <w:rPr>
          <w:rFonts w:asciiTheme="minorHAnsi" w:hAnsiTheme="minorHAnsi" w:cstheme="minorHAnsi"/>
          <w:szCs w:val="24"/>
        </w:rPr>
        <w:t xml:space="preserve"> </w:t>
      </w:r>
      <w:r w:rsidR="003760F2" w:rsidRPr="00BA5395">
        <w:rPr>
          <w:rFonts w:asciiTheme="minorHAnsi" w:hAnsiTheme="minorHAnsi" w:cstheme="minorHAnsi"/>
          <w:b/>
          <w:bCs/>
          <w:szCs w:val="24"/>
        </w:rPr>
        <w:t>delegado de la</w:t>
      </w:r>
      <w:r w:rsidRPr="00BA5395">
        <w:rPr>
          <w:rFonts w:asciiTheme="minorHAnsi" w:hAnsiTheme="minorHAnsi" w:cstheme="minorHAnsi"/>
          <w:b/>
          <w:bCs/>
          <w:szCs w:val="24"/>
        </w:rPr>
        <w:t xml:space="preserve"> Argentina</w:t>
      </w:r>
      <w:r w:rsidRPr="00BA5395">
        <w:rPr>
          <w:rFonts w:asciiTheme="minorHAnsi" w:hAnsiTheme="minorHAnsi" w:cstheme="minorHAnsi"/>
          <w:szCs w:val="24"/>
        </w:rPr>
        <w:t xml:space="preserve">, </w:t>
      </w:r>
      <w:r w:rsidR="00272D72" w:rsidRPr="00BA5395">
        <w:rPr>
          <w:rFonts w:asciiTheme="minorHAnsi" w:hAnsiTheme="minorHAnsi" w:cstheme="minorHAnsi"/>
          <w:szCs w:val="24"/>
        </w:rPr>
        <w:t xml:space="preserve">con el apoyo de los </w:t>
      </w:r>
      <w:r w:rsidR="00272D72" w:rsidRPr="00BA5395">
        <w:rPr>
          <w:rFonts w:asciiTheme="minorHAnsi" w:hAnsiTheme="minorHAnsi" w:cstheme="minorHAnsi"/>
          <w:b/>
          <w:bCs/>
          <w:szCs w:val="24"/>
        </w:rPr>
        <w:t>delegados del</w:t>
      </w:r>
      <w:r w:rsidRPr="00BA5395">
        <w:rPr>
          <w:rFonts w:asciiTheme="minorHAnsi" w:hAnsiTheme="minorHAnsi" w:cstheme="minorHAnsi"/>
          <w:b/>
          <w:bCs/>
          <w:szCs w:val="24"/>
        </w:rPr>
        <w:t xml:space="preserve"> Uruguay</w:t>
      </w:r>
      <w:r w:rsidRPr="00BA5395">
        <w:rPr>
          <w:rFonts w:asciiTheme="minorHAnsi" w:hAnsiTheme="minorHAnsi" w:cstheme="minorHAnsi"/>
          <w:szCs w:val="24"/>
        </w:rPr>
        <w:t xml:space="preserve"> </w:t>
      </w:r>
      <w:r w:rsidR="00272D72" w:rsidRPr="00BA5395">
        <w:rPr>
          <w:rFonts w:asciiTheme="minorHAnsi" w:hAnsiTheme="minorHAnsi" w:cstheme="minorHAnsi"/>
          <w:szCs w:val="24"/>
        </w:rPr>
        <w:t xml:space="preserve">y </w:t>
      </w:r>
      <w:r w:rsidRPr="00BA5395">
        <w:rPr>
          <w:rFonts w:asciiTheme="minorHAnsi" w:hAnsiTheme="minorHAnsi" w:cstheme="minorHAnsi"/>
          <w:b/>
          <w:bCs/>
          <w:szCs w:val="24"/>
        </w:rPr>
        <w:t>M</w:t>
      </w:r>
      <w:r w:rsidR="00272D72" w:rsidRPr="00BA5395">
        <w:rPr>
          <w:rFonts w:asciiTheme="minorHAnsi" w:hAnsiTheme="minorHAnsi" w:cstheme="minorHAnsi"/>
          <w:b/>
          <w:bCs/>
          <w:szCs w:val="24"/>
        </w:rPr>
        <w:t>é</w:t>
      </w:r>
      <w:r w:rsidRPr="00BA5395">
        <w:rPr>
          <w:rFonts w:asciiTheme="minorHAnsi" w:hAnsiTheme="minorHAnsi" w:cstheme="minorHAnsi"/>
          <w:b/>
          <w:bCs/>
          <w:szCs w:val="24"/>
        </w:rPr>
        <w:t>xico</w:t>
      </w:r>
      <w:r w:rsidRPr="00BA5395">
        <w:rPr>
          <w:rFonts w:asciiTheme="minorHAnsi" w:hAnsiTheme="minorHAnsi" w:cstheme="minorHAnsi"/>
          <w:szCs w:val="24"/>
        </w:rPr>
        <w:t xml:space="preserve">, </w:t>
      </w:r>
      <w:r w:rsidR="00272D72" w:rsidRPr="00BA5395">
        <w:rPr>
          <w:rFonts w:asciiTheme="minorHAnsi" w:hAnsiTheme="minorHAnsi" w:cstheme="minorHAnsi"/>
          <w:szCs w:val="24"/>
        </w:rPr>
        <w:t>s</w:t>
      </w:r>
      <w:r w:rsidR="00B47EA7" w:rsidRPr="00BA5395">
        <w:rPr>
          <w:rFonts w:asciiTheme="minorHAnsi" w:hAnsiTheme="minorHAnsi" w:cstheme="minorHAnsi"/>
          <w:szCs w:val="24"/>
        </w:rPr>
        <w:t>olicita</w:t>
      </w:r>
      <w:r w:rsidR="00272D72" w:rsidRPr="00BA5395">
        <w:rPr>
          <w:rFonts w:asciiTheme="minorHAnsi" w:hAnsiTheme="minorHAnsi" w:cstheme="minorHAnsi"/>
          <w:szCs w:val="24"/>
        </w:rPr>
        <w:t xml:space="preserve"> que</w:t>
      </w:r>
      <w:r w:rsidRPr="00BA5395">
        <w:rPr>
          <w:rFonts w:asciiTheme="minorHAnsi" w:hAnsiTheme="minorHAnsi" w:cstheme="minorHAnsi"/>
          <w:szCs w:val="24"/>
        </w:rPr>
        <w:t xml:space="preserve"> </w:t>
      </w:r>
      <w:r w:rsidR="002D1E0E" w:rsidRPr="00BA5395">
        <w:rPr>
          <w:rFonts w:asciiTheme="minorHAnsi" w:hAnsiTheme="minorHAnsi" w:cstheme="minorHAnsi"/>
          <w:szCs w:val="24"/>
        </w:rPr>
        <w:t>se sustituya</w:t>
      </w:r>
      <w:r w:rsidRPr="00BA5395">
        <w:rPr>
          <w:rFonts w:asciiTheme="minorHAnsi" w:hAnsiTheme="minorHAnsi" w:cstheme="minorHAnsi"/>
          <w:szCs w:val="24"/>
        </w:rPr>
        <w:t xml:space="preserve"> </w:t>
      </w:r>
      <w:r w:rsidR="005E45B3" w:rsidRPr="00BA5395">
        <w:rPr>
          <w:rFonts w:asciiTheme="minorHAnsi" w:hAnsiTheme="minorHAnsi" w:cstheme="minorHAnsi"/>
          <w:szCs w:val="24"/>
        </w:rPr>
        <w:t>"</w:t>
      </w:r>
      <w:r w:rsidRPr="00BA5395">
        <w:rPr>
          <w:rFonts w:asciiTheme="minorHAnsi" w:hAnsiTheme="minorHAnsi" w:cstheme="minorHAnsi"/>
          <w:szCs w:val="24"/>
        </w:rPr>
        <w:t>los niños</w:t>
      </w:r>
      <w:r w:rsidR="005E45B3" w:rsidRPr="00BA5395">
        <w:rPr>
          <w:rFonts w:asciiTheme="minorHAnsi" w:hAnsiTheme="minorHAnsi" w:cstheme="minorHAnsi"/>
          <w:szCs w:val="24"/>
        </w:rPr>
        <w:t>"</w:t>
      </w:r>
      <w:r w:rsidRPr="00BA5395">
        <w:rPr>
          <w:rFonts w:asciiTheme="minorHAnsi" w:hAnsiTheme="minorHAnsi" w:cstheme="minorHAnsi"/>
          <w:szCs w:val="24"/>
        </w:rPr>
        <w:t xml:space="preserve"> </w:t>
      </w:r>
      <w:r w:rsidR="002D1E0E" w:rsidRPr="00BA5395">
        <w:rPr>
          <w:rFonts w:asciiTheme="minorHAnsi" w:hAnsiTheme="minorHAnsi" w:cstheme="minorHAnsi"/>
          <w:szCs w:val="24"/>
        </w:rPr>
        <w:t xml:space="preserve">por </w:t>
      </w:r>
      <w:r w:rsidR="005E45B3" w:rsidRPr="00BA5395">
        <w:rPr>
          <w:rFonts w:asciiTheme="minorHAnsi" w:hAnsiTheme="minorHAnsi" w:cstheme="minorHAnsi"/>
          <w:szCs w:val="24"/>
        </w:rPr>
        <w:t>"</w:t>
      </w:r>
      <w:proofErr w:type="gramStart"/>
      <w:r w:rsidRPr="00BA5395">
        <w:rPr>
          <w:rFonts w:asciiTheme="minorHAnsi" w:hAnsiTheme="minorHAnsi" w:cstheme="minorHAnsi"/>
          <w:szCs w:val="24"/>
        </w:rPr>
        <w:t>los niños y las niñas</w:t>
      </w:r>
      <w:proofErr w:type="gramEnd"/>
      <w:r w:rsidR="005E45B3" w:rsidRPr="00BA5395">
        <w:rPr>
          <w:rFonts w:asciiTheme="minorHAnsi" w:hAnsiTheme="minorHAnsi" w:cstheme="minorHAnsi"/>
          <w:szCs w:val="24"/>
        </w:rPr>
        <w:t>"</w:t>
      </w:r>
      <w:r w:rsidRPr="00BA5395">
        <w:rPr>
          <w:rFonts w:asciiTheme="minorHAnsi" w:hAnsiTheme="minorHAnsi" w:cstheme="minorHAnsi"/>
          <w:szCs w:val="24"/>
        </w:rPr>
        <w:t xml:space="preserve"> </w:t>
      </w:r>
      <w:r w:rsidR="002D1E0E" w:rsidRPr="00BA5395">
        <w:rPr>
          <w:rFonts w:asciiTheme="minorHAnsi" w:hAnsiTheme="minorHAnsi" w:cstheme="minorHAnsi"/>
          <w:szCs w:val="24"/>
        </w:rPr>
        <w:t>en la versión en español del proyecto de Resolución</w:t>
      </w:r>
      <w:bookmarkEnd w:id="100"/>
      <w:r w:rsidR="002D1E0E" w:rsidRPr="00BA5395">
        <w:rPr>
          <w:rFonts w:asciiTheme="minorHAnsi" w:hAnsiTheme="minorHAnsi" w:cstheme="minorHAnsi"/>
          <w:szCs w:val="24"/>
        </w:rPr>
        <w:t>.</w:t>
      </w:r>
    </w:p>
    <w:p w14:paraId="02F01A63" w14:textId="5C3105CF" w:rsidR="00F61267" w:rsidRPr="00BA5395" w:rsidRDefault="00F61267" w:rsidP="00BE42DA">
      <w:pPr>
        <w:rPr>
          <w:rFonts w:asciiTheme="minorHAnsi" w:hAnsiTheme="minorHAnsi" w:cstheme="minorHAnsi"/>
          <w:szCs w:val="24"/>
        </w:rPr>
      </w:pPr>
      <w:r w:rsidRPr="00BE42DA">
        <w:t>11</w:t>
      </w:r>
      <w:r w:rsidRPr="00BA5395">
        <w:rPr>
          <w:rFonts w:asciiTheme="minorHAnsi" w:hAnsiTheme="minorHAnsi" w:cstheme="minorHAnsi"/>
          <w:szCs w:val="24"/>
        </w:rPr>
        <w:t>.5</w:t>
      </w:r>
      <w:r w:rsidRPr="00BA5395">
        <w:rPr>
          <w:rFonts w:asciiTheme="minorHAnsi" w:hAnsiTheme="minorHAnsi" w:cstheme="minorHAnsi"/>
          <w:szCs w:val="24"/>
        </w:rPr>
        <w:tab/>
      </w:r>
      <w:bookmarkStart w:id="101" w:name="lt_pId206"/>
      <w:r w:rsidR="008D762C" w:rsidRPr="00BA5395">
        <w:rPr>
          <w:rFonts w:asciiTheme="minorHAnsi" w:hAnsiTheme="minorHAnsi" w:cstheme="minorHAnsi"/>
          <w:b/>
          <w:szCs w:val="24"/>
        </w:rPr>
        <w:t>Se</w:t>
      </w:r>
      <w:r w:rsidR="008D762C" w:rsidRPr="00BA5395">
        <w:rPr>
          <w:rFonts w:asciiTheme="minorHAnsi" w:hAnsiTheme="minorHAnsi" w:cstheme="minorHAnsi"/>
          <w:szCs w:val="24"/>
        </w:rPr>
        <w:t xml:space="preserve"> </w:t>
      </w:r>
      <w:r w:rsidR="008D762C" w:rsidRPr="00BA5395">
        <w:rPr>
          <w:rFonts w:asciiTheme="minorHAnsi" w:hAnsiTheme="minorHAnsi" w:cstheme="minorHAnsi"/>
          <w:b/>
          <w:szCs w:val="24"/>
        </w:rPr>
        <w:t>adopta</w:t>
      </w:r>
      <w:r w:rsidR="008D762C" w:rsidRPr="00BA5395">
        <w:rPr>
          <w:rFonts w:asciiTheme="minorHAnsi" w:hAnsiTheme="minorHAnsi" w:cstheme="minorHAnsi"/>
          <w:szCs w:val="24"/>
        </w:rPr>
        <w:t xml:space="preserve"> con esa condición el proyecto de Resolución </w:t>
      </w:r>
      <w:r w:rsidRPr="00BA5395">
        <w:rPr>
          <w:rFonts w:asciiTheme="minorHAnsi" w:hAnsiTheme="minorHAnsi" w:cstheme="minorHAnsi"/>
          <w:szCs w:val="24"/>
        </w:rPr>
        <w:t>179 (Rev. Bucarest, 2022)</w:t>
      </w:r>
      <w:bookmarkEnd w:id="101"/>
      <w:r w:rsidR="008D762C" w:rsidRPr="00BA5395">
        <w:rPr>
          <w:rFonts w:asciiTheme="minorHAnsi" w:hAnsiTheme="minorHAnsi" w:cstheme="minorHAnsi"/>
          <w:szCs w:val="24"/>
        </w:rPr>
        <w:t>.</w:t>
      </w:r>
    </w:p>
    <w:p w14:paraId="5030EB7B" w14:textId="4C7CFF38" w:rsidR="00F61267" w:rsidRPr="00BA5395" w:rsidRDefault="005A0C61" w:rsidP="00BE42DA">
      <w:pPr>
        <w:rPr>
          <w:rFonts w:asciiTheme="minorHAnsi" w:hAnsiTheme="minorHAnsi" w:cstheme="minorHAnsi"/>
          <w:b/>
          <w:bCs/>
          <w:szCs w:val="24"/>
        </w:rPr>
      </w:pPr>
      <w:bookmarkStart w:id="102" w:name="lt_pId207"/>
      <w:r w:rsidRPr="00BA5395">
        <w:rPr>
          <w:rFonts w:asciiTheme="minorHAnsi" w:hAnsiTheme="minorHAnsi" w:cstheme="minorHAnsi"/>
          <w:b/>
          <w:bCs/>
          <w:szCs w:val="24"/>
        </w:rPr>
        <w:t>Proyecto de Resolución</w:t>
      </w:r>
      <w:r w:rsidR="00BC1286" w:rsidRPr="00BA5395">
        <w:rPr>
          <w:rFonts w:asciiTheme="minorHAnsi" w:hAnsiTheme="minorHAnsi" w:cstheme="minorHAnsi"/>
          <w:b/>
          <w:bCs/>
          <w:szCs w:val="24"/>
        </w:rPr>
        <w:t xml:space="preserve"> </w:t>
      </w:r>
      <w:proofErr w:type="spellStart"/>
      <w:r w:rsidR="00BC1286" w:rsidRPr="00BA5395">
        <w:rPr>
          <w:rFonts w:asciiTheme="minorHAnsi" w:hAnsiTheme="minorHAnsi" w:cstheme="minorHAnsi"/>
          <w:b/>
          <w:bCs/>
          <w:szCs w:val="24"/>
        </w:rPr>
        <w:t>WGPL</w:t>
      </w:r>
      <w:proofErr w:type="spellEnd"/>
      <w:r w:rsidR="00BC1286" w:rsidRPr="00BA5395">
        <w:rPr>
          <w:rFonts w:asciiTheme="minorHAnsi" w:hAnsiTheme="minorHAnsi" w:cstheme="minorHAnsi"/>
          <w:b/>
          <w:bCs/>
          <w:szCs w:val="24"/>
        </w:rPr>
        <w:t>-1</w:t>
      </w:r>
      <w:r w:rsidR="001A7ACA" w:rsidRPr="00BA5395">
        <w:rPr>
          <w:rFonts w:asciiTheme="minorHAnsi" w:hAnsiTheme="minorHAnsi" w:cstheme="minorHAnsi"/>
          <w:b/>
          <w:bCs/>
          <w:szCs w:val="24"/>
        </w:rPr>
        <w:t> –</w:t>
      </w:r>
      <w:r w:rsidR="00F61267" w:rsidRPr="00BA5395">
        <w:rPr>
          <w:rFonts w:asciiTheme="minorHAnsi" w:hAnsiTheme="minorHAnsi" w:cstheme="minorHAnsi"/>
          <w:b/>
          <w:bCs/>
          <w:szCs w:val="24"/>
        </w:rPr>
        <w:t xml:space="preserve"> </w:t>
      </w:r>
      <w:bookmarkEnd w:id="102"/>
      <w:r w:rsidR="00BC1286" w:rsidRPr="00BA5395">
        <w:rPr>
          <w:rFonts w:asciiTheme="minorHAnsi" w:hAnsiTheme="minorHAnsi" w:cstheme="minorHAnsi"/>
          <w:b/>
          <w:bCs/>
          <w:szCs w:val="24"/>
        </w:rPr>
        <w:t>Las tecnologías de inteligencia artificial y las telecomunicaciones/tecnologías de la información y la comunicación</w:t>
      </w:r>
    </w:p>
    <w:p w14:paraId="7FC6AB45" w14:textId="3CDE2C8F" w:rsidR="00F61267" w:rsidRPr="00BA5395" w:rsidRDefault="00F61267" w:rsidP="00BE42DA">
      <w:pPr>
        <w:rPr>
          <w:rFonts w:asciiTheme="minorHAnsi" w:hAnsiTheme="minorHAnsi" w:cstheme="minorHAnsi"/>
          <w:szCs w:val="24"/>
        </w:rPr>
      </w:pPr>
      <w:r w:rsidRPr="00BA5395">
        <w:rPr>
          <w:rFonts w:asciiTheme="minorHAnsi" w:hAnsiTheme="minorHAnsi" w:cstheme="minorHAnsi"/>
          <w:bCs/>
          <w:szCs w:val="24"/>
        </w:rPr>
        <w:t>11.6</w:t>
      </w:r>
      <w:r w:rsidRPr="00BA5395">
        <w:rPr>
          <w:rFonts w:asciiTheme="minorHAnsi" w:hAnsiTheme="minorHAnsi" w:cstheme="minorHAnsi"/>
          <w:b/>
          <w:bCs/>
          <w:szCs w:val="24"/>
        </w:rPr>
        <w:tab/>
      </w:r>
      <w:bookmarkStart w:id="103" w:name="lt_pId209"/>
      <w:r w:rsidR="007F4F10" w:rsidRPr="00BA5395">
        <w:rPr>
          <w:rFonts w:asciiTheme="minorHAnsi" w:hAnsiTheme="minorHAnsi" w:cstheme="minorHAnsi"/>
          <w:bCs/>
          <w:szCs w:val="24"/>
        </w:rPr>
        <w:t>En</w:t>
      </w:r>
      <w:r w:rsidR="007F4F10" w:rsidRPr="00BA5395">
        <w:rPr>
          <w:rFonts w:asciiTheme="minorHAnsi" w:hAnsiTheme="minorHAnsi" w:cstheme="minorHAnsi"/>
          <w:szCs w:val="24"/>
        </w:rPr>
        <w:t xml:space="preserve"> respuesta a la petición del </w:t>
      </w:r>
      <w:r w:rsidR="007F4F10" w:rsidRPr="00BA5395">
        <w:rPr>
          <w:rFonts w:asciiTheme="minorHAnsi" w:hAnsiTheme="minorHAnsi" w:cstheme="minorHAnsi"/>
          <w:b/>
          <w:bCs/>
          <w:szCs w:val="24"/>
        </w:rPr>
        <w:t>delegado de</w:t>
      </w:r>
      <w:r w:rsidRPr="00BA5395">
        <w:rPr>
          <w:rFonts w:asciiTheme="minorHAnsi" w:hAnsiTheme="minorHAnsi" w:cstheme="minorHAnsi"/>
          <w:b/>
          <w:bCs/>
          <w:szCs w:val="24"/>
        </w:rPr>
        <w:t xml:space="preserve"> Jordan</w:t>
      </w:r>
      <w:r w:rsidR="007F4F10" w:rsidRPr="00BA5395">
        <w:rPr>
          <w:rFonts w:asciiTheme="minorHAnsi" w:hAnsiTheme="minorHAnsi" w:cstheme="minorHAnsi"/>
          <w:b/>
          <w:bCs/>
          <w:szCs w:val="24"/>
        </w:rPr>
        <w:t>ia</w:t>
      </w:r>
      <w:r w:rsidRPr="00BA5395">
        <w:rPr>
          <w:rFonts w:asciiTheme="minorHAnsi" w:hAnsiTheme="minorHAnsi" w:cstheme="minorHAnsi"/>
          <w:szCs w:val="24"/>
        </w:rPr>
        <w:t xml:space="preserve">, </w:t>
      </w:r>
      <w:r w:rsidR="007F4F10" w:rsidRPr="00BA5395">
        <w:rPr>
          <w:rFonts w:asciiTheme="minorHAnsi" w:hAnsiTheme="minorHAnsi" w:cstheme="minorHAnsi"/>
          <w:szCs w:val="24"/>
        </w:rPr>
        <w:t xml:space="preserve">el </w:t>
      </w:r>
      <w:proofErr w:type="gramStart"/>
      <w:r w:rsidR="007F4F10" w:rsidRPr="00BA5395">
        <w:rPr>
          <w:rFonts w:asciiTheme="minorHAnsi" w:hAnsiTheme="minorHAnsi" w:cstheme="minorHAnsi"/>
          <w:b/>
          <w:bCs/>
          <w:szCs w:val="24"/>
        </w:rPr>
        <w:t>Presidente</w:t>
      </w:r>
      <w:proofErr w:type="gramEnd"/>
      <w:r w:rsidR="007F4F10" w:rsidRPr="00BA5395">
        <w:rPr>
          <w:rFonts w:asciiTheme="minorHAnsi" w:hAnsiTheme="minorHAnsi" w:cstheme="minorHAnsi"/>
          <w:b/>
          <w:bCs/>
          <w:szCs w:val="24"/>
        </w:rPr>
        <w:t xml:space="preserve"> del Grupo de Trabajo de la Plenaria</w:t>
      </w:r>
      <w:r w:rsidRPr="00BA5395">
        <w:rPr>
          <w:rFonts w:asciiTheme="minorHAnsi" w:hAnsiTheme="minorHAnsi" w:cstheme="minorHAnsi"/>
          <w:b/>
          <w:bCs/>
          <w:szCs w:val="24"/>
        </w:rPr>
        <w:t xml:space="preserve"> </w:t>
      </w:r>
      <w:r w:rsidR="007F4F10" w:rsidRPr="00BA5395">
        <w:rPr>
          <w:rFonts w:asciiTheme="minorHAnsi" w:hAnsiTheme="minorHAnsi" w:cstheme="minorHAnsi"/>
          <w:bCs/>
          <w:szCs w:val="24"/>
        </w:rPr>
        <w:t>afirma que la redacción</w:t>
      </w:r>
      <w:r w:rsidR="007F4F10" w:rsidRPr="00BA5395">
        <w:rPr>
          <w:rFonts w:asciiTheme="minorHAnsi" w:hAnsiTheme="minorHAnsi" w:cstheme="minorHAnsi"/>
          <w:szCs w:val="24"/>
        </w:rPr>
        <w:t xml:space="preserve"> del título del proyecto de Resolución se ha acordado en el Grupo</w:t>
      </w:r>
      <w:r w:rsidRPr="00BA5395">
        <w:rPr>
          <w:rFonts w:asciiTheme="minorHAnsi" w:hAnsiTheme="minorHAnsi" w:cstheme="minorHAnsi"/>
          <w:szCs w:val="24"/>
        </w:rPr>
        <w:t>.</w:t>
      </w:r>
      <w:bookmarkEnd w:id="103"/>
    </w:p>
    <w:p w14:paraId="553CFD9D" w14:textId="469296D3" w:rsidR="00745117" w:rsidRPr="00BA5395" w:rsidRDefault="00F61267" w:rsidP="00BE42DA">
      <w:r w:rsidRPr="00BA5395">
        <w:rPr>
          <w:rFonts w:asciiTheme="minorHAnsi" w:hAnsiTheme="minorHAnsi" w:cstheme="minorHAnsi"/>
          <w:szCs w:val="24"/>
        </w:rPr>
        <w:t>11.7</w:t>
      </w:r>
      <w:r w:rsidRPr="00BA5395">
        <w:rPr>
          <w:rFonts w:asciiTheme="minorHAnsi" w:hAnsiTheme="minorHAnsi" w:cstheme="minorHAnsi"/>
          <w:szCs w:val="24"/>
        </w:rPr>
        <w:tab/>
      </w:r>
      <w:bookmarkStart w:id="104" w:name="lt_pId211"/>
      <w:r w:rsidR="00745117" w:rsidRPr="00BA5395">
        <w:rPr>
          <w:rFonts w:asciiTheme="minorHAnsi" w:hAnsiTheme="minorHAnsi" w:cstheme="minorHAnsi"/>
          <w:b/>
          <w:szCs w:val="24"/>
        </w:rPr>
        <w:t xml:space="preserve">Se adopta </w:t>
      </w:r>
      <w:r w:rsidR="003151B1" w:rsidRPr="00BA5395">
        <w:rPr>
          <w:rFonts w:asciiTheme="minorHAnsi" w:hAnsiTheme="minorHAnsi" w:cstheme="minorHAnsi"/>
          <w:szCs w:val="24"/>
        </w:rPr>
        <w:t>el</w:t>
      </w:r>
      <w:r w:rsidR="003151B1" w:rsidRPr="00BA5395">
        <w:rPr>
          <w:rFonts w:asciiTheme="minorHAnsi" w:hAnsiTheme="minorHAnsi" w:cstheme="minorHAnsi"/>
          <w:b/>
          <w:szCs w:val="24"/>
        </w:rPr>
        <w:t xml:space="preserve"> </w:t>
      </w:r>
      <w:r w:rsidR="00745117" w:rsidRPr="00BA5395">
        <w:rPr>
          <w:rFonts w:asciiTheme="minorHAnsi" w:hAnsiTheme="minorHAnsi" w:cstheme="minorHAnsi"/>
          <w:szCs w:val="24"/>
        </w:rPr>
        <w:t xml:space="preserve">proyecto de nueva Resolución </w:t>
      </w:r>
      <w:proofErr w:type="spellStart"/>
      <w:r w:rsidR="00745117" w:rsidRPr="00BA5395">
        <w:rPr>
          <w:rFonts w:asciiTheme="minorHAnsi" w:hAnsiTheme="minorHAnsi" w:cstheme="minorHAnsi"/>
          <w:szCs w:val="24"/>
        </w:rPr>
        <w:t>WGPL</w:t>
      </w:r>
      <w:proofErr w:type="spellEnd"/>
      <w:r w:rsidR="00745117" w:rsidRPr="00BA5395">
        <w:rPr>
          <w:rFonts w:asciiTheme="minorHAnsi" w:hAnsiTheme="minorHAnsi" w:cstheme="minorHAnsi"/>
          <w:szCs w:val="24"/>
        </w:rPr>
        <w:t>-1</w:t>
      </w:r>
      <w:r w:rsidR="000C1634" w:rsidRPr="00BA5395">
        <w:rPr>
          <w:rFonts w:asciiTheme="minorHAnsi" w:hAnsiTheme="minorHAnsi" w:cstheme="minorHAnsi"/>
          <w:szCs w:val="24"/>
        </w:rPr>
        <w:t>.</w:t>
      </w:r>
    </w:p>
    <w:bookmarkEnd w:id="104"/>
    <w:p w14:paraId="118C346D" w14:textId="531F4817" w:rsidR="00745117" w:rsidRPr="00BA5395" w:rsidRDefault="00F61267" w:rsidP="00BE42DA">
      <w:pPr>
        <w:rPr>
          <w:rFonts w:asciiTheme="minorHAnsi" w:hAnsiTheme="minorHAnsi" w:cstheme="minorHAnsi"/>
          <w:szCs w:val="24"/>
        </w:rPr>
      </w:pPr>
      <w:r w:rsidRPr="00BE42DA">
        <w:t>11</w:t>
      </w:r>
      <w:r w:rsidRPr="00BA5395">
        <w:rPr>
          <w:rFonts w:asciiTheme="minorHAnsi" w:hAnsiTheme="minorHAnsi" w:cstheme="minorHAnsi"/>
          <w:szCs w:val="24"/>
        </w:rPr>
        <w:t>.8</w:t>
      </w:r>
      <w:r w:rsidRPr="00BA5395">
        <w:rPr>
          <w:rFonts w:asciiTheme="minorHAnsi" w:hAnsiTheme="minorHAnsi" w:cstheme="minorHAnsi"/>
          <w:szCs w:val="24"/>
        </w:rPr>
        <w:tab/>
      </w:r>
      <w:bookmarkStart w:id="105" w:name="lt_pId213"/>
      <w:r w:rsidR="00745117" w:rsidRPr="00BA5395">
        <w:rPr>
          <w:rFonts w:asciiTheme="minorHAnsi" w:hAnsiTheme="minorHAnsi" w:cstheme="minorHAnsi"/>
          <w:b/>
          <w:bCs/>
          <w:szCs w:val="24"/>
        </w:rPr>
        <w:t xml:space="preserve">Se </w:t>
      </w:r>
      <w:r w:rsidR="00745117" w:rsidRPr="00BA5395">
        <w:rPr>
          <w:rFonts w:asciiTheme="minorHAnsi" w:hAnsiTheme="minorHAnsi" w:cstheme="minorHAnsi"/>
          <w:b/>
          <w:szCs w:val="24"/>
        </w:rPr>
        <w:t>aprueba</w:t>
      </w:r>
      <w:r w:rsidR="00745117" w:rsidRPr="00BA5395">
        <w:rPr>
          <w:rFonts w:asciiTheme="minorHAnsi" w:hAnsiTheme="minorHAnsi" w:cstheme="minorHAnsi"/>
          <w:szCs w:val="24"/>
        </w:rPr>
        <w:t xml:space="preserve"> en primera lectura la decimotercera serie de textos sometidos por la Comisión de Redacción (</w:t>
      </w:r>
      <w:proofErr w:type="spellStart"/>
      <w:r w:rsidR="00745117" w:rsidRPr="00BA5395">
        <w:rPr>
          <w:rFonts w:asciiTheme="minorHAnsi" w:hAnsiTheme="minorHAnsi" w:cstheme="minorHAnsi"/>
          <w:szCs w:val="24"/>
        </w:rPr>
        <w:t>B13</w:t>
      </w:r>
      <w:proofErr w:type="spellEnd"/>
      <w:r w:rsidR="00745117" w:rsidRPr="00BA5395">
        <w:rPr>
          <w:rFonts w:asciiTheme="minorHAnsi" w:hAnsiTheme="minorHAnsi" w:cstheme="minorHAnsi"/>
          <w:szCs w:val="24"/>
        </w:rPr>
        <w:t>) (Documento 154).</w:t>
      </w:r>
    </w:p>
    <w:bookmarkEnd w:id="105"/>
    <w:p w14:paraId="46BCB7A9" w14:textId="2A37BFB6" w:rsidR="00F61267" w:rsidRPr="00BA5395" w:rsidRDefault="00F61267" w:rsidP="00BE42DA">
      <w:pPr>
        <w:pStyle w:val="Heading1"/>
      </w:pPr>
      <w:r w:rsidRPr="00BA5395">
        <w:t>12</w:t>
      </w:r>
      <w:r w:rsidRPr="00BA5395">
        <w:tab/>
      </w:r>
      <w:bookmarkStart w:id="106" w:name="lt_pId215"/>
      <w:proofErr w:type="gramStart"/>
      <w:r w:rsidR="00812E93" w:rsidRPr="00BA5395">
        <w:rPr>
          <w:rFonts w:eastAsiaTheme="minorHAnsi"/>
        </w:rPr>
        <w:t>Decimotercera</w:t>
      </w:r>
      <w:proofErr w:type="gramEnd"/>
      <w:r w:rsidR="00812E93" w:rsidRPr="00BA5395">
        <w:t xml:space="preserve"> serie de textos sometidos por la Comisión de Redacción – segunda lectura</w:t>
      </w:r>
      <w:r w:rsidRPr="00BA5395">
        <w:t xml:space="preserve"> (Document</w:t>
      </w:r>
      <w:r w:rsidR="00812E93" w:rsidRPr="00BA5395">
        <w:t>o</w:t>
      </w:r>
      <w:r w:rsidRPr="00BA5395">
        <w:t xml:space="preserve"> </w:t>
      </w:r>
      <w:hyperlink r:id="rId26" w:history="1">
        <w:r w:rsidRPr="00BA5395">
          <w:rPr>
            <w:rStyle w:val="Hyperlink"/>
            <w:rFonts w:asciiTheme="minorHAnsi" w:hAnsiTheme="minorHAnsi" w:cstheme="minorHAnsi"/>
            <w:bCs/>
            <w:szCs w:val="24"/>
          </w:rPr>
          <w:t>154</w:t>
        </w:r>
      </w:hyperlink>
      <w:r w:rsidRPr="00BA5395">
        <w:t>)</w:t>
      </w:r>
      <w:bookmarkEnd w:id="106"/>
    </w:p>
    <w:p w14:paraId="4DCC2A91" w14:textId="38CCA07B" w:rsidR="00745117" w:rsidRPr="00BA5395" w:rsidRDefault="00F61267" w:rsidP="00BE42DA">
      <w:pPr>
        <w:rPr>
          <w:rFonts w:asciiTheme="minorHAnsi" w:hAnsiTheme="minorHAnsi" w:cstheme="minorHAnsi"/>
          <w:szCs w:val="24"/>
        </w:rPr>
      </w:pPr>
      <w:r w:rsidRPr="00BA5395">
        <w:rPr>
          <w:rFonts w:asciiTheme="minorHAnsi" w:hAnsiTheme="minorHAnsi" w:cstheme="minorHAnsi"/>
          <w:szCs w:val="24"/>
        </w:rPr>
        <w:t>12.1</w:t>
      </w:r>
      <w:r w:rsidRPr="00BA5395">
        <w:rPr>
          <w:rFonts w:asciiTheme="minorHAnsi" w:hAnsiTheme="minorHAnsi" w:cstheme="minorHAnsi"/>
          <w:szCs w:val="24"/>
        </w:rPr>
        <w:tab/>
      </w:r>
      <w:bookmarkStart w:id="107" w:name="lt_pId217"/>
      <w:r w:rsidR="00745117" w:rsidRPr="00BA5395">
        <w:rPr>
          <w:rFonts w:asciiTheme="minorHAnsi" w:hAnsiTheme="minorHAnsi" w:cstheme="minorHAnsi"/>
          <w:b/>
          <w:bCs/>
          <w:szCs w:val="24"/>
        </w:rPr>
        <w:t xml:space="preserve">Se </w:t>
      </w:r>
      <w:r w:rsidR="00745117" w:rsidRPr="00BA5395">
        <w:rPr>
          <w:rFonts w:asciiTheme="minorHAnsi" w:hAnsiTheme="minorHAnsi" w:cstheme="minorHAnsi"/>
          <w:b/>
          <w:szCs w:val="24"/>
        </w:rPr>
        <w:t>aprueba</w:t>
      </w:r>
      <w:r w:rsidR="00745117" w:rsidRPr="00BA5395">
        <w:rPr>
          <w:rFonts w:asciiTheme="minorHAnsi" w:hAnsiTheme="minorHAnsi" w:cstheme="minorHAnsi"/>
          <w:szCs w:val="24"/>
        </w:rPr>
        <w:t xml:space="preserve"> en </w:t>
      </w:r>
      <w:r w:rsidR="00AF5277" w:rsidRPr="00BA5395">
        <w:rPr>
          <w:rFonts w:asciiTheme="minorHAnsi" w:hAnsiTheme="minorHAnsi" w:cstheme="minorHAnsi"/>
          <w:szCs w:val="24"/>
        </w:rPr>
        <w:t>segunda</w:t>
      </w:r>
      <w:r w:rsidR="00745117" w:rsidRPr="00BA5395">
        <w:rPr>
          <w:rFonts w:asciiTheme="minorHAnsi" w:hAnsiTheme="minorHAnsi" w:cstheme="minorHAnsi"/>
          <w:szCs w:val="24"/>
        </w:rPr>
        <w:t xml:space="preserve"> lectura la decimotercera serie de textos sometidos por la Comisión de Redacción.</w:t>
      </w:r>
    </w:p>
    <w:bookmarkEnd w:id="107"/>
    <w:p w14:paraId="088CDB9C" w14:textId="330E3CEE" w:rsidR="00F61267" w:rsidRPr="00BA5395" w:rsidRDefault="00F61267" w:rsidP="00BE42DA">
      <w:pPr>
        <w:pStyle w:val="Heading1"/>
        <w:rPr>
          <w:rFonts w:asciiTheme="minorHAnsi" w:hAnsiTheme="minorHAnsi" w:cstheme="minorHAnsi"/>
          <w:szCs w:val="24"/>
        </w:rPr>
      </w:pPr>
      <w:r w:rsidRPr="00BA5395">
        <w:rPr>
          <w:rFonts w:asciiTheme="minorHAnsi" w:hAnsiTheme="minorHAnsi" w:cstheme="minorHAnsi"/>
          <w:bCs/>
          <w:szCs w:val="24"/>
        </w:rPr>
        <w:t>13</w:t>
      </w:r>
      <w:r w:rsidRPr="00BA5395">
        <w:rPr>
          <w:rFonts w:asciiTheme="minorHAnsi" w:hAnsiTheme="minorHAnsi" w:cstheme="minorHAnsi"/>
          <w:bCs/>
          <w:szCs w:val="24"/>
        </w:rPr>
        <w:tab/>
      </w:r>
      <w:bookmarkStart w:id="108" w:name="lt_pId219"/>
      <w:proofErr w:type="gramStart"/>
      <w:r w:rsidR="004D4B68" w:rsidRPr="00BA5395">
        <w:rPr>
          <w:rFonts w:asciiTheme="minorHAnsi" w:hAnsiTheme="minorHAnsi" w:cstheme="minorHAnsi"/>
          <w:bCs/>
          <w:szCs w:val="24"/>
        </w:rPr>
        <w:t>Decimocuarta</w:t>
      </w:r>
      <w:proofErr w:type="gramEnd"/>
      <w:r w:rsidR="004D4B68" w:rsidRPr="00BA5395">
        <w:rPr>
          <w:rFonts w:asciiTheme="minorHAnsi" w:hAnsiTheme="minorHAnsi" w:cstheme="minorHAnsi"/>
          <w:bCs/>
          <w:szCs w:val="24"/>
        </w:rPr>
        <w:t xml:space="preserve"> serie de textos sometidos por la Comisión de Redacción en primera lectura (</w:t>
      </w:r>
      <w:proofErr w:type="spellStart"/>
      <w:r w:rsidR="004D4B68" w:rsidRPr="00BA5395">
        <w:rPr>
          <w:rFonts w:asciiTheme="minorHAnsi" w:hAnsiTheme="minorHAnsi" w:cstheme="minorHAnsi"/>
          <w:bCs/>
          <w:szCs w:val="24"/>
        </w:rPr>
        <w:t>B</w:t>
      </w:r>
      <w:r w:rsidRPr="00BA5395">
        <w:rPr>
          <w:rFonts w:asciiTheme="minorHAnsi" w:hAnsiTheme="minorHAnsi" w:cstheme="minorHAnsi"/>
          <w:bCs/>
          <w:szCs w:val="24"/>
        </w:rPr>
        <w:t>14</w:t>
      </w:r>
      <w:proofErr w:type="spellEnd"/>
      <w:r w:rsidRPr="00BA5395">
        <w:rPr>
          <w:rFonts w:asciiTheme="minorHAnsi" w:hAnsiTheme="minorHAnsi" w:cstheme="minorHAnsi"/>
          <w:bCs/>
          <w:szCs w:val="24"/>
        </w:rPr>
        <w:t>) (Document</w:t>
      </w:r>
      <w:r w:rsidR="004D4B68" w:rsidRPr="00BA5395">
        <w:rPr>
          <w:rFonts w:asciiTheme="minorHAnsi" w:hAnsiTheme="minorHAnsi" w:cstheme="minorHAnsi"/>
          <w:bCs/>
          <w:szCs w:val="24"/>
        </w:rPr>
        <w:t>o</w:t>
      </w:r>
      <w:r w:rsidRPr="00BA5395">
        <w:rPr>
          <w:rFonts w:asciiTheme="minorHAnsi" w:hAnsiTheme="minorHAnsi" w:cstheme="minorHAnsi"/>
          <w:bCs/>
          <w:szCs w:val="24"/>
        </w:rPr>
        <w:t xml:space="preserve"> </w:t>
      </w:r>
      <w:hyperlink r:id="rId27" w:history="1">
        <w:r w:rsidRPr="00BA5395">
          <w:rPr>
            <w:rStyle w:val="Hyperlink"/>
            <w:rFonts w:asciiTheme="minorHAnsi" w:hAnsiTheme="minorHAnsi" w:cstheme="minorHAnsi"/>
            <w:bCs/>
            <w:szCs w:val="24"/>
          </w:rPr>
          <w:t>155</w:t>
        </w:r>
      </w:hyperlink>
      <w:r w:rsidRPr="00BA5395">
        <w:rPr>
          <w:rFonts w:asciiTheme="minorHAnsi" w:hAnsiTheme="minorHAnsi" w:cstheme="minorHAnsi"/>
          <w:bCs/>
          <w:szCs w:val="24"/>
        </w:rPr>
        <w:t>)</w:t>
      </w:r>
      <w:bookmarkEnd w:id="108"/>
    </w:p>
    <w:p w14:paraId="1ED1B37C" w14:textId="58C49EA4" w:rsidR="00F61267" w:rsidRPr="00BA5395" w:rsidRDefault="00812E93" w:rsidP="00BE42DA">
      <w:pPr>
        <w:rPr>
          <w:rFonts w:asciiTheme="minorHAnsi" w:hAnsiTheme="minorHAnsi" w:cstheme="minorHAnsi"/>
          <w:b/>
          <w:bCs/>
          <w:szCs w:val="24"/>
        </w:rPr>
      </w:pPr>
      <w:bookmarkStart w:id="109" w:name="lt_pId220"/>
      <w:r w:rsidRPr="00BA5395">
        <w:rPr>
          <w:rFonts w:asciiTheme="minorHAnsi" w:hAnsiTheme="minorHAnsi" w:cstheme="minorHAnsi"/>
          <w:b/>
          <w:bCs/>
          <w:szCs w:val="24"/>
        </w:rPr>
        <w:t>Proyecto de Resolución</w:t>
      </w:r>
      <w:r w:rsidR="00F61267" w:rsidRPr="00BA5395">
        <w:rPr>
          <w:rFonts w:asciiTheme="minorHAnsi" w:hAnsiTheme="minorHAnsi" w:cstheme="minorHAnsi"/>
          <w:b/>
          <w:bCs/>
          <w:szCs w:val="24"/>
        </w:rPr>
        <w:t xml:space="preserve"> 21 (Rev. Bucarest, 2022)</w:t>
      </w:r>
      <w:r w:rsidR="001A7ACA" w:rsidRPr="00BA5395">
        <w:rPr>
          <w:rFonts w:asciiTheme="minorHAnsi" w:hAnsiTheme="minorHAnsi" w:cstheme="minorHAnsi"/>
          <w:b/>
          <w:bCs/>
          <w:szCs w:val="24"/>
        </w:rPr>
        <w:t> –</w:t>
      </w:r>
      <w:r w:rsidR="00F61267" w:rsidRPr="00BA5395">
        <w:rPr>
          <w:rFonts w:asciiTheme="minorHAnsi" w:hAnsiTheme="minorHAnsi" w:cstheme="minorHAnsi"/>
          <w:b/>
          <w:bCs/>
          <w:szCs w:val="24"/>
        </w:rPr>
        <w:t xml:space="preserve"> </w:t>
      </w:r>
      <w:bookmarkStart w:id="110" w:name="_Toc406754126"/>
      <w:bookmarkEnd w:id="109"/>
      <w:r w:rsidR="004D4B68" w:rsidRPr="00BA5395">
        <w:rPr>
          <w:rFonts w:asciiTheme="minorHAnsi" w:hAnsiTheme="minorHAnsi" w:cstheme="minorHAnsi"/>
          <w:b/>
          <w:bCs/>
          <w:szCs w:val="24"/>
        </w:rPr>
        <w:t>Medidas sobre procedimientos de llamada alternativos en las redes internacionales de telecomunicaciones</w:t>
      </w:r>
      <w:bookmarkEnd w:id="110"/>
    </w:p>
    <w:p w14:paraId="6DDF5E48" w14:textId="51C0D98D" w:rsidR="00F61267" w:rsidRPr="00BA5395" w:rsidRDefault="00F61267" w:rsidP="00BE42DA">
      <w:pPr>
        <w:rPr>
          <w:rFonts w:asciiTheme="minorHAnsi" w:hAnsiTheme="minorHAnsi" w:cstheme="minorHAnsi"/>
          <w:szCs w:val="24"/>
        </w:rPr>
      </w:pPr>
      <w:r w:rsidRPr="00BA5395">
        <w:rPr>
          <w:rFonts w:asciiTheme="minorHAnsi" w:hAnsiTheme="minorHAnsi" w:cstheme="minorHAnsi"/>
          <w:szCs w:val="24"/>
        </w:rPr>
        <w:t>13.1</w:t>
      </w:r>
      <w:r w:rsidRPr="00BA5395">
        <w:rPr>
          <w:rFonts w:asciiTheme="minorHAnsi" w:hAnsiTheme="minorHAnsi" w:cstheme="minorHAnsi"/>
          <w:szCs w:val="24"/>
        </w:rPr>
        <w:tab/>
      </w:r>
      <w:bookmarkStart w:id="111" w:name="lt_pId222"/>
      <w:r w:rsidR="00A31D29" w:rsidRPr="00BA5395">
        <w:rPr>
          <w:rFonts w:asciiTheme="minorHAnsi" w:hAnsiTheme="minorHAnsi" w:cstheme="minorHAnsi"/>
          <w:szCs w:val="24"/>
        </w:rPr>
        <w:t>El</w:t>
      </w:r>
      <w:r w:rsidRPr="00BA5395">
        <w:rPr>
          <w:rFonts w:asciiTheme="minorHAnsi" w:hAnsiTheme="minorHAnsi" w:cstheme="minorHAnsi"/>
          <w:szCs w:val="24"/>
        </w:rPr>
        <w:t xml:space="preserve"> </w:t>
      </w:r>
      <w:r w:rsidR="00A31D29" w:rsidRPr="00BA5395">
        <w:rPr>
          <w:rFonts w:asciiTheme="minorHAnsi" w:hAnsiTheme="minorHAnsi" w:cstheme="minorHAnsi"/>
          <w:b/>
          <w:bCs/>
          <w:szCs w:val="24"/>
        </w:rPr>
        <w:t>delegado</w:t>
      </w:r>
      <w:r w:rsidRPr="00BA5395">
        <w:rPr>
          <w:rFonts w:asciiTheme="minorHAnsi" w:hAnsiTheme="minorHAnsi" w:cstheme="minorHAnsi"/>
          <w:b/>
          <w:bCs/>
          <w:szCs w:val="24"/>
        </w:rPr>
        <w:t xml:space="preserve"> </w:t>
      </w:r>
      <w:r w:rsidR="00A31D29" w:rsidRPr="00BA5395">
        <w:rPr>
          <w:rFonts w:asciiTheme="minorHAnsi" w:hAnsiTheme="minorHAnsi" w:cstheme="minorHAnsi"/>
          <w:b/>
          <w:bCs/>
          <w:szCs w:val="24"/>
        </w:rPr>
        <w:t xml:space="preserve">de </w:t>
      </w:r>
      <w:r w:rsidRPr="00BA5395">
        <w:rPr>
          <w:rFonts w:asciiTheme="minorHAnsi" w:hAnsiTheme="minorHAnsi" w:cstheme="minorHAnsi"/>
          <w:b/>
          <w:bCs/>
          <w:szCs w:val="24"/>
        </w:rPr>
        <w:t>Jordan</w:t>
      </w:r>
      <w:r w:rsidR="00A31D29" w:rsidRPr="00BA5395">
        <w:rPr>
          <w:rFonts w:asciiTheme="minorHAnsi" w:hAnsiTheme="minorHAnsi" w:cstheme="minorHAnsi"/>
          <w:b/>
          <w:bCs/>
          <w:szCs w:val="24"/>
        </w:rPr>
        <w:t>ia</w:t>
      </w:r>
      <w:r w:rsidRPr="00BA5395">
        <w:rPr>
          <w:rFonts w:asciiTheme="minorHAnsi" w:hAnsiTheme="minorHAnsi" w:cstheme="minorHAnsi"/>
          <w:szCs w:val="24"/>
        </w:rPr>
        <w:t xml:space="preserve"> </w:t>
      </w:r>
      <w:r w:rsidR="00A31D29" w:rsidRPr="00BA5395">
        <w:rPr>
          <w:rFonts w:asciiTheme="minorHAnsi" w:hAnsiTheme="minorHAnsi" w:cstheme="minorHAnsi"/>
          <w:szCs w:val="24"/>
        </w:rPr>
        <w:t xml:space="preserve">solicita que la Comisión de Redacción considere la posibilidad de eliminar el acrónimo </w:t>
      </w:r>
      <w:r w:rsidR="005E45B3" w:rsidRPr="00BA5395">
        <w:rPr>
          <w:rFonts w:asciiTheme="minorHAnsi" w:hAnsiTheme="minorHAnsi" w:cstheme="minorHAnsi"/>
          <w:szCs w:val="24"/>
        </w:rPr>
        <w:t>"</w:t>
      </w:r>
      <w:proofErr w:type="spellStart"/>
      <w:r w:rsidRPr="00BA5395">
        <w:rPr>
          <w:rFonts w:asciiTheme="minorHAnsi" w:hAnsiTheme="minorHAnsi" w:cstheme="minorHAnsi"/>
          <w:szCs w:val="24"/>
        </w:rPr>
        <w:t>NNAI</w:t>
      </w:r>
      <w:proofErr w:type="spellEnd"/>
      <w:r w:rsidR="005E45B3" w:rsidRPr="00BA5395">
        <w:rPr>
          <w:rFonts w:asciiTheme="minorHAnsi" w:hAnsiTheme="minorHAnsi" w:cstheme="minorHAnsi"/>
          <w:szCs w:val="24"/>
        </w:rPr>
        <w:t>"</w:t>
      </w:r>
      <w:r w:rsidRPr="00BA5395">
        <w:rPr>
          <w:rFonts w:asciiTheme="minorHAnsi" w:hAnsiTheme="minorHAnsi" w:cstheme="minorHAnsi"/>
          <w:szCs w:val="24"/>
        </w:rPr>
        <w:t xml:space="preserve"> </w:t>
      </w:r>
      <w:r w:rsidR="00A31D29" w:rsidRPr="00BA5395">
        <w:rPr>
          <w:rFonts w:asciiTheme="minorHAnsi" w:hAnsiTheme="minorHAnsi" w:cstheme="minorHAnsi"/>
          <w:szCs w:val="24"/>
        </w:rPr>
        <w:t xml:space="preserve">de la versión en árabe del </w:t>
      </w:r>
      <w:r w:rsidRPr="00BA5395">
        <w:rPr>
          <w:rFonts w:asciiTheme="minorHAnsi" w:hAnsiTheme="minorHAnsi" w:cstheme="minorHAnsi"/>
          <w:i/>
          <w:iCs/>
          <w:szCs w:val="24"/>
        </w:rPr>
        <w:t>reco</w:t>
      </w:r>
      <w:r w:rsidR="00A31D29" w:rsidRPr="00BA5395">
        <w:rPr>
          <w:rFonts w:asciiTheme="minorHAnsi" w:hAnsiTheme="minorHAnsi" w:cstheme="minorHAnsi"/>
          <w:i/>
          <w:iCs/>
          <w:szCs w:val="24"/>
        </w:rPr>
        <w:t xml:space="preserve">nociendo </w:t>
      </w:r>
      <w:r w:rsidRPr="00BA5395">
        <w:rPr>
          <w:rFonts w:asciiTheme="minorHAnsi" w:hAnsiTheme="minorHAnsi" w:cstheme="minorHAnsi"/>
          <w:i/>
          <w:iCs/>
          <w:szCs w:val="24"/>
        </w:rPr>
        <w:t>a)</w:t>
      </w:r>
      <w:r w:rsidRPr="00BA5395">
        <w:rPr>
          <w:rFonts w:asciiTheme="minorHAnsi" w:hAnsiTheme="minorHAnsi" w:cstheme="minorHAnsi"/>
          <w:szCs w:val="24"/>
        </w:rPr>
        <w:t>.</w:t>
      </w:r>
      <w:bookmarkEnd w:id="111"/>
    </w:p>
    <w:p w14:paraId="2D30DFE0" w14:textId="55D4AE82" w:rsidR="00F61267" w:rsidRPr="00BA5395" w:rsidRDefault="00F61267" w:rsidP="00BE42DA">
      <w:r w:rsidRPr="00BE42DA">
        <w:rPr>
          <w:rFonts w:asciiTheme="minorHAnsi" w:hAnsiTheme="minorHAnsi" w:cstheme="minorHAnsi"/>
          <w:szCs w:val="24"/>
        </w:rPr>
        <w:t>13</w:t>
      </w:r>
      <w:r w:rsidRPr="00BA5395">
        <w:t>.2</w:t>
      </w:r>
      <w:r w:rsidRPr="00BA5395">
        <w:tab/>
      </w:r>
      <w:bookmarkStart w:id="112" w:name="lt_pId224"/>
      <w:r w:rsidR="00A31D29" w:rsidRPr="00BA5395">
        <w:rPr>
          <w:b/>
        </w:rPr>
        <w:t>Se</w:t>
      </w:r>
      <w:r w:rsidR="00A31D29" w:rsidRPr="00BA5395">
        <w:t xml:space="preserve"> </w:t>
      </w:r>
      <w:r w:rsidR="00A31D29" w:rsidRPr="00BA5395">
        <w:rPr>
          <w:b/>
        </w:rPr>
        <w:t>adopta</w:t>
      </w:r>
      <w:r w:rsidR="00A31D29" w:rsidRPr="00BA5395">
        <w:t xml:space="preserve"> con esa condición el proyecto de Resolución </w:t>
      </w:r>
      <w:r w:rsidRPr="00BA5395">
        <w:t xml:space="preserve">21 </w:t>
      </w:r>
      <w:r w:rsidR="00A31D29" w:rsidRPr="00BA5395">
        <w:t>(Rev. Buca</w:t>
      </w:r>
      <w:r w:rsidRPr="00BA5395">
        <w:t>rest, 2022)</w:t>
      </w:r>
      <w:bookmarkEnd w:id="112"/>
      <w:r w:rsidR="00A31D29" w:rsidRPr="00BA5395">
        <w:t>.</w:t>
      </w:r>
    </w:p>
    <w:p w14:paraId="4709679F" w14:textId="364A9D3F" w:rsidR="00F61267" w:rsidRPr="00BA5395" w:rsidRDefault="00812E93" w:rsidP="00BE42DA">
      <w:pPr>
        <w:rPr>
          <w:rFonts w:asciiTheme="minorHAnsi" w:hAnsiTheme="minorHAnsi" w:cstheme="minorHAnsi"/>
          <w:b/>
          <w:bCs/>
          <w:szCs w:val="24"/>
        </w:rPr>
      </w:pPr>
      <w:bookmarkStart w:id="113" w:name="lt_pId225"/>
      <w:r w:rsidRPr="00BA5395">
        <w:rPr>
          <w:rFonts w:asciiTheme="minorHAnsi" w:hAnsiTheme="minorHAnsi" w:cstheme="minorHAnsi"/>
          <w:b/>
          <w:bCs/>
          <w:szCs w:val="24"/>
        </w:rPr>
        <w:t>Proyecto de Resolución</w:t>
      </w:r>
      <w:r w:rsidR="00F61267" w:rsidRPr="00BA5395">
        <w:rPr>
          <w:rFonts w:asciiTheme="minorHAnsi" w:hAnsiTheme="minorHAnsi" w:cstheme="minorHAnsi"/>
          <w:b/>
          <w:bCs/>
          <w:szCs w:val="24"/>
        </w:rPr>
        <w:t xml:space="preserve"> 119 (Rev. Bucarest, 2022)</w:t>
      </w:r>
      <w:r w:rsidR="001A7ACA" w:rsidRPr="00BA5395">
        <w:rPr>
          <w:rFonts w:asciiTheme="minorHAnsi" w:hAnsiTheme="minorHAnsi" w:cstheme="minorHAnsi"/>
          <w:b/>
          <w:bCs/>
          <w:szCs w:val="24"/>
        </w:rPr>
        <w:t> –</w:t>
      </w:r>
      <w:r w:rsidR="00F61267" w:rsidRPr="00BA5395">
        <w:rPr>
          <w:rFonts w:asciiTheme="minorHAnsi" w:hAnsiTheme="minorHAnsi" w:cstheme="minorHAnsi"/>
          <w:b/>
          <w:bCs/>
          <w:szCs w:val="24"/>
        </w:rPr>
        <w:t xml:space="preserve"> </w:t>
      </w:r>
      <w:bookmarkEnd w:id="113"/>
      <w:r w:rsidR="004D4B68" w:rsidRPr="00BA5395">
        <w:rPr>
          <w:rFonts w:asciiTheme="minorHAnsi" w:hAnsiTheme="minorHAnsi" w:cstheme="minorHAnsi"/>
          <w:b/>
          <w:bCs/>
          <w:szCs w:val="24"/>
        </w:rPr>
        <w:t>Métodos para mejorar la eficiencia y eficacia de la Junta del Reglamento de Radiocomunicaciones</w:t>
      </w:r>
    </w:p>
    <w:p w14:paraId="4ED91108" w14:textId="447CA2CE" w:rsidR="00F61267" w:rsidRPr="00BE42DA" w:rsidRDefault="00812E93" w:rsidP="00BE42DA">
      <w:pPr>
        <w:rPr>
          <w:b/>
          <w:bCs/>
        </w:rPr>
      </w:pPr>
      <w:bookmarkStart w:id="114" w:name="lt_pId226"/>
      <w:r w:rsidRPr="00BE42DA">
        <w:rPr>
          <w:b/>
          <w:bCs/>
        </w:rPr>
        <w:t>Proyecto de Resolución</w:t>
      </w:r>
      <w:r w:rsidR="00F61267" w:rsidRPr="00BE42DA">
        <w:rPr>
          <w:b/>
          <w:bCs/>
        </w:rPr>
        <w:t xml:space="preserve"> 177 (Rev. Bucarest, 2022)</w:t>
      </w:r>
      <w:r w:rsidR="001A7ACA" w:rsidRPr="00BE42DA">
        <w:rPr>
          <w:b/>
          <w:bCs/>
        </w:rPr>
        <w:t> –</w:t>
      </w:r>
      <w:r w:rsidR="00F61267" w:rsidRPr="00BE42DA">
        <w:rPr>
          <w:b/>
          <w:bCs/>
        </w:rPr>
        <w:t xml:space="preserve"> </w:t>
      </w:r>
      <w:bookmarkStart w:id="115" w:name="_Toc406754291"/>
      <w:bookmarkEnd w:id="114"/>
      <w:r w:rsidR="004D4B68" w:rsidRPr="00BE42DA">
        <w:rPr>
          <w:b/>
          <w:bCs/>
        </w:rPr>
        <w:t>Conformidad e interoperabilidad</w:t>
      </w:r>
      <w:bookmarkEnd w:id="115"/>
    </w:p>
    <w:p w14:paraId="786F4AAD" w14:textId="3676EA03" w:rsidR="00F61267" w:rsidRPr="00BA5395" w:rsidRDefault="00812E93" w:rsidP="00BE42DA">
      <w:pPr>
        <w:rPr>
          <w:rFonts w:asciiTheme="minorHAnsi" w:hAnsiTheme="minorHAnsi" w:cstheme="minorHAnsi"/>
          <w:b/>
          <w:bCs/>
          <w:szCs w:val="24"/>
        </w:rPr>
      </w:pPr>
      <w:bookmarkStart w:id="116" w:name="lt_pId227"/>
      <w:r w:rsidRPr="00BA5395">
        <w:rPr>
          <w:rFonts w:asciiTheme="minorHAnsi" w:hAnsiTheme="minorHAnsi" w:cstheme="minorHAnsi"/>
          <w:b/>
          <w:bCs/>
          <w:szCs w:val="24"/>
        </w:rPr>
        <w:lastRenderedPageBreak/>
        <w:t>Proyecto de Resolución</w:t>
      </w:r>
      <w:r w:rsidR="00F61267" w:rsidRPr="00BA5395">
        <w:rPr>
          <w:rFonts w:asciiTheme="minorHAnsi" w:hAnsiTheme="minorHAnsi" w:cstheme="minorHAnsi"/>
          <w:b/>
          <w:bCs/>
          <w:szCs w:val="24"/>
        </w:rPr>
        <w:t xml:space="preserve"> 189 (Rev. Bucarest, 2022)</w:t>
      </w:r>
      <w:r w:rsidR="001A7ACA" w:rsidRPr="00BA5395">
        <w:rPr>
          <w:rFonts w:asciiTheme="minorHAnsi" w:hAnsiTheme="minorHAnsi" w:cstheme="minorHAnsi"/>
          <w:b/>
          <w:bCs/>
          <w:szCs w:val="24"/>
        </w:rPr>
        <w:t> –</w:t>
      </w:r>
      <w:r w:rsidR="00F61267" w:rsidRPr="00BA5395">
        <w:rPr>
          <w:rFonts w:asciiTheme="minorHAnsi" w:hAnsiTheme="minorHAnsi" w:cstheme="minorHAnsi"/>
          <w:b/>
          <w:bCs/>
          <w:szCs w:val="24"/>
        </w:rPr>
        <w:t xml:space="preserve"> </w:t>
      </w:r>
      <w:bookmarkStart w:id="117" w:name="_Toc406754309"/>
      <w:bookmarkEnd w:id="116"/>
      <w:r w:rsidR="004D4B68" w:rsidRPr="00BA5395">
        <w:rPr>
          <w:rFonts w:asciiTheme="minorHAnsi" w:hAnsiTheme="minorHAnsi" w:cstheme="minorHAnsi"/>
          <w:b/>
          <w:bCs/>
          <w:szCs w:val="24"/>
        </w:rPr>
        <w:t>Asistencia a los Estados Miembros para combatir y disuadir el robo de dispositivos móviles</w:t>
      </w:r>
      <w:bookmarkEnd w:id="117"/>
    </w:p>
    <w:p w14:paraId="6090C8D4" w14:textId="65067705" w:rsidR="00F61267" w:rsidRPr="00BA5395" w:rsidRDefault="00812E93" w:rsidP="00BE42DA">
      <w:pPr>
        <w:rPr>
          <w:rFonts w:asciiTheme="minorHAnsi" w:hAnsiTheme="minorHAnsi" w:cstheme="minorHAnsi"/>
          <w:b/>
          <w:bCs/>
          <w:szCs w:val="24"/>
        </w:rPr>
      </w:pPr>
      <w:bookmarkStart w:id="118" w:name="lt_pId228"/>
      <w:r w:rsidRPr="00BE42DA">
        <w:rPr>
          <w:b/>
          <w:bCs/>
        </w:rPr>
        <w:t>Proyecto</w:t>
      </w:r>
      <w:r w:rsidRPr="00BA5395">
        <w:rPr>
          <w:rFonts w:asciiTheme="minorHAnsi" w:hAnsiTheme="minorHAnsi" w:cstheme="minorHAnsi"/>
          <w:b/>
          <w:bCs/>
          <w:szCs w:val="24"/>
        </w:rPr>
        <w:t xml:space="preserve"> de Resolución</w:t>
      </w:r>
      <w:r w:rsidR="00F61267" w:rsidRPr="00BA5395">
        <w:rPr>
          <w:rFonts w:asciiTheme="minorHAnsi" w:hAnsiTheme="minorHAnsi" w:cstheme="minorHAnsi"/>
          <w:b/>
          <w:bCs/>
          <w:szCs w:val="24"/>
        </w:rPr>
        <w:t xml:space="preserve"> 196 (Rev. Bucarest, 2022)</w:t>
      </w:r>
      <w:r w:rsidR="001A7ACA" w:rsidRPr="00BA5395">
        <w:rPr>
          <w:rFonts w:asciiTheme="minorHAnsi" w:hAnsiTheme="minorHAnsi" w:cstheme="minorHAnsi"/>
          <w:b/>
          <w:bCs/>
          <w:szCs w:val="24"/>
        </w:rPr>
        <w:t> –</w:t>
      </w:r>
      <w:r w:rsidR="00F61267" w:rsidRPr="00BA5395">
        <w:rPr>
          <w:rFonts w:asciiTheme="minorHAnsi" w:hAnsiTheme="minorHAnsi" w:cstheme="minorHAnsi"/>
          <w:b/>
          <w:bCs/>
          <w:szCs w:val="24"/>
        </w:rPr>
        <w:t xml:space="preserve"> </w:t>
      </w:r>
      <w:bookmarkStart w:id="119" w:name="_Toc406754323"/>
      <w:bookmarkEnd w:id="118"/>
      <w:r w:rsidR="004D4B68" w:rsidRPr="00BA5395">
        <w:rPr>
          <w:rFonts w:asciiTheme="minorHAnsi" w:hAnsiTheme="minorHAnsi" w:cstheme="minorHAnsi"/>
          <w:b/>
          <w:bCs/>
          <w:szCs w:val="24"/>
        </w:rPr>
        <w:t>Protección del usuario/consumidor de servicios de telecomunicaciones</w:t>
      </w:r>
      <w:bookmarkEnd w:id="119"/>
    </w:p>
    <w:p w14:paraId="2D756221" w14:textId="58A56E9E" w:rsidR="00F61267" w:rsidRPr="00BA5395" w:rsidRDefault="00F61267" w:rsidP="00BE42DA">
      <w:pPr>
        <w:rPr>
          <w:rFonts w:asciiTheme="minorHAnsi" w:hAnsiTheme="minorHAnsi" w:cstheme="minorHAnsi"/>
          <w:b/>
          <w:bCs/>
          <w:szCs w:val="24"/>
        </w:rPr>
      </w:pPr>
      <w:r w:rsidRPr="00BA5395">
        <w:rPr>
          <w:rFonts w:asciiTheme="minorHAnsi" w:hAnsiTheme="minorHAnsi" w:cstheme="minorHAnsi"/>
          <w:bCs/>
          <w:szCs w:val="24"/>
        </w:rPr>
        <w:t>13.3</w:t>
      </w:r>
      <w:r w:rsidRPr="00BA5395">
        <w:rPr>
          <w:rFonts w:asciiTheme="minorHAnsi" w:hAnsiTheme="minorHAnsi" w:cstheme="minorHAnsi"/>
          <w:b/>
          <w:bCs/>
          <w:szCs w:val="24"/>
        </w:rPr>
        <w:tab/>
      </w:r>
      <w:bookmarkStart w:id="120" w:name="lt_pId230"/>
      <w:r w:rsidR="00812E93" w:rsidRPr="00BA5395">
        <w:rPr>
          <w:rFonts w:asciiTheme="minorHAnsi" w:hAnsiTheme="minorHAnsi" w:cstheme="minorHAnsi"/>
          <w:b/>
          <w:bCs/>
          <w:szCs w:val="24"/>
        </w:rPr>
        <w:t>Se adoptan.</w:t>
      </w:r>
      <w:bookmarkEnd w:id="120"/>
    </w:p>
    <w:p w14:paraId="722FE903" w14:textId="2E3695EF" w:rsidR="004D4B68" w:rsidRPr="00BA5395" w:rsidRDefault="00F61267" w:rsidP="00BE42DA">
      <w:pPr>
        <w:rPr>
          <w:rFonts w:asciiTheme="minorHAnsi" w:hAnsiTheme="minorHAnsi" w:cstheme="minorHAnsi"/>
          <w:szCs w:val="24"/>
        </w:rPr>
      </w:pPr>
      <w:r w:rsidRPr="00BA5395">
        <w:rPr>
          <w:rFonts w:asciiTheme="minorHAnsi" w:hAnsiTheme="minorHAnsi" w:cstheme="minorHAnsi"/>
          <w:szCs w:val="24"/>
        </w:rPr>
        <w:t>13.4</w:t>
      </w:r>
      <w:r w:rsidRPr="00BA5395">
        <w:rPr>
          <w:rFonts w:asciiTheme="minorHAnsi" w:hAnsiTheme="minorHAnsi" w:cstheme="minorHAnsi"/>
          <w:szCs w:val="24"/>
        </w:rPr>
        <w:tab/>
      </w:r>
      <w:bookmarkStart w:id="121" w:name="lt_pId232"/>
      <w:r w:rsidR="004D4B68" w:rsidRPr="00BA5395">
        <w:rPr>
          <w:rFonts w:asciiTheme="minorHAnsi" w:hAnsiTheme="minorHAnsi" w:cstheme="minorHAnsi"/>
          <w:b/>
          <w:bCs/>
          <w:szCs w:val="24"/>
        </w:rPr>
        <w:t xml:space="preserve">Se </w:t>
      </w:r>
      <w:r w:rsidR="004D4B68" w:rsidRPr="00BA5395">
        <w:rPr>
          <w:rFonts w:asciiTheme="minorHAnsi" w:hAnsiTheme="minorHAnsi" w:cstheme="minorHAnsi"/>
          <w:b/>
          <w:szCs w:val="24"/>
        </w:rPr>
        <w:t>aprueba</w:t>
      </w:r>
      <w:r w:rsidR="004D4B68" w:rsidRPr="00BA5395">
        <w:rPr>
          <w:rFonts w:asciiTheme="minorHAnsi" w:hAnsiTheme="minorHAnsi" w:cstheme="minorHAnsi"/>
          <w:szCs w:val="24"/>
        </w:rPr>
        <w:t xml:space="preserve"> en primera lectura la </w:t>
      </w:r>
      <w:r w:rsidR="004D4B68" w:rsidRPr="00BA5395">
        <w:t>decimocuarta</w:t>
      </w:r>
      <w:r w:rsidR="004D4B68" w:rsidRPr="00BA5395">
        <w:rPr>
          <w:rFonts w:asciiTheme="minorHAnsi" w:hAnsiTheme="minorHAnsi" w:cstheme="minorHAnsi"/>
          <w:szCs w:val="24"/>
        </w:rPr>
        <w:t xml:space="preserve"> serie de textos sometidos por la Comisión de Redacción (</w:t>
      </w:r>
      <w:proofErr w:type="spellStart"/>
      <w:r w:rsidR="004D4B68" w:rsidRPr="00BA5395">
        <w:rPr>
          <w:rFonts w:asciiTheme="minorHAnsi" w:hAnsiTheme="minorHAnsi" w:cstheme="minorHAnsi"/>
          <w:szCs w:val="24"/>
        </w:rPr>
        <w:t>B14</w:t>
      </w:r>
      <w:proofErr w:type="spellEnd"/>
      <w:r w:rsidR="004D4B68" w:rsidRPr="00BA5395">
        <w:rPr>
          <w:rFonts w:asciiTheme="minorHAnsi" w:hAnsiTheme="minorHAnsi" w:cstheme="minorHAnsi"/>
          <w:szCs w:val="24"/>
        </w:rPr>
        <w:t>) (Documento 155).</w:t>
      </w:r>
    </w:p>
    <w:bookmarkEnd w:id="121"/>
    <w:p w14:paraId="0CBC6E07" w14:textId="1BC92F74" w:rsidR="00F61267" w:rsidRPr="00BA5395" w:rsidRDefault="00F61267" w:rsidP="00BE42DA">
      <w:pPr>
        <w:pStyle w:val="Heading1"/>
        <w:rPr>
          <w:rFonts w:asciiTheme="minorHAnsi" w:hAnsiTheme="minorHAnsi" w:cstheme="minorHAnsi"/>
          <w:b w:val="0"/>
          <w:bCs/>
          <w:szCs w:val="24"/>
        </w:rPr>
      </w:pPr>
      <w:r w:rsidRPr="00BA5395">
        <w:rPr>
          <w:rFonts w:asciiTheme="minorHAnsi" w:hAnsiTheme="minorHAnsi" w:cstheme="minorHAnsi"/>
          <w:bCs/>
          <w:szCs w:val="24"/>
        </w:rPr>
        <w:t>14</w:t>
      </w:r>
      <w:r w:rsidRPr="00BA5395">
        <w:rPr>
          <w:rFonts w:asciiTheme="minorHAnsi" w:hAnsiTheme="minorHAnsi" w:cstheme="minorHAnsi"/>
          <w:bCs/>
          <w:szCs w:val="24"/>
        </w:rPr>
        <w:tab/>
      </w:r>
      <w:bookmarkStart w:id="122" w:name="lt_pId234"/>
      <w:proofErr w:type="gramStart"/>
      <w:r w:rsidR="004D4B68" w:rsidRPr="00BA5395">
        <w:rPr>
          <w:rFonts w:asciiTheme="minorHAnsi" w:hAnsiTheme="minorHAnsi" w:cstheme="minorHAnsi"/>
          <w:bCs/>
          <w:szCs w:val="24"/>
        </w:rPr>
        <w:t>Decimocuarta</w:t>
      </w:r>
      <w:proofErr w:type="gramEnd"/>
      <w:r w:rsidR="004D4B68" w:rsidRPr="00BA5395">
        <w:rPr>
          <w:rFonts w:asciiTheme="minorHAnsi" w:hAnsiTheme="minorHAnsi" w:cstheme="minorHAnsi"/>
          <w:bCs/>
          <w:szCs w:val="24"/>
        </w:rPr>
        <w:t xml:space="preserve"> serie de textos sometidos por la Comisión de Redacción – segunda lectura (Documento</w:t>
      </w:r>
      <w:r w:rsidRPr="00BA5395">
        <w:rPr>
          <w:rFonts w:asciiTheme="minorHAnsi" w:hAnsiTheme="minorHAnsi" w:cstheme="minorHAnsi"/>
          <w:bCs/>
          <w:szCs w:val="24"/>
        </w:rPr>
        <w:t xml:space="preserve"> </w:t>
      </w:r>
      <w:hyperlink r:id="rId28" w:history="1">
        <w:r w:rsidRPr="00BA5395">
          <w:rPr>
            <w:rStyle w:val="Hyperlink"/>
            <w:rFonts w:asciiTheme="minorHAnsi" w:hAnsiTheme="minorHAnsi" w:cstheme="minorHAnsi"/>
            <w:bCs/>
            <w:szCs w:val="24"/>
          </w:rPr>
          <w:t>155</w:t>
        </w:r>
      </w:hyperlink>
      <w:r w:rsidRPr="00BA5395">
        <w:rPr>
          <w:rFonts w:asciiTheme="minorHAnsi" w:hAnsiTheme="minorHAnsi" w:cstheme="minorHAnsi"/>
          <w:bCs/>
          <w:szCs w:val="24"/>
        </w:rPr>
        <w:t>)</w:t>
      </w:r>
      <w:bookmarkEnd w:id="122"/>
    </w:p>
    <w:p w14:paraId="79EC8931" w14:textId="12626E13" w:rsidR="00BC2EEB" w:rsidRPr="00BA5395" w:rsidRDefault="00F61267" w:rsidP="00BE42DA">
      <w:pPr>
        <w:rPr>
          <w:rFonts w:asciiTheme="minorHAnsi" w:hAnsiTheme="minorHAnsi" w:cstheme="minorHAnsi"/>
          <w:szCs w:val="24"/>
        </w:rPr>
      </w:pPr>
      <w:r w:rsidRPr="00BA5395">
        <w:rPr>
          <w:rFonts w:asciiTheme="minorHAnsi" w:hAnsiTheme="minorHAnsi" w:cstheme="minorHAnsi"/>
          <w:szCs w:val="24"/>
        </w:rPr>
        <w:t>14.1</w:t>
      </w:r>
      <w:r w:rsidRPr="00BA5395">
        <w:rPr>
          <w:rFonts w:asciiTheme="minorHAnsi" w:hAnsiTheme="minorHAnsi" w:cstheme="minorHAnsi"/>
          <w:szCs w:val="24"/>
        </w:rPr>
        <w:tab/>
      </w:r>
      <w:bookmarkStart w:id="123" w:name="lt_pId236"/>
      <w:r w:rsidR="00BC2EEB" w:rsidRPr="00BA5395">
        <w:rPr>
          <w:rFonts w:asciiTheme="minorHAnsi" w:hAnsiTheme="minorHAnsi" w:cstheme="minorHAnsi"/>
          <w:b/>
          <w:bCs/>
          <w:szCs w:val="24"/>
        </w:rPr>
        <w:t>Se a</w:t>
      </w:r>
      <w:r w:rsidR="00BC2EEB" w:rsidRPr="00BA5395">
        <w:rPr>
          <w:rFonts w:asciiTheme="minorHAnsi" w:hAnsiTheme="minorHAnsi" w:cstheme="minorHAnsi"/>
          <w:b/>
          <w:szCs w:val="24"/>
        </w:rPr>
        <w:t>prueba</w:t>
      </w:r>
      <w:r w:rsidR="00BC2EEB" w:rsidRPr="00BA5395">
        <w:rPr>
          <w:rFonts w:asciiTheme="minorHAnsi" w:hAnsiTheme="minorHAnsi" w:cstheme="minorHAnsi"/>
          <w:szCs w:val="24"/>
        </w:rPr>
        <w:t xml:space="preserve"> en segunda lectura la </w:t>
      </w:r>
      <w:r w:rsidR="00AC1789" w:rsidRPr="00BA5395">
        <w:rPr>
          <w:rFonts w:eastAsiaTheme="minorHAnsi"/>
        </w:rPr>
        <w:t>decimocuarta</w:t>
      </w:r>
      <w:r w:rsidR="00BC2EEB" w:rsidRPr="00BA5395">
        <w:rPr>
          <w:rFonts w:asciiTheme="minorHAnsi" w:hAnsiTheme="minorHAnsi" w:cstheme="minorHAnsi"/>
          <w:szCs w:val="24"/>
        </w:rPr>
        <w:t xml:space="preserve"> serie de textos sometidos por la Comisión de Redacción (Documento 155).</w:t>
      </w:r>
    </w:p>
    <w:bookmarkEnd w:id="123"/>
    <w:p w14:paraId="2A277ECF" w14:textId="60C00CAC" w:rsidR="00F61267" w:rsidRPr="00BA5395" w:rsidRDefault="00F61267" w:rsidP="00BE42DA">
      <w:pPr>
        <w:pStyle w:val="Heading1"/>
        <w:rPr>
          <w:rFonts w:asciiTheme="minorHAnsi" w:hAnsiTheme="minorHAnsi" w:cstheme="minorHAnsi"/>
          <w:b w:val="0"/>
          <w:bCs/>
          <w:szCs w:val="24"/>
        </w:rPr>
      </w:pPr>
      <w:r w:rsidRPr="00BA5395">
        <w:rPr>
          <w:rFonts w:asciiTheme="minorHAnsi" w:hAnsiTheme="minorHAnsi" w:cstheme="minorHAnsi"/>
          <w:szCs w:val="24"/>
        </w:rPr>
        <w:t>15</w:t>
      </w:r>
      <w:r w:rsidRPr="00BA5395">
        <w:rPr>
          <w:rFonts w:asciiTheme="minorHAnsi" w:hAnsiTheme="minorHAnsi" w:cstheme="minorHAnsi"/>
          <w:szCs w:val="24"/>
        </w:rPr>
        <w:tab/>
      </w:r>
      <w:proofErr w:type="gramStart"/>
      <w:r w:rsidR="00AC2C5C" w:rsidRPr="00BA5395">
        <w:rPr>
          <w:rFonts w:asciiTheme="minorHAnsi" w:hAnsiTheme="minorHAnsi" w:cstheme="minorHAnsi"/>
          <w:bCs/>
          <w:szCs w:val="24"/>
        </w:rPr>
        <w:t>Presentación</w:t>
      </w:r>
      <w:proofErr w:type="gramEnd"/>
      <w:r w:rsidR="00AC2C5C" w:rsidRPr="00BA5395">
        <w:rPr>
          <w:rFonts w:asciiTheme="minorHAnsi" w:hAnsiTheme="minorHAnsi" w:cstheme="minorHAnsi"/>
          <w:bCs/>
          <w:szCs w:val="24"/>
        </w:rPr>
        <w:t xml:space="preserve"> del Editor Jefe de la Gaceta de la UIT</w:t>
      </w:r>
    </w:p>
    <w:p w14:paraId="483883B2" w14:textId="3D816F49" w:rsidR="00F61267" w:rsidRPr="00BA5395" w:rsidRDefault="00F61267" w:rsidP="00BE42DA">
      <w:pPr>
        <w:rPr>
          <w:rFonts w:asciiTheme="minorHAnsi" w:hAnsiTheme="minorHAnsi" w:cstheme="minorHAnsi"/>
          <w:szCs w:val="24"/>
        </w:rPr>
      </w:pPr>
      <w:r w:rsidRPr="00BA5395">
        <w:rPr>
          <w:rFonts w:asciiTheme="minorHAnsi" w:hAnsiTheme="minorHAnsi" w:cstheme="minorHAnsi"/>
          <w:szCs w:val="24"/>
        </w:rPr>
        <w:t>15.1</w:t>
      </w:r>
      <w:r w:rsidRPr="00BA5395">
        <w:rPr>
          <w:rFonts w:asciiTheme="minorHAnsi" w:hAnsiTheme="minorHAnsi" w:cstheme="minorHAnsi"/>
          <w:szCs w:val="24"/>
        </w:rPr>
        <w:tab/>
      </w:r>
      <w:bookmarkStart w:id="124" w:name="lt_pId240"/>
      <w:r w:rsidR="00C40CE7" w:rsidRPr="00BA5395">
        <w:rPr>
          <w:rFonts w:asciiTheme="minorHAnsi" w:hAnsiTheme="minorHAnsi" w:cstheme="minorHAnsi"/>
          <w:szCs w:val="24"/>
        </w:rPr>
        <w:t>El</w:t>
      </w:r>
      <w:r w:rsidRPr="00BA5395">
        <w:rPr>
          <w:rFonts w:asciiTheme="minorHAnsi" w:hAnsiTheme="minorHAnsi" w:cstheme="minorHAnsi"/>
          <w:szCs w:val="24"/>
        </w:rPr>
        <w:t xml:space="preserve"> </w:t>
      </w:r>
      <w:proofErr w:type="gramStart"/>
      <w:r w:rsidRPr="00BA5395">
        <w:rPr>
          <w:rFonts w:asciiTheme="minorHAnsi" w:hAnsiTheme="minorHAnsi" w:cstheme="minorHAnsi"/>
          <w:b/>
          <w:bCs/>
          <w:szCs w:val="24"/>
        </w:rPr>
        <w:t>Secretar</w:t>
      </w:r>
      <w:r w:rsidR="00C40CE7" w:rsidRPr="00BA5395">
        <w:rPr>
          <w:rFonts w:asciiTheme="minorHAnsi" w:hAnsiTheme="minorHAnsi" w:cstheme="minorHAnsi"/>
          <w:b/>
          <w:bCs/>
          <w:szCs w:val="24"/>
        </w:rPr>
        <w:t xml:space="preserve">io </w:t>
      </w:r>
      <w:r w:rsidRPr="00BA5395">
        <w:rPr>
          <w:rFonts w:asciiTheme="minorHAnsi" w:hAnsiTheme="minorHAnsi" w:cstheme="minorHAnsi"/>
          <w:b/>
          <w:bCs/>
          <w:szCs w:val="24"/>
        </w:rPr>
        <w:t>General</w:t>
      </w:r>
      <w:proofErr w:type="gramEnd"/>
      <w:r w:rsidR="0071435D" w:rsidRPr="00BA5395">
        <w:rPr>
          <w:rFonts w:asciiTheme="minorHAnsi" w:hAnsiTheme="minorHAnsi" w:cstheme="minorHAnsi"/>
          <w:szCs w:val="24"/>
        </w:rPr>
        <w:t xml:space="preserve"> presenta al Sr.</w:t>
      </w:r>
      <w:r w:rsidRPr="00BA5395">
        <w:rPr>
          <w:rFonts w:asciiTheme="minorHAnsi" w:hAnsiTheme="minorHAnsi" w:cstheme="minorHAnsi"/>
          <w:szCs w:val="24"/>
        </w:rPr>
        <w:t xml:space="preserve"> Ian F. </w:t>
      </w:r>
      <w:proofErr w:type="spellStart"/>
      <w:r w:rsidRPr="00BA5395">
        <w:rPr>
          <w:rFonts w:asciiTheme="minorHAnsi" w:hAnsiTheme="minorHAnsi" w:cstheme="minorHAnsi"/>
          <w:szCs w:val="24"/>
        </w:rPr>
        <w:t>Akyildiz</w:t>
      </w:r>
      <w:proofErr w:type="spellEnd"/>
      <w:r w:rsidRPr="00BA5395">
        <w:rPr>
          <w:rFonts w:asciiTheme="minorHAnsi" w:hAnsiTheme="minorHAnsi" w:cstheme="minorHAnsi"/>
          <w:szCs w:val="24"/>
        </w:rPr>
        <w:t>, Editor</w:t>
      </w:r>
      <w:r w:rsidR="0071435D" w:rsidRPr="00BA5395">
        <w:rPr>
          <w:rFonts w:asciiTheme="minorHAnsi" w:hAnsiTheme="minorHAnsi" w:cstheme="minorHAnsi"/>
          <w:szCs w:val="24"/>
        </w:rPr>
        <w:t xml:space="preserve"> Jefe de la Gaceta de la UIT </w:t>
      </w:r>
      <w:r w:rsidR="00D31AD4" w:rsidRPr="00BA5395">
        <w:rPr>
          <w:rFonts w:asciiTheme="minorHAnsi" w:hAnsiTheme="minorHAnsi" w:cstheme="minorHAnsi"/>
          <w:szCs w:val="24"/>
        </w:rPr>
        <w:t xml:space="preserve">sobre </w:t>
      </w:r>
      <w:r w:rsidR="0071435D" w:rsidRPr="00BA5395">
        <w:rPr>
          <w:color w:val="000000"/>
        </w:rPr>
        <w:t>tecnologías futuras y en evolución</w:t>
      </w:r>
      <w:r w:rsidRPr="00BA5395">
        <w:rPr>
          <w:rFonts w:asciiTheme="minorHAnsi" w:hAnsiTheme="minorHAnsi" w:cstheme="minorHAnsi"/>
          <w:szCs w:val="24"/>
        </w:rPr>
        <w:t>,</w:t>
      </w:r>
      <w:r w:rsidR="0071435D" w:rsidRPr="00BA5395">
        <w:rPr>
          <w:rFonts w:asciiTheme="minorHAnsi" w:hAnsiTheme="minorHAnsi" w:cstheme="minorHAnsi"/>
          <w:szCs w:val="24"/>
        </w:rPr>
        <w:t xml:space="preserve"> junto con un certificado de reconocimiento de su trabajo y su inestimable apoyo a la Unión</w:t>
      </w:r>
      <w:r w:rsidRPr="00BA5395">
        <w:rPr>
          <w:rFonts w:asciiTheme="minorHAnsi" w:hAnsiTheme="minorHAnsi" w:cstheme="minorHAnsi"/>
          <w:szCs w:val="24"/>
        </w:rPr>
        <w:t>.</w:t>
      </w:r>
      <w:bookmarkEnd w:id="124"/>
    </w:p>
    <w:p w14:paraId="3B211BDB" w14:textId="5B4B6F28" w:rsidR="00F61267" w:rsidRPr="00BA5395" w:rsidRDefault="00F61267" w:rsidP="00BE42DA">
      <w:pPr>
        <w:rPr>
          <w:rFonts w:asciiTheme="minorHAnsi" w:hAnsiTheme="minorHAnsi" w:cstheme="minorHAnsi"/>
          <w:szCs w:val="24"/>
        </w:rPr>
      </w:pPr>
      <w:r w:rsidRPr="00BE42DA">
        <w:rPr>
          <w:rFonts w:asciiTheme="minorHAnsi" w:hAnsiTheme="minorHAnsi" w:cstheme="minorHAnsi"/>
          <w:szCs w:val="24"/>
        </w:rPr>
        <w:t>15</w:t>
      </w:r>
      <w:r w:rsidRPr="00BA5395">
        <w:rPr>
          <w:rFonts w:asciiTheme="minorHAnsi" w:hAnsiTheme="minorHAnsi" w:cstheme="minorHAnsi"/>
          <w:bCs/>
          <w:szCs w:val="24"/>
        </w:rPr>
        <w:t>.2</w:t>
      </w:r>
      <w:r w:rsidRPr="00BA5395">
        <w:rPr>
          <w:rFonts w:asciiTheme="minorHAnsi" w:hAnsiTheme="minorHAnsi" w:cstheme="minorHAnsi"/>
          <w:bCs/>
          <w:szCs w:val="24"/>
        </w:rPr>
        <w:tab/>
      </w:r>
      <w:bookmarkStart w:id="125" w:name="lt_pId242"/>
      <w:r w:rsidR="0071435D" w:rsidRPr="00BA5395">
        <w:rPr>
          <w:rFonts w:asciiTheme="minorHAnsi" w:hAnsiTheme="minorHAnsi" w:cstheme="minorHAnsi"/>
          <w:bCs/>
          <w:szCs w:val="24"/>
        </w:rPr>
        <w:t xml:space="preserve">El </w:t>
      </w:r>
      <w:r w:rsidR="0071435D" w:rsidRPr="00BA5395">
        <w:rPr>
          <w:rFonts w:asciiTheme="minorHAnsi" w:hAnsiTheme="minorHAnsi" w:cstheme="minorHAnsi"/>
          <w:b/>
          <w:bCs/>
          <w:szCs w:val="24"/>
        </w:rPr>
        <w:t>Sr.</w:t>
      </w:r>
      <w:r w:rsidRPr="00BA5395">
        <w:rPr>
          <w:rFonts w:asciiTheme="minorHAnsi" w:hAnsiTheme="minorHAnsi" w:cstheme="minorHAnsi"/>
          <w:b/>
          <w:bCs/>
          <w:szCs w:val="24"/>
        </w:rPr>
        <w:t xml:space="preserve"> </w:t>
      </w:r>
      <w:proofErr w:type="spellStart"/>
      <w:r w:rsidRPr="00BA5395">
        <w:rPr>
          <w:rFonts w:asciiTheme="minorHAnsi" w:hAnsiTheme="minorHAnsi" w:cstheme="minorHAnsi"/>
          <w:b/>
          <w:bCs/>
          <w:szCs w:val="24"/>
        </w:rPr>
        <w:t>Akyildiz</w:t>
      </w:r>
      <w:proofErr w:type="spellEnd"/>
      <w:r w:rsidRPr="00BA5395">
        <w:rPr>
          <w:rFonts w:asciiTheme="minorHAnsi" w:hAnsiTheme="minorHAnsi" w:cstheme="minorHAnsi"/>
          <w:szCs w:val="24"/>
        </w:rPr>
        <w:t xml:space="preserve"> </w:t>
      </w:r>
      <w:r w:rsidR="0071435D" w:rsidRPr="00BA5395">
        <w:rPr>
          <w:rFonts w:asciiTheme="minorHAnsi" w:hAnsiTheme="minorHAnsi" w:cstheme="minorHAnsi"/>
          <w:szCs w:val="24"/>
        </w:rPr>
        <w:t xml:space="preserve">afirma sentirse honrado por recibir el reconocimiento de su trabajo. Da las gracias al </w:t>
      </w:r>
      <w:proofErr w:type="gramStart"/>
      <w:r w:rsidR="0071435D" w:rsidRPr="00BA5395">
        <w:rPr>
          <w:rFonts w:asciiTheme="minorHAnsi" w:hAnsiTheme="minorHAnsi" w:cstheme="minorHAnsi"/>
          <w:szCs w:val="24"/>
        </w:rPr>
        <w:t>Secretario General</w:t>
      </w:r>
      <w:proofErr w:type="gramEnd"/>
      <w:r w:rsidR="0071435D" w:rsidRPr="00BA5395">
        <w:rPr>
          <w:rFonts w:asciiTheme="minorHAnsi" w:hAnsiTheme="minorHAnsi" w:cstheme="minorHAnsi"/>
          <w:szCs w:val="24"/>
        </w:rPr>
        <w:t xml:space="preserve"> y a sus colegas de la Gaceta. Anima a los delegados a explorar el sitio web de la Gaceta de la UIT y señala que el objetivo de la publicación es crear un puente entre la</w:t>
      </w:r>
      <w:r w:rsidR="005E45B3" w:rsidRPr="00BA5395">
        <w:rPr>
          <w:rFonts w:asciiTheme="minorHAnsi" w:hAnsiTheme="minorHAnsi" w:cstheme="minorHAnsi"/>
          <w:szCs w:val="24"/>
        </w:rPr>
        <w:t> </w:t>
      </w:r>
      <w:r w:rsidR="0071435D" w:rsidRPr="00BA5395">
        <w:rPr>
          <w:rFonts w:asciiTheme="minorHAnsi" w:hAnsiTheme="minorHAnsi" w:cstheme="minorHAnsi"/>
          <w:szCs w:val="24"/>
        </w:rPr>
        <w:t xml:space="preserve">UIT y el mundo académico. Aguarda con interés las </w:t>
      </w:r>
      <w:r w:rsidR="00C1703E" w:rsidRPr="00BA5395">
        <w:rPr>
          <w:rFonts w:asciiTheme="minorHAnsi" w:hAnsiTheme="minorHAnsi" w:cstheme="minorHAnsi"/>
          <w:szCs w:val="24"/>
        </w:rPr>
        <w:t>oportunidades que brindará</w:t>
      </w:r>
      <w:r w:rsidR="0071435D" w:rsidRPr="00BA5395">
        <w:rPr>
          <w:rFonts w:asciiTheme="minorHAnsi" w:hAnsiTheme="minorHAnsi" w:cstheme="minorHAnsi"/>
          <w:szCs w:val="24"/>
        </w:rPr>
        <w:t xml:space="preserve"> el futuro para intercambiar </w:t>
      </w:r>
      <w:bookmarkStart w:id="126" w:name="lt_pId245"/>
      <w:bookmarkEnd w:id="125"/>
      <w:r w:rsidRPr="00BA5395">
        <w:rPr>
          <w:rFonts w:asciiTheme="minorHAnsi" w:hAnsiTheme="minorHAnsi" w:cstheme="minorHAnsi"/>
          <w:szCs w:val="24"/>
        </w:rPr>
        <w:t>ideas.</w:t>
      </w:r>
      <w:bookmarkEnd w:id="126"/>
    </w:p>
    <w:p w14:paraId="0EC51064" w14:textId="171C20B7" w:rsidR="00745117" w:rsidRPr="00BA5395" w:rsidRDefault="00745117" w:rsidP="00745117">
      <w:pPr>
        <w:snapToGrid w:val="0"/>
        <w:spacing w:before="360" w:after="120"/>
        <w:rPr>
          <w:b/>
          <w:szCs w:val="24"/>
        </w:rPr>
      </w:pPr>
      <w:r w:rsidRPr="00BA5395">
        <w:rPr>
          <w:b/>
          <w:szCs w:val="24"/>
        </w:rPr>
        <w:t>Se levanta la sesión a las 15.15 horas.</w:t>
      </w:r>
    </w:p>
    <w:p w14:paraId="3912777D" w14:textId="77777777" w:rsidR="00745117" w:rsidRPr="00BA5395" w:rsidRDefault="00745117" w:rsidP="005E45B3">
      <w:pPr>
        <w:tabs>
          <w:tab w:val="clear" w:pos="567"/>
          <w:tab w:val="clear" w:pos="1134"/>
          <w:tab w:val="clear" w:pos="1701"/>
          <w:tab w:val="clear" w:pos="2268"/>
          <w:tab w:val="clear" w:pos="2835"/>
          <w:tab w:val="left" w:pos="7088"/>
        </w:tabs>
        <w:snapToGrid w:val="0"/>
        <w:spacing w:before="720"/>
        <w:rPr>
          <w:szCs w:val="24"/>
        </w:rPr>
      </w:pPr>
      <w:r w:rsidRPr="00BA5395">
        <w:rPr>
          <w:szCs w:val="24"/>
        </w:rPr>
        <w:t xml:space="preserve">El </w:t>
      </w:r>
      <w:proofErr w:type="gramStart"/>
      <w:r w:rsidRPr="00BA5395">
        <w:rPr>
          <w:szCs w:val="24"/>
        </w:rPr>
        <w:t>Secretario General</w:t>
      </w:r>
      <w:proofErr w:type="gramEnd"/>
      <w:r w:rsidRPr="00BA5395">
        <w:rPr>
          <w:szCs w:val="24"/>
        </w:rPr>
        <w:t>:</w:t>
      </w:r>
      <w:r w:rsidRPr="00BA5395">
        <w:rPr>
          <w:szCs w:val="24"/>
        </w:rPr>
        <w:tab/>
        <w:t>El Presidente:</w:t>
      </w:r>
      <w:r w:rsidRPr="00BA5395">
        <w:rPr>
          <w:szCs w:val="24"/>
        </w:rPr>
        <w:br/>
        <w:t>H. ZHAO</w:t>
      </w:r>
      <w:r w:rsidRPr="00BA5395">
        <w:rPr>
          <w:szCs w:val="24"/>
        </w:rPr>
        <w:tab/>
        <w:t xml:space="preserve">S. </w:t>
      </w:r>
      <w:proofErr w:type="spellStart"/>
      <w:r w:rsidRPr="00BA5395">
        <w:rPr>
          <w:szCs w:val="24"/>
        </w:rPr>
        <w:t>SĂRMAŞ</w:t>
      </w:r>
      <w:proofErr w:type="spellEnd"/>
    </w:p>
    <w:p w14:paraId="3009D849" w14:textId="5CC453CC" w:rsidR="00F61267" w:rsidRPr="00BA5395" w:rsidRDefault="00F61267" w:rsidP="00F61267">
      <w:pPr>
        <w:spacing w:before="2040" w:line="360" w:lineRule="auto"/>
        <w:rPr>
          <w:rFonts w:cstheme="minorHAnsi"/>
          <w:i/>
          <w:szCs w:val="24"/>
        </w:rPr>
      </w:pPr>
      <w:bookmarkStart w:id="127" w:name="lt_pId252"/>
      <w:r w:rsidRPr="00BA5395">
        <w:rPr>
          <w:rFonts w:cstheme="minorHAnsi"/>
          <w:b/>
          <w:bCs/>
          <w:i/>
          <w:szCs w:val="24"/>
        </w:rPr>
        <w:t>Anex</w:t>
      </w:r>
      <w:r w:rsidR="00745117" w:rsidRPr="00BA5395">
        <w:rPr>
          <w:rFonts w:cstheme="minorHAnsi"/>
          <w:b/>
          <w:bCs/>
          <w:i/>
          <w:szCs w:val="24"/>
        </w:rPr>
        <w:t>o</w:t>
      </w:r>
      <w:r w:rsidRPr="00BA5395">
        <w:rPr>
          <w:rFonts w:cstheme="minorHAnsi"/>
          <w:b/>
          <w:bCs/>
          <w:i/>
          <w:szCs w:val="24"/>
        </w:rPr>
        <w:t>s</w:t>
      </w:r>
      <w:r w:rsidRPr="00BA5395">
        <w:rPr>
          <w:rFonts w:cstheme="minorHAnsi"/>
          <w:i/>
          <w:szCs w:val="24"/>
        </w:rPr>
        <w:t>: 3</w:t>
      </w:r>
      <w:bookmarkEnd w:id="127"/>
    </w:p>
    <w:p w14:paraId="04BB28BD" w14:textId="77777777" w:rsidR="00F61267" w:rsidRPr="00BA5395" w:rsidRDefault="00F61267" w:rsidP="00F61267">
      <w:pPr>
        <w:rPr>
          <w:rFonts w:cstheme="minorHAnsi"/>
          <w:iCs/>
          <w:szCs w:val="24"/>
        </w:rPr>
      </w:pPr>
      <w:r w:rsidRPr="00BA5395">
        <w:rPr>
          <w:rFonts w:cstheme="minorHAnsi"/>
          <w:iCs/>
          <w:szCs w:val="24"/>
        </w:rPr>
        <w:br w:type="page"/>
      </w:r>
    </w:p>
    <w:p w14:paraId="496C1C80" w14:textId="54BC2176" w:rsidR="00F61267" w:rsidRPr="00BA5395" w:rsidRDefault="00F61267" w:rsidP="002E6160">
      <w:pPr>
        <w:pStyle w:val="AnnexNo"/>
      </w:pPr>
      <w:bookmarkStart w:id="128" w:name="lt_pId253"/>
      <w:bookmarkStart w:id="129" w:name="_Hlk116641036"/>
      <w:bookmarkStart w:id="130" w:name="_Hlk118115390"/>
      <w:r w:rsidRPr="00BA5395">
        <w:lastRenderedPageBreak/>
        <w:t>Anex</w:t>
      </w:r>
      <w:r w:rsidR="00745117" w:rsidRPr="00BA5395">
        <w:t>O</w:t>
      </w:r>
      <w:r w:rsidRPr="00BA5395">
        <w:t xml:space="preserve"> A</w:t>
      </w:r>
      <w:bookmarkEnd w:id="128"/>
    </w:p>
    <w:p w14:paraId="538E420D" w14:textId="33EEB2B2" w:rsidR="00F61267" w:rsidRPr="00BA5395" w:rsidRDefault="00F61267" w:rsidP="00F61267">
      <w:pPr>
        <w:spacing w:after="120" w:line="360" w:lineRule="auto"/>
        <w:jc w:val="right"/>
        <w:rPr>
          <w:rFonts w:cstheme="minorHAnsi"/>
          <w:iCs/>
          <w:szCs w:val="24"/>
        </w:rPr>
      </w:pPr>
      <w:bookmarkStart w:id="131" w:name="lt_pId254"/>
      <w:r w:rsidRPr="00BA5395">
        <w:rPr>
          <w:rFonts w:cstheme="minorHAnsi"/>
          <w:iCs/>
          <w:szCs w:val="24"/>
        </w:rPr>
        <w:t xml:space="preserve">Original: </w:t>
      </w:r>
      <w:bookmarkEnd w:id="131"/>
      <w:r w:rsidR="007C4E97" w:rsidRPr="00BA5395">
        <w:rPr>
          <w:rFonts w:cstheme="minorHAnsi"/>
          <w:iCs/>
          <w:szCs w:val="24"/>
        </w:rPr>
        <w:t>inglés</w:t>
      </w:r>
    </w:p>
    <w:p w14:paraId="1388C79D" w14:textId="4754A998" w:rsidR="00F61267" w:rsidRPr="00BA5395" w:rsidRDefault="00443707" w:rsidP="00F61267">
      <w:pPr>
        <w:pStyle w:val="Annextitle"/>
        <w:rPr>
          <w:lang w:eastAsia="zh-CN"/>
        </w:rPr>
      </w:pPr>
      <w:bookmarkStart w:id="132" w:name="lt_pId255"/>
      <w:bookmarkEnd w:id="129"/>
      <w:r w:rsidRPr="00BA5395">
        <w:rPr>
          <w:lang w:eastAsia="zh-CN"/>
        </w:rPr>
        <w:t>Declaración de la delegación de Ucrania</w:t>
      </w:r>
      <w:bookmarkEnd w:id="132"/>
    </w:p>
    <w:p w14:paraId="1EDDBE0F" w14:textId="6C23A72F" w:rsidR="00443707" w:rsidRPr="00BA5395" w:rsidRDefault="00443707" w:rsidP="00323DA5">
      <w:pPr>
        <w:spacing w:before="240"/>
        <w:rPr>
          <w:rFonts w:eastAsia="DengXian"/>
          <w:lang w:eastAsia="zh-CN"/>
        </w:rPr>
      </w:pPr>
      <w:bookmarkStart w:id="133" w:name="lt_pId256"/>
      <w:r w:rsidRPr="00BA5395">
        <w:rPr>
          <w:rFonts w:eastAsia="DengXian"/>
          <w:lang w:eastAsia="zh-CN"/>
        </w:rPr>
        <w:t xml:space="preserve">Sr. </w:t>
      </w:r>
      <w:proofErr w:type="gramStart"/>
      <w:r w:rsidRPr="00BA5395">
        <w:rPr>
          <w:rFonts w:eastAsia="DengXian"/>
          <w:lang w:eastAsia="zh-CN"/>
        </w:rPr>
        <w:t>Presidente</w:t>
      </w:r>
      <w:proofErr w:type="gramEnd"/>
      <w:r w:rsidRPr="00BA5395">
        <w:rPr>
          <w:rFonts w:eastAsia="DengXian"/>
          <w:lang w:eastAsia="zh-CN"/>
        </w:rPr>
        <w:t xml:space="preserve">, Sr. </w:t>
      </w:r>
      <w:r w:rsidR="00AE423A" w:rsidRPr="00BA5395">
        <w:rPr>
          <w:rFonts w:eastAsia="DengXian"/>
          <w:lang w:eastAsia="zh-CN"/>
        </w:rPr>
        <w:t>Secretario G</w:t>
      </w:r>
      <w:r w:rsidRPr="00BA5395">
        <w:rPr>
          <w:rFonts w:eastAsia="DengXian"/>
          <w:lang w:eastAsia="zh-CN"/>
        </w:rPr>
        <w:t>eneral,</w:t>
      </w:r>
    </w:p>
    <w:p w14:paraId="6FCC8724" w14:textId="4F21D5C1" w:rsidR="00443707" w:rsidRPr="00BA5395" w:rsidRDefault="00E462ED" w:rsidP="00F61267">
      <w:pPr>
        <w:rPr>
          <w:rFonts w:eastAsia="DengXian" w:cs="Calibri"/>
          <w:szCs w:val="24"/>
          <w:lang w:eastAsia="zh-CN"/>
        </w:rPr>
      </w:pPr>
      <w:r w:rsidRPr="00BA5395">
        <w:rPr>
          <w:rFonts w:eastAsia="DengXian" w:cs="Calibri"/>
          <w:szCs w:val="24"/>
          <w:lang w:eastAsia="zh-CN"/>
        </w:rPr>
        <w:t xml:space="preserve">Excelencias, </w:t>
      </w:r>
      <w:proofErr w:type="gramStart"/>
      <w:r w:rsidRPr="00BA5395">
        <w:rPr>
          <w:rFonts w:eastAsia="DengXian" w:cs="Calibri"/>
          <w:szCs w:val="24"/>
          <w:lang w:eastAsia="zh-CN"/>
        </w:rPr>
        <w:t>S</w:t>
      </w:r>
      <w:r w:rsidR="00443707" w:rsidRPr="00BA5395">
        <w:rPr>
          <w:rFonts w:eastAsia="DengXian" w:cs="Calibri"/>
          <w:szCs w:val="24"/>
          <w:lang w:eastAsia="zh-CN"/>
        </w:rPr>
        <w:t>eñoras y señores</w:t>
      </w:r>
      <w:proofErr w:type="gramEnd"/>
      <w:r w:rsidR="00443707" w:rsidRPr="00BA5395">
        <w:rPr>
          <w:rFonts w:eastAsia="DengXian" w:cs="Calibri"/>
          <w:szCs w:val="24"/>
          <w:lang w:eastAsia="zh-CN"/>
        </w:rPr>
        <w:t>,</w:t>
      </w:r>
    </w:p>
    <w:p w14:paraId="29D5FF41" w14:textId="02D62C7C" w:rsidR="00F61267" w:rsidRPr="00BA5395" w:rsidRDefault="00443707" w:rsidP="00F61267">
      <w:pPr>
        <w:rPr>
          <w:rFonts w:eastAsia="DengXian" w:cs="Calibri"/>
          <w:szCs w:val="24"/>
          <w:lang w:eastAsia="zh-CN"/>
        </w:rPr>
      </w:pPr>
      <w:r w:rsidRPr="00BA5395">
        <w:rPr>
          <w:rFonts w:eastAsia="DengXian" w:cs="Calibri"/>
          <w:szCs w:val="24"/>
          <w:lang w:eastAsia="zh-CN"/>
        </w:rPr>
        <w:t xml:space="preserve">Tengo el honor de leer una declaración en nombre de los siguientes Estados Miembros de la UIT: </w:t>
      </w:r>
      <w:r w:rsidRPr="00BA5395">
        <w:rPr>
          <w:rFonts w:eastAsia="DengXian" w:cs="Calibri"/>
          <w:b/>
          <w:szCs w:val="24"/>
          <w:lang w:eastAsia="zh-CN"/>
        </w:rPr>
        <w:t>Ucrania, los 27 Estados miembros de la UE, Albania, Andorra, Australia, Canadá, Ecuador, Georgia, Islandia, Israel, Japón, Liechtenstein, Moldova, Mónaco, Montenegro, Nueva Zelandia, Macedonia del Norte, Noruega, Perú, República de Corea, Suiza, Reino Unido y Estados Unidos</w:t>
      </w:r>
      <w:r w:rsidRPr="00BA5395">
        <w:rPr>
          <w:rFonts w:eastAsia="DengXian" w:cs="Calibri"/>
          <w:szCs w:val="24"/>
          <w:lang w:eastAsia="zh-CN"/>
        </w:rPr>
        <w:t>, y solicito además que se incluya la declaración en el acta de la reunión.</w:t>
      </w:r>
      <w:bookmarkEnd w:id="133"/>
    </w:p>
    <w:p w14:paraId="1E3D4F17" w14:textId="3FD04518" w:rsidR="00B635F9" w:rsidRPr="00323DA5" w:rsidRDefault="00443707" w:rsidP="00323DA5">
      <w:pPr>
        <w:rPr>
          <w:rFonts w:eastAsia="Calibri"/>
          <w:lang w:eastAsia="ru-RU"/>
        </w:rPr>
      </w:pPr>
      <w:bookmarkStart w:id="134" w:name="lt_pId009"/>
      <w:bookmarkStart w:id="135" w:name="lt_pId282"/>
      <w:r w:rsidRPr="00323DA5">
        <w:rPr>
          <w:rFonts w:eastAsia="Calibri"/>
          <w:lang w:eastAsia="ru-RU"/>
        </w:rPr>
        <w:t>Agradecemos</w:t>
      </w:r>
      <w:r w:rsidR="00B635F9" w:rsidRPr="00323DA5">
        <w:rPr>
          <w:rFonts w:eastAsia="Calibri"/>
          <w:lang w:eastAsia="ru-RU"/>
        </w:rPr>
        <w:t xml:space="preserve"> al </w:t>
      </w:r>
      <w:proofErr w:type="gramStart"/>
      <w:r w:rsidR="00B635F9" w:rsidRPr="00323DA5">
        <w:rPr>
          <w:rFonts w:eastAsia="Calibri"/>
          <w:lang w:eastAsia="ru-RU"/>
        </w:rPr>
        <w:t>Secretario General</w:t>
      </w:r>
      <w:proofErr w:type="gramEnd"/>
      <w:r w:rsidR="00B635F9" w:rsidRPr="00323DA5">
        <w:rPr>
          <w:rFonts w:eastAsia="Calibri"/>
          <w:lang w:eastAsia="ru-RU"/>
        </w:rPr>
        <w:t xml:space="preserve"> la información actualizada que presentó oralmente sobre la aplicación de la Resolución 1408 del Consejo de la UIT de 2022 sobre </w:t>
      </w:r>
      <w:r w:rsidRPr="00323DA5">
        <w:rPr>
          <w:rFonts w:eastAsia="Calibri"/>
          <w:lang w:eastAsia="ru-RU"/>
        </w:rPr>
        <w:t>a</w:t>
      </w:r>
      <w:r w:rsidR="00B635F9" w:rsidRPr="00323DA5">
        <w:rPr>
          <w:rFonts w:eastAsia="Calibri"/>
          <w:lang w:eastAsia="ru-RU"/>
        </w:rPr>
        <w:t xml:space="preserve">sistencia y ayuda a Ucrania para la reconstrucción de su sector de las telecomunicaciones. Esperamos con interés la publicación del primer informe escrito en el que se evaluarán las repercusiones de la guerra en Ucrania en el ámbito de las telecomunicaciones y se presentarán propuestas para una asistencia eficaz, a la mayor brevedad posible y, en todo caso, antes del final </w:t>
      </w:r>
      <w:r w:rsidR="007C4E97" w:rsidRPr="00323DA5">
        <w:rPr>
          <w:rFonts w:eastAsia="Calibri"/>
          <w:lang w:eastAsia="ru-RU"/>
        </w:rPr>
        <w:t>de año</w:t>
      </w:r>
      <w:r w:rsidR="00B635F9" w:rsidRPr="00323DA5">
        <w:rPr>
          <w:rFonts w:eastAsia="Calibri"/>
          <w:lang w:eastAsia="ru-RU"/>
        </w:rPr>
        <w:t>.</w:t>
      </w:r>
    </w:p>
    <w:p w14:paraId="310FD563" w14:textId="77777777" w:rsidR="00B635F9" w:rsidRPr="00323DA5" w:rsidRDefault="00B635F9" w:rsidP="00323DA5">
      <w:pPr>
        <w:rPr>
          <w:rFonts w:eastAsia="Calibri"/>
          <w:lang w:eastAsia="ru-RU"/>
        </w:rPr>
      </w:pPr>
      <w:bookmarkStart w:id="136" w:name="lt_pId011"/>
      <w:bookmarkEnd w:id="134"/>
      <w:r w:rsidRPr="00323DA5">
        <w:rPr>
          <w:rFonts w:eastAsia="Calibri"/>
          <w:lang w:eastAsia="ru-RU"/>
        </w:rPr>
        <w:t>En el primer renglón de la Constitución de la UIT se reconoce la importancia de las telecomunicaciones para la paz y el fomento del desarrollo económico y social de todos los Estados Miembros. El apoyo a Ucrania prestado por la UIT y sus Estados Miembros es especialmente valioso para la reconstrucción del sector de las telecomunicaciones de Ucrania. Es para nosotros un orgullo que nuestra Unión haya intervenido en apoyo de un Estado Miembro que lo necesita urgentemente.</w:t>
      </w:r>
      <w:bookmarkEnd w:id="136"/>
    </w:p>
    <w:p w14:paraId="477A1201" w14:textId="61B6060B" w:rsidR="00B635F9" w:rsidRPr="00323DA5" w:rsidRDefault="00B635F9" w:rsidP="00CD668F">
      <w:pPr>
        <w:rPr>
          <w:rFonts w:eastAsia="Calibri"/>
          <w:lang w:eastAsia="ru-RU"/>
        </w:rPr>
      </w:pPr>
      <w:bookmarkStart w:id="137" w:name="lt_pId013"/>
      <w:r w:rsidRPr="00323DA5">
        <w:rPr>
          <w:rFonts w:eastAsia="Calibri"/>
          <w:lang w:eastAsia="ru-RU"/>
        </w:rPr>
        <w:t xml:space="preserve">Celebramos la creación de un </w:t>
      </w:r>
      <w:r w:rsidR="00443707" w:rsidRPr="00323DA5">
        <w:rPr>
          <w:rFonts w:eastAsia="Calibri"/>
          <w:lang w:eastAsia="ru-RU"/>
        </w:rPr>
        <w:t>g</w:t>
      </w:r>
      <w:r w:rsidRPr="00323DA5">
        <w:rPr>
          <w:rFonts w:eastAsia="Calibri"/>
          <w:lang w:eastAsia="ru-RU"/>
        </w:rPr>
        <w:t xml:space="preserve">rupo </w:t>
      </w:r>
      <w:r w:rsidR="00443707" w:rsidRPr="00323DA5">
        <w:rPr>
          <w:rFonts w:eastAsia="Calibri"/>
          <w:lang w:eastAsia="ru-RU"/>
        </w:rPr>
        <w:t>e</w:t>
      </w:r>
      <w:r w:rsidRPr="00323DA5">
        <w:rPr>
          <w:rFonts w:eastAsia="Calibri"/>
          <w:lang w:eastAsia="ru-RU"/>
        </w:rPr>
        <w:t xml:space="preserve">special a nivel de la Secretaría General, y de un </w:t>
      </w:r>
      <w:r w:rsidR="00443707" w:rsidRPr="00323DA5">
        <w:rPr>
          <w:rFonts w:eastAsia="Calibri"/>
          <w:lang w:eastAsia="ru-RU"/>
        </w:rPr>
        <w:t>f</w:t>
      </w:r>
      <w:r w:rsidRPr="00323DA5">
        <w:rPr>
          <w:rFonts w:eastAsia="Calibri"/>
          <w:lang w:eastAsia="ru-RU"/>
        </w:rPr>
        <w:t xml:space="preserve">ondo </w:t>
      </w:r>
      <w:r w:rsidR="00443707" w:rsidRPr="00323DA5">
        <w:rPr>
          <w:rFonts w:eastAsia="Calibri"/>
          <w:lang w:eastAsia="ru-RU"/>
        </w:rPr>
        <w:t>f</w:t>
      </w:r>
      <w:r w:rsidRPr="00323DA5">
        <w:rPr>
          <w:rFonts w:eastAsia="Calibri"/>
          <w:lang w:eastAsia="ru-RU"/>
        </w:rPr>
        <w:t xml:space="preserve">iduciario </w:t>
      </w:r>
      <w:r w:rsidR="00443707" w:rsidRPr="00323DA5">
        <w:rPr>
          <w:rFonts w:eastAsia="Calibri"/>
          <w:lang w:eastAsia="ru-RU"/>
        </w:rPr>
        <w:t>e</w:t>
      </w:r>
      <w:r w:rsidRPr="00323DA5">
        <w:rPr>
          <w:rFonts w:eastAsia="Calibri"/>
          <w:lang w:eastAsia="ru-RU"/>
        </w:rPr>
        <w:t xml:space="preserve">special para prestar asistencia y apoyo a la reconstrucción de la infraestructura de telecomunicaciones de Ucrania y proporcionar el apoyo y la creación de capacidad técnica necesarios. Agradecemos a los Estados Miembros de la UIT las contribuciones que han hecho para apoyar esta labor, incluidos los proyectos y compromisos anunciados con ocasión de los Diálogos de Alto Nivel sobre Desarrollo Digital de </w:t>
      </w:r>
      <w:proofErr w:type="spellStart"/>
      <w:r w:rsidRPr="00323DA5">
        <w:rPr>
          <w:rFonts w:eastAsia="Calibri"/>
          <w:lang w:eastAsia="ru-RU"/>
        </w:rPr>
        <w:t>Partner2Connect</w:t>
      </w:r>
      <w:proofErr w:type="spellEnd"/>
      <w:r w:rsidRPr="00323DA5">
        <w:rPr>
          <w:rFonts w:eastAsia="Calibri"/>
          <w:lang w:eastAsia="ru-RU"/>
        </w:rPr>
        <w:t xml:space="preserve"> de la UIT, celebrados durante la Conferencia Mundial de Desarrollo de las Telecomunicaciones en Kigali en junio de 2022.</w:t>
      </w:r>
      <w:bookmarkEnd w:id="137"/>
    </w:p>
    <w:p w14:paraId="31117E71" w14:textId="77777777" w:rsidR="00B635F9" w:rsidRPr="00323DA5" w:rsidRDefault="00B635F9" w:rsidP="00CD668F">
      <w:pPr>
        <w:rPr>
          <w:rFonts w:eastAsia="Calibri"/>
          <w:lang w:eastAsia="ru-RU"/>
        </w:rPr>
      </w:pPr>
      <w:bookmarkStart w:id="138" w:name="lt_pId015"/>
      <w:r w:rsidRPr="00323DA5">
        <w:rPr>
          <w:rFonts w:eastAsia="Calibri"/>
          <w:lang w:eastAsia="ru-RU"/>
        </w:rPr>
        <w:t>Instamos a los Estados Miembros y a la Unión a que no pierdan el impulso logrado, y a que sigan proporcionando asistencia y contribuciones financieras a Ucrania con miras a la reconstrucción de su sector de las telecomunicaciones y a que apoyen la utilización de las telecomunicaciones/TIC para la recuperación y el desarrollo sostenible. Además, pedimos a la UIT que garantice una adecuada movilización de recursos financieros y humanos dentro de los límites de su presupuesto para apoyar este esfuerzo, en consonancia con la Resolución 1408 del Consejo.</w:t>
      </w:r>
      <w:bookmarkEnd w:id="138"/>
    </w:p>
    <w:p w14:paraId="072C72DF" w14:textId="758E0515" w:rsidR="00B635F9" w:rsidRPr="00323DA5" w:rsidRDefault="00B635F9" w:rsidP="00CD668F">
      <w:pPr>
        <w:rPr>
          <w:rFonts w:eastAsia="Calibri"/>
          <w:lang w:eastAsia="ru-RU"/>
        </w:rPr>
      </w:pPr>
      <w:r w:rsidRPr="00323DA5">
        <w:rPr>
          <w:rFonts w:eastAsia="Calibri"/>
          <w:lang w:eastAsia="ru-RU"/>
        </w:rPr>
        <w:t xml:space="preserve">Como miembro importante del sistema de las Naciones Unidas, la UIT no puede ignorar el hecho de que es Rusia la responsable de la guerra en Ucrania. Como se reconoce en la Resolución </w:t>
      </w:r>
      <w:hyperlink r:id="rId29" w:history="1">
        <w:r w:rsidR="00443707" w:rsidRPr="00323DA5">
          <w:rPr>
            <w:rFonts w:eastAsia="DengXian"/>
            <w:lang w:eastAsia="zh-CN"/>
          </w:rPr>
          <w:t>A/RES/ES-11/1</w:t>
        </w:r>
      </w:hyperlink>
      <w:r w:rsidR="00443707" w:rsidRPr="00323DA5">
        <w:t xml:space="preserve"> </w:t>
      </w:r>
      <w:r w:rsidRPr="00323DA5">
        <w:rPr>
          <w:rFonts w:eastAsia="Calibri"/>
          <w:lang w:eastAsia="ru-RU"/>
        </w:rPr>
        <w:t>de la Asamblea General de las Naciones Unidas de 2 de marzo de 2022 sobre la agresión contra Ucrania, la invasión no provocada e injusta de Ucrania por parte de Rusia constituye una violación del derecho internacional, incluida la Carta de las Naciones Unidas, y muestra un desprecio manifiesto por el sufrimiento humano.</w:t>
      </w:r>
    </w:p>
    <w:p w14:paraId="4F3F82DE" w14:textId="77777777" w:rsidR="00B635F9" w:rsidRPr="00323DA5" w:rsidRDefault="00B635F9" w:rsidP="008D1D49">
      <w:pPr>
        <w:rPr>
          <w:rFonts w:eastAsia="Calibri"/>
          <w:lang w:eastAsia="ru-RU"/>
        </w:rPr>
      </w:pPr>
      <w:r w:rsidRPr="00323DA5">
        <w:rPr>
          <w:rFonts w:eastAsia="Calibri"/>
          <w:lang w:eastAsia="ru-RU"/>
        </w:rPr>
        <w:lastRenderedPageBreak/>
        <w:t>Desde la invasión a gran escala por parte de Rusia el 24 de febrero de 2022, Ucrania ha sufrido ataques a infraestructuras críticas de telecomunicaciones, fallos en los servicios de telecomunicaciones y cortes en las redes de telefonía móvil. Las acciones de Rusia han tenido efectos devastadores sobre el funcionamiento de las instalaciones y los servicios de telecomunicaciones en Ucrania y sobre el ejercicio del derecho soberano de Ucrania a regular las telecomunicaciones dentro de su territorio internacionalmente reconocido. Estas acciones injustificadas están en clara contradicción con la misión de la UIT de promover la conectividad digital para el desarrollo sostenible en todo el mundo e incumplen los principios fundamentales consagrados en la Constitución de la UIT. Rusia ha perdido su condición de socio creíble para las actividades de la UIT y no puede pretender promover sus valores.</w:t>
      </w:r>
    </w:p>
    <w:p w14:paraId="528C5EC8" w14:textId="77777777" w:rsidR="00B635F9" w:rsidRPr="00323DA5" w:rsidRDefault="00B635F9" w:rsidP="008D1D49">
      <w:pPr>
        <w:rPr>
          <w:rFonts w:eastAsia="Calibri"/>
          <w:lang w:eastAsia="ru-RU"/>
        </w:rPr>
      </w:pPr>
      <w:r w:rsidRPr="00323DA5">
        <w:rPr>
          <w:rFonts w:eastAsia="Calibri"/>
          <w:lang w:eastAsia="ru-RU"/>
        </w:rPr>
        <w:t xml:space="preserve">Rechazamos firmemente y condenamos inequívocamente el intento de anexión ilegal por parte de Rusia de las regiones ucranianas de Donetsk, Luhansk, </w:t>
      </w:r>
      <w:proofErr w:type="spellStart"/>
      <w:r w:rsidRPr="00323DA5">
        <w:rPr>
          <w:rFonts w:eastAsia="Calibri"/>
          <w:lang w:eastAsia="ru-RU"/>
        </w:rPr>
        <w:t>Zaporizhzhia</w:t>
      </w:r>
      <w:proofErr w:type="spellEnd"/>
      <w:r w:rsidRPr="00323DA5">
        <w:rPr>
          <w:rFonts w:eastAsia="Calibri"/>
          <w:lang w:eastAsia="ru-RU"/>
        </w:rPr>
        <w:t xml:space="preserve"> y </w:t>
      </w:r>
      <w:proofErr w:type="spellStart"/>
      <w:r w:rsidRPr="00323DA5">
        <w:rPr>
          <w:rFonts w:eastAsia="Calibri"/>
          <w:lang w:eastAsia="ru-RU"/>
        </w:rPr>
        <w:t>Kherson</w:t>
      </w:r>
      <w:proofErr w:type="spellEnd"/>
      <w:r w:rsidRPr="00323DA5">
        <w:rPr>
          <w:rFonts w:eastAsia="Calibri"/>
          <w:lang w:eastAsia="ru-RU"/>
        </w:rPr>
        <w:t>. Estas acciones, basadas en falsos "referendos" llevados a cabo por los funcionarios instalados por Rusia en los territorios ucranianos temporalmente ocupados, representan una nueva y flagrante violación de la independencia, la soberanía y la integridad territorial de Ucrania, así como del derecho internacional. Los resultados de estas "votaciones" ilegales son nulos y sin valor, y estas zonas nunca serán reconocidas por la comunidad internacional como algo distinto de una parte del territorio soberano de Ucrania. Exhortamos a la UIT a que se abstenga de realizar cualquier acción o publicación que pueda interpretarse como un reconocimiento o respaldo a cualquier alteración de las fronteras internacionalmente reconocidas de Ucrania, y a que apoye a este país en el ejercicio de su derecho soberano a regular las telecomunicaciones dentro de dichas fronteras.</w:t>
      </w:r>
    </w:p>
    <w:p w14:paraId="6E1CFA37" w14:textId="4E87ABB0" w:rsidR="00B635F9" w:rsidRPr="00323DA5" w:rsidRDefault="00B635F9" w:rsidP="008D1D49">
      <w:pPr>
        <w:rPr>
          <w:rFonts w:eastAsia="Calibri"/>
          <w:lang w:eastAsia="ru-RU"/>
        </w:rPr>
      </w:pPr>
      <w:r w:rsidRPr="00323DA5">
        <w:rPr>
          <w:rFonts w:eastAsia="Calibri"/>
          <w:lang w:eastAsia="ru-RU"/>
        </w:rPr>
        <w:t xml:space="preserve">Los partidarios de la presente declaración se solidarizan firmemente y sin reservas con Ucrania. Condenamos enérgicamente la violación de la soberanía y la integridad territorial de Ucrania por parte de la Federación de Rusia, y deploramos el sufrimiento y la pérdida de vidas que ha ocasionado. Reiteramos el llamamiento de la </w:t>
      </w:r>
      <w:r w:rsidR="00443707" w:rsidRPr="00323DA5">
        <w:rPr>
          <w:rFonts w:eastAsia="Calibri"/>
          <w:lang w:eastAsia="ru-RU"/>
        </w:rPr>
        <w:t>r</w:t>
      </w:r>
      <w:r w:rsidRPr="00323DA5">
        <w:rPr>
          <w:rFonts w:eastAsia="Calibri"/>
          <w:lang w:eastAsia="ru-RU"/>
        </w:rPr>
        <w:t>esolución de la Asamblea General de las Naciones Unidas del 2 de marzo e instamos a Rusia a que cese inmediatamente el uso de la fuerza contra Ucrania y a que retire inmediata, completa e incondicionalmente todas sus fuerzas militares del territorio de Ucrania dentro de sus fronteras internacionalmente reconocidas. Asimismo, instamos a Rusia a que respete plenamente las obligaciones que le incumben como miembro de la UIT.</w:t>
      </w:r>
    </w:p>
    <w:p w14:paraId="18EBDA61" w14:textId="77777777" w:rsidR="00CB09E2" w:rsidRPr="00323DA5" w:rsidRDefault="00443707" w:rsidP="00CB09E2">
      <w:pPr>
        <w:spacing w:before="240" w:after="240"/>
        <w:rPr>
          <w:rFonts w:eastAsia="Osnova MFA Cyrillic" w:cs="Calibri"/>
          <w:szCs w:val="24"/>
          <w:lang w:eastAsia="ru-RU"/>
        </w:rPr>
      </w:pPr>
      <w:r w:rsidRPr="00323DA5">
        <w:rPr>
          <w:rFonts w:eastAsia="Osnova MFA Cyrillic" w:cs="Calibri"/>
          <w:szCs w:val="24"/>
          <w:lang w:eastAsia="ru-RU"/>
        </w:rPr>
        <w:t>Gracias.</w:t>
      </w:r>
    </w:p>
    <w:p w14:paraId="3AD7BD91" w14:textId="79BFA15F" w:rsidR="0059792A" w:rsidRPr="00BA5395" w:rsidRDefault="00A7521B" w:rsidP="00CB09E2">
      <w:pPr>
        <w:spacing w:before="240" w:after="240"/>
        <w:rPr>
          <w:rFonts w:eastAsia="DengXian" w:cs="Calibri"/>
          <w:szCs w:val="24"/>
          <w:lang w:eastAsia="zh-CN"/>
        </w:rPr>
      </w:pPr>
      <w:r w:rsidRPr="00323DA5">
        <w:rPr>
          <w:rFonts w:eastAsia="Osnova MFA Cyrillic" w:cs="Calibri"/>
          <w:szCs w:val="24"/>
          <w:lang w:eastAsia="ru-RU"/>
        </w:rPr>
        <w:t>Al lado de</w:t>
      </w:r>
      <w:r w:rsidR="00443707" w:rsidRPr="00323DA5">
        <w:rPr>
          <w:rFonts w:eastAsia="Osnova MFA Cyrillic" w:cs="Calibri"/>
          <w:szCs w:val="24"/>
          <w:lang w:eastAsia="ru-RU"/>
        </w:rPr>
        <w:t xml:space="preserve"> Ucrania</w:t>
      </w:r>
      <w:bookmarkStart w:id="139" w:name="lt_pId284"/>
      <w:bookmarkEnd w:id="130"/>
      <w:bookmarkEnd w:id="135"/>
    </w:p>
    <w:p w14:paraId="73FF5204" w14:textId="72E79F50" w:rsidR="00745117" w:rsidRPr="00BA5395" w:rsidRDefault="00745117" w:rsidP="00BC2EEB">
      <w:r w:rsidRPr="00BA5395">
        <w:br w:type="page"/>
      </w:r>
    </w:p>
    <w:p w14:paraId="78604287" w14:textId="3B7ACE55" w:rsidR="00F61267" w:rsidRPr="00BA5395" w:rsidRDefault="00F61267" w:rsidP="00F61267">
      <w:pPr>
        <w:pStyle w:val="AnnexNo"/>
      </w:pPr>
      <w:r w:rsidRPr="00BA5395">
        <w:lastRenderedPageBreak/>
        <w:t>Anex</w:t>
      </w:r>
      <w:r w:rsidR="006F2408" w:rsidRPr="00BA5395">
        <w:t>O</w:t>
      </w:r>
      <w:r w:rsidRPr="00BA5395">
        <w:t xml:space="preserve"> B</w:t>
      </w:r>
      <w:bookmarkEnd w:id="139"/>
    </w:p>
    <w:p w14:paraId="1FE53E9D" w14:textId="7A309959" w:rsidR="00F61267" w:rsidRPr="00BA5395" w:rsidRDefault="00057E0F" w:rsidP="00F61267">
      <w:pPr>
        <w:spacing w:after="120" w:line="360" w:lineRule="auto"/>
        <w:jc w:val="right"/>
        <w:rPr>
          <w:rFonts w:cstheme="minorHAnsi"/>
          <w:iCs/>
          <w:szCs w:val="24"/>
        </w:rPr>
      </w:pPr>
      <w:bookmarkStart w:id="140" w:name="lt_pId285"/>
      <w:r w:rsidRPr="00BA5395">
        <w:rPr>
          <w:rFonts w:cstheme="minorHAnsi"/>
          <w:iCs/>
          <w:szCs w:val="24"/>
        </w:rPr>
        <w:t>Original: r</w:t>
      </w:r>
      <w:r w:rsidR="00F61267" w:rsidRPr="00BA5395">
        <w:rPr>
          <w:rFonts w:cstheme="minorHAnsi"/>
          <w:iCs/>
          <w:szCs w:val="24"/>
        </w:rPr>
        <w:t>us</w:t>
      </w:r>
      <w:bookmarkEnd w:id="140"/>
      <w:r w:rsidR="006F2408" w:rsidRPr="00BA5395">
        <w:rPr>
          <w:rFonts w:cstheme="minorHAnsi"/>
          <w:iCs/>
          <w:szCs w:val="24"/>
        </w:rPr>
        <w:t>o</w:t>
      </w:r>
    </w:p>
    <w:p w14:paraId="389FD365" w14:textId="35DA6201" w:rsidR="00F61267" w:rsidRPr="00BA5395" w:rsidRDefault="00057E0F" w:rsidP="000054A2">
      <w:pPr>
        <w:pStyle w:val="Annextitle"/>
      </w:pPr>
      <w:bookmarkStart w:id="141" w:name="lt_pId286"/>
      <w:r w:rsidRPr="00BA5395">
        <w:t xml:space="preserve">Declaración de la Federación de Rusia sobre el </w:t>
      </w:r>
      <w:r w:rsidR="00F61267" w:rsidRPr="00BA5395">
        <w:t>Document</w:t>
      </w:r>
      <w:r w:rsidRPr="00BA5395">
        <w:t>o</w:t>
      </w:r>
      <w:r w:rsidR="00F61267" w:rsidRPr="00BA5395">
        <w:t xml:space="preserve"> 70</w:t>
      </w:r>
      <w:bookmarkEnd w:id="141"/>
      <w:r w:rsidR="00F61267" w:rsidRPr="00BA5395">
        <w:t xml:space="preserve"> </w:t>
      </w:r>
      <w:r w:rsidR="00F61267" w:rsidRPr="00BA5395">
        <w:br/>
      </w:r>
      <w:bookmarkStart w:id="142" w:name="lt_pId287"/>
      <w:r w:rsidR="00F61267" w:rsidRPr="00BA5395">
        <w:t>(</w:t>
      </w:r>
      <w:r w:rsidR="00E51F01" w:rsidRPr="00BA5395">
        <w:rPr>
          <w:szCs w:val="24"/>
        </w:rPr>
        <w:t xml:space="preserve">Informe sobre los progresos logrados en la aplicación de </w:t>
      </w:r>
      <w:r w:rsidR="00CB09E2" w:rsidRPr="00BA5395">
        <w:rPr>
          <w:szCs w:val="24"/>
        </w:rPr>
        <w:br/>
      </w:r>
      <w:r w:rsidR="00E51F01" w:rsidRPr="00BA5395">
        <w:rPr>
          <w:szCs w:val="24"/>
        </w:rPr>
        <w:t>la Resolución 1408 del</w:t>
      </w:r>
      <w:r w:rsidR="00CB09E2" w:rsidRPr="00BA5395">
        <w:rPr>
          <w:szCs w:val="24"/>
        </w:rPr>
        <w:t> </w:t>
      </w:r>
      <w:r w:rsidR="00E51F01" w:rsidRPr="00BA5395">
        <w:rPr>
          <w:szCs w:val="24"/>
        </w:rPr>
        <w:t>Consejo</w:t>
      </w:r>
      <w:r w:rsidR="00F61267" w:rsidRPr="00BA5395">
        <w:t>)</w:t>
      </w:r>
      <w:bookmarkEnd w:id="142"/>
    </w:p>
    <w:p w14:paraId="667D92AB" w14:textId="5BFAD3D2" w:rsidR="00F61267" w:rsidRPr="00BA5395" w:rsidRDefault="005234D6" w:rsidP="000054A2">
      <w:pPr>
        <w:spacing w:before="360"/>
        <w:rPr>
          <w:rFonts w:ascii="Arial" w:hAnsi="Arial" w:cs="Arial"/>
        </w:rPr>
      </w:pPr>
      <w:bookmarkStart w:id="143" w:name="lt_pId288"/>
      <w:r w:rsidRPr="00BA5395">
        <w:t>En la sesión del Consejo de 2022, durante el debate sobre el proyecto de Resolución </w:t>
      </w:r>
      <w:r w:rsidR="00F61267" w:rsidRPr="00BA5395">
        <w:t>1408</w:t>
      </w:r>
      <w:r w:rsidRPr="00BA5395">
        <w:t xml:space="preserve">, la Administración de la Federación de Rusia manifestó su oposición a la marcada politización de </w:t>
      </w:r>
      <w:r w:rsidR="00093218" w:rsidRPr="00BA5395">
        <w:t>todos los</w:t>
      </w:r>
      <w:r w:rsidRPr="00BA5395">
        <w:t xml:space="preserve"> aspecto</w:t>
      </w:r>
      <w:r w:rsidR="00093218" w:rsidRPr="00BA5395">
        <w:t>s</w:t>
      </w:r>
      <w:r w:rsidRPr="00BA5395">
        <w:t xml:space="preserve"> de los trabajos de la Unión y de las relaciones entre los Estados Miembros ajenas al mandato de la UIT, que está definido con precisión en su Constitución y su Convenio</w:t>
      </w:r>
      <w:r w:rsidR="00F61267" w:rsidRPr="00BA5395">
        <w:t>.</w:t>
      </w:r>
      <w:bookmarkEnd w:id="143"/>
    </w:p>
    <w:p w14:paraId="7A70A72C" w14:textId="7A20F84C" w:rsidR="00F61267" w:rsidRPr="00BA5395" w:rsidRDefault="005234D6" w:rsidP="000054A2">
      <w:pPr>
        <w:rPr>
          <w:rFonts w:ascii="Arial" w:hAnsi="Arial" w:cs="Arial"/>
        </w:rPr>
      </w:pPr>
      <w:bookmarkStart w:id="144" w:name="lt_pId289"/>
      <w:r w:rsidRPr="00BA5395">
        <w:t xml:space="preserve">La Federación de Rusia da las gracias al </w:t>
      </w:r>
      <w:proofErr w:type="gramStart"/>
      <w:r w:rsidRPr="00BA5395">
        <w:t>Secretario General</w:t>
      </w:r>
      <w:proofErr w:type="gramEnd"/>
      <w:r w:rsidRPr="00BA5395">
        <w:t xml:space="preserve"> por su presentación del Informe sobre los progresos logrados en la aplicación de la Resolución </w:t>
      </w:r>
      <w:r w:rsidR="00F61267" w:rsidRPr="00BA5395">
        <w:t xml:space="preserve">1408 </w:t>
      </w:r>
      <w:r w:rsidRPr="00BA5395">
        <w:t xml:space="preserve">del Consejo de la UIT que figura en el </w:t>
      </w:r>
      <w:hyperlink r:id="rId30" w:tgtFrame="_blank" w:history="1">
        <w:r w:rsidR="00F61267" w:rsidRPr="00BA5395">
          <w:rPr>
            <w:rStyle w:val="Hyperlink"/>
            <w:szCs w:val="24"/>
          </w:rPr>
          <w:t>Document</w:t>
        </w:r>
        <w:r w:rsidRPr="00BA5395">
          <w:rPr>
            <w:rStyle w:val="Hyperlink"/>
            <w:szCs w:val="24"/>
          </w:rPr>
          <w:t>o</w:t>
        </w:r>
        <w:r w:rsidR="00F61267" w:rsidRPr="00BA5395">
          <w:rPr>
            <w:rStyle w:val="Hyperlink"/>
            <w:szCs w:val="24"/>
          </w:rPr>
          <w:t xml:space="preserve"> 70</w:t>
        </w:r>
      </w:hyperlink>
      <w:r w:rsidR="00F61267" w:rsidRPr="00BA5395">
        <w:t xml:space="preserve">, </w:t>
      </w:r>
      <w:r w:rsidRPr="00BA5395">
        <w:t xml:space="preserve">y apoyamos que se tome nota del informe de la Conferencia de Plenipotenciarios. Sin embargo, llamamos la atención sobre algunos asuntos relacionados con el desempeño del mandato de la UIT relativo a la prestación de asistencia y apoyo a los países </w:t>
      </w:r>
      <w:r w:rsidR="00E0021B" w:rsidRPr="00BA5395">
        <w:t>que afrontan</w:t>
      </w:r>
      <w:r w:rsidRPr="00BA5395">
        <w:t xml:space="preserve"> dificultades, de la manera que sigue</w:t>
      </w:r>
      <w:bookmarkStart w:id="145" w:name="lt_pId290"/>
      <w:bookmarkEnd w:id="144"/>
      <w:r w:rsidR="00F61267" w:rsidRPr="00BA5395">
        <w:t>.</w:t>
      </w:r>
      <w:bookmarkEnd w:id="145"/>
    </w:p>
    <w:p w14:paraId="4ECA4941" w14:textId="28630039" w:rsidR="00F61267" w:rsidRPr="00BA5395" w:rsidRDefault="00B115FD" w:rsidP="000054A2">
      <w:pPr>
        <w:rPr>
          <w:rFonts w:ascii="Arial" w:hAnsi="Arial" w:cs="Arial"/>
        </w:rPr>
      </w:pPr>
      <w:bookmarkStart w:id="146" w:name="lt_pId291"/>
      <w:r w:rsidRPr="00BA5395">
        <w:t xml:space="preserve">De acuerdo con el Documento </w:t>
      </w:r>
      <w:r w:rsidR="00F61267" w:rsidRPr="00BA5395">
        <w:t>70</w:t>
      </w:r>
      <w:r w:rsidRPr="00BA5395">
        <w:t xml:space="preserve">, la Secretaría de la UIT inició una serie de acciones para aplicar la Resolución, incluida la creación de un </w:t>
      </w:r>
      <w:hyperlink r:id="rId31" w:tgtFrame="_blank" w:history="1">
        <w:r w:rsidRPr="00BA5395">
          <w:rPr>
            <w:rStyle w:val="Hyperlink"/>
            <w:szCs w:val="24"/>
          </w:rPr>
          <w:t>sitio</w:t>
        </w:r>
      </w:hyperlink>
      <w:r w:rsidRPr="00BA5395">
        <w:rPr>
          <w:rStyle w:val="Hyperlink"/>
          <w:szCs w:val="24"/>
        </w:rPr>
        <w:t xml:space="preserve"> web</w:t>
      </w:r>
      <w:bookmarkEnd w:id="146"/>
      <w:r w:rsidRPr="00BA5395">
        <w:t xml:space="preserve"> especial.</w:t>
      </w:r>
    </w:p>
    <w:p w14:paraId="41692FA2" w14:textId="049BBDB9" w:rsidR="00F61267" w:rsidRPr="00BA5395" w:rsidRDefault="00EE721C" w:rsidP="000054A2">
      <w:pPr>
        <w:rPr>
          <w:rFonts w:ascii="Arial" w:hAnsi="Arial" w:cs="Arial"/>
        </w:rPr>
      </w:pPr>
      <w:bookmarkStart w:id="147" w:name="lt_pId292"/>
      <w:r w:rsidRPr="00BA5395">
        <w:t>Merece la pena record</w:t>
      </w:r>
      <w:r w:rsidR="00896B49" w:rsidRPr="00BA5395">
        <w:t>a</w:t>
      </w:r>
      <w:r w:rsidRPr="00BA5395">
        <w:t xml:space="preserve">r que la Resolución citada </w:t>
      </w:r>
      <w:r w:rsidRPr="00BA5395">
        <w:rPr>
          <w:i/>
        </w:rPr>
        <w:t>supra</w:t>
      </w:r>
      <w:r w:rsidRPr="00BA5395">
        <w:t xml:space="preserve"> se refiere a la </w:t>
      </w:r>
      <w:r w:rsidR="00093218" w:rsidRPr="00BA5395">
        <w:t xml:space="preserve">prestación de </w:t>
      </w:r>
      <w:r w:rsidRPr="00BA5395">
        <w:t xml:space="preserve">asistencia y apoyo a un Estado Miembro con miras a la reconstrucción de su sector de las telecomunicaciones. Al mismo tiempo, la UIT, en </w:t>
      </w:r>
      <w:r w:rsidRPr="00BA5395">
        <w:rPr>
          <w:color w:val="000000"/>
        </w:rPr>
        <w:t xml:space="preserve">calidad de organismo especializado de las Naciones Unidas responsable de las telecomunicaciones/TIC, </w:t>
      </w:r>
      <w:bookmarkStart w:id="148" w:name="lt_pId293"/>
      <w:bookmarkEnd w:id="147"/>
      <w:r w:rsidRPr="00BA5395">
        <w:rPr>
          <w:color w:val="000000"/>
        </w:rPr>
        <w:t>no tiene autoridad para definir la situación legal o la naturaleza de las relaciones entre sus Estados Miembros</w:t>
      </w:r>
      <w:bookmarkEnd w:id="148"/>
      <w:r w:rsidR="000054A2" w:rsidRPr="00BA5395">
        <w:rPr>
          <w:color w:val="000000"/>
        </w:rPr>
        <w:t>.</w:t>
      </w:r>
    </w:p>
    <w:p w14:paraId="7B553EB4" w14:textId="04E95167" w:rsidR="00F61267" w:rsidRPr="00BA5395" w:rsidRDefault="00896B49" w:rsidP="000054A2">
      <w:pPr>
        <w:rPr>
          <w:rFonts w:ascii="Arial" w:hAnsi="Arial" w:cs="Arial"/>
        </w:rPr>
      </w:pPr>
      <w:bookmarkStart w:id="149" w:name="lt_pId294"/>
      <w:r w:rsidRPr="00BA5395">
        <w:t>No obstante, la página web temática creada en el sitio web oficial de la UIT con miras a la aplicación de la Resolución incluye afirmaciones subjetivas y politizadas inaceptables</w:t>
      </w:r>
      <w:r w:rsidR="00B80B33" w:rsidRPr="00BA5395">
        <w:t>, lo que excede las competencias de la Unión y no es coherente con la práctica aceptada en tales situaciones. En otro orden de cosas, hacemos notar que la Secretaría de la UIT no proporcionó la traducción de la página web, que forma parte de la sección sobre el Sector de Desarrollo de las Telecomunicaciones del sitio web de la UIT, en los seis idiomas oficiales de la Unión</w:t>
      </w:r>
      <w:r w:rsidR="008D7039" w:rsidRPr="00BA5395">
        <w:t>,</w:t>
      </w:r>
      <w:r w:rsidR="00B80B33" w:rsidRPr="00BA5395">
        <w:t xml:space="preserve"> lo que contraviene las disposiciones de la Constitución y el Convenio de la UIT y la Resolución</w:t>
      </w:r>
      <w:bookmarkStart w:id="150" w:name="lt_pId296"/>
      <w:bookmarkEnd w:id="149"/>
      <w:r w:rsidR="00A80D98" w:rsidRPr="00BA5395">
        <w:t xml:space="preserve"> 154 (Rev. </w:t>
      </w:r>
      <w:r w:rsidR="00F61267" w:rsidRPr="00BA5395">
        <w:t>Dub</w:t>
      </w:r>
      <w:r w:rsidR="00B80B33" w:rsidRPr="00BA5395">
        <w:t>ái, 2018) de la Conferencia de Plenipotenciarios</w:t>
      </w:r>
      <w:r w:rsidR="00F61267" w:rsidRPr="00BA5395">
        <w:t>.</w:t>
      </w:r>
      <w:bookmarkEnd w:id="150"/>
    </w:p>
    <w:p w14:paraId="10536BF7" w14:textId="257F9ACC" w:rsidR="00F61267" w:rsidRPr="00BA5395" w:rsidRDefault="00E632E7" w:rsidP="000054A2">
      <w:pPr>
        <w:rPr>
          <w:rFonts w:ascii="Arial" w:hAnsi="Arial" w:cs="Arial"/>
        </w:rPr>
      </w:pPr>
      <w:bookmarkStart w:id="151" w:name="lt_pId297"/>
      <w:r w:rsidRPr="00BA5395">
        <w:t>Asimismo, da la impresión de que se está adoptando un enfoque selectiv</w:t>
      </w:r>
      <w:r w:rsidR="006039BF" w:rsidRPr="00BA5395">
        <w:t>o</w:t>
      </w:r>
      <w:r w:rsidRPr="00BA5395">
        <w:t xml:space="preserve"> para la utilización de los recursos de la UIT con miras al cumplimiento de su mandato </w:t>
      </w:r>
      <w:r w:rsidR="006039BF" w:rsidRPr="00BA5395">
        <w:t xml:space="preserve">de </w:t>
      </w:r>
      <w:r w:rsidRPr="00BA5395">
        <w:t>prestación de asistencia técnica y apoyo a los paí</w:t>
      </w:r>
      <w:r w:rsidR="00E0021B" w:rsidRPr="00BA5395">
        <w:t>s</w:t>
      </w:r>
      <w:r w:rsidRPr="00BA5395">
        <w:t xml:space="preserve">es </w:t>
      </w:r>
      <w:r w:rsidR="00E0021B" w:rsidRPr="00BA5395">
        <w:t xml:space="preserve">que afrontan </w:t>
      </w:r>
      <w:r w:rsidRPr="00BA5395">
        <w:t>dificultad</w:t>
      </w:r>
      <w:r w:rsidR="00E0021B" w:rsidRPr="00BA5395">
        <w:t xml:space="preserve">es, en la medida en que se favorece a un único Estado Miembro de la UIT, a pesar de que, solo en 2022, varios Estados Miembros de la UIT </w:t>
      </w:r>
      <w:r w:rsidR="006039BF" w:rsidRPr="00BA5395">
        <w:t xml:space="preserve">a los que se aplican resoluciones </w:t>
      </w:r>
      <w:r w:rsidR="003D5A6C" w:rsidRPr="00BA5395">
        <w:t xml:space="preserve">vigentes </w:t>
      </w:r>
      <w:r w:rsidR="006039BF" w:rsidRPr="00BA5395">
        <w:t xml:space="preserve">de la Conferencia de Plenipotenciarios (a saber, las Resoluciones </w:t>
      </w:r>
      <w:r w:rsidR="00F61267" w:rsidRPr="00BA5395">
        <w:t xml:space="preserve">34, 125, 126, 127, 159 </w:t>
      </w:r>
      <w:r w:rsidR="006039BF" w:rsidRPr="00BA5395">
        <w:t xml:space="preserve">y </w:t>
      </w:r>
      <w:r w:rsidR="00F61267" w:rsidRPr="00BA5395">
        <w:t>193</w:t>
      </w:r>
      <w:r w:rsidR="006039BF" w:rsidRPr="00BA5395">
        <w:t>) se han visto en la necesidad de recibir más asistencia de la UIT</w:t>
      </w:r>
      <w:r w:rsidR="00F61267" w:rsidRPr="00BA5395">
        <w:t>.</w:t>
      </w:r>
      <w:bookmarkEnd w:id="151"/>
    </w:p>
    <w:p w14:paraId="6B619DD9" w14:textId="306AC3E2" w:rsidR="000054A2" w:rsidRPr="00BA5395" w:rsidRDefault="006039BF" w:rsidP="000054A2">
      <w:pPr>
        <w:keepLines/>
      </w:pPr>
      <w:bookmarkStart w:id="152" w:name="lt_pId298"/>
      <w:r w:rsidRPr="00BA5395">
        <w:lastRenderedPageBreak/>
        <w:t>A la luz de lo anterior, y de acuerdo con el principio de garantizar los mismos derechos para todos los Estados Mie</w:t>
      </w:r>
      <w:r w:rsidR="00AD493E" w:rsidRPr="00BA5395">
        <w:t xml:space="preserve">mbros de la UIT, la Federación </w:t>
      </w:r>
      <w:r w:rsidRPr="00BA5395">
        <w:t xml:space="preserve">de Rusia invita al Secretario General a </w:t>
      </w:r>
      <w:r w:rsidR="00F42922" w:rsidRPr="00BA5395">
        <w:t>prepara</w:t>
      </w:r>
      <w:r w:rsidRPr="00BA5395">
        <w:t>r informes sobre todas las resoluciones relacionadas con la asistencia a paí</w:t>
      </w:r>
      <w:r w:rsidR="00F42922" w:rsidRPr="00BA5395">
        <w:t>s</w:t>
      </w:r>
      <w:r w:rsidRPr="00BA5395">
        <w:t xml:space="preserve">es que afrontan dificultades, especificando el conjunto completo de medidas, las fuentes y el volumen de la financiación y los resultados específicos alcanzados en cada una de las 12 </w:t>
      </w:r>
      <w:r w:rsidR="00F94CB2" w:rsidRPr="00BA5395">
        <w:t>r</w:t>
      </w:r>
      <w:r w:rsidRPr="00BA5395">
        <w:t>esoluciones de la Conferencia de Plenipotenciar</w:t>
      </w:r>
      <w:r w:rsidR="00F42922" w:rsidRPr="00BA5395">
        <w:t>i</w:t>
      </w:r>
      <w:r w:rsidRPr="00BA5395">
        <w:t xml:space="preserve">os. Además, </w:t>
      </w:r>
      <w:bookmarkStart w:id="153" w:name="lt_pId299"/>
      <w:bookmarkEnd w:id="152"/>
      <w:r w:rsidRPr="00BA5395">
        <w:t xml:space="preserve">se debería crear una </w:t>
      </w:r>
      <w:r w:rsidR="00F42922" w:rsidRPr="00BA5395">
        <w:t xml:space="preserve">única </w:t>
      </w:r>
      <w:r w:rsidRPr="00BA5395">
        <w:t xml:space="preserve">página en el sitio web del Sector de Desarrollo de las Telecomunicaciones </w:t>
      </w:r>
      <w:r w:rsidR="00F42922" w:rsidRPr="00BA5395">
        <w:t xml:space="preserve">que esté </w:t>
      </w:r>
      <w:r w:rsidRPr="00BA5395">
        <w:t>dedicada a la aplicación de todas estas resoluciones de la Conf</w:t>
      </w:r>
      <w:r w:rsidR="00F42922" w:rsidRPr="00BA5395">
        <w:t>erencia de Plenipotenciarios y que muestre las medidas y los resultados concretos de la asistencia técnica prestada. Dichas resoluciones afectan actualmente a unos 20 Estados Miembros de diferentes regiones del mundo</w:t>
      </w:r>
      <w:bookmarkStart w:id="154" w:name="lt_pId300"/>
      <w:bookmarkEnd w:id="153"/>
      <w:r w:rsidR="00F61267" w:rsidRPr="00BA5395">
        <w:t>.</w:t>
      </w:r>
      <w:bookmarkEnd w:id="154"/>
    </w:p>
    <w:p w14:paraId="0AE97578" w14:textId="77777777" w:rsidR="000054A2" w:rsidRPr="00BA5395" w:rsidRDefault="000054A2">
      <w:pPr>
        <w:tabs>
          <w:tab w:val="clear" w:pos="567"/>
          <w:tab w:val="clear" w:pos="1134"/>
          <w:tab w:val="clear" w:pos="1701"/>
          <w:tab w:val="clear" w:pos="2268"/>
          <w:tab w:val="clear" w:pos="2835"/>
        </w:tabs>
        <w:overflowPunct/>
        <w:autoSpaceDE/>
        <w:autoSpaceDN/>
        <w:adjustRightInd/>
        <w:spacing w:before="0"/>
        <w:textAlignment w:val="auto"/>
      </w:pPr>
      <w:r w:rsidRPr="00BA5395">
        <w:br w:type="page"/>
      </w:r>
    </w:p>
    <w:p w14:paraId="46858751" w14:textId="2C29A09D" w:rsidR="00F61267" w:rsidRPr="00BA5395" w:rsidRDefault="00F61267" w:rsidP="00F61267">
      <w:pPr>
        <w:pStyle w:val="AnnexNo"/>
      </w:pPr>
      <w:r w:rsidRPr="00BA5395">
        <w:lastRenderedPageBreak/>
        <w:t>An</w:t>
      </w:r>
      <w:r w:rsidR="006F2408" w:rsidRPr="00BA5395">
        <w:t>E</w:t>
      </w:r>
      <w:r w:rsidRPr="00BA5395">
        <w:t>x</w:t>
      </w:r>
      <w:r w:rsidR="006F2408" w:rsidRPr="00BA5395">
        <w:t>O</w:t>
      </w:r>
      <w:r w:rsidRPr="00BA5395">
        <w:t xml:space="preserve"> C</w:t>
      </w:r>
    </w:p>
    <w:p w14:paraId="0BA5129C" w14:textId="32E39C52" w:rsidR="00F61267" w:rsidRPr="00323DA5" w:rsidRDefault="00F61267" w:rsidP="00F61267">
      <w:pPr>
        <w:spacing w:after="120" w:line="360" w:lineRule="auto"/>
        <w:jc w:val="right"/>
        <w:rPr>
          <w:rFonts w:cstheme="minorHAnsi"/>
          <w:iCs/>
          <w:szCs w:val="24"/>
        </w:rPr>
      </w:pPr>
      <w:bookmarkStart w:id="155" w:name="lt_pId302"/>
      <w:r w:rsidRPr="00323DA5">
        <w:rPr>
          <w:rFonts w:cstheme="minorHAnsi"/>
          <w:iCs/>
          <w:szCs w:val="24"/>
        </w:rPr>
        <w:t xml:space="preserve">Original: </w:t>
      </w:r>
      <w:r w:rsidR="00C3581E" w:rsidRPr="00323DA5">
        <w:rPr>
          <w:rFonts w:cstheme="minorHAnsi"/>
          <w:iCs/>
          <w:szCs w:val="24"/>
        </w:rPr>
        <w:t>r</w:t>
      </w:r>
      <w:r w:rsidRPr="00323DA5">
        <w:rPr>
          <w:rFonts w:cstheme="minorHAnsi"/>
          <w:iCs/>
          <w:szCs w:val="24"/>
        </w:rPr>
        <w:t>us</w:t>
      </w:r>
      <w:bookmarkEnd w:id="155"/>
      <w:r w:rsidR="006F2408" w:rsidRPr="00323DA5">
        <w:rPr>
          <w:rFonts w:cstheme="minorHAnsi"/>
          <w:iCs/>
          <w:szCs w:val="24"/>
        </w:rPr>
        <w:t>o</w:t>
      </w:r>
    </w:p>
    <w:p w14:paraId="56C79887" w14:textId="512E2DF2" w:rsidR="00F61267" w:rsidRPr="00BA5395" w:rsidRDefault="00C3581E" w:rsidP="00F61267">
      <w:pPr>
        <w:pStyle w:val="Annextitle"/>
        <w:rPr>
          <w:lang w:eastAsia="zh-CN" w:bidi="hi-IN"/>
        </w:rPr>
      </w:pPr>
      <w:bookmarkStart w:id="156" w:name="lt_pId303"/>
      <w:r w:rsidRPr="00323DA5">
        <w:rPr>
          <w:lang w:eastAsia="zh-CN" w:bidi="hi-IN"/>
        </w:rPr>
        <w:t>Declaración de la Federación de Rusia en respuesta a la declaración de Ucrania</w:t>
      </w:r>
      <w:bookmarkEnd w:id="156"/>
    </w:p>
    <w:p w14:paraId="05AFD160" w14:textId="1DE284CF" w:rsidR="009C4840" w:rsidRPr="00BA5395" w:rsidRDefault="009C4840" w:rsidP="000054A2">
      <w:pPr>
        <w:pStyle w:val="Normalaftertitle"/>
        <w:tabs>
          <w:tab w:val="clear" w:pos="567"/>
          <w:tab w:val="clear" w:pos="1134"/>
          <w:tab w:val="clear" w:pos="1701"/>
          <w:tab w:val="clear" w:pos="2268"/>
          <w:tab w:val="clear" w:pos="2835"/>
        </w:tabs>
        <w:spacing w:before="360"/>
        <w:rPr>
          <w:rPrChange w:id="157" w:author="Spanish2" w:date="2022-11-02T14:25:00Z">
            <w:rPr/>
          </w:rPrChange>
        </w:rPr>
      </w:pPr>
      <w:bookmarkStart w:id="158" w:name="lt_pId319"/>
      <w:r w:rsidRPr="00BA5395">
        <w:rPr>
          <w:rPrChange w:id="159" w:author="Spanish2" w:date="2022-11-02T14:10:00Z">
            <w:rPr>
              <w:lang w:val="en-US"/>
            </w:rPr>
          </w:rPrChange>
        </w:rPr>
        <w:t>La delegación de la Federación de Rusia se opone firmemente a los intentos de algunos Estados Miembr</w:t>
      </w:r>
      <w:r w:rsidR="005F0539" w:rsidRPr="00BA5395">
        <w:t>os, incluida Ucrania, de utiliza</w:t>
      </w:r>
      <w:r w:rsidRPr="00BA5395">
        <w:rPr>
          <w:rPrChange w:id="160" w:author="Spanish2" w:date="2022-11-02T14:10:00Z">
            <w:rPr>
              <w:lang w:val="en-US"/>
            </w:rPr>
          </w:rPrChange>
        </w:rPr>
        <w:t>r el foro de la Unión Internacional de Telecomunicaciones (UIT) para politizar los debate</w:t>
      </w:r>
      <w:r w:rsidR="005F0539" w:rsidRPr="00BA5395">
        <w:t>s</w:t>
      </w:r>
      <w:r w:rsidRPr="00BA5395">
        <w:rPr>
          <w:rPrChange w:id="161" w:author="Spanish2" w:date="2022-11-02T14:10:00Z">
            <w:rPr>
              <w:lang w:val="en-US"/>
            </w:rPr>
          </w:rPrChange>
        </w:rPr>
        <w:t xml:space="preserve"> y </w:t>
      </w:r>
      <w:r w:rsidR="005F0539" w:rsidRPr="00BA5395">
        <w:t>examinar</w:t>
      </w:r>
      <w:r w:rsidRPr="00BA5395">
        <w:rPr>
          <w:rPrChange w:id="162" w:author="Spanish2" w:date="2022-11-02T14:10:00Z">
            <w:rPr>
              <w:lang w:val="en-US"/>
            </w:rPr>
          </w:rPrChange>
        </w:rPr>
        <w:t xml:space="preserve"> cuestiones </w:t>
      </w:r>
      <w:r w:rsidRPr="00BA5395">
        <w:t xml:space="preserve">ajenas al </w:t>
      </w:r>
      <w:r w:rsidR="005F0539" w:rsidRPr="00BA5395">
        <w:t>mandato</w:t>
      </w:r>
      <w:r w:rsidRPr="00BA5395">
        <w:t xml:space="preserve"> de la Unión. Esta conducta </w:t>
      </w:r>
      <w:r w:rsidR="005F0539" w:rsidRPr="00BA5395">
        <w:rPr>
          <w:rPrChange w:id="163" w:author="Spanish2" w:date="2022-11-02T14:25:00Z">
            <w:rPr>
              <w:lang w:val="en-US"/>
            </w:rPr>
          </w:rPrChange>
        </w:rPr>
        <w:t>tiene un carácter deliberadamente provocador y demuestra una falta de consideraci</w:t>
      </w:r>
      <w:r w:rsidR="005F0539" w:rsidRPr="00BA5395">
        <w:t>ón de la Constitución y el Convenio de la UIT y de sus Estados Miembros</w:t>
      </w:r>
      <w:r w:rsidRPr="00BA5395">
        <w:rPr>
          <w:rPrChange w:id="164" w:author="Spanish2" w:date="2022-11-02T14:25:00Z">
            <w:rPr/>
          </w:rPrChange>
        </w:rPr>
        <w:t>.</w:t>
      </w:r>
    </w:p>
    <w:p w14:paraId="45001256" w14:textId="70567540" w:rsidR="009C4840" w:rsidRPr="00BA5395" w:rsidRDefault="001012FD" w:rsidP="000054A2">
      <w:r w:rsidRPr="00BA5395">
        <w:t>La delegación de la Federación de Rusia recuerda que la UIT, de acuerdo con sus Textos Fundamentales, no tiene autoridad para discutir asuntos de carácter político general, incluid</w:t>
      </w:r>
      <w:r w:rsidR="0090554E" w:rsidRPr="00BA5395">
        <w:t>a</w:t>
      </w:r>
      <w:r w:rsidRPr="00BA5395">
        <w:t xml:space="preserve">s las cuestiones relacionadas con la integridad territorial y la soberanía de los Estados, y mucho menos para describir la situación en Ucrania como </w:t>
      </w:r>
      <w:r w:rsidR="00AB326A" w:rsidRPr="00BA5395">
        <w:t>"</w:t>
      </w:r>
      <w:r w:rsidRPr="00BA5395">
        <w:t>guerra</w:t>
      </w:r>
      <w:r w:rsidR="00AB326A" w:rsidRPr="00BA5395">
        <w:t>"</w:t>
      </w:r>
      <w:r w:rsidRPr="00BA5395">
        <w:t xml:space="preserve"> o </w:t>
      </w:r>
      <w:r w:rsidR="00AB326A" w:rsidRPr="00BA5395">
        <w:t>"</w:t>
      </w:r>
      <w:r w:rsidRPr="00BA5395">
        <w:t>invasión</w:t>
      </w:r>
      <w:r w:rsidR="00AB326A" w:rsidRPr="00BA5395">
        <w:t>"</w:t>
      </w:r>
      <w:r w:rsidRPr="00BA5395">
        <w:t>, ni para definir la responsabilidad o clasificar las acciones de los Estados como actos de agresión</w:t>
      </w:r>
      <w:r w:rsidR="009C4840" w:rsidRPr="00BA5395">
        <w:t>.</w:t>
      </w:r>
    </w:p>
    <w:p w14:paraId="2ECC4B81" w14:textId="22B6BCD9" w:rsidR="009C4840" w:rsidRPr="00BA5395" w:rsidRDefault="00676936" w:rsidP="00BA5395">
      <w:pPr>
        <w:rPr>
          <w:rPrChange w:id="165" w:author="Spanish2" w:date="2022-11-02T14:35:00Z">
            <w:rPr/>
          </w:rPrChange>
        </w:rPr>
      </w:pPr>
      <w:r w:rsidRPr="00BA5395">
        <w:rPr>
          <w:rPrChange w:id="166" w:author="Spanish2" w:date="2022-11-02T14:35:00Z">
            <w:rPr>
              <w:lang w:val="en-US"/>
            </w:rPr>
          </w:rPrChange>
        </w:rPr>
        <w:t xml:space="preserve">Queremos </w:t>
      </w:r>
      <w:r w:rsidR="001012FD" w:rsidRPr="00BA5395">
        <w:rPr>
          <w:rPrChange w:id="167" w:author="Spanish2" w:date="2022-11-02T14:35:00Z">
            <w:rPr>
              <w:lang w:val="en-US"/>
            </w:rPr>
          </w:rPrChange>
        </w:rPr>
        <w:t xml:space="preserve">destacar que la situación actual </w:t>
      </w:r>
      <w:r w:rsidRPr="00BA5395">
        <w:rPr>
          <w:rPrChange w:id="168" w:author="Spanish2" w:date="2022-11-02T14:35:00Z">
            <w:rPr>
              <w:lang w:val="en-US"/>
            </w:rPr>
          </w:rPrChange>
        </w:rPr>
        <w:t xml:space="preserve">es el resultado de la negativa de las autoridades ucranianas a </w:t>
      </w:r>
      <w:r w:rsidRPr="00BA5395">
        <w:t xml:space="preserve">aplicar el paquete de medidas de </w:t>
      </w:r>
      <w:r w:rsidR="009C4840" w:rsidRPr="00BA5395">
        <w:rPr>
          <w:rPrChange w:id="169" w:author="Spanish2" w:date="2022-11-02T14:35:00Z">
            <w:rPr/>
          </w:rPrChange>
        </w:rPr>
        <w:t>Minsk</w:t>
      </w:r>
      <w:r w:rsidRPr="00BA5395">
        <w:t>, refrendado por la Resolución</w:t>
      </w:r>
      <w:r w:rsidR="009C4840" w:rsidRPr="00BA5395">
        <w:rPr>
          <w:rPrChange w:id="170" w:author="Spanish2" w:date="2022-11-02T14:35:00Z">
            <w:rPr/>
          </w:rPrChange>
        </w:rPr>
        <w:t xml:space="preserve"> 2202 </w:t>
      </w:r>
      <w:r w:rsidRPr="00BA5395">
        <w:t xml:space="preserve">del Consejo de Seguridad de las Naciones Unidas, de </w:t>
      </w:r>
      <w:r w:rsidR="009C4840" w:rsidRPr="00BA5395">
        <w:rPr>
          <w:rPrChange w:id="171" w:author="Spanish2" w:date="2022-11-02T14:35:00Z">
            <w:rPr/>
          </w:rPrChange>
        </w:rPr>
        <w:t xml:space="preserve">17 </w:t>
      </w:r>
      <w:r w:rsidRPr="00BA5395">
        <w:t xml:space="preserve">de febrero de </w:t>
      </w:r>
      <w:r w:rsidR="009C4840" w:rsidRPr="00BA5395">
        <w:rPr>
          <w:rPrChange w:id="172" w:author="Spanish2" w:date="2022-11-02T14:35:00Z">
            <w:rPr/>
          </w:rPrChange>
        </w:rPr>
        <w:t>2015.</w:t>
      </w:r>
    </w:p>
    <w:p w14:paraId="140858B8" w14:textId="20062463" w:rsidR="00B635F9" w:rsidRPr="00BA5395" w:rsidRDefault="00B635F9" w:rsidP="000054A2">
      <w:r w:rsidRPr="00BA5395">
        <w:t xml:space="preserve">Las decisiones de aceptar dentro de la Federación de Rusia a las repúblicas populares de Donetsk y Luhansk y a las provincias de </w:t>
      </w:r>
      <w:proofErr w:type="spellStart"/>
      <w:r w:rsidRPr="00BA5395">
        <w:t>Zaporizhzhya</w:t>
      </w:r>
      <w:proofErr w:type="spellEnd"/>
      <w:r w:rsidRPr="00BA5395">
        <w:t xml:space="preserve"> y </w:t>
      </w:r>
      <w:proofErr w:type="spellStart"/>
      <w:r w:rsidRPr="00BA5395">
        <w:t>Kherson</w:t>
      </w:r>
      <w:proofErr w:type="spellEnd"/>
      <w:r w:rsidRPr="00BA5395">
        <w:t xml:space="preserve"> se basan en la expresión de la voluntad de sus pueblos en los referendos celebrados del 23 al 27 de septiembre de 2022. Los habitantes de estos territorios tuvieron la posibilidad de expresar su opinión de forma independiente y libre, como confirmaron numerosos observadores, incluidos los internacionales.</w:t>
      </w:r>
    </w:p>
    <w:p w14:paraId="1F403541" w14:textId="21E6B0E4" w:rsidR="00B635F9" w:rsidRPr="00BA5395" w:rsidRDefault="00B635F9" w:rsidP="000054A2">
      <w:r w:rsidRPr="00BA5395">
        <w:t xml:space="preserve">Todas estas acciones se llevaron a cabo en total conformidad con el derecho internacional, especialmente el derecho de los pueblos a la libre determinación, consagrado en la Carta de las Naciones Unidas, en la Declaración de 1970 sobre los principios de derecho internacional referentes a las relaciones de amistad y a la cooperación entre los Estados de conformidad con la Carta de las Naciones Unidas, y </w:t>
      </w:r>
      <w:r w:rsidRPr="00323DA5">
        <w:t xml:space="preserve">en muchos otros documentos. </w:t>
      </w:r>
      <w:r w:rsidR="000B2FE5" w:rsidRPr="00323DA5">
        <w:t xml:space="preserve">La </w:t>
      </w:r>
      <w:r w:rsidRPr="00323DA5">
        <w:t>citada Declaración</w:t>
      </w:r>
      <w:r w:rsidRPr="00BA5395">
        <w:t xml:space="preserve"> establece: "Los Estados tienen el deber de abstenerse de recurrir a cualquier medida de fuerza que prive a los pueblos aludidos en la formulación del principio de la igualdad de derechos y de la libre determinación de su derecho a la libre determinación y a la libertad y a la independencia".</w:t>
      </w:r>
    </w:p>
    <w:p w14:paraId="7D47D11B" w14:textId="3666AB68" w:rsidR="00B635F9" w:rsidRPr="00BA5395" w:rsidRDefault="00B635F9" w:rsidP="000054A2">
      <w:r w:rsidRPr="00BA5395">
        <w:t xml:space="preserve">Todos los derechos y obligaciones relativos a la prestación de servicios de telecomunicaciones para la población y las instalaciones dentro del territorio de las repúblicas populares de Donetsk y Luhansk y las provincias de </w:t>
      </w:r>
      <w:proofErr w:type="spellStart"/>
      <w:r w:rsidRPr="00BA5395">
        <w:t>Zaporizhzhya</w:t>
      </w:r>
      <w:proofErr w:type="spellEnd"/>
      <w:r w:rsidRPr="00BA5395">
        <w:t xml:space="preserve"> y </w:t>
      </w:r>
      <w:proofErr w:type="spellStart"/>
      <w:r w:rsidRPr="00BA5395">
        <w:t>Kherson</w:t>
      </w:r>
      <w:proofErr w:type="spellEnd"/>
      <w:r w:rsidRPr="00BA5395">
        <w:t xml:space="preserve"> han sido transferidos a la Federación de Rusia, incluso en lo que se refiere al cumplimiento de las disposiciones de la Constitución y el Convenio de la UIT y el Reglamento de Radiocomunicaciones de la UIT. Todos los intentos de impugnar este hecho carecen de </w:t>
      </w:r>
      <w:r w:rsidRPr="00323DA5">
        <w:t>fundamento y sentido.</w:t>
      </w:r>
    </w:p>
    <w:p w14:paraId="472DF87C" w14:textId="5E560B36" w:rsidR="00B635F9" w:rsidRPr="00BA5395" w:rsidRDefault="00B635F9" w:rsidP="00BA5395">
      <w:r w:rsidRPr="00BA5395">
        <w:t xml:space="preserve">La actuación de la Federación de Rusia es plenamente conforme con el artículo 1 de la Constitución de la UIT, al satisfacer las necesidades y garantizar la disponibilidad de medios de telecomunicaciones/TIC para los habitantes de los mencionados sujetos de la Federación de </w:t>
      </w:r>
      <w:r w:rsidRPr="00BA5395">
        <w:t>Rusia.</w:t>
      </w:r>
    </w:p>
    <w:p w14:paraId="003F2202" w14:textId="23946811" w:rsidR="009C4840" w:rsidRPr="00BA5395" w:rsidRDefault="005940FC" w:rsidP="00323DA5">
      <w:pPr>
        <w:keepLines/>
      </w:pPr>
      <w:r w:rsidRPr="00BA5395">
        <w:lastRenderedPageBreak/>
        <w:t>Rechazamos las acusaciones ilegítimas contra nuestro país y exhortamos a todo</w:t>
      </w:r>
      <w:r w:rsidR="0090554E" w:rsidRPr="00BA5395">
        <w:t xml:space="preserve">s </w:t>
      </w:r>
      <w:r w:rsidRPr="00BA5395">
        <w:t>a abstenerse de pronunciar declaraciones con motivación política destinadas a los Estados Miembros de la Unión, que consideramos que constituyen jugadas de una confrontación global</w:t>
      </w:r>
      <w:r w:rsidR="009C4840" w:rsidRPr="00BA5395">
        <w:t xml:space="preserve">. </w:t>
      </w:r>
      <w:r w:rsidRPr="00BA5395">
        <w:t>La UIT es una organización con un programa técnico y pacífico</w:t>
      </w:r>
      <w:r w:rsidR="009C4840" w:rsidRPr="00BA5395">
        <w:t>.</w:t>
      </w:r>
    </w:p>
    <w:p w14:paraId="25F8F45B" w14:textId="0F9B5E13" w:rsidR="009C4840" w:rsidRPr="00BA5395" w:rsidRDefault="005940FC" w:rsidP="00BA5395">
      <w:r w:rsidRPr="00BA5395">
        <w:t>La Federación de Rusia insta a la Conferencia de Plenipotenciarios de 2022 de la UIT a hacer caso omiso de las declaraciones sobre temas ajenos al mandato de la Unión y a no permitir que se adopten decisiones politizadas ante esa presión</w:t>
      </w:r>
      <w:r w:rsidR="009C4840" w:rsidRPr="00BA5395">
        <w:t>.</w:t>
      </w:r>
    </w:p>
    <w:p w14:paraId="7E1461FE" w14:textId="072FDA6F" w:rsidR="00B635F9" w:rsidRPr="00BA5395" w:rsidRDefault="000B2FE5" w:rsidP="000054A2">
      <w:r w:rsidRPr="00DD34FF">
        <w:t>A la luz de lo anterior, la delegación de la Federación de Rusia, al</w:t>
      </w:r>
      <w:r w:rsidR="00B635F9" w:rsidRPr="00DD34FF">
        <w:t xml:space="preserve"> firmar las Actas Finales de la Conferencia de Plenipotenciarios, se reserva el derecho de negarse a cumplir cualquiera de sus disposiciones si</w:t>
      </w:r>
      <w:r w:rsidR="00411289" w:rsidRPr="00DD34FF">
        <w:t xml:space="preserve"> considera que</w:t>
      </w:r>
      <w:r w:rsidR="00B635F9" w:rsidRPr="00DD34FF">
        <w:t xml:space="preserve"> éstas infringen la soberanía y la integridad territorial de la Federación de Rusia en virtud de las leyes de la Federación o si consideran que sus acciones contravienen de algún modo el mandato de la UIT.</w:t>
      </w:r>
    </w:p>
    <w:p w14:paraId="1DB81822" w14:textId="106FED31" w:rsidR="00B635F9" w:rsidRPr="00BA5395" w:rsidRDefault="00411289" w:rsidP="000054A2">
      <w:r w:rsidRPr="00BA5395">
        <w:t>Si un Estado adopta medidas en detrimento de los intereses de la Federación de Rusia, nos</w:t>
      </w:r>
      <w:r w:rsidR="007D79AD" w:rsidRPr="00BA5395">
        <w:t xml:space="preserve"> </w:t>
      </w:r>
      <w:r w:rsidRPr="00BA5395">
        <w:t>reservamos el derecho a tomar cualquier contramedida necesaria para salvaguardar sus intereses, de conformidad con la legislación internacional.</w:t>
      </w:r>
    </w:p>
    <w:bookmarkEnd w:id="158"/>
    <w:bookmarkEnd w:id="14"/>
    <w:p w14:paraId="3CD36B57" w14:textId="77777777" w:rsidR="00BA5395" w:rsidRPr="00BA5395" w:rsidRDefault="00BA5395" w:rsidP="00411C49">
      <w:pPr>
        <w:pStyle w:val="Reasons"/>
      </w:pPr>
    </w:p>
    <w:p w14:paraId="15C9D016" w14:textId="77777777" w:rsidR="00BA5395" w:rsidRPr="00BA5395" w:rsidRDefault="00BA5395">
      <w:pPr>
        <w:jc w:val="center"/>
      </w:pPr>
      <w:r w:rsidRPr="00BA5395">
        <w:t>______________</w:t>
      </w:r>
    </w:p>
    <w:sectPr w:rsidR="00BA5395" w:rsidRPr="00BA5395" w:rsidSect="00A70E95">
      <w:headerReference w:type="default" r:id="rId32"/>
      <w:footerReference w:type="default" r:id="rId33"/>
      <w:footerReference w:type="first" r:id="rId34"/>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70F57" w14:textId="77777777" w:rsidR="009C4840" w:rsidRDefault="009C4840">
      <w:r>
        <w:separator/>
      </w:r>
    </w:p>
  </w:endnote>
  <w:endnote w:type="continuationSeparator" w:id="0">
    <w:p w14:paraId="7115444A" w14:textId="77777777" w:rsidR="009C4840" w:rsidRDefault="009C4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Osnova MFA Cyrillic">
    <w:altName w:val="Times New Roman"/>
    <w:charset w:val="CC"/>
    <w:family w:val="auto"/>
    <w:pitch w:val="variable"/>
    <w:sig w:usb0="80000203" w:usb1="0000000A" w:usb2="00000000" w:usb3="00000000" w:csb0="00000004"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72F62" w14:textId="5F9A50B5" w:rsidR="00DF4CD5" w:rsidRPr="00F76A8B" w:rsidRDefault="00DF4CD5" w:rsidP="00DF4CD5">
    <w:pPr>
      <w:pStyle w:val="Footer"/>
      <w:rPr>
        <w:lang w:val="en-US"/>
      </w:rPr>
    </w:pPr>
    <w:fldSimple w:instr=" FILENAME \p  \* MERGEFORMAT ">
      <w:r w:rsidR="00B71386">
        <w:t>P:\ESP\SG\CONF-SG\PP22\200\203S.docx</w:t>
      </w:r>
    </w:fldSimple>
    <w:r>
      <w:t xml:space="preserve"> (515423)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2AD01" w14:textId="5441254E" w:rsidR="009C4840" w:rsidRDefault="009C4840" w:rsidP="004B07DB">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proofErr w:type="spellStart"/>
    <w:r w:rsidRPr="00BA21AB">
      <w:rPr>
        <w:rStyle w:val="Hyperlink"/>
        <w:sz w:val="22"/>
        <w:szCs w:val="22"/>
        <w:lang w:val="en-GB"/>
      </w:rPr>
      <w:t>www.itu.int</w:t>
    </w:r>
    <w:proofErr w:type="spellEnd"/>
    <w:r w:rsidRPr="00BA21AB">
      <w:rPr>
        <w:rStyle w:val="Hyperlink"/>
        <w:sz w:val="22"/>
        <w:szCs w:val="22"/>
        <w:lang w:val="en-GB"/>
      </w:rPr>
      <w:t>/plenipotentiary/</w:t>
    </w:r>
    <w:r>
      <w:rPr>
        <w:sz w:val="20"/>
        <w:szCs w:val="20"/>
        <w:lang w:val="en-GB"/>
      </w:rPr>
      <w:t xml:space="preserve"> </w:t>
    </w:r>
    <w:r>
      <w:rPr>
        <w:rFonts w:ascii="Symbol" w:hAnsi="Symbol"/>
        <w:sz w:val="22"/>
        <w:szCs w:val="20"/>
        <w:lang w:val="en-GB"/>
      </w:rPr>
      <w:t></w:t>
    </w:r>
  </w:p>
  <w:p w14:paraId="1593EDA9" w14:textId="47C8C446" w:rsidR="009C4840" w:rsidRPr="00255FA1" w:rsidRDefault="009C4840" w:rsidP="004B07DB">
    <w:pPr>
      <w:pStyle w:val="Footer"/>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2352C" w14:textId="77777777" w:rsidR="009C4840" w:rsidRDefault="009C4840">
      <w:r>
        <w:t>____________________</w:t>
      </w:r>
    </w:p>
  </w:footnote>
  <w:footnote w:type="continuationSeparator" w:id="0">
    <w:p w14:paraId="43F5DD3A" w14:textId="77777777" w:rsidR="009C4840" w:rsidRDefault="009C48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964C7" w14:textId="6AAB4141" w:rsidR="009C4840" w:rsidRDefault="009C4840" w:rsidP="00255FA1">
    <w:pPr>
      <w:pStyle w:val="Header"/>
    </w:pPr>
    <w:r>
      <w:fldChar w:fldCharType="begin"/>
    </w:r>
    <w:r>
      <w:instrText xml:space="preserve"> PAGE </w:instrText>
    </w:r>
    <w:r>
      <w:fldChar w:fldCharType="separate"/>
    </w:r>
    <w:r w:rsidR="00AD493E">
      <w:rPr>
        <w:noProof/>
      </w:rPr>
      <w:t>14</w:t>
    </w:r>
    <w:r>
      <w:fldChar w:fldCharType="end"/>
    </w:r>
  </w:p>
  <w:p w14:paraId="6D6C2C56" w14:textId="121D4E6E" w:rsidR="009C4840" w:rsidRDefault="009C4840" w:rsidP="00C43474">
    <w:pPr>
      <w:pStyle w:val="Header"/>
    </w:pPr>
    <w:proofErr w:type="spellStart"/>
    <w:r>
      <w:rPr>
        <w:lang w:val="en-US"/>
      </w:rPr>
      <w:t>PP22</w:t>
    </w:r>
    <w:proofErr w:type="spellEnd"/>
    <w:r>
      <w:t>/</w:t>
    </w:r>
    <w:r w:rsidR="00DF4CD5">
      <w:t>203</w:t>
    </w:r>
    <w:r>
      <w:t>-S</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2">
    <w15:presenceInfo w15:providerId="None" w15:userId="Spanish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8E0"/>
    <w:rsid w:val="0000188C"/>
    <w:rsid w:val="000054A2"/>
    <w:rsid w:val="000507CA"/>
    <w:rsid w:val="00056C11"/>
    <w:rsid w:val="00057E0F"/>
    <w:rsid w:val="000863AB"/>
    <w:rsid w:val="00093218"/>
    <w:rsid w:val="000A1523"/>
    <w:rsid w:val="000A194B"/>
    <w:rsid w:val="000B1752"/>
    <w:rsid w:val="000B2EE0"/>
    <w:rsid w:val="000B2FE5"/>
    <w:rsid w:val="000B6C29"/>
    <w:rsid w:val="000C1634"/>
    <w:rsid w:val="001012FD"/>
    <w:rsid w:val="00103884"/>
    <w:rsid w:val="0010546D"/>
    <w:rsid w:val="00122ACF"/>
    <w:rsid w:val="001253BF"/>
    <w:rsid w:val="00135F93"/>
    <w:rsid w:val="00145F2A"/>
    <w:rsid w:val="001632E3"/>
    <w:rsid w:val="00172FE2"/>
    <w:rsid w:val="00176FE2"/>
    <w:rsid w:val="001A4C3A"/>
    <w:rsid w:val="001A7ACA"/>
    <w:rsid w:val="001D4983"/>
    <w:rsid w:val="001D6C5D"/>
    <w:rsid w:val="001D6EC3"/>
    <w:rsid w:val="001D787B"/>
    <w:rsid w:val="001E2828"/>
    <w:rsid w:val="001E3D06"/>
    <w:rsid w:val="0020782F"/>
    <w:rsid w:val="002239BB"/>
    <w:rsid w:val="00225F6B"/>
    <w:rsid w:val="00237C17"/>
    <w:rsid w:val="00242376"/>
    <w:rsid w:val="00245B21"/>
    <w:rsid w:val="0024729D"/>
    <w:rsid w:val="00255FA1"/>
    <w:rsid w:val="00262FF4"/>
    <w:rsid w:val="00272D72"/>
    <w:rsid w:val="002A6DD5"/>
    <w:rsid w:val="002C6527"/>
    <w:rsid w:val="002D1E0E"/>
    <w:rsid w:val="002E44FC"/>
    <w:rsid w:val="002E6160"/>
    <w:rsid w:val="00300EF8"/>
    <w:rsid w:val="003151B1"/>
    <w:rsid w:val="00316B40"/>
    <w:rsid w:val="00323DA5"/>
    <w:rsid w:val="00327182"/>
    <w:rsid w:val="0033233B"/>
    <w:rsid w:val="00343EEA"/>
    <w:rsid w:val="003467FC"/>
    <w:rsid w:val="003707E5"/>
    <w:rsid w:val="00375610"/>
    <w:rsid w:val="003760F2"/>
    <w:rsid w:val="00380D08"/>
    <w:rsid w:val="00391611"/>
    <w:rsid w:val="0039623D"/>
    <w:rsid w:val="003A1072"/>
    <w:rsid w:val="003A237A"/>
    <w:rsid w:val="003D0027"/>
    <w:rsid w:val="003D5A6C"/>
    <w:rsid w:val="003E6E73"/>
    <w:rsid w:val="003F610E"/>
    <w:rsid w:val="00411289"/>
    <w:rsid w:val="00431765"/>
    <w:rsid w:val="00440FF8"/>
    <w:rsid w:val="00441EFC"/>
    <w:rsid w:val="00443707"/>
    <w:rsid w:val="00457960"/>
    <w:rsid w:val="0046117C"/>
    <w:rsid w:val="00465546"/>
    <w:rsid w:val="00484B72"/>
    <w:rsid w:val="00491A25"/>
    <w:rsid w:val="004A346E"/>
    <w:rsid w:val="004A63A9"/>
    <w:rsid w:val="004B07DB"/>
    <w:rsid w:val="004B09D4"/>
    <w:rsid w:val="004B0BCB"/>
    <w:rsid w:val="004B3006"/>
    <w:rsid w:val="004B3B29"/>
    <w:rsid w:val="004B4E0B"/>
    <w:rsid w:val="004B7681"/>
    <w:rsid w:val="004C27F5"/>
    <w:rsid w:val="004C39C6"/>
    <w:rsid w:val="004D23BA"/>
    <w:rsid w:val="004D4B68"/>
    <w:rsid w:val="004E069C"/>
    <w:rsid w:val="004E08E0"/>
    <w:rsid w:val="004E28FB"/>
    <w:rsid w:val="004F3555"/>
    <w:rsid w:val="004F4BB1"/>
    <w:rsid w:val="00502CAC"/>
    <w:rsid w:val="00504FD4"/>
    <w:rsid w:val="00507662"/>
    <w:rsid w:val="00523448"/>
    <w:rsid w:val="005234D6"/>
    <w:rsid w:val="005359B6"/>
    <w:rsid w:val="005470E8"/>
    <w:rsid w:val="00550FCF"/>
    <w:rsid w:val="00556958"/>
    <w:rsid w:val="00567ED5"/>
    <w:rsid w:val="0057418C"/>
    <w:rsid w:val="005940FC"/>
    <w:rsid w:val="0059792A"/>
    <w:rsid w:val="005A0C61"/>
    <w:rsid w:val="005A656E"/>
    <w:rsid w:val="005B3E9F"/>
    <w:rsid w:val="005D1164"/>
    <w:rsid w:val="005D6488"/>
    <w:rsid w:val="005E45B3"/>
    <w:rsid w:val="005E583F"/>
    <w:rsid w:val="005E7A15"/>
    <w:rsid w:val="005F0539"/>
    <w:rsid w:val="005F6278"/>
    <w:rsid w:val="00601280"/>
    <w:rsid w:val="006039BF"/>
    <w:rsid w:val="0062579A"/>
    <w:rsid w:val="006341D4"/>
    <w:rsid w:val="00641DBD"/>
    <w:rsid w:val="006426C0"/>
    <w:rsid w:val="006455D2"/>
    <w:rsid w:val="006537F3"/>
    <w:rsid w:val="00676936"/>
    <w:rsid w:val="00693E2C"/>
    <w:rsid w:val="006B5512"/>
    <w:rsid w:val="006C15D3"/>
    <w:rsid w:val="006C190D"/>
    <w:rsid w:val="006D33BB"/>
    <w:rsid w:val="006F2408"/>
    <w:rsid w:val="0071435D"/>
    <w:rsid w:val="00720686"/>
    <w:rsid w:val="00737EFF"/>
    <w:rsid w:val="00740FB0"/>
    <w:rsid w:val="00745117"/>
    <w:rsid w:val="00750806"/>
    <w:rsid w:val="00753251"/>
    <w:rsid w:val="00761635"/>
    <w:rsid w:val="00762317"/>
    <w:rsid w:val="007875D2"/>
    <w:rsid w:val="007935E5"/>
    <w:rsid w:val="007A648E"/>
    <w:rsid w:val="007B20E1"/>
    <w:rsid w:val="007B5F8D"/>
    <w:rsid w:val="007C4E97"/>
    <w:rsid w:val="007D20D6"/>
    <w:rsid w:val="007D61E2"/>
    <w:rsid w:val="007D79AD"/>
    <w:rsid w:val="007F3C60"/>
    <w:rsid w:val="007F4F10"/>
    <w:rsid w:val="007F6445"/>
    <w:rsid w:val="007F6EBC"/>
    <w:rsid w:val="00812E93"/>
    <w:rsid w:val="008252C3"/>
    <w:rsid w:val="008354D8"/>
    <w:rsid w:val="0083562C"/>
    <w:rsid w:val="00852FB5"/>
    <w:rsid w:val="008647C6"/>
    <w:rsid w:val="00882773"/>
    <w:rsid w:val="00896B49"/>
    <w:rsid w:val="008B4706"/>
    <w:rsid w:val="008B6676"/>
    <w:rsid w:val="008C3FA8"/>
    <w:rsid w:val="008C426C"/>
    <w:rsid w:val="008D1D49"/>
    <w:rsid w:val="008D5492"/>
    <w:rsid w:val="008D7039"/>
    <w:rsid w:val="008D762C"/>
    <w:rsid w:val="008E515E"/>
    <w:rsid w:val="008E51C5"/>
    <w:rsid w:val="008F7109"/>
    <w:rsid w:val="0090554E"/>
    <w:rsid w:val="009100CE"/>
    <w:rsid w:val="009107B0"/>
    <w:rsid w:val="00910B55"/>
    <w:rsid w:val="009220DE"/>
    <w:rsid w:val="00930E84"/>
    <w:rsid w:val="009363F1"/>
    <w:rsid w:val="00940C23"/>
    <w:rsid w:val="00942FFA"/>
    <w:rsid w:val="0099270D"/>
    <w:rsid w:val="0099551E"/>
    <w:rsid w:val="009956E2"/>
    <w:rsid w:val="009A1A86"/>
    <w:rsid w:val="009A30A0"/>
    <w:rsid w:val="009A443B"/>
    <w:rsid w:val="009B3273"/>
    <w:rsid w:val="009C4840"/>
    <w:rsid w:val="009D1BE0"/>
    <w:rsid w:val="009E0C42"/>
    <w:rsid w:val="009E280B"/>
    <w:rsid w:val="009E6A4E"/>
    <w:rsid w:val="00A31D29"/>
    <w:rsid w:val="00A412B4"/>
    <w:rsid w:val="00A6396F"/>
    <w:rsid w:val="00A70E95"/>
    <w:rsid w:val="00A7521B"/>
    <w:rsid w:val="00A755DC"/>
    <w:rsid w:val="00A80D98"/>
    <w:rsid w:val="00AA0DD4"/>
    <w:rsid w:val="00AA1F73"/>
    <w:rsid w:val="00AA3A24"/>
    <w:rsid w:val="00AA474F"/>
    <w:rsid w:val="00AB326A"/>
    <w:rsid w:val="00AB34CA"/>
    <w:rsid w:val="00AC1789"/>
    <w:rsid w:val="00AC2C5C"/>
    <w:rsid w:val="00AD09EB"/>
    <w:rsid w:val="00AD400E"/>
    <w:rsid w:val="00AD493E"/>
    <w:rsid w:val="00AD7C14"/>
    <w:rsid w:val="00AE20A9"/>
    <w:rsid w:val="00AE423A"/>
    <w:rsid w:val="00AE4561"/>
    <w:rsid w:val="00AF0DC5"/>
    <w:rsid w:val="00AF5277"/>
    <w:rsid w:val="00B012B7"/>
    <w:rsid w:val="00B115FD"/>
    <w:rsid w:val="00B12AB9"/>
    <w:rsid w:val="00B30C52"/>
    <w:rsid w:val="00B31415"/>
    <w:rsid w:val="00B37282"/>
    <w:rsid w:val="00B46EE3"/>
    <w:rsid w:val="00B47EA7"/>
    <w:rsid w:val="00B501AB"/>
    <w:rsid w:val="00B51862"/>
    <w:rsid w:val="00B57A90"/>
    <w:rsid w:val="00B635F9"/>
    <w:rsid w:val="00B71386"/>
    <w:rsid w:val="00B73978"/>
    <w:rsid w:val="00B77C4D"/>
    <w:rsid w:val="00B80B33"/>
    <w:rsid w:val="00B82236"/>
    <w:rsid w:val="00B84A04"/>
    <w:rsid w:val="00B956E8"/>
    <w:rsid w:val="00BA4208"/>
    <w:rsid w:val="00BA5395"/>
    <w:rsid w:val="00BB13FE"/>
    <w:rsid w:val="00BC1286"/>
    <w:rsid w:val="00BC2EEB"/>
    <w:rsid w:val="00BC79F5"/>
    <w:rsid w:val="00BC7EE2"/>
    <w:rsid w:val="00BE42DA"/>
    <w:rsid w:val="00BF5475"/>
    <w:rsid w:val="00C12AA1"/>
    <w:rsid w:val="00C1703E"/>
    <w:rsid w:val="00C20ED7"/>
    <w:rsid w:val="00C21DAB"/>
    <w:rsid w:val="00C3581E"/>
    <w:rsid w:val="00C40CE7"/>
    <w:rsid w:val="00C417C9"/>
    <w:rsid w:val="00C42D2D"/>
    <w:rsid w:val="00C43474"/>
    <w:rsid w:val="00C44D21"/>
    <w:rsid w:val="00C61A48"/>
    <w:rsid w:val="00C80F8F"/>
    <w:rsid w:val="00C84355"/>
    <w:rsid w:val="00C84A65"/>
    <w:rsid w:val="00CA1585"/>
    <w:rsid w:val="00CA3051"/>
    <w:rsid w:val="00CA7BE2"/>
    <w:rsid w:val="00CB09E2"/>
    <w:rsid w:val="00CD20D9"/>
    <w:rsid w:val="00CD668F"/>
    <w:rsid w:val="00CD701A"/>
    <w:rsid w:val="00D05AAE"/>
    <w:rsid w:val="00D05E6B"/>
    <w:rsid w:val="00D121C6"/>
    <w:rsid w:val="00D151D4"/>
    <w:rsid w:val="00D254A6"/>
    <w:rsid w:val="00D31AD4"/>
    <w:rsid w:val="00D421BA"/>
    <w:rsid w:val="00D42B55"/>
    <w:rsid w:val="00D51EC0"/>
    <w:rsid w:val="00D57C38"/>
    <w:rsid w:val="00D57D70"/>
    <w:rsid w:val="00D61CEE"/>
    <w:rsid w:val="00D7704D"/>
    <w:rsid w:val="00D82F1D"/>
    <w:rsid w:val="00DA2D98"/>
    <w:rsid w:val="00DB45A5"/>
    <w:rsid w:val="00DB5F29"/>
    <w:rsid w:val="00DD34FF"/>
    <w:rsid w:val="00DE6998"/>
    <w:rsid w:val="00DF4CD5"/>
    <w:rsid w:val="00DF5D7B"/>
    <w:rsid w:val="00E0021B"/>
    <w:rsid w:val="00E05D81"/>
    <w:rsid w:val="00E462ED"/>
    <w:rsid w:val="00E51F01"/>
    <w:rsid w:val="00E53DFC"/>
    <w:rsid w:val="00E61317"/>
    <w:rsid w:val="00E632E7"/>
    <w:rsid w:val="00E66FC3"/>
    <w:rsid w:val="00E677DD"/>
    <w:rsid w:val="00E7739B"/>
    <w:rsid w:val="00E77F17"/>
    <w:rsid w:val="00E809D8"/>
    <w:rsid w:val="00E82F83"/>
    <w:rsid w:val="00E921EC"/>
    <w:rsid w:val="00EB23D0"/>
    <w:rsid w:val="00EC395A"/>
    <w:rsid w:val="00EE721C"/>
    <w:rsid w:val="00EF136D"/>
    <w:rsid w:val="00F01632"/>
    <w:rsid w:val="00F04858"/>
    <w:rsid w:val="00F058BE"/>
    <w:rsid w:val="00F13AA4"/>
    <w:rsid w:val="00F3510D"/>
    <w:rsid w:val="00F42922"/>
    <w:rsid w:val="00F43C07"/>
    <w:rsid w:val="00F43D44"/>
    <w:rsid w:val="00F61267"/>
    <w:rsid w:val="00F76A8B"/>
    <w:rsid w:val="00F80E6E"/>
    <w:rsid w:val="00F82378"/>
    <w:rsid w:val="00F94CB2"/>
    <w:rsid w:val="00FD7A16"/>
    <w:rsid w:val="00FE01A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6C7239E2"/>
  <w15:docId w15:val="{DA5BDCCB-471A-4152-B5D1-EC2E7BE35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link w:val="NormalaftertitleChar"/>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character" w:styleId="Strong">
    <w:name w:val="Strong"/>
    <w:basedOn w:val="DefaultParagraphFont"/>
    <w:uiPriority w:val="22"/>
    <w:qFormat/>
    <w:rsid w:val="00441EFC"/>
    <w:rPr>
      <w:b/>
      <w:bCs/>
    </w:rPr>
  </w:style>
  <w:style w:type="paragraph" w:styleId="ListParagraph">
    <w:name w:val="List Paragraph"/>
    <w:basedOn w:val="Normal"/>
    <w:uiPriority w:val="34"/>
    <w:qFormat/>
    <w:rsid w:val="00056C11"/>
    <w:pPr>
      <w:ind w:left="720"/>
      <w:contextualSpacing/>
      <w:textAlignment w:val="auto"/>
    </w:pPr>
    <w:rPr>
      <w:rFonts w:eastAsia="SimSun"/>
      <w:lang w:val="en-GB"/>
    </w:rPr>
  </w:style>
  <w:style w:type="paragraph" w:styleId="Title">
    <w:name w:val="Title"/>
    <w:basedOn w:val="Normal"/>
    <w:link w:val="TitleChar"/>
    <w:qFormat/>
    <w:rsid w:val="00056C11"/>
    <w:pPr>
      <w:tabs>
        <w:tab w:val="clear" w:pos="567"/>
        <w:tab w:val="clear" w:pos="1134"/>
        <w:tab w:val="clear" w:pos="1701"/>
        <w:tab w:val="clear" w:pos="2268"/>
        <w:tab w:val="clear" w:pos="2835"/>
      </w:tabs>
      <w:overflowPunct/>
      <w:autoSpaceDE/>
      <w:autoSpaceDN/>
      <w:adjustRightInd/>
      <w:spacing w:before="0"/>
      <w:jc w:val="center"/>
      <w:textAlignment w:val="auto"/>
    </w:pPr>
    <w:rPr>
      <w:rFonts w:ascii="Arial" w:hAnsi="Arial"/>
      <w:b/>
      <w:bCs/>
      <w:sz w:val="22"/>
      <w:szCs w:val="24"/>
      <w:lang w:val="en-US"/>
    </w:rPr>
  </w:style>
  <w:style w:type="character" w:customStyle="1" w:styleId="TitleChar">
    <w:name w:val="Title Char"/>
    <w:basedOn w:val="DefaultParagraphFont"/>
    <w:link w:val="Title"/>
    <w:rsid w:val="00056C11"/>
    <w:rPr>
      <w:rFonts w:ascii="Arial" w:hAnsi="Arial"/>
      <w:b/>
      <w:bCs/>
      <w:sz w:val="22"/>
      <w:szCs w:val="24"/>
      <w:lang w:eastAsia="en-US"/>
    </w:rPr>
  </w:style>
  <w:style w:type="paragraph" w:customStyle="1" w:styleId="pf0">
    <w:name w:val="pf0"/>
    <w:basedOn w:val="Normal"/>
    <w:rsid w:val="00056C11"/>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GB" w:eastAsia="en-GB"/>
    </w:rPr>
  </w:style>
  <w:style w:type="character" w:customStyle="1" w:styleId="cf01">
    <w:name w:val="cf01"/>
    <w:basedOn w:val="DefaultParagraphFont"/>
    <w:rsid w:val="00056C11"/>
    <w:rPr>
      <w:rFonts w:ascii="Segoe UI" w:hAnsi="Segoe UI" w:cs="Segoe UI" w:hint="default"/>
      <w:b/>
      <w:bCs/>
      <w:sz w:val="18"/>
      <w:szCs w:val="18"/>
    </w:rPr>
  </w:style>
  <w:style w:type="paragraph" w:styleId="Revision">
    <w:name w:val="Revision"/>
    <w:hidden/>
    <w:uiPriority w:val="99"/>
    <w:semiHidden/>
    <w:rsid w:val="0024729D"/>
    <w:rPr>
      <w:rFonts w:ascii="Calibri" w:hAnsi="Calibri"/>
      <w:sz w:val="24"/>
      <w:lang w:val="es-ES_tradnl" w:eastAsia="en-US"/>
    </w:rPr>
  </w:style>
  <w:style w:type="character" w:styleId="FollowedHyperlink">
    <w:name w:val="FollowedHyperlink"/>
    <w:basedOn w:val="DefaultParagraphFont"/>
    <w:semiHidden/>
    <w:unhideWhenUsed/>
    <w:rsid w:val="009A30A0"/>
    <w:rPr>
      <w:color w:val="800080" w:themeColor="followedHyperlink"/>
      <w:u w:val="single"/>
    </w:rPr>
  </w:style>
  <w:style w:type="character" w:customStyle="1" w:styleId="msohyperlinkmrcssattr">
    <w:name w:val="msohyperlink_mr_css_attr"/>
    <w:basedOn w:val="DefaultParagraphFont"/>
    <w:rsid w:val="00F61267"/>
  </w:style>
  <w:style w:type="character" w:customStyle="1" w:styleId="UnresolvedMention1">
    <w:name w:val="Unresolved Mention1"/>
    <w:basedOn w:val="DefaultParagraphFont"/>
    <w:uiPriority w:val="99"/>
    <w:semiHidden/>
    <w:unhideWhenUsed/>
    <w:rsid w:val="00B635F9"/>
    <w:rPr>
      <w:color w:val="605E5C"/>
      <w:shd w:val="clear" w:color="auto" w:fill="E1DFDD"/>
    </w:rPr>
  </w:style>
  <w:style w:type="character" w:customStyle="1" w:styleId="NormalaftertitleChar">
    <w:name w:val="Normal after title Char"/>
    <w:basedOn w:val="DefaultParagraphFont"/>
    <w:link w:val="Normalaftertitle"/>
    <w:locked/>
    <w:rsid w:val="00B635F9"/>
    <w:rPr>
      <w:rFonts w:ascii="Calibri" w:hAnsi="Calibri"/>
      <w:sz w:val="24"/>
      <w:lang w:val="es-ES_tradnl" w:eastAsia="en-US"/>
    </w:rPr>
  </w:style>
  <w:style w:type="character" w:styleId="Emphasis">
    <w:name w:val="Emphasis"/>
    <w:basedOn w:val="DefaultParagraphFont"/>
    <w:uiPriority w:val="20"/>
    <w:qFormat/>
    <w:rsid w:val="00122AC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itu.int/md/S22-PP-C-0153/en" TargetMode="External"/><Relationship Id="rId18" Type="http://schemas.openxmlformats.org/officeDocument/2006/relationships/hyperlink" Target="https://www.itu.int/md/S22-PP-C-0143/en" TargetMode="External"/><Relationship Id="rId26" Type="http://schemas.openxmlformats.org/officeDocument/2006/relationships/hyperlink" Target="https://www.itu.int/md/S22-PP-C-0154/en" TargetMode="External"/><Relationship Id="rId21" Type="http://schemas.openxmlformats.org/officeDocument/2006/relationships/hyperlink" Target="https://www.itu.int/md/S22-PP-C-0145/en"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itu.int/md/S22-PP-C-0145/en" TargetMode="External"/><Relationship Id="rId17" Type="http://schemas.openxmlformats.org/officeDocument/2006/relationships/hyperlink" Target="https://www.itu.int/md/S22-PP-C-0143/en" TargetMode="External"/><Relationship Id="rId25" Type="http://schemas.openxmlformats.org/officeDocument/2006/relationships/hyperlink" Target="https://www.itu.int/md/S22-PP-C-0154/en" TargetMode="External"/><Relationship Id="rId33"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yperlink" Target="https://www.itu.int/md/S22-PP-C-0070/en" TargetMode="External"/><Relationship Id="rId20" Type="http://schemas.openxmlformats.org/officeDocument/2006/relationships/hyperlink" Target="https://www.itu.int/md/S22-PP-C-0144/en" TargetMode="External"/><Relationship Id="rId29" Type="http://schemas.openxmlformats.org/officeDocument/2006/relationships/hyperlink" Target="https://digitallibrary.un.org/record/3965290?ln=es" TargetMode="Externa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s://www.itu.int/md/S22-PP-C-0144/en" TargetMode="External"/><Relationship Id="rId24" Type="http://schemas.openxmlformats.org/officeDocument/2006/relationships/hyperlink" Target="https://www.itu.int/md/S22-PP-C-0153/en"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md/S22-PP-C-0155/en" TargetMode="External"/><Relationship Id="rId23" Type="http://schemas.openxmlformats.org/officeDocument/2006/relationships/hyperlink" Target="https://www.itu.int/md/S22-PP-C-0153/en" TargetMode="External"/><Relationship Id="rId28" Type="http://schemas.openxmlformats.org/officeDocument/2006/relationships/hyperlink" Target="https://www.itu.int/md/S22-PP-C-0155/en" TargetMode="External"/><Relationship Id="rId36" Type="http://schemas.microsoft.com/office/2011/relationships/people" Target="people.xml"/><Relationship Id="rId10" Type="http://schemas.openxmlformats.org/officeDocument/2006/relationships/hyperlink" Target="https://www.itu.int/md/S22-PP-C-0143/en" TargetMode="External"/><Relationship Id="rId19" Type="http://schemas.openxmlformats.org/officeDocument/2006/relationships/hyperlink" Target="https://www.itu.int/md/S22-PP-C-0144/en" TargetMode="External"/><Relationship Id="rId31" Type="http://schemas.openxmlformats.org/officeDocument/2006/relationships/hyperlink" Target="https://www.itu.int/en/ITU-D/Regional-Presence/Europe/Pages/Projects/Council%20Resolution%20on%20Ukraine%20-%20Coordination%20and%20Implementation/Council-Resolution-on-Ukraine---Coordination-and-Implementation.aspx" TargetMode="External"/><Relationship Id="rId4" Type="http://schemas.openxmlformats.org/officeDocument/2006/relationships/settings" Target="settings.xml"/><Relationship Id="rId9" Type="http://schemas.openxmlformats.org/officeDocument/2006/relationships/hyperlink" Target="https://www.itu.int/md/S22-PP-C-0070/en" TargetMode="External"/><Relationship Id="rId14" Type="http://schemas.openxmlformats.org/officeDocument/2006/relationships/hyperlink" Target="https://www.itu.int/md/S22-PP-C-0154/en" TargetMode="External"/><Relationship Id="rId22" Type="http://schemas.openxmlformats.org/officeDocument/2006/relationships/hyperlink" Target="https://www.itu.int/md/S22-PP-C-0145/en" TargetMode="External"/><Relationship Id="rId27" Type="http://schemas.openxmlformats.org/officeDocument/2006/relationships/hyperlink" Target="https://www.itu.int/md/S22-PP-C-0155/en" TargetMode="External"/><Relationship Id="rId30" Type="http://schemas.openxmlformats.org/officeDocument/2006/relationships/hyperlink" Target="https://www.itu.int/md/S22-PP-C-0070/en" TargetMode="External"/><Relationship Id="rId35"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F36EE-1432-4130-B569-91424AB9F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15</Pages>
  <Words>5609</Words>
  <Characters>31055</Characters>
  <Application>Microsoft Office Word</Application>
  <DocSecurity>0</DocSecurity>
  <Lines>258</Lines>
  <Paragraphs>73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36591</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Plenipotentiary Conference (PP-18)</dc:subject>
  <dc:creator>Manias, Michel</dc:creator>
  <cp:keywords/>
  <dc:description/>
  <cp:lastModifiedBy>Spanish 1</cp:lastModifiedBy>
  <cp:revision>10</cp:revision>
  <dcterms:created xsi:type="dcterms:W3CDTF">2022-11-04T10:14:00Z</dcterms:created>
  <dcterms:modified xsi:type="dcterms:W3CDTF">2022-11-04T15:55:00Z</dcterms:modified>
  <cp:category>Conference document</cp:category>
</cp:coreProperties>
</file>