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B60A3B" w14:paraId="4484B0C5" w14:textId="77777777" w:rsidTr="006359EF">
        <w:trPr>
          <w:cantSplit/>
          <w:jc w:val="center"/>
        </w:trPr>
        <w:tc>
          <w:tcPr>
            <w:tcW w:w="6911" w:type="dxa"/>
          </w:tcPr>
          <w:p w14:paraId="706F5501" w14:textId="3E73A757" w:rsidR="00BD1614" w:rsidRPr="00B60A3B" w:rsidRDefault="00BD1614" w:rsidP="005D52D7">
            <w:pPr>
              <w:rPr>
                <w:b/>
                <w:bCs/>
                <w:position w:val="6"/>
                <w:szCs w:val="24"/>
              </w:rPr>
            </w:pPr>
            <w:bookmarkStart w:id="0" w:name="dbreak"/>
            <w:bookmarkStart w:id="1" w:name="dpp"/>
            <w:bookmarkEnd w:id="0"/>
            <w:bookmarkEnd w:id="1"/>
            <w:r w:rsidRPr="00B60A3B">
              <w:rPr>
                <w:rFonts w:cs="Times"/>
                <w:b/>
                <w:sz w:val="30"/>
                <w:szCs w:val="30"/>
              </w:rPr>
              <w:t>Conférence de plénipotentiaires</w:t>
            </w:r>
            <w:r w:rsidRPr="00B60A3B">
              <w:rPr>
                <w:b/>
                <w:smallCaps/>
                <w:sz w:val="30"/>
                <w:szCs w:val="30"/>
              </w:rPr>
              <w:t xml:space="preserve"> (PP-</w:t>
            </w:r>
            <w:r w:rsidR="002A7A1D" w:rsidRPr="00B60A3B">
              <w:rPr>
                <w:b/>
                <w:smallCaps/>
                <w:sz w:val="30"/>
                <w:szCs w:val="30"/>
              </w:rPr>
              <w:t>22</w:t>
            </w:r>
            <w:r w:rsidRPr="00B60A3B">
              <w:rPr>
                <w:b/>
                <w:smallCaps/>
                <w:sz w:val="30"/>
                <w:szCs w:val="30"/>
              </w:rPr>
              <w:t>)</w:t>
            </w:r>
            <w:r w:rsidRPr="00B60A3B">
              <w:rPr>
                <w:b/>
                <w:smallCaps/>
                <w:sz w:val="36"/>
              </w:rPr>
              <w:br/>
            </w:r>
            <w:r w:rsidR="002A7A1D" w:rsidRPr="00B60A3B">
              <w:rPr>
                <w:rFonts w:cs="Times New Roman Bold"/>
                <w:b/>
                <w:bCs/>
                <w:szCs w:val="24"/>
              </w:rPr>
              <w:t>Bucarest</w:t>
            </w:r>
            <w:r w:rsidRPr="00B60A3B">
              <w:rPr>
                <w:rFonts w:cs="Times New Roman Bold"/>
                <w:b/>
                <w:bCs/>
                <w:szCs w:val="24"/>
              </w:rPr>
              <w:t>, 2</w:t>
            </w:r>
            <w:r w:rsidR="002A7A1D" w:rsidRPr="00B60A3B">
              <w:rPr>
                <w:rFonts w:cs="Times New Roman Bold"/>
                <w:b/>
                <w:bCs/>
                <w:szCs w:val="24"/>
              </w:rPr>
              <w:t>6</w:t>
            </w:r>
            <w:r w:rsidRPr="00B60A3B">
              <w:rPr>
                <w:rFonts w:cs="Times New Roman Bold"/>
                <w:b/>
                <w:bCs/>
                <w:szCs w:val="24"/>
              </w:rPr>
              <w:t xml:space="preserve"> </w:t>
            </w:r>
            <w:r w:rsidR="002A7A1D" w:rsidRPr="00B60A3B">
              <w:rPr>
                <w:rFonts w:cs="Times New Roman Bold"/>
                <w:b/>
                <w:bCs/>
                <w:szCs w:val="24"/>
              </w:rPr>
              <w:t>septembre</w:t>
            </w:r>
            <w:r w:rsidRPr="00B60A3B">
              <w:rPr>
                <w:rFonts w:cs="Times New Roman Bold"/>
                <w:b/>
                <w:bCs/>
                <w:szCs w:val="24"/>
              </w:rPr>
              <w:t xml:space="preserve"> </w:t>
            </w:r>
            <w:r w:rsidR="001E2226" w:rsidRPr="00B60A3B">
              <w:rPr>
                <w:rFonts w:cs="Times New Roman Bold"/>
                <w:b/>
                <w:bCs/>
                <w:szCs w:val="24"/>
              </w:rPr>
              <w:t>–</w:t>
            </w:r>
            <w:r w:rsidRPr="00B60A3B">
              <w:rPr>
                <w:rFonts w:cs="Times New Roman Bold"/>
                <w:b/>
                <w:bCs/>
                <w:szCs w:val="24"/>
              </w:rPr>
              <w:t xml:space="preserve"> </w:t>
            </w:r>
            <w:r w:rsidR="001E2226" w:rsidRPr="00B60A3B">
              <w:rPr>
                <w:rFonts w:cs="Times New Roman Bold"/>
                <w:b/>
                <w:bCs/>
                <w:szCs w:val="24"/>
              </w:rPr>
              <w:t>1</w:t>
            </w:r>
            <w:r w:rsidR="002A7A1D" w:rsidRPr="00B60A3B">
              <w:rPr>
                <w:rFonts w:cs="Times New Roman Bold"/>
                <w:b/>
                <w:bCs/>
                <w:szCs w:val="24"/>
              </w:rPr>
              <w:t>4</w:t>
            </w:r>
            <w:r w:rsidRPr="00B60A3B">
              <w:rPr>
                <w:rFonts w:cs="Times New Roman Bold"/>
                <w:b/>
                <w:bCs/>
                <w:szCs w:val="24"/>
              </w:rPr>
              <w:t xml:space="preserve"> </w:t>
            </w:r>
            <w:r w:rsidR="002A7A1D" w:rsidRPr="00B60A3B">
              <w:rPr>
                <w:rFonts w:cs="Times New Roman Bold"/>
                <w:b/>
                <w:bCs/>
                <w:szCs w:val="24"/>
              </w:rPr>
              <w:t>octobre</w:t>
            </w:r>
            <w:r w:rsidRPr="00B60A3B">
              <w:rPr>
                <w:rFonts w:cs="Times New Roman Bold"/>
                <w:b/>
                <w:bCs/>
                <w:szCs w:val="24"/>
              </w:rPr>
              <w:t xml:space="preserve"> 20</w:t>
            </w:r>
            <w:r w:rsidR="002A7A1D" w:rsidRPr="00B60A3B">
              <w:rPr>
                <w:rFonts w:cs="Times New Roman Bold"/>
                <w:b/>
                <w:bCs/>
                <w:szCs w:val="24"/>
              </w:rPr>
              <w:t>22</w:t>
            </w:r>
          </w:p>
        </w:tc>
        <w:tc>
          <w:tcPr>
            <w:tcW w:w="3120" w:type="dxa"/>
          </w:tcPr>
          <w:p w14:paraId="7A1CF8E0" w14:textId="6FB7D25A" w:rsidR="00BD1614" w:rsidRPr="00B60A3B" w:rsidRDefault="002A7A1D" w:rsidP="005D52D7">
            <w:pPr>
              <w:spacing w:before="0"/>
              <w:rPr>
                <w:rFonts w:cstheme="minorHAnsi"/>
              </w:rPr>
            </w:pPr>
            <w:bookmarkStart w:id="2" w:name="ditulogo"/>
            <w:bookmarkEnd w:id="2"/>
            <w:r w:rsidRPr="00B60A3B">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60A3B" w14:paraId="3120A8D9" w14:textId="77777777" w:rsidTr="006359EF">
        <w:trPr>
          <w:cantSplit/>
          <w:jc w:val="center"/>
        </w:trPr>
        <w:tc>
          <w:tcPr>
            <w:tcW w:w="6911" w:type="dxa"/>
            <w:tcBorders>
              <w:bottom w:val="single" w:sz="12" w:space="0" w:color="auto"/>
            </w:tcBorders>
          </w:tcPr>
          <w:p w14:paraId="317E5819" w14:textId="77777777" w:rsidR="00BD1614" w:rsidRPr="00B60A3B" w:rsidRDefault="00BD1614" w:rsidP="005D52D7">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B60A3B" w:rsidRDefault="00BD1614" w:rsidP="005D52D7">
            <w:pPr>
              <w:spacing w:before="0" w:after="48"/>
              <w:rPr>
                <w:rFonts w:cstheme="minorHAnsi"/>
                <w:b/>
                <w:smallCaps/>
                <w:szCs w:val="24"/>
              </w:rPr>
            </w:pPr>
          </w:p>
        </w:tc>
      </w:tr>
      <w:tr w:rsidR="00BD1614" w:rsidRPr="00B60A3B" w14:paraId="20A2296F" w14:textId="77777777" w:rsidTr="006359EF">
        <w:trPr>
          <w:cantSplit/>
          <w:jc w:val="center"/>
        </w:trPr>
        <w:tc>
          <w:tcPr>
            <w:tcW w:w="6911" w:type="dxa"/>
            <w:tcBorders>
              <w:top w:val="single" w:sz="12" w:space="0" w:color="auto"/>
            </w:tcBorders>
          </w:tcPr>
          <w:p w14:paraId="4CFA6027" w14:textId="77777777" w:rsidR="00BD1614" w:rsidRPr="00B60A3B" w:rsidRDefault="00BD1614" w:rsidP="005D52D7">
            <w:pPr>
              <w:spacing w:before="0"/>
              <w:rPr>
                <w:rFonts w:cstheme="minorHAnsi"/>
                <w:b/>
                <w:smallCaps/>
                <w:szCs w:val="24"/>
              </w:rPr>
            </w:pPr>
          </w:p>
        </w:tc>
        <w:tc>
          <w:tcPr>
            <w:tcW w:w="3120" w:type="dxa"/>
            <w:tcBorders>
              <w:top w:val="single" w:sz="12" w:space="0" w:color="auto"/>
            </w:tcBorders>
          </w:tcPr>
          <w:p w14:paraId="3C479168" w14:textId="77777777" w:rsidR="00BD1614" w:rsidRPr="00B60A3B" w:rsidRDefault="00BD1614" w:rsidP="005D52D7">
            <w:pPr>
              <w:spacing w:before="0"/>
              <w:rPr>
                <w:rFonts w:cstheme="minorHAnsi"/>
                <w:szCs w:val="24"/>
              </w:rPr>
            </w:pPr>
          </w:p>
        </w:tc>
      </w:tr>
      <w:tr w:rsidR="00BD1614" w:rsidRPr="00B60A3B" w14:paraId="5EBA9561" w14:textId="77777777" w:rsidTr="006359EF">
        <w:trPr>
          <w:cantSplit/>
          <w:jc w:val="center"/>
        </w:trPr>
        <w:tc>
          <w:tcPr>
            <w:tcW w:w="6911" w:type="dxa"/>
          </w:tcPr>
          <w:p w14:paraId="081C5B53" w14:textId="5ADEACCC" w:rsidR="00BD1614" w:rsidRPr="00B60A3B" w:rsidRDefault="00420EF8" w:rsidP="005D52D7">
            <w:pPr>
              <w:pStyle w:val="Committee"/>
              <w:framePr w:hSpace="0" w:wrap="auto" w:hAnchor="text" w:yAlign="inline"/>
              <w:spacing w:after="0" w:line="240" w:lineRule="auto"/>
              <w:rPr>
                <w:lang w:val="fr-FR"/>
              </w:rPr>
            </w:pPr>
            <w:r w:rsidRPr="00B60A3B">
              <w:rPr>
                <w:lang w:val="fr-FR"/>
              </w:rPr>
              <w:t>SÉANCE PLÉNIÈRE</w:t>
            </w:r>
          </w:p>
        </w:tc>
        <w:tc>
          <w:tcPr>
            <w:tcW w:w="3120" w:type="dxa"/>
          </w:tcPr>
          <w:p w14:paraId="42E82404" w14:textId="00DBF5AB" w:rsidR="00BD1614" w:rsidRPr="00B60A3B" w:rsidRDefault="00420EF8" w:rsidP="005D52D7">
            <w:pPr>
              <w:spacing w:before="0"/>
              <w:rPr>
                <w:rFonts w:cstheme="minorHAnsi"/>
                <w:szCs w:val="24"/>
              </w:rPr>
            </w:pPr>
            <w:r w:rsidRPr="00B60A3B">
              <w:rPr>
                <w:rFonts w:cstheme="minorHAnsi"/>
                <w:b/>
                <w:szCs w:val="24"/>
              </w:rPr>
              <w:t xml:space="preserve">Document </w:t>
            </w:r>
            <w:r w:rsidR="00351B3A" w:rsidRPr="00B60A3B">
              <w:rPr>
                <w:rFonts w:cstheme="minorHAnsi"/>
                <w:b/>
                <w:szCs w:val="24"/>
              </w:rPr>
              <w:t>204</w:t>
            </w:r>
            <w:r w:rsidRPr="00B60A3B">
              <w:rPr>
                <w:rFonts w:cstheme="minorHAnsi"/>
                <w:b/>
                <w:szCs w:val="24"/>
              </w:rPr>
              <w:t>-F</w:t>
            </w:r>
          </w:p>
        </w:tc>
      </w:tr>
      <w:tr w:rsidR="00BD1614" w:rsidRPr="00B60A3B" w14:paraId="5C605E2F" w14:textId="77777777" w:rsidTr="006359EF">
        <w:trPr>
          <w:cantSplit/>
          <w:jc w:val="center"/>
        </w:trPr>
        <w:tc>
          <w:tcPr>
            <w:tcW w:w="6911" w:type="dxa"/>
          </w:tcPr>
          <w:p w14:paraId="3701819B" w14:textId="20A8E30E" w:rsidR="00BD1614" w:rsidRPr="00B60A3B" w:rsidRDefault="00BD1614" w:rsidP="005D52D7">
            <w:pPr>
              <w:spacing w:before="0"/>
              <w:rPr>
                <w:rFonts w:cstheme="minorHAnsi"/>
                <w:b/>
                <w:szCs w:val="24"/>
              </w:rPr>
            </w:pPr>
          </w:p>
        </w:tc>
        <w:tc>
          <w:tcPr>
            <w:tcW w:w="3120" w:type="dxa"/>
          </w:tcPr>
          <w:p w14:paraId="4FD5E934" w14:textId="4B63F0F2" w:rsidR="00BD1614" w:rsidRPr="00B60A3B" w:rsidRDefault="00351B3A" w:rsidP="005D52D7">
            <w:pPr>
              <w:spacing w:before="0"/>
              <w:rPr>
                <w:rFonts w:cstheme="minorHAnsi"/>
                <w:b/>
                <w:szCs w:val="24"/>
              </w:rPr>
            </w:pPr>
            <w:r w:rsidRPr="00B60A3B">
              <w:rPr>
                <w:rFonts w:cstheme="minorHAnsi"/>
                <w:b/>
                <w:szCs w:val="24"/>
              </w:rPr>
              <w:t>26 octobre 2022</w:t>
            </w:r>
          </w:p>
        </w:tc>
      </w:tr>
      <w:tr w:rsidR="00BD1614" w:rsidRPr="00B60A3B" w14:paraId="6B2B4BC1" w14:textId="77777777" w:rsidTr="006359EF">
        <w:trPr>
          <w:cantSplit/>
          <w:jc w:val="center"/>
        </w:trPr>
        <w:tc>
          <w:tcPr>
            <w:tcW w:w="6911" w:type="dxa"/>
          </w:tcPr>
          <w:p w14:paraId="780A194C" w14:textId="77777777" w:rsidR="00BD1614" w:rsidRPr="00B60A3B" w:rsidRDefault="00BD1614" w:rsidP="005D52D7">
            <w:pPr>
              <w:spacing w:before="0"/>
              <w:rPr>
                <w:rFonts w:cstheme="minorHAnsi"/>
                <w:b/>
                <w:smallCaps/>
                <w:szCs w:val="24"/>
              </w:rPr>
            </w:pPr>
          </w:p>
        </w:tc>
        <w:tc>
          <w:tcPr>
            <w:tcW w:w="3120" w:type="dxa"/>
          </w:tcPr>
          <w:p w14:paraId="36796BDA" w14:textId="3D9C6896" w:rsidR="00BD1614" w:rsidRPr="00B60A3B" w:rsidRDefault="00420EF8" w:rsidP="005D52D7">
            <w:pPr>
              <w:spacing w:before="0"/>
              <w:rPr>
                <w:rFonts w:cstheme="minorHAnsi"/>
                <w:b/>
                <w:szCs w:val="24"/>
              </w:rPr>
            </w:pPr>
            <w:r w:rsidRPr="00B60A3B">
              <w:rPr>
                <w:rFonts w:cstheme="minorHAnsi"/>
                <w:b/>
                <w:szCs w:val="24"/>
              </w:rPr>
              <w:t>Original: anglais</w:t>
            </w:r>
          </w:p>
        </w:tc>
      </w:tr>
      <w:tr w:rsidR="00BD1614" w:rsidRPr="00B60A3B" w14:paraId="4259B884" w14:textId="77777777" w:rsidTr="006359EF">
        <w:trPr>
          <w:cantSplit/>
          <w:jc w:val="center"/>
        </w:trPr>
        <w:tc>
          <w:tcPr>
            <w:tcW w:w="10031" w:type="dxa"/>
            <w:gridSpan w:val="2"/>
          </w:tcPr>
          <w:p w14:paraId="770628D7" w14:textId="77777777" w:rsidR="00BD1614" w:rsidRPr="00B60A3B" w:rsidRDefault="00BD1614" w:rsidP="005D52D7">
            <w:pPr>
              <w:spacing w:before="0"/>
              <w:rPr>
                <w:rFonts w:cstheme="minorHAnsi"/>
                <w:b/>
                <w:szCs w:val="24"/>
              </w:rPr>
            </w:pPr>
          </w:p>
        </w:tc>
      </w:tr>
      <w:tr w:rsidR="00BD1614" w:rsidRPr="00B60A3B" w14:paraId="6A9FB924" w14:textId="77777777" w:rsidTr="006359EF">
        <w:trPr>
          <w:cantSplit/>
          <w:jc w:val="center"/>
        </w:trPr>
        <w:tc>
          <w:tcPr>
            <w:tcW w:w="10031" w:type="dxa"/>
            <w:gridSpan w:val="2"/>
          </w:tcPr>
          <w:p w14:paraId="208742FE" w14:textId="66123740" w:rsidR="00351B3A" w:rsidRPr="00B60A3B" w:rsidRDefault="002F299B" w:rsidP="005D52D7">
            <w:pPr>
              <w:pStyle w:val="Title1"/>
            </w:pPr>
            <w:bookmarkStart w:id="4" w:name="dsource" w:colFirst="0" w:colLast="0"/>
            <w:bookmarkEnd w:id="3"/>
            <w:r w:rsidRPr="00B60A3B">
              <w:t>PROCÈS-VERBAL</w:t>
            </w:r>
          </w:p>
          <w:p w14:paraId="0021C998" w14:textId="3D69C6DB" w:rsidR="00351B3A" w:rsidRPr="00B60A3B" w:rsidRDefault="002F299B" w:rsidP="005D52D7">
            <w:pPr>
              <w:pStyle w:val="Title1"/>
            </w:pPr>
            <w:r w:rsidRPr="00B60A3B">
              <w:t>DE LA</w:t>
            </w:r>
          </w:p>
          <w:p w14:paraId="070875E6" w14:textId="28B718D0" w:rsidR="00BD1614" w:rsidRPr="00B60A3B" w:rsidRDefault="002F299B" w:rsidP="005D52D7">
            <w:pPr>
              <w:pStyle w:val="Title1"/>
            </w:pPr>
            <w:r w:rsidRPr="00B60A3B">
              <w:t>QUATORZIÈME SÉANCE PLÉNIÈRE</w:t>
            </w:r>
          </w:p>
        </w:tc>
      </w:tr>
      <w:tr w:rsidR="00BD1614" w:rsidRPr="00B60A3B" w14:paraId="534EEA05" w14:textId="77777777" w:rsidTr="006359EF">
        <w:trPr>
          <w:cantSplit/>
          <w:jc w:val="center"/>
        </w:trPr>
        <w:tc>
          <w:tcPr>
            <w:tcW w:w="10031" w:type="dxa"/>
            <w:gridSpan w:val="2"/>
          </w:tcPr>
          <w:p w14:paraId="0C8E89F3" w14:textId="64CEA2BB" w:rsidR="00BD1614" w:rsidRPr="00B60A3B" w:rsidRDefault="00351B3A" w:rsidP="005D52D7">
            <w:pPr>
              <w:pStyle w:val="Title1"/>
              <w:rPr>
                <w:sz w:val="24"/>
                <w:szCs w:val="24"/>
              </w:rPr>
            </w:pPr>
            <w:bookmarkStart w:id="5" w:name="dtitle1" w:colFirst="0" w:colLast="0"/>
            <w:bookmarkEnd w:id="4"/>
            <w:r w:rsidRPr="00B60A3B">
              <w:rPr>
                <w:sz w:val="24"/>
                <w:szCs w:val="24"/>
              </w:rPr>
              <w:t>M</w:t>
            </w:r>
            <w:r w:rsidRPr="00B60A3B">
              <w:rPr>
                <w:caps w:val="0"/>
                <w:sz w:val="24"/>
                <w:szCs w:val="24"/>
              </w:rPr>
              <w:t>ardi 11 octobre 2022 à 09 h 40</w:t>
            </w:r>
          </w:p>
        </w:tc>
      </w:tr>
      <w:tr w:rsidR="00BD1614" w:rsidRPr="00B60A3B" w14:paraId="37DA32CE" w14:textId="77777777" w:rsidTr="006359EF">
        <w:trPr>
          <w:cantSplit/>
          <w:jc w:val="center"/>
        </w:trPr>
        <w:tc>
          <w:tcPr>
            <w:tcW w:w="10031" w:type="dxa"/>
            <w:gridSpan w:val="2"/>
          </w:tcPr>
          <w:p w14:paraId="1574AB3E" w14:textId="35A87EFD" w:rsidR="00BD1614" w:rsidRPr="00B60A3B" w:rsidRDefault="00351B3A" w:rsidP="005D52D7">
            <w:pPr>
              <w:pStyle w:val="Title2"/>
              <w:rPr>
                <w:sz w:val="24"/>
                <w:szCs w:val="24"/>
              </w:rPr>
            </w:pPr>
            <w:bookmarkStart w:id="6" w:name="dtitle2" w:colFirst="0" w:colLast="0"/>
            <w:bookmarkEnd w:id="5"/>
            <w:r w:rsidRPr="00B60A3B">
              <w:rPr>
                <w:b/>
                <w:bCs/>
                <w:sz w:val="24"/>
                <w:szCs w:val="24"/>
              </w:rPr>
              <w:t>P</w:t>
            </w:r>
            <w:r w:rsidRPr="00B60A3B">
              <w:rPr>
                <w:b/>
                <w:bCs/>
                <w:caps w:val="0"/>
                <w:sz w:val="24"/>
                <w:szCs w:val="24"/>
              </w:rPr>
              <w:t>résident</w:t>
            </w:r>
            <w:r w:rsidRPr="00B60A3B">
              <w:rPr>
                <w:b/>
                <w:bCs/>
                <w:sz w:val="24"/>
                <w:szCs w:val="24"/>
              </w:rPr>
              <w:t>:</w:t>
            </w:r>
            <w:r w:rsidRPr="00B60A3B">
              <w:rPr>
                <w:sz w:val="24"/>
                <w:szCs w:val="24"/>
              </w:rPr>
              <w:t xml:space="preserve"> M. </w:t>
            </w:r>
            <w:r w:rsidRPr="00B60A3B">
              <w:rPr>
                <w:bCs/>
                <w:sz w:val="24"/>
                <w:szCs w:val="24"/>
              </w:rPr>
              <w:t>S</w:t>
            </w:r>
            <w:r w:rsidRPr="00B60A3B">
              <w:rPr>
                <w:bCs/>
                <w:caps w:val="0"/>
                <w:sz w:val="24"/>
                <w:szCs w:val="24"/>
              </w:rPr>
              <w:t>abin</w:t>
            </w:r>
            <w:r w:rsidRPr="00B60A3B">
              <w:rPr>
                <w:bCs/>
                <w:sz w:val="24"/>
                <w:szCs w:val="24"/>
              </w:rPr>
              <w:t xml:space="preserve"> S</w:t>
            </w:r>
            <w:r w:rsidRPr="00B60A3B">
              <w:rPr>
                <w:bCs/>
                <w:caps w:val="0"/>
                <w:sz w:val="24"/>
                <w:szCs w:val="24"/>
              </w:rPr>
              <w:t>ărma</w:t>
            </w:r>
            <w:r w:rsidR="00334FD1" w:rsidRPr="00B60A3B">
              <w:rPr>
                <w:bCs/>
                <w:caps w:val="0"/>
                <w:sz w:val="24"/>
                <w:szCs w:val="24"/>
              </w:rPr>
              <w:t>ș</w:t>
            </w:r>
            <w:r w:rsidRPr="00B60A3B">
              <w:rPr>
                <w:bCs/>
                <w:sz w:val="24"/>
                <w:szCs w:val="24"/>
              </w:rPr>
              <w:t xml:space="preserve"> (R</w:t>
            </w:r>
            <w:r w:rsidRPr="00B60A3B">
              <w:rPr>
                <w:bCs/>
                <w:caps w:val="0"/>
                <w:sz w:val="24"/>
                <w:szCs w:val="24"/>
              </w:rPr>
              <w:t>oumanie)</w:t>
            </w:r>
          </w:p>
        </w:tc>
      </w:tr>
      <w:tr w:rsidR="00BD1614" w:rsidRPr="00B60A3B" w14:paraId="3488B00F" w14:textId="77777777" w:rsidTr="006359EF">
        <w:trPr>
          <w:cantSplit/>
          <w:jc w:val="center"/>
        </w:trPr>
        <w:tc>
          <w:tcPr>
            <w:tcW w:w="10031" w:type="dxa"/>
            <w:gridSpan w:val="2"/>
          </w:tcPr>
          <w:p w14:paraId="48DBD50A" w14:textId="2612F372" w:rsidR="00BD1614" w:rsidRPr="00B60A3B" w:rsidRDefault="00BD1614" w:rsidP="005D52D7">
            <w:pPr>
              <w:pStyle w:val="Agendaitem"/>
              <w:rPr>
                <w:lang w:val="fr-FR"/>
              </w:rPr>
            </w:pPr>
            <w:bookmarkStart w:id="7" w:name="dtitle3" w:colFirst="0" w:colLast="0"/>
            <w:bookmarkEnd w:id="6"/>
          </w:p>
        </w:tc>
      </w:tr>
      <w:bookmarkEnd w:id="7"/>
    </w:tbl>
    <w:p w14:paraId="7AD6F79A" w14:textId="579CA135" w:rsidR="000D15FB" w:rsidRPr="00B60A3B" w:rsidRDefault="000D15FB" w:rsidP="005D52D7"/>
    <w:tbl>
      <w:tblPr>
        <w:tblW w:w="10031" w:type="dxa"/>
        <w:jc w:val="center"/>
        <w:tblLayout w:type="fixed"/>
        <w:tblLook w:val="0000" w:firstRow="0" w:lastRow="0" w:firstColumn="0" w:lastColumn="0" w:noHBand="0" w:noVBand="0"/>
      </w:tblPr>
      <w:tblGrid>
        <w:gridCol w:w="534"/>
        <w:gridCol w:w="7404"/>
        <w:gridCol w:w="2093"/>
      </w:tblGrid>
      <w:tr w:rsidR="00351B3A" w:rsidRPr="00B60A3B" w14:paraId="4A2925BB" w14:textId="77777777" w:rsidTr="00351B3A">
        <w:trPr>
          <w:jc w:val="center"/>
        </w:trPr>
        <w:tc>
          <w:tcPr>
            <w:tcW w:w="534" w:type="dxa"/>
          </w:tcPr>
          <w:p w14:paraId="06D6FE68" w14:textId="77777777" w:rsidR="00351B3A" w:rsidRPr="00B60A3B" w:rsidRDefault="00351B3A" w:rsidP="005D52D7">
            <w:pPr>
              <w:tabs>
                <w:tab w:val="right" w:pos="9781"/>
              </w:tabs>
              <w:spacing w:before="100" w:after="120"/>
              <w:rPr>
                <w:b/>
                <w:szCs w:val="24"/>
              </w:rPr>
            </w:pPr>
          </w:p>
        </w:tc>
        <w:tc>
          <w:tcPr>
            <w:tcW w:w="7404" w:type="dxa"/>
          </w:tcPr>
          <w:p w14:paraId="00EA9A33" w14:textId="611B0A82" w:rsidR="00351B3A" w:rsidRPr="00B60A3B" w:rsidRDefault="00351B3A" w:rsidP="005D52D7">
            <w:pPr>
              <w:rPr>
                <w:b/>
                <w:bCs/>
                <w:szCs w:val="24"/>
              </w:rPr>
            </w:pPr>
            <w:r w:rsidRPr="00B60A3B">
              <w:rPr>
                <w:b/>
                <w:bCs/>
              </w:rPr>
              <w:t>Sujets traités</w:t>
            </w:r>
          </w:p>
        </w:tc>
        <w:tc>
          <w:tcPr>
            <w:tcW w:w="2093" w:type="dxa"/>
          </w:tcPr>
          <w:p w14:paraId="432A55C4" w14:textId="7167468A" w:rsidR="00351B3A" w:rsidRPr="00B60A3B" w:rsidRDefault="00351B3A" w:rsidP="005D52D7">
            <w:pPr>
              <w:jc w:val="center"/>
              <w:rPr>
                <w:b/>
                <w:bCs/>
                <w:szCs w:val="24"/>
              </w:rPr>
            </w:pPr>
            <w:r w:rsidRPr="00B60A3B">
              <w:rPr>
                <w:b/>
                <w:bCs/>
              </w:rPr>
              <w:t>Documents</w:t>
            </w:r>
          </w:p>
        </w:tc>
      </w:tr>
      <w:tr w:rsidR="00351B3A" w:rsidRPr="00B60A3B" w14:paraId="06DC2B45" w14:textId="77777777" w:rsidTr="00351B3A">
        <w:trPr>
          <w:jc w:val="center"/>
        </w:trPr>
        <w:tc>
          <w:tcPr>
            <w:tcW w:w="534" w:type="dxa"/>
          </w:tcPr>
          <w:p w14:paraId="279960F5"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1</w:t>
            </w:r>
          </w:p>
        </w:tc>
        <w:tc>
          <w:tcPr>
            <w:tcW w:w="7404" w:type="dxa"/>
          </w:tcPr>
          <w:p w14:paraId="422971AB" w14:textId="71C9E391" w:rsidR="00351B3A" w:rsidRPr="00B60A3B" w:rsidRDefault="00BF72F1" w:rsidP="005D52D7">
            <w:pPr>
              <w:tabs>
                <w:tab w:val="left" w:pos="6"/>
              </w:tabs>
              <w:spacing w:after="200"/>
              <w:ind w:left="6"/>
              <w:rPr>
                <w:szCs w:val="24"/>
              </w:rPr>
            </w:pPr>
            <w:r w:rsidRPr="00B60A3B">
              <w:t>Rapport de la Commission 3 (Contrôle budgétaire)</w:t>
            </w:r>
          </w:p>
        </w:tc>
        <w:tc>
          <w:tcPr>
            <w:tcW w:w="2093" w:type="dxa"/>
          </w:tcPr>
          <w:p w14:paraId="4AFA7EB8" w14:textId="77777777" w:rsidR="00351B3A" w:rsidRPr="00B60A3B" w:rsidRDefault="00AC6C0A" w:rsidP="005D52D7">
            <w:pPr>
              <w:spacing w:after="60"/>
              <w:jc w:val="center"/>
              <w:rPr>
                <w:szCs w:val="24"/>
              </w:rPr>
            </w:pPr>
            <w:hyperlink r:id="rId9" w:history="1">
              <w:r w:rsidR="00351B3A" w:rsidRPr="00B60A3B">
                <w:rPr>
                  <w:rStyle w:val="Hyperlink"/>
                  <w:rFonts w:asciiTheme="minorHAnsi" w:hAnsiTheme="minorHAnsi"/>
                  <w:szCs w:val="24"/>
                </w:rPr>
                <w:t>165</w:t>
              </w:r>
            </w:hyperlink>
          </w:p>
        </w:tc>
      </w:tr>
      <w:tr w:rsidR="00351B3A" w:rsidRPr="00B60A3B" w14:paraId="57AACF0A" w14:textId="77777777" w:rsidTr="00351B3A">
        <w:trPr>
          <w:jc w:val="center"/>
        </w:trPr>
        <w:tc>
          <w:tcPr>
            <w:tcW w:w="534" w:type="dxa"/>
          </w:tcPr>
          <w:p w14:paraId="4774A20D"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2</w:t>
            </w:r>
          </w:p>
        </w:tc>
        <w:tc>
          <w:tcPr>
            <w:tcW w:w="7404" w:type="dxa"/>
          </w:tcPr>
          <w:p w14:paraId="60799819" w14:textId="221D2537" w:rsidR="00351B3A" w:rsidRPr="00B60A3B" w:rsidRDefault="00351B3A" w:rsidP="005D52D7">
            <w:pPr>
              <w:spacing w:after="60"/>
              <w:rPr>
                <w:szCs w:val="24"/>
              </w:rPr>
            </w:pPr>
            <w:r w:rsidRPr="00B60A3B">
              <w:rPr>
                <w:rFonts w:asciiTheme="minorHAnsi" w:hAnsiTheme="minorHAnsi" w:cstheme="minorHAnsi"/>
                <w:szCs w:val="24"/>
              </w:rPr>
              <w:t>S</w:t>
            </w:r>
            <w:r w:rsidR="00830EEA" w:rsidRPr="00B60A3B">
              <w:rPr>
                <w:rFonts w:asciiTheme="minorHAnsi" w:hAnsiTheme="minorHAnsi" w:cstheme="minorHAnsi"/>
                <w:szCs w:val="24"/>
              </w:rPr>
              <w:t>eizième</w:t>
            </w:r>
            <w:r w:rsidRPr="00B60A3B">
              <w:rPr>
                <w:rFonts w:asciiTheme="minorHAnsi" w:hAnsiTheme="minorHAnsi" w:cstheme="minorHAnsi"/>
                <w:szCs w:val="24"/>
              </w:rPr>
              <w:t xml:space="preserve"> série de textes soumis par la Commission de rédaction en première lecture (B16)</w:t>
            </w:r>
          </w:p>
        </w:tc>
        <w:tc>
          <w:tcPr>
            <w:tcW w:w="2093" w:type="dxa"/>
          </w:tcPr>
          <w:p w14:paraId="33CCECF2" w14:textId="77777777" w:rsidR="00351B3A" w:rsidRPr="00B60A3B" w:rsidRDefault="00AC6C0A" w:rsidP="005D52D7">
            <w:pPr>
              <w:spacing w:after="60"/>
              <w:jc w:val="center"/>
              <w:rPr>
                <w:szCs w:val="24"/>
              </w:rPr>
            </w:pPr>
            <w:hyperlink r:id="rId10" w:history="1">
              <w:r w:rsidR="00351B3A" w:rsidRPr="00B60A3B">
                <w:rPr>
                  <w:rStyle w:val="Hyperlink"/>
                  <w:rFonts w:asciiTheme="minorHAnsi" w:eastAsiaTheme="minorEastAsia" w:hAnsiTheme="minorHAnsi" w:cstheme="minorBidi"/>
                  <w:szCs w:val="24"/>
                </w:rPr>
                <w:t>167</w:t>
              </w:r>
            </w:hyperlink>
          </w:p>
        </w:tc>
      </w:tr>
      <w:tr w:rsidR="00351B3A" w:rsidRPr="00B60A3B" w14:paraId="6D346E92" w14:textId="77777777" w:rsidTr="00351B3A">
        <w:trPr>
          <w:jc w:val="center"/>
        </w:trPr>
        <w:tc>
          <w:tcPr>
            <w:tcW w:w="534" w:type="dxa"/>
          </w:tcPr>
          <w:p w14:paraId="4ED58547"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3</w:t>
            </w:r>
          </w:p>
        </w:tc>
        <w:tc>
          <w:tcPr>
            <w:tcW w:w="7404" w:type="dxa"/>
          </w:tcPr>
          <w:p w14:paraId="7066DC0B" w14:textId="49DB0F85" w:rsidR="00351B3A" w:rsidRPr="00B60A3B" w:rsidRDefault="00830EEA" w:rsidP="005D52D7">
            <w:pPr>
              <w:spacing w:after="60"/>
              <w:rPr>
                <w:szCs w:val="24"/>
              </w:rPr>
            </w:pPr>
            <w:r w:rsidRPr="00B60A3B">
              <w:rPr>
                <w:rFonts w:asciiTheme="minorHAnsi" w:hAnsiTheme="minorHAnsi" w:cstheme="minorHAnsi"/>
                <w:szCs w:val="24"/>
              </w:rPr>
              <w:t>Seizième</w:t>
            </w:r>
            <w:r w:rsidR="00351B3A" w:rsidRPr="00B60A3B">
              <w:rPr>
                <w:rFonts w:asciiTheme="minorHAnsi" w:hAnsiTheme="minorHAnsi" w:cstheme="minorHAnsi"/>
                <w:szCs w:val="24"/>
              </w:rPr>
              <w:t xml:space="preserve"> série de textes soumis par la Commission de rédaction – seconde lecture</w:t>
            </w:r>
          </w:p>
        </w:tc>
        <w:tc>
          <w:tcPr>
            <w:tcW w:w="2093" w:type="dxa"/>
          </w:tcPr>
          <w:p w14:paraId="35147760" w14:textId="77777777" w:rsidR="00351B3A" w:rsidRPr="00B60A3B" w:rsidRDefault="00351B3A" w:rsidP="005D52D7">
            <w:pPr>
              <w:spacing w:after="60"/>
              <w:jc w:val="center"/>
              <w:rPr>
                <w:szCs w:val="24"/>
              </w:rPr>
            </w:pPr>
            <w:r w:rsidRPr="00B60A3B">
              <w:rPr>
                <w:rFonts w:asciiTheme="minorHAnsi" w:hAnsiTheme="minorHAnsi"/>
                <w:szCs w:val="24"/>
              </w:rPr>
              <w:t>167</w:t>
            </w:r>
          </w:p>
        </w:tc>
      </w:tr>
      <w:tr w:rsidR="00351B3A" w:rsidRPr="00B60A3B" w14:paraId="360E0915" w14:textId="77777777" w:rsidTr="00351B3A">
        <w:trPr>
          <w:jc w:val="center"/>
        </w:trPr>
        <w:tc>
          <w:tcPr>
            <w:tcW w:w="534" w:type="dxa"/>
          </w:tcPr>
          <w:p w14:paraId="0F82C8EF"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4</w:t>
            </w:r>
          </w:p>
        </w:tc>
        <w:tc>
          <w:tcPr>
            <w:tcW w:w="7404" w:type="dxa"/>
          </w:tcPr>
          <w:p w14:paraId="27632FE6" w14:textId="311036E5" w:rsidR="00351B3A" w:rsidRPr="00B60A3B" w:rsidRDefault="00830EEA" w:rsidP="005D52D7">
            <w:pPr>
              <w:tabs>
                <w:tab w:val="left" w:pos="6"/>
                <w:tab w:val="left" w:pos="668"/>
                <w:tab w:val="left" w:pos="855"/>
              </w:tabs>
              <w:spacing w:after="200"/>
              <w:rPr>
                <w:szCs w:val="24"/>
              </w:rPr>
            </w:pPr>
            <w:r w:rsidRPr="00B60A3B">
              <w:rPr>
                <w:rFonts w:asciiTheme="minorHAnsi" w:hAnsiTheme="minorHAnsi" w:cstheme="minorHAnsi"/>
                <w:szCs w:val="24"/>
              </w:rPr>
              <w:t>Dix-septième</w:t>
            </w:r>
            <w:r w:rsidR="00351B3A" w:rsidRPr="00B60A3B">
              <w:rPr>
                <w:rFonts w:asciiTheme="minorHAnsi" w:hAnsiTheme="minorHAnsi" w:cstheme="minorHAnsi"/>
                <w:szCs w:val="24"/>
              </w:rPr>
              <w:t xml:space="preserve"> série de textes soumis par la Commission de rédaction en première lecture (B17)</w:t>
            </w:r>
          </w:p>
        </w:tc>
        <w:tc>
          <w:tcPr>
            <w:tcW w:w="2093" w:type="dxa"/>
          </w:tcPr>
          <w:p w14:paraId="23315170" w14:textId="77777777" w:rsidR="00351B3A" w:rsidRPr="00B60A3B" w:rsidRDefault="00AC6C0A" w:rsidP="005D52D7">
            <w:pPr>
              <w:spacing w:after="60"/>
              <w:jc w:val="center"/>
              <w:rPr>
                <w:szCs w:val="24"/>
              </w:rPr>
            </w:pPr>
            <w:hyperlink r:id="rId11" w:history="1">
              <w:r w:rsidR="00351B3A" w:rsidRPr="00B60A3B">
                <w:rPr>
                  <w:rStyle w:val="Hyperlink"/>
                  <w:rFonts w:asciiTheme="minorHAnsi" w:eastAsiaTheme="minorEastAsia" w:hAnsiTheme="minorHAnsi" w:cstheme="minorBidi"/>
                  <w:szCs w:val="24"/>
                </w:rPr>
                <w:t>173</w:t>
              </w:r>
            </w:hyperlink>
          </w:p>
        </w:tc>
      </w:tr>
      <w:tr w:rsidR="00351B3A" w:rsidRPr="00B60A3B" w14:paraId="0C65F32F" w14:textId="77777777" w:rsidTr="00351B3A">
        <w:trPr>
          <w:jc w:val="center"/>
        </w:trPr>
        <w:tc>
          <w:tcPr>
            <w:tcW w:w="534" w:type="dxa"/>
          </w:tcPr>
          <w:p w14:paraId="537F4AD6"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5</w:t>
            </w:r>
          </w:p>
        </w:tc>
        <w:tc>
          <w:tcPr>
            <w:tcW w:w="7404" w:type="dxa"/>
          </w:tcPr>
          <w:p w14:paraId="5566D646" w14:textId="29A802F7" w:rsidR="00351B3A" w:rsidRPr="00B60A3B" w:rsidRDefault="00030A08" w:rsidP="005D52D7">
            <w:pPr>
              <w:spacing w:after="60"/>
              <w:rPr>
                <w:spacing w:val="-2"/>
                <w:szCs w:val="24"/>
              </w:rPr>
            </w:pPr>
            <w:r w:rsidRPr="00B60A3B">
              <w:rPr>
                <w:rFonts w:asciiTheme="minorHAnsi" w:hAnsiTheme="minorHAnsi" w:cstheme="minorHAnsi"/>
                <w:szCs w:val="24"/>
              </w:rPr>
              <w:t>Dix-septième</w:t>
            </w:r>
            <w:r w:rsidR="00351B3A" w:rsidRPr="00B60A3B">
              <w:rPr>
                <w:rFonts w:asciiTheme="minorHAnsi" w:hAnsiTheme="minorHAnsi" w:cstheme="minorHAnsi"/>
                <w:szCs w:val="24"/>
              </w:rPr>
              <w:t xml:space="preserve"> série de textes soumis par la Commission de rédaction – seconde lecture</w:t>
            </w:r>
          </w:p>
        </w:tc>
        <w:tc>
          <w:tcPr>
            <w:tcW w:w="2093" w:type="dxa"/>
          </w:tcPr>
          <w:p w14:paraId="65370FCC" w14:textId="77777777" w:rsidR="00351B3A" w:rsidRPr="00B60A3B" w:rsidRDefault="00351B3A" w:rsidP="005D52D7">
            <w:pPr>
              <w:spacing w:after="60"/>
              <w:jc w:val="center"/>
              <w:rPr>
                <w:szCs w:val="24"/>
              </w:rPr>
            </w:pPr>
            <w:r w:rsidRPr="00B60A3B">
              <w:rPr>
                <w:rFonts w:asciiTheme="minorHAnsi" w:hAnsiTheme="minorHAnsi"/>
                <w:szCs w:val="24"/>
              </w:rPr>
              <w:t>173</w:t>
            </w:r>
          </w:p>
        </w:tc>
      </w:tr>
      <w:tr w:rsidR="00351B3A" w:rsidRPr="00B60A3B" w14:paraId="59B63DB6" w14:textId="77777777" w:rsidTr="00351B3A">
        <w:trPr>
          <w:jc w:val="center"/>
        </w:trPr>
        <w:tc>
          <w:tcPr>
            <w:tcW w:w="534" w:type="dxa"/>
          </w:tcPr>
          <w:p w14:paraId="3E2EFF08"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6</w:t>
            </w:r>
          </w:p>
        </w:tc>
        <w:tc>
          <w:tcPr>
            <w:tcW w:w="7404" w:type="dxa"/>
          </w:tcPr>
          <w:p w14:paraId="2BFAAF26" w14:textId="74C9C563" w:rsidR="00351B3A" w:rsidRPr="00B60A3B" w:rsidRDefault="00030A08" w:rsidP="005D52D7">
            <w:pPr>
              <w:tabs>
                <w:tab w:val="left" w:pos="4660"/>
              </w:tabs>
              <w:spacing w:after="60"/>
              <w:rPr>
                <w:szCs w:val="24"/>
              </w:rPr>
            </w:pPr>
            <w:r w:rsidRPr="00B60A3B">
              <w:rPr>
                <w:rFonts w:asciiTheme="minorHAnsi" w:hAnsiTheme="minorHAnsi" w:cstheme="minorHAnsi"/>
                <w:szCs w:val="24"/>
              </w:rPr>
              <w:t>Dix-h</w:t>
            </w:r>
            <w:r w:rsidR="00351B3A" w:rsidRPr="00B60A3B">
              <w:rPr>
                <w:rFonts w:asciiTheme="minorHAnsi" w:hAnsiTheme="minorHAnsi" w:cstheme="minorHAnsi"/>
                <w:szCs w:val="24"/>
              </w:rPr>
              <w:t>uitième série de textes soumis par la Commission de rédaction en première lecture (B18)</w:t>
            </w:r>
          </w:p>
        </w:tc>
        <w:tc>
          <w:tcPr>
            <w:tcW w:w="2093" w:type="dxa"/>
          </w:tcPr>
          <w:p w14:paraId="4B1E0518" w14:textId="77777777" w:rsidR="00351B3A" w:rsidRPr="00B60A3B" w:rsidRDefault="00AC6C0A" w:rsidP="005D52D7">
            <w:pPr>
              <w:spacing w:after="60"/>
              <w:jc w:val="center"/>
              <w:rPr>
                <w:szCs w:val="24"/>
              </w:rPr>
            </w:pPr>
            <w:hyperlink r:id="rId12" w:history="1">
              <w:r w:rsidR="00351B3A" w:rsidRPr="00B60A3B">
                <w:rPr>
                  <w:rStyle w:val="Hyperlink"/>
                  <w:rFonts w:asciiTheme="minorHAnsi" w:eastAsiaTheme="minorEastAsia" w:hAnsiTheme="minorHAnsi" w:cstheme="minorBidi"/>
                  <w:szCs w:val="24"/>
                </w:rPr>
                <w:t>174</w:t>
              </w:r>
            </w:hyperlink>
          </w:p>
        </w:tc>
      </w:tr>
      <w:tr w:rsidR="00351B3A" w:rsidRPr="00B60A3B" w14:paraId="4FAE60D0" w14:textId="77777777" w:rsidTr="00351B3A">
        <w:trPr>
          <w:jc w:val="center"/>
        </w:trPr>
        <w:tc>
          <w:tcPr>
            <w:tcW w:w="534" w:type="dxa"/>
          </w:tcPr>
          <w:p w14:paraId="3F6A60B5"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7</w:t>
            </w:r>
          </w:p>
        </w:tc>
        <w:tc>
          <w:tcPr>
            <w:tcW w:w="7404" w:type="dxa"/>
          </w:tcPr>
          <w:p w14:paraId="6F0CE7AD" w14:textId="2FFB88DF" w:rsidR="00351B3A" w:rsidRPr="00B60A3B" w:rsidRDefault="00030A08" w:rsidP="005D52D7">
            <w:pPr>
              <w:tabs>
                <w:tab w:val="left" w:pos="4660"/>
              </w:tabs>
              <w:spacing w:after="60"/>
              <w:rPr>
                <w:szCs w:val="24"/>
              </w:rPr>
            </w:pPr>
            <w:r w:rsidRPr="00B60A3B">
              <w:rPr>
                <w:rFonts w:asciiTheme="minorHAnsi" w:hAnsiTheme="minorHAnsi" w:cstheme="minorHAnsi"/>
                <w:szCs w:val="24"/>
              </w:rPr>
              <w:t>Dix-huitième</w:t>
            </w:r>
            <w:r w:rsidR="00351B3A" w:rsidRPr="00B60A3B">
              <w:rPr>
                <w:rFonts w:asciiTheme="minorHAnsi" w:hAnsiTheme="minorHAnsi" w:cstheme="minorHAnsi"/>
                <w:szCs w:val="24"/>
              </w:rPr>
              <w:t xml:space="preserve"> série de textes soumis par la Commission de rédaction – seconde lecture</w:t>
            </w:r>
          </w:p>
        </w:tc>
        <w:tc>
          <w:tcPr>
            <w:tcW w:w="2093" w:type="dxa"/>
          </w:tcPr>
          <w:p w14:paraId="5D20D593" w14:textId="77777777" w:rsidR="00351B3A" w:rsidRPr="00B60A3B" w:rsidRDefault="00351B3A" w:rsidP="005D52D7">
            <w:pPr>
              <w:spacing w:after="60"/>
              <w:jc w:val="center"/>
              <w:rPr>
                <w:szCs w:val="24"/>
              </w:rPr>
            </w:pPr>
            <w:r w:rsidRPr="00B60A3B">
              <w:rPr>
                <w:rFonts w:asciiTheme="minorHAnsi" w:hAnsiTheme="minorHAnsi"/>
                <w:szCs w:val="24"/>
              </w:rPr>
              <w:t>174</w:t>
            </w:r>
          </w:p>
        </w:tc>
      </w:tr>
      <w:tr w:rsidR="00351B3A" w:rsidRPr="00B60A3B" w14:paraId="115973D0" w14:textId="77777777" w:rsidTr="00351B3A">
        <w:trPr>
          <w:jc w:val="center"/>
        </w:trPr>
        <w:tc>
          <w:tcPr>
            <w:tcW w:w="534" w:type="dxa"/>
          </w:tcPr>
          <w:p w14:paraId="6FC4E16D" w14:textId="77777777" w:rsidR="00351B3A" w:rsidRPr="00B60A3B" w:rsidRDefault="00351B3A" w:rsidP="005D52D7">
            <w:pPr>
              <w:spacing w:after="60"/>
              <w:ind w:left="567" w:hanging="567"/>
              <w:rPr>
                <w:szCs w:val="24"/>
              </w:rPr>
            </w:pPr>
            <w:r w:rsidRPr="00B60A3B">
              <w:rPr>
                <w:rFonts w:asciiTheme="minorHAnsi" w:eastAsiaTheme="minorEastAsia" w:hAnsiTheme="minorHAnsi" w:cstheme="minorBidi"/>
                <w:szCs w:val="24"/>
              </w:rPr>
              <w:t>8</w:t>
            </w:r>
          </w:p>
        </w:tc>
        <w:tc>
          <w:tcPr>
            <w:tcW w:w="7404" w:type="dxa"/>
          </w:tcPr>
          <w:p w14:paraId="6F0918F1" w14:textId="588FB2A3" w:rsidR="00351B3A" w:rsidRPr="00B60A3B" w:rsidRDefault="00351B3A" w:rsidP="005D52D7">
            <w:pPr>
              <w:tabs>
                <w:tab w:val="left" w:pos="4660"/>
              </w:tabs>
              <w:spacing w:after="60"/>
              <w:rPr>
                <w:szCs w:val="24"/>
              </w:rPr>
            </w:pPr>
            <w:r w:rsidRPr="00B60A3B">
              <w:rPr>
                <w:rFonts w:asciiTheme="minorHAnsi" w:hAnsiTheme="minorHAnsi" w:cstheme="minorHAnsi"/>
                <w:szCs w:val="24"/>
              </w:rPr>
              <w:t>Approbation des procès-verbaux</w:t>
            </w:r>
          </w:p>
        </w:tc>
        <w:tc>
          <w:tcPr>
            <w:tcW w:w="2093" w:type="dxa"/>
          </w:tcPr>
          <w:p w14:paraId="4B0EC99D" w14:textId="77777777" w:rsidR="00351B3A" w:rsidRPr="00B60A3B" w:rsidRDefault="00AC6C0A" w:rsidP="005D52D7">
            <w:pPr>
              <w:spacing w:after="60"/>
              <w:jc w:val="center"/>
              <w:rPr>
                <w:szCs w:val="24"/>
              </w:rPr>
            </w:pPr>
            <w:hyperlink r:id="rId13" w:history="1">
              <w:r w:rsidR="00351B3A" w:rsidRPr="00B60A3B">
                <w:rPr>
                  <w:rStyle w:val="Hyperlink"/>
                  <w:rFonts w:asciiTheme="minorHAnsi" w:hAnsiTheme="minorHAnsi"/>
                  <w:szCs w:val="24"/>
                </w:rPr>
                <w:t>107</w:t>
              </w:r>
            </w:hyperlink>
            <w:r w:rsidR="00351B3A" w:rsidRPr="00B60A3B">
              <w:rPr>
                <w:rFonts w:asciiTheme="minorHAnsi" w:eastAsiaTheme="minorEastAsia" w:hAnsiTheme="minorHAnsi" w:cstheme="minorBidi"/>
                <w:szCs w:val="24"/>
              </w:rPr>
              <w:t xml:space="preserve">, </w:t>
            </w:r>
            <w:hyperlink r:id="rId14" w:history="1">
              <w:r w:rsidR="00351B3A" w:rsidRPr="00B60A3B">
                <w:rPr>
                  <w:rStyle w:val="Hyperlink"/>
                  <w:rFonts w:asciiTheme="minorHAnsi" w:hAnsiTheme="minorHAnsi"/>
                  <w:szCs w:val="24"/>
                </w:rPr>
                <w:t>108</w:t>
              </w:r>
            </w:hyperlink>
            <w:r w:rsidR="00351B3A" w:rsidRPr="00B60A3B">
              <w:rPr>
                <w:rFonts w:asciiTheme="minorHAnsi" w:eastAsiaTheme="minorEastAsia" w:hAnsiTheme="minorHAnsi" w:cstheme="minorBidi"/>
                <w:szCs w:val="24"/>
              </w:rPr>
              <w:t xml:space="preserve">, </w:t>
            </w:r>
            <w:hyperlink r:id="rId15" w:history="1">
              <w:r w:rsidR="00351B3A" w:rsidRPr="00B60A3B">
                <w:rPr>
                  <w:rStyle w:val="Hyperlink"/>
                  <w:rFonts w:asciiTheme="minorHAnsi" w:hAnsiTheme="minorHAnsi"/>
                  <w:szCs w:val="24"/>
                </w:rPr>
                <w:t>115</w:t>
              </w:r>
            </w:hyperlink>
            <w:r w:rsidR="00351B3A" w:rsidRPr="00B60A3B">
              <w:rPr>
                <w:rFonts w:asciiTheme="minorHAnsi" w:eastAsiaTheme="minorEastAsia" w:hAnsiTheme="minorHAnsi" w:cstheme="minorBidi"/>
                <w:szCs w:val="24"/>
              </w:rPr>
              <w:t xml:space="preserve">, </w:t>
            </w:r>
            <w:hyperlink r:id="rId16" w:history="1">
              <w:r w:rsidR="00351B3A" w:rsidRPr="00B60A3B">
                <w:rPr>
                  <w:rStyle w:val="Hyperlink"/>
                  <w:rFonts w:asciiTheme="minorHAnsi" w:hAnsiTheme="minorHAnsi"/>
                  <w:szCs w:val="24"/>
                </w:rPr>
                <w:t>116</w:t>
              </w:r>
            </w:hyperlink>
            <w:r w:rsidR="00351B3A" w:rsidRPr="00B60A3B">
              <w:rPr>
                <w:rFonts w:asciiTheme="minorHAnsi" w:eastAsiaTheme="minorEastAsia" w:hAnsiTheme="minorHAnsi" w:cstheme="minorBidi"/>
                <w:szCs w:val="24"/>
              </w:rPr>
              <w:t xml:space="preserve">, </w:t>
            </w:r>
            <w:hyperlink r:id="rId17" w:history="1">
              <w:r w:rsidR="00351B3A" w:rsidRPr="00B60A3B">
                <w:rPr>
                  <w:rStyle w:val="Hyperlink"/>
                  <w:rFonts w:asciiTheme="minorHAnsi" w:hAnsiTheme="minorHAnsi"/>
                  <w:szCs w:val="24"/>
                </w:rPr>
                <w:t>117</w:t>
              </w:r>
            </w:hyperlink>
            <w:r w:rsidR="00351B3A" w:rsidRPr="00B60A3B">
              <w:rPr>
                <w:rFonts w:asciiTheme="minorHAnsi" w:eastAsiaTheme="minorEastAsia" w:hAnsiTheme="minorHAnsi" w:cstheme="minorBidi"/>
                <w:szCs w:val="24"/>
              </w:rPr>
              <w:t xml:space="preserve">, </w:t>
            </w:r>
            <w:hyperlink r:id="rId18" w:history="1">
              <w:r w:rsidR="00351B3A" w:rsidRPr="00B60A3B">
                <w:rPr>
                  <w:rStyle w:val="Hyperlink"/>
                  <w:rFonts w:asciiTheme="minorHAnsi" w:hAnsiTheme="minorHAnsi"/>
                  <w:szCs w:val="24"/>
                </w:rPr>
                <w:t>118</w:t>
              </w:r>
            </w:hyperlink>
            <w:r w:rsidR="00351B3A" w:rsidRPr="00B60A3B">
              <w:rPr>
                <w:rFonts w:asciiTheme="minorHAnsi" w:eastAsiaTheme="minorEastAsia" w:hAnsiTheme="minorHAnsi" w:cstheme="minorBidi"/>
                <w:szCs w:val="24"/>
              </w:rPr>
              <w:t xml:space="preserve">, </w:t>
            </w:r>
            <w:hyperlink r:id="rId19" w:history="1">
              <w:r w:rsidR="00351B3A" w:rsidRPr="00B60A3B">
                <w:rPr>
                  <w:rStyle w:val="Hyperlink"/>
                  <w:rFonts w:asciiTheme="minorHAnsi" w:hAnsiTheme="minorHAnsi"/>
                  <w:szCs w:val="24"/>
                </w:rPr>
                <w:t>139</w:t>
              </w:r>
            </w:hyperlink>
            <w:r w:rsidR="00351B3A" w:rsidRPr="00B60A3B">
              <w:rPr>
                <w:rFonts w:asciiTheme="minorHAnsi" w:eastAsiaTheme="minorEastAsia" w:hAnsiTheme="minorHAnsi" w:cstheme="minorBidi"/>
                <w:szCs w:val="24"/>
              </w:rPr>
              <w:t xml:space="preserve">, </w:t>
            </w:r>
            <w:hyperlink r:id="rId20" w:history="1">
              <w:r w:rsidR="00351B3A" w:rsidRPr="00B60A3B">
                <w:rPr>
                  <w:rStyle w:val="Hyperlink"/>
                  <w:rFonts w:asciiTheme="minorHAnsi" w:hAnsiTheme="minorHAnsi"/>
                  <w:szCs w:val="24"/>
                </w:rPr>
                <w:t>140</w:t>
              </w:r>
            </w:hyperlink>
            <w:r w:rsidR="00351B3A" w:rsidRPr="00B60A3B">
              <w:rPr>
                <w:rFonts w:asciiTheme="minorHAnsi" w:eastAsiaTheme="minorEastAsia" w:hAnsiTheme="minorHAnsi" w:cstheme="minorBidi"/>
                <w:szCs w:val="24"/>
              </w:rPr>
              <w:t xml:space="preserve">, </w:t>
            </w:r>
            <w:hyperlink r:id="rId21" w:history="1">
              <w:r w:rsidR="00351B3A" w:rsidRPr="00B60A3B">
                <w:rPr>
                  <w:rStyle w:val="Hyperlink"/>
                  <w:rFonts w:asciiTheme="minorHAnsi" w:eastAsiaTheme="minorEastAsia" w:hAnsiTheme="minorHAnsi" w:cstheme="minorBidi"/>
                  <w:szCs w:val="24"/>
                </w:rPr>
                <w:t>141</w:t>
              </w:r>
            </w:hyperlink>
            <w:r w:rsidR="00351B3A" w:rsidRPr="00B60A3B">
              <w:rPr>
                <w:rFonts w:asciiTheme="minorHAnsi" w:eastAsiaTheme="minorEastAsia" w:hAnsiTheme="minorHAnsi" w:cstheme="minorBidi"/>
                <w:szCs w:val="24"/>
              </w:rPr>
              <w:t xml:space="preserve">, </w:t>
            </w:r>
            <w:hyperlink r:id="rId22" w:history="1">
              <w:r w:rsidR="00351B3A" w:rsidRPr="00B60A3B">
                <w:rPr>
                  <w:rStyle w:val="Hyperlink"/>
                  <w:rFonts w:asciiTheme="minorHAnsi" w:eastAsiaTheme="minorEastAsia" w:hAnsiTheme="minorHAnsi" w:cstheme="minorBidi"/>
                  <w:szCs w:val="24"/>
                </w:rPr>
                <w:t>142</w:t>
              </w:r>
            </w:hyperlink>
          </w:p>
        </w:tc>
      </w:tr>
    </w:tbl>
    <w:p w14:paraId="23E5CC14" w14:textId="77777777" w:rsidR="00BD1614" w:rsidRPr="00B60A3B" w:rsidRDefault="00BD1614" w:rsidP="005D52D7">
      <w:pPr>
        <w:tabs>
          <w:tab w:val="clear" w:pos="567"/>
          <w:tab w:val="clear" w:pos="1134"/>
          <w:tab w:val="clear" w:pos="1701"/>
          <w:tab w:val="clear" w:pos="2268"/>
          <w:tab w:val="clear" w:pos="2835"/>
        </w:tabs>
        <w:overflowPunct/>
        <w:autoSpaceDE/>
        <w:autoSpaceDN/>
        <w:adjustRightInd/>
        <w:spacing w:before="0"/>
        <w:textAlignment w:val="auto"/>
      </w:pPr>
      <w:r w:rsidRPr="00B60A3B">
        <w:br w:type="page"/>
      </w:r>
    </w:p>
    <w:p w14:paraId="5C29F1C0" w14:textId="33461530" w:rsidR="00894E0D" w:rsidRPr="00B60A3B" w:rsidRDefault="00894E0D" w:rsidP="005D52D7">
      <w:pPr>
        <w:pStyle w:val="Heading1"/>
        <w:rPr>
          <w:lang w:eastAsia="en-GB"/>
        </w:rPr>
      </w:pPr>
      <w:r w:rsidRPr="00B60A3B">
        <w:rPr>
          <w:lang w:eastAsia="en-GB"/>
        </w:rPr>
        <w:lastRenderedPageBreak/>
        <w:t>1</w:t>
      </w:r>
      <w:r w:rsidRPr="00B60A3B">
        <w:rPr>
          <w:lang w:eastAsia="en-GB"/>
        </w:rPr>
        <w:tab/>
      </w:r>
      <w:r w:rsidR="00BF72F1" w:rsidRPr="00B60A3B">
        <w:t xml:space="preserve">Rapport de la Commission 3 (Contrôle budgétaire) </w:t>
      </w:r>
      <w:r w:rsidRPr="00B60A3B">
        <w:rPr>
          <w:lang w:eastAsia="en-GB"/>
        </w:rPr>
        <w:t xml:space="preserve">(Document </w:t>
      </w:r>
      <w:hyperlink r:id="rId23" w:history="1">
        <w:r w:rsidRPr="00B60A3B">
          <w:rPr>
            <w:color w:val="0000FF"/>
            <w:u w:val="single"/>
            <w:lang w:eastAsia="en-GB"/>
          </w:rPr>
          <w:t>165</w:t>
        </w:r>
      </w:hyperlink>
      <w:r w:rsidRPr="00B60A3B">
        <w:rPr>
          <w:lang w:eastAsia="en-GB"/>
        </w:rPr>
        <w:t>)</w:t>
      </w:r>
    </w:p>
    <w:p w14:paraId="502C34FB" w14:textId="52DBA607" w:rsidR="00894E0D" w:rsidRPr="00B60A3B" w:rsidRDefault="00894E0D" w:rsidP="005D52D7">
      <w:pPr>
        <w:rPr>
          <w:lang w:eastAsia="en-GB"/>
        </w:rPr>
      </w:pPr>
      <w:r w:rsidRPr="00B60A3B">
        <w:rPr>
          <w:lang w:eastAsia="en-GB"/>
        </w:rPr>
        <w:t>1.1</w:t>
      </w:r>
      <w:r w:rsidRPr="00B60A3B">
        <w:rPr>
          <w:lang w:eastAsia="en-GB"/>
        </w:rPr>
        <w:tab/>
      </w:r>
      <w:bookmarkStart w:id="8" w:name="lt_pId038"/>
      <w:r w:rsidR="00BF72F1" w:rsidRPr="00B60A3B">
        <w:rPr>
          <w:lang w:eastAsia="en-GB"/>
        </w:rPr>
        <w:t>L</w:t>
      </w:r>
      <w:r w:rsidR="00702064" w:rsidRPr="00B60A3B">
        <w:rPr>
          <w:lang w:eastAsia="en-GB"/>
        </w:rPr>
        <w:t>e</w:t>
      </w:r>
      <w:r w:rsidR="00BF72F1" w:rsidRPr="00B60A3B">
        <w:rPr>
          <w:b/>
          <w:bCs/>
          <w:lang w:eastAsia="en-GB"/>
        </w:rPr>
        <w:t xml:space="preserve"> Président de la Commission 3 </w:t>
      </w:r>
      <w:r w:rsidR="00BF72F1" w:rsidRPr="00B60A3B">
        <w:rPr>
          <w:lang w:eastAsia="en-GB"/>
        </w:rPr>
        <w:t>présent</w:t>
      </w:r>
      <w:r w:rsidR="00702064" w:rsidRPr="00B60A3B">
        <w:rPr>
          <w:lang w:eastAsia="en-GB"/>
        </w:rPr>
        <w:t>e</w:t>
      </w:r>
      <w:r w:rsidR="00BF72F1" w:rsidRPr="00B60A3B">
        <w:rPr>
          <w:lang w:eastAsia="en-GB"/>
        </w:rPr>
        <w:t xml:space="preserve"> le rapport de la </w:t>
      </w:r>
      <w:r w:rsidR="008A4A92" w:rsidRPr="00B60A3B">
        <w:rPr>
          <w:lang w:eastAsia="en-GB"/>
        </w:rPr>
        <w:t>c</w:t>
      </w:r>
      <w:r w:rsidR="00BF72F1" w:rsidRPr="00B60A3B">
        <w:rPr>
          <w:lang w:eastAsia="en-GB"/>
        </w:rPr>
        <w:t>ommission (Document 165)</w:t>
      </w:r>
      <w:r w:rsidR="00702064" w:rsidRPr="00B60A3B">
        <w:rPr>
          <w:lang w:eastAsia="en-GB"/>
        </w:rPr>
        <w:t xml:space="preserve"> et</w:t>
      </w:r>
      <w:r w:rsidR="00BF72F1" w:rsidRPr="00B60A3B">
        <w:rPr>
          <w:lang w:eastAsia="en-GB"/>
        </w:rPr>
        <w:t xml:space="preserve"> dit que ce rapport sera ultérieurement présenté au Conseil à sa session de 20</w:t>
      </w:r>
      <w:bookmarkEnd w:id="8"/>
      <w:r w:rsidR="00BF72F1" w:rsidRPr="00B60A3B">
        <w:rPr>
          <w:lang w:eastAsia="en-GB"/>
        </w:rPr>
        <w:t>23</w:t>
      </w:r>
      <w:r w:rsidRPr="00B60A3B">
        <w:rPr>
          <w:lang w:eastAsia="en-GB"/>
        </w:rPr>
        <w:t xml:space="preserve">. </w:t>
      </w:r>
      <w:r w:rsidR="006F1B01" w:rsidRPr="00B60A3B">
        <w:rPr>
          <w:lang w:eastAsia="en-GB"/>
        </w:rPr>
        <w:t>Rappelant</w:t>
      </w:r>
      <w:r w:rsidR="00956128" w:rsidRPr="00B60A3B">
        <w:rPr>
          <w:lang w:eastAsia="en-GB"/>
        </w:rPr>
        <w:t xml:space="preserve"> que le budget de la Conférence approuvé par le Conseil à sa session de 2021 s'établit à </w:t>
      </w:r>
      <w:r w:rsidRPr="00B60A3B">
        <w:rPr>
          <w:color w:val="000000"/>
          <w:lang w:eastAsia="zh-CN"/>
        </w:rPr>
        <w:t>2 610 000</w:t>
      </w:r>
      <w:r w:rsidR="00956128" w:rsidRPr="00B60A3B">
        <w:rPr>
          <w:color w:val="000000"/>
          <w:lang w:eastAsia="zh-CN"/>
        </w:rPr>
        <w:t xml:space="preserve"> CHF</w:t>
      </w:r>
      <w:r w:rsidR="00CE6B44" w:rsidRPr="00B60A3B">
        <w:rPr>
          <w:color w:val="000000"/>
          <w:lang w:eastAsia="zh-CN"/>
        </w:rPr>
        <w:t>, il</w:t>
      </w:r>
      <w:r w:rsidR="00956128" w:rsidRPr="00B60A3B">
        <w:rPr>
          <w:color w:val="000000"/>
          <w:lang w:eastAsia="zh-CN"/>
        </w:rPr>
        <w:t xml:space="preserve"> note que la prévision des dépenses</w:t>
      </w:r>
      <w:r w:rsidR="00CE6B44" w:rsidRPr="00B60A3B">
        <w:rPr>
          <w:color w:val="000000"/>
          <w:lang w:eastAsia="zh-CN"/>
        </w:rPr>
        <w:t xml:space="preserve"> effectives</w:t>
      </w:r>
      <w:r w:rsidR="00956128" w:rsidRPr="00B60A3B">
        <w:rPr>
          <w:color w:val="000000"/>
          <w:lang w:eastAsia="zh-CN"/>
        </w:rPr>
        <w:t xml:space="preserve"> de la Conférence se monte à </w:t>
      </w:r>
      <w:r w:rsidRPr="00B60A3B">
        <w:rPr>
          <w:color w:val="000000"/>
          <w:lang w:eastAsia="zh-CN"/>
        </w:rPr>
        <w:t>2 369 000</w:t>
      </w:r>
      <w:r w:rsidR="00956128" w:rsidRPr="00B60A3B">
        <w:rPr>
          <w:color w:val="000000"/>
          <w:lang w:eastAsia="zh-CN"/>
        </w:rPr>
        <w:t xml:space="preserve"> CHF, ce qui laisse un solde de </w:t>
      </w:r>
      <w:r w:rsidRPr="00B60A3B">
        <w:rPr>
          <w:color w:val="000000"/>
          <w:lang w:eastAsia="zh-CN"/>
        </w:rPr>
        <w:t>241 000</w:t>
      </w:r>
      <w:r w:rsidR="00956128" w:rsidRPr="00B60A3B">
        <w:rPr>
          <w:color w:val="000000"/>
          <w:lang w:eastAsia="zh-CN"/>
        </w:rPr>
        <w:t xml:space="preserve"> CHF</w:t>
      </w:r>
      <w:r w:rsidRPr="00B60A3B">
        <w:rPr>
          <w:color w:val="000000"/>
          <w:lang w:eastAsia="zh-CN"/>
        </w:rPr>
        <w:t xml:space="preserve">. </w:t>
      </w:r>
      <w:r w:rsidR="00C71931" w:rsidRPr="00B60A3B">
        <w:rPr>
          <w:color w:val="000000"/>
          <w:lang w:eastAsia="zh-CN"/>
        </w:rPr>
        <w:t xml:space="preserve">L'état financier </w:t>
      </w:r>
      <w:r w:rsidR="00BC6304" w:rsidRPr="00B60A3B">
        <w:rPr>
          <w:color w:val="000000"/>
          <w:lang w:eastAsia="zh-CN"/>
        </w:rPr>
        <w:t xml:space="preserve">détaillé </w:t>
      </w:r>
      <w:r w:rsidR="00C71931" w:rsidRPr="00B60A3B">
        <w:rPr>
          <w:color w:val="000000"/>
          <w:lang w:eastAsia="zh-CN"/>
        </w:rPr>
        <w:t xml:space="preserve">de la Conférence au 7 octobre 2022 ainsi que toutes les </w:t>
      </w:r>
      <w:r w:rsidR="008F1274" w:rsidRPr="00B60A3B">
        <w:rPr>
          <w:color w:val="000000"/>
          <w:lang w:eastAsia="zh-CN"/>
        </w:rPr>
        <w:t>dépenses</w:t>
      </w:r>
      <w:r w:rsidR="00C71931" w:rsidRPr="00B60A3B">
        <w:rPr>
          <w:color w:val="000000"/>
          <w:lang w:eastAsia="zh-CN"/>
        </w:rPr>
        <w:t xml:space="preserve"> pour l'exercice biennal 2022-2023 et une analyse détaillée </w:t>
      </w:r>
      <w:r w:rsidR="00B7610D" w:rsidRPr="00B60A3B">
        <w:rPr>
          <w:color w:val="000000"/>
          <w:lang w:eastAsia="zh-CN"/>
        </w:rPr>
        <w:t xml:space="preserve">des </w:t>
      </w:r>
      <w:r w:rsidR="002F065B" w:rsidRPr="00B60A3B">
        <w:rPr>
          <w:color w:val="000000"/>
          <w:lang w:eastAsia="zh-CN"/>
        </w:rPr>
        <w:t>dépenses</w:t>
      </w:r>
      <w:r w:rsidR="00B7610D" w:rsidRPr="00B60A3B">
        <w:rPr>
          <w:color w:val="000000"/>
          <w:lang w:eastAsia="zh-CN"/>
        </w:rPr>
        <w:t xml:space="preserve"> de la Conférence sont donnés dans l'Annexe A du rapport. </w:t>
      </w:r>
      <w:r w:rsidR="0048403B" w:rsidRPr="00B60A3B">
        <w:rPr>
          <w:color w:val="000000"/>
          <w:lang w:eastAsia="zh-CN"/>
        </w:rPr>
        <w:t>La commission remercie</w:t>
      </w:r>
      <w:r w:rsidR="00B351BF" w:rsidRPr="00B60A3B">
        <w:rPr>
          <w:color w:val="000000"/>
          <w:lang w:eastAsia="zh-CN"/>
        </w:rPr>
        <w:t xml:space="preserve"> chaleureusement</w:t>
      </w:r>
      <w:r w:rsidR="0048403B" w:rsidRPr="00B60A3B">
        <w:rPr>
          <w:color w:val="000000"/>
          <w:lang w:eastAsia="zh-CN"/>
        </w:rPr>
        <w:t xml:space="preserve"> le Gouvernement de la Roumanie d'avoir organisé avec maestria la Conférence. </w:t>
      </w:r>
    </w:p>
    <w:p w14:paraId="4AF9600B" w14:textId="7F2E541D" w:rsidR="00894E0D" w:rsidRPr="00B60A3B" w:rsidRDefault="00894E0D" w:rsidP="005D52D7">
      <w:pPr>
        <w:rPr>
          <w:lang w:eastAsia="en-GB"/>
        </w:rPr>
      </w:pPr>
      <w:r w:rsidRPr="00B60A3B">
        <w:rPr>
          <w:lang w:eastAsia="en-GB"/>
        </w:rPr>
        <w:t>1.2</w:t>
      </w:r>
      <w:r w:rsidRPr="00B60A3B">
        <w:rPr>
          <w:lang w:eastAsia="en-GB"/>
        </w:rPr>
        <w:tab/>
      </w:r>
      <w:r w:rsidR="00BC6304" w:rsidRPr="00B60A3B">
        <w:rPr>
          <w:lang w:eastAsia="en-GB"/>
        </w:rPr>
        <w:t>Le</w:t>
      </w:r>
      <w:r w:rsidRPr="00B60A3B">
        <w:rPr>
          <w:b/>
          <w:bCs/>
          <w:lang w:eastAsia="en-GB"/>
        </w:rPr>
        <w:t xml:space="preserve"> </w:t>
      </w:r>
      <w:r w:rsidR="0059791A" w:rsidRPr="00B60A3B">
        <w:rPr>
          <w:b/>
          <w:bCs/>
          <w:lang w:eastAsia="en-GB"/>
        </w:rPr>
        <w:t xml:space="preserve">délégué de la Suisse </w:t>
      </w:r>
      <w:r w:rsidR="00FA0AAE" w:rsidRPr="00B60A3B">
        <w:rPr>
          <w:lang w:eastAsia="en-GB"/>
        </w:rPr>
        <w:t>s'enquiert des incidences financières des décisions prises par</w:t>
      </w:r>
      <w:r w:rsidR="009346ED" w:rsidRPr="00B60A3B">
        <w:rPr>
          <w:lang w:eastAsia="en-GB"/>
        </w:rPr>
        <w:t xml:space="preserve"> la</w:t>
      </w:r>
      <w:r w:rsidR="00FA0AAE" w:rsidRPr="00B60A3B">
        <w:rPr>
          <w:lang w:eastAsia="en-GB"/>
        </w:rPr>
        <w:t xml:space="preserve"> Conférence</w:t>
      </w:r>
      <w:r w:rsidR="009346ED" w:rsidRPr="00B60A3B">
        <w:rPr>
          <w:lang w:eastAsia="en-GB"/>
        </w:rPr>
        <w:t>,</w:t>
      </w:r>
      <w:r w:rsidR="00FA0AAE" w:rsidRPr="00B60A3B">
        <w:rPr>
          <w:lang w:eastAsia="en-GB"/>
        </w:rPr>
        <w:t xml:space="preserve"> </w:t>
      </w:r>
      <w:r w:rsidR="009346ED" w:rsidRPr="00B60A3B">
        <w:rPr>
          <w:lang w:eastAsia="en-GB"/>
        </w:rPr>
        <w:t xml:space="preserve">conformément au mandat défini dans le Document 103. </w:t>
      </w:r>
      <w:r w:rsidR="00567746" w:rsidRPr="00B60A3B">
        <w:rPr>
          <w:lang w:eastAsia="en-GB"/>
        </w:rPr>
        <w:t>De telles informations</w:t>
      </w:r>
      <w:r w:rsidR="009346ED" w:rsidRPr="00B60A3B">
        <w:rPr>
          <w:lang w:eastAsia="en-GB"/>
        </w:rPr>
        <w:t xml:space="preserve"> son</w:t>
      </w:r>
      <w:r w:rsidR="00050D79" w:rsidRPr="00B60A3B">
        <w:rPr>
          <w:lang w:eastAsia="en-GB"/>
        </w:rPr>
        <w:t>t généralement</w:t>
      </w:r>
      <w:r w:rsidR="009346ED" w:rsidRPr="00B60A3B">
        <w:rPr>
          <w:lang w:eastAsia="en-GB"/>
        </w:rPr>
        <w:t xml:space="preserve"> fourni</w:t>
      </w:r>
      <w:r w:rsidR="00145CC5" w:rsidRPr="00B60A3B">
        <w:rPr>
          <w:lang w:eastAsia="en-GB"/>
        </w:rPr>
        <w:t>e</w:t>
      </w:r>
      <w:r w:rsidR="009346ED" w:rsidRPr="00B60A3B">
        <w:rPr>
          <w:lang w:eastAsia="en-GB"/>
        </w:rPr>
        <w:t xml:space="preserve">s et seront utiles </w:t>
      </w:r>
      <w:r w:rsidR="00EA23A0" w:rsidRPr="00B60A3B">
        <w:rPr>
          <w:lang w:eastAsia="en-GB"/>
        </w:rPr>
        <w:t>pour le</w:t>
      </w:r>
      <w:r w:rsidR="009346ED" w:rsidRPr="00B60A3B">
        <w:rPr>
          <w:lang w:eastAsia="en-GB"/>
        </w:rPr>
        <w:t xml:space="preserve"> plan financier de l'Union.</w:t>
      </w:r>
    </w:p>
    <w:p w14:paraId="5BE65E2F" w14:textId="6B27BA34" w:rsidR="00894E0D" w:rsidRPr="00B60A3B" w:rsidRDefault="00894E0D" w:rsidP="005D52D7">
      <w:pPr>
        <w:rPr>
          <w:lang w:eastAsia="en-GB"/>
        </w:rPr>
      </w:pPr>
      <w:r w:rsidRPr="00B60A3B">
        <w:rPr>
          <w:lang w:eastAsia="en-GB"/>
        </w:rPr>
        <w:t>1.3</w:t>
      </w:r>
      <w:r w:rsidRPr="00B60A3B">
        <w:rPr>
          <w:lang w:eastAsia="en-GB"/>
        </w:rPr>
        <w:tab/>
      </w:r>
      <w:r w:rsidR="00050D79" w:rsidRPr="00B60A3B">
        <w:rPr>
          <w:lang w:eastAsia="en-GB"/>
        </w:rPr>
        <w:t xml:space="preserve">Le </w:t>
      </w:r>
      <w:r w:rsidR="00D5240A" w:rsidRPr="00B60A3B">
        <w:rPr>
          <w:b/>
          <w:bCs/>
          <w:lang w:eastAsia="en-GB"/>
        </w:rPr>
        <w:t>s</w:t>
      </w:r>
      <w:r w:rsidR="00050D79" w:rsidRPr="00B60A3B">
        <w:rPr>
          <w:b/>
          <w:bCs/>
          <w:lang w:eastAsia="en-GB"/>
        </w:rPr>
        <w:t xml:space="preserve">ecrétaire de la Commission 6 </w:t>
      </w:r>
      <w:r w:rsidR="00050D79" w:rsidRPr="00B60A3B">
        <w:rPr>
          <w:lang w:eastAsia="en-GB"/>
        </w:rPr>
        <w:t>répond que la Commission 6 (Administration et gestion)</w:t>
      </w:r>
      <w:r w:rsidRPr="00B60A3B">
        <w:rPr>
          <w:b/>
          <w:bCs/>
          <w:lang w:eastAsia="en-GB"/>
        </w:rPr>
        <w:t xml:space="preserve"> </w:t>
      </w:r>
      <w:r w:rsidR="004943B8" w:rsidRPr="00B60A3B">
        <w:rPr>
          <w:lang w:eastAsia="en-GB"/>
        </w:rPr>
        <w:t>a la responsabilité d'analyser les</w:t>
      </w:r>
      <w:r w:rsidR="00050D79" w:rsidRPr="00B60A3B">
        <w:rPr>
          <w:lang w:eastAsia="en-GB"/>
        </w:rPr>
        <w:t xml:space="preserve"> incidences financières des </w:t>
      </w:r>
      <w:r w:rsidR="004A2152" w:rsidRPr="00B60A3B">
        <w:rPr>
          <w:lang w:eastAsia="en-GB"/>
        </w:rPr>
        <w:t>résolutions et des décisions de la Conférence</w:t>
      </w:r>
      <w:r w:rsidR="00050D79" w:rsidRPr="00B60A3B">
        <w:rPr>
          <w:lang w:eastAsia="en-GB"/>
        </w:rPr>
        <w:t>.</w:t>
      </w:r>
      <w:r w:rsidR="00012A23" w:rsidRPr="00B60A3B">
        <w:rPr>
          <w:lang w:eastAsia="en-GB"/>
        </w:rPr>
        <w:t xml:space="preserve"> Les coûts estimés </w:t>
      </w:r>
      <w:r w:rsidR="00E333D9" w:rsidRPr="00B60A3B">
        <w:rPr>
          <w:lang w:eastAsia="en-GB"/>
        </w:rPr>
        <w:t>ne figur</w:t>
      </w:r>
      <w:r w:rsidR="004943B8" w:rsidRPr="00B60A3B">
        <w:rPr>
          <w:lang w:eastAsia="en-GB"/>
        </w:rPr>
        <w:t>e</w:t>
      </w:r>
      <w:r w:rsidR="00E333D9" w:rsidRPr="00B60A3B">
        <w:rPr>
          <w:lang w:eastAsia="en-GB"/>
        </w:rPr>
        <w:t xml:space="preserve">nt pas dans le rapport de la Commission 3 </w:t>
      </w:r>
      <w:r w:rsidR="00E436CA" w:rsidRPr="00B60A3B">
        <w:rPr>
          <w:lang w:eastAsia="en-GB"/>
        </w:rPr>
        <w:t>car</w:t>
      </w:r>
      <w:r w:rsidR="00E333D9" w:rsidRPr="00B60A3B">
        <w:rPr>
          <w:lang w:eastAsia="en-GB"/>
        </w:rPr>
        <w:t xml:space="preserve"> la Commission 5 et le Groupe de travail de la plénière n'ont pas encore soumis de demandes </w:t>
      </w:r>
      <w:r w:rsidR="001B3F4D" w:rsidRPr="00B60A3B">
        <w:rPr>
          <w:lang w:eastAsia="en-GB"/>
        </w:rPr>
        <w:t>d'estimation à la Commission 6</w:t>
      </w:r>
      <w:r w:rsidR="00E333D9" w:rsidRPr="00B60A3B">
        <w:rPr>
          <w:lang w:eastAsia="en-GB"/>
        </w:rPr>
        <w:t>.</w:t>
      </w:r>
    </w:p>
    <w:p w14:paraId="2FB82943" w14:textId="1C563C1B" w:rsidR="00894E0D" w:rsidRPr="00B60A3B" w:rsidRDefault="00894E0D" w:rsidP="005D52D7">
      <w:pPr>
        <w:rPr>
          <w:lang w:eastAsia="en-GB"/>
        </w:rPr>
      </w:pPr>
      <w:r w:rsidRPr="00B60A3B">
        <w:rPr>
          <w:lang w:eastAsia="en-GB"/>
        </w:rPr>
        <w:t>1.4</w:t>
      </w:r>
      <w:r w:rsidRPr="00B60A3B">
        <w:rPr>
          <w:lang w:eastAsia="en-GB"/>
        </w:rPr>
        <w:tab/>
      </w:r>
      <w:r w:rsidR="00D5240A" w:rsidRPr="00B60A3B">
        <w:rPr>
          <w:lang w:eastAsia="en-GB"/>
        </w:rPr>
        <w:t xml:space="preserve">Le </w:t>
      </w:r>
      <w:r w:rsidR="00D5240A" w:rsidRPr="00B60A3B">
        <w:rPr>
          <w:b/>
          <w:bCs/>
          <w:lang w:eastAsia="en-GB"/>
        </w:rPr>
        <w:t xml:space="preserve">délégué de la République islamique d'Iran </w:t>
      </w:r>
      <w:r w:rsidR="00D5240A" w:rsidRPr="00B60A3B">
        <w:rPr>
          <w:lang w:eastAsia="en-GB"/>
        </w:rPr>
        <w:t xml:space="preserve">se félicite du rapport et souhaite que soient consignés ses remerciements, en particulier à l'intention de M. Alassane Ba, </w:t>
      </w:r>
      <w:r w:rsidR="00D5240A" w:rsidRPr="00B60A3B">
        <w:rPr>
          <w:color w:val="000000"/>
        </w:rPr>
        <w:t xml:space="preserve">Chef du Département de la gestion des ressources financières et </w:t>
      </w:r>
      <w:r w:rsidR="00B60A3B" w:rsidRPr="00B60A3B">
        <w:rPr>
          <w:color w:val="000000"/>
        </w:rPr>
        <w:t>S</w:t>
      </w:r>
      <w:r w:rsidR="00D5240A" w:rsidRPr="00B60A3B">
        <w:rPr>
          <w:color w:val="000000"/>
        </w:rPr>
        <w:t>ecrétaire de la Commission 6, pour sa précieuse contribution aux travaux de la Commission 3.</w:t>
      </w:r>
    </w:p>
    <w:p w14:paraId="4713B04D" w14:textId="1B62B75D" w:rsidR="00894E0D" w:rsidRPr="00B60A3B" w:rsidRDefault="00894E0D" w:rsidP="005D52D7">
      <w:pPr>
        <w:rPr>
          <w:lang w:eastAsia="en-GB"/>
        </w:rPr>
      </w:pPr>
      <w:r w:rsidRPr="00B60A3B">
        <w:rPr>
          <w:lang w:eastAsia="en-GB"/>
        </w:rPr>
        <w:t>1.5</w:t>
      </w:r>
      <w:r w:rsidRPr="00B60A3B">
        <w:rPr>
          <w:lang w:eastAsia="en-GB"/>
        </w:rPr>
        <w:tab/>
      </w:r>
      <w:r w:rsidR="00D5240A" w:rsidRPr="00B60A3B">
        <w:rPr>
          <w:lang w:eastAsia="en-GB"/>
        </w:rPr>
        <w:t xml:space="preserve">Le </w:t>
      </w:r>
      <w:r w:rsidR="00D5240A" w:rsidRPr="00B60A3B">
        <w:rPr>
          <w:b/>
          <w:bCs/>
          <w:lang w:eastAsia="en-GB"/>
        </w:rPr>
        <w:t>délégué du Canada</w:t>
      </w:r>
      <w:r w:rsidR="00D5240A" w:rsidRPr="00B60A3B">
        <w:rPr>
          <w:lang w:eastAsia="en-GB"/>
        </w:rPr>
        <w:t xml:space="preserve"> </w:t>
      </w:r>
      <w:r w:rsidR="00EC7AFE" w:rsidRPr="00B60A3B">
        <w:rPr>
          <w:lang w:eastAsia="en-GB"/>
        </w:rPr>
        <w:t xml:space="preserve">se réfère à l'article 34 de la Convention </w:t>
      </w:r>
      <w:r w:rsidR="001B3F4D" w:rsidRPr="00B60A3B">
        <w:rPr>
          <w:lang w:eastAsia="en-GB"/>
        </w:rPr>
        <w:t>sur les</w:t>
      </w:r>
      <w:r w:rsidR="00EC7AFE" w:rsidRPr="00B60A3B">
        <w:rPr>
          <w:lang w:eastAsia="en-GB"/>
        </w:rPr>
        <w:t xml:space="preserve"> responsabilités financières des conférences et dit que des mécanismes sont nécessaires pour veiller à ce que les numéros 488 et 489 de la Convention soient mis en œuvre dans la pratique, </w:t>
      </w:r>
      <w:r w:rsidR="006369FE" w:rsidRPr="00B60A3B">
        <w:rPr>
          <w:lang w:eastAsia="en-GB"/>
        </w:rPr>
        <w:t xml:space="preserve">en particulier un mécanisme permettant d'évaluer les incidences financières des résolutions, des décisions et des recommandations adoptées. </w:t>
      </w:r>
      <w:r w:rsidR="00AD46AE" w:rsidRPr="00B60A3B">
        <w:rPr>
          <w:lang w:eastAsia="en-GB"/>
        </w:rPr>
        <w:t>Cette question</w:t>
      </w:r>
      <w:r w:rsidR="006E4D62" w:rsidRPr="00B60A3B">
        <w:rPr>
          <w:lang w:eastAsia="en-GB"/>
        </w:rPr>
        <w:t xml:space="preserve"> revêt une importance particulière </w:t>
      </w:r>
      <w:r w:rsidR="00592EEB" w:rsidRPr="00B60A3B">
        <w:rPr>
          <w:lang w:eastAsia="en-GB"/>
        </w:rPr>
        <w:t>eu égard aux</w:t>
      </w:r>
      <w:r w:rsidR="006E4D62" w:rsidRPr="00B60A3B">
        <w:rPr>
          <w:lang w:eastAsia="en-GB"/>
        </w:rPr>
        <w:t xml:space="preserve"> travaux</w:t>
      </w:r>
      <w:r w:rsidR="001873E1" w:rsidRPr="00B60A3B">
        <w:rPr>
          <w:lang w:eastAsia="en-GB"/>
        </w:rPr>
        <w:t xml:space="preserve"> à venir</w:t>
      </w:r>
      <w:r w:rsidR="006E4D62" w:rsidRPr="00B60A3B">
        <w:rPr>
          <w:lang w:eastAsia="en-GB"/>
        </w:rPr>
        <w:t xml:space="preserve"> pour </w:t>
      </w:r>
      <w:r w:rsidR="003010FE" w:rsidRPr="00B60A3B">
        <w:rPr>
          <w:lang w:eastAsia="en-GB"/>
        </w:rPr>
        <w:t>élaborer la version définitive du</w:t>
      </w:r>
      <w:r w:rsidR="006E4D62" w:rsidRPr="00B60A3B">
        <w:rPr>
          <w:lang w:eastAsia="en-GB"/>
        </w:rPr>
        <w:t xml:space="preserve"> plan stratégique et </w:t>
      </w:r>
      <w:r w:rsidR="003010FE" w:rsidRPr="00B60A3B">
        <w:rPr>
          <w:lang w:eastAsia="en-GB"/>
        </w:rPr>
        <w:t xml:space="preserve">établir </w:t>
      </w:r>
      <w:r w:rsidR="006E4D62" w:rsidRPr="00B60A3B">
        <w:rPr>
          <w:lang w:eastAsia="en-GB"/>
        </w:rPr>
        <w:t xml:space="preserve">des liens clairs avec le plan financier de l'Union figurant dans la Décision 5. </w:t>
      </w:r>
      <w:r w:rsidR="00812AF1" w:rsidRPr="00B60A3B">
        <w:rPr>
          <w:lang w:eastAsia="en-GB"/>
        </w:rPr>
        <w:t xml:space="preserve">La question de savoir comment articuler et </w:t>
      </w:r>
      <w:r w:rsidR="009D4366" w:rsidRPr="00B60A3B">
        <w:rPr>
          <w:lang w:eastAsia="en-GB"/>
        </w:rPr>
        <w:t>concrétiser</w:t>
      </w:r>
      <w:r w:rsidR="00812AF1" w:rsidRPr="00B60A3B">
        <w:rPr>
          <w:lang w:eastAsia="en-GB"/>
        </w:rPr>
        <w:t xml:space="preserve"> un tel mécanisme pourrait être portée à l'attention du Groupe de travail du Conseil sur les ressources financières et les ressources humaines.</w:t>
      </w:r>
    </w:p>
    <w:p w14:paraId="1863A8A8" w14:textId="68F7CA3D" w:rsidR="00894E0D" w:rsidRPr="00B60A3B" w:rsidRDefault="00894E0D" w:rsidP="005D52D7">
      <w:r w:rsidRPr="00B60A3B">
        <w:t>1.6</w:t>
      </w:r>
      <w:r w:rsidRPr="00B60A3B">
        <w:tab/>
      </w:r>
      <w:bookmarkStart w:id="9" w:name="lt_pId042"/>
      <w:r w:rsidR="00BF72F1" w:rsidRPr="00B60A3B">
        <w:t xml:space="preserve">Le rapport de la Commission 3 (Contrôle budgétaire) (Document 165) est </w:t>
      </w:r>
      <w:r w:rsidR="00BF72F1" w:rsidRPr="00B60A3B">
        <w:rPr>
          <w:b/>
          <w:bCs/>
        </w:rPr>
        <w:t>approuvé</w:t>
      </w:r>
      <w:bookmarkEnd w:id="9"/>
      <w:r w:rsidRPr="00B60A3B">
        <w:t>.</w:t>
      </w:r>
    </w:p>
    <w:p w14:paraId="4249EC7A" w14:textId="3E9FCFD2" w:rsidR="00894E0D" w:rsidRPr="00B60A3B" w:rsidRDefault="00894E0D" w:rsidP="005D52D7">
      <w:pPr>
        <w:pStyle w:val="Heading1"/>
      </w:pPr>
      <w:r w:rsidRPr="00B60A3B">
        <w:t>2</w:t>
      </w:r>
      <w:r w:rsidRPr="00B60A3B">
        <w:tab/>
      </w:r>
      <w:r w:rsidR="00BF72F1" w:rsidRPr="00B60A3B">
        <w:rPr>
          <w:rFonts w:asciiTheme="minorHAnsi" w:hAnsiTheme="minorHAnsi" w:cstheme="minorHAnsi"/>
          <w:szCs w:val="24"/>
        </w:rPr>
        <w:t>S</w:t>
      </w:r>
      <w:r w:rsidR="00977DA8" w:rsidRPr="00B60A3B">
        <w:rPr>
          <w:rFonts w:asciiTheme="minorHAnsi" w:hAnsiTheme="minorHAnsi" w:cstheme="minorHAnsi"/>
          <w:szCs w:val="24"/>
        </w:rPr>
        <w:t>eizi</w:t>
      </w:r>
      <w:r w:rsidR="00BF72F1" w:rsidRPr="00B60A3B">
        <w:rPr>
          <w:rFonts w:asciiTheme="minorHAnsi" w:hAnsiTheme="minorHAnsi" w:cstheme="minorHAnsi"/>
          <w:szCs w:val="24"/>
        </w:rPr>
        <w:t>ème série de textes soumis par la Commission de rédaction en première lecture (B16)</w:t>
      </w:r>
      <w:r w:rsidR="00BF72F1" w:rsidRPr="00B60A3B">
        <w:t xml:space="preserve"> </w:t>
      </w:r>
      <w:r w:rsidRPr="00B60A3B">
        <w:t xml:space="preserve">(Document </w:t>
      </w:r>
      <w:hyperlink r:id="rId24" w:history="1">
        <w:r w:rsidRPr="00B60A3B">
          <w:rPr>
            <w:rStyle w:val="Hyperlink"/>
            <w:rFonts w:asciiTheme="minorHAnsi" w:hAnsiTheme="minorHAnsi" w:cstheme="minorHAnsi"/>
            <w:szCs w:val="24"/>
          </w:rPr>
          <w:t>167</w:t>
        </w:r>
      </w:hyperlink>
      <w:r w:rsidRPr="00B60A3B">
        <w:t>)</w:t>
      </w:r>
    </w:p>
    <w:p w14:paraId="2901EE0C" w14:textId="47B35DA7" w:rsidR="00894E0D" w:rsidRPr="00B60A3B" w:rsidRDefault="00BF72F1" w:rsidP="005D52D7">
      <w:pPr>
        <w:pStyle w:val="Headingb"/>
        <w:tabs>
          <w:tab w:val="clear" w:pos="567"/>
        </w:tabs>
        <w:ind w:left="0" w:firstLine="0"/>
      </w:pPr>
      <w:r w:rsidRPr="00B60A3B">
        <w:t>Projet de</w:t>
      </w:r>
      <w:r w:rsidR="00894E0D" w:rsidRPr="00B60A3B">
        <w:t xml:space="preserve"> R</w:t>
      </w:r>
      <w:r w:rsidRPr="00B60A3B">
        <w:t>é</w:t>
      </w:r>
      <w:r w:rsidR="00894E0D" w:rsidRPr="00B60A3B">
        <w:t>solution 25 (R</w:t>
      </w:r>
      <w:r w:rsidRPr="00B60A3B">
        <w:t>é</w:t>
      </w:r>
      <w:r w:rsidR="00894E0D" w:rsidRPr="00B60A3B">
        <w:t xml:space="preserve">v. Bucarest, 2022) </w:t>
      </w:r>
      <w:r w:rsidRPr="00B60A3B">
        <w:t>–</w:t>
      </w:r>
      <w:r w:rsidR="00894E0D" w:rsidRPr="00B60A3B">
        <w:t xml:space="preserve"> </w:t>
      </w:r>
      <w:bookmarkStart w:id="10" w:name="_Toc407016188"/>
      <w:r w:rsidRPr="00B60A3B">
        <w:t>Renforcement de la présence régionale</w:t>
      </w:r>
      <w:bookmarkEnd w:id="10"/>
      <w:r w:rsidRPr="00B60A3B">
        <w:t xml:space="preserve"> de l'UIT</w:t>
      </w:r>
    </w:p>
    <w:p w14:paraId="4A160126" w14:textId="7D33B4E1" w:rsidR="00894E0D" w:rsidRPr="00B60A3B" w:rsidRDefault="00BF72F1" w:rsidP="005D52D7">
      <w:pPr>
        <w:pStyle w:val="Headingb"/>
        <w:tabs>
          <w:tab w:val="clear" w:pos="567"/>
        </w:tabs>
        <w:ind w:left="0" w:firstLine="0"/>
      </w:pPr>
      <w:r w:rsidRPr="00B60A3B">
        <w:t xml:space="preserve">Projet de Résolution </w:t>
      </w:r>
      <w:r w:rsidR="00894E0D" w:rsidRPr="00B60A3B">
        <w:t>148 (</w:t>
      </w:r>
      <w:r w:rsidRPr="00B60A3B">
        <w:t>Rév. Bucarest, 2022</w:t>
      </w:r>
      <w:r w:rsidR="00894E0D" w:rsidRPr="00B60A3B">
        <w:t>)</w:t>
      </w:r>
      <w:r w:rsidRPr="00B60A3B">
        <w:t xml:space="preserve"> – </w:t>
      </w:r>
      <w:bookmarkStart w:id="11" w:name="_Toc165351540"/>
      <w:r w:rsidRPr="00B60A3B">
        <w:t>Tâches et fonctions du Vice-Secrétaire général</w:t>
      </w:r>
      <w:bookmarkEnd w:id="11"/>
    </w:p>
    <w:p w14:paraId="4936F0E3" w14:textId="39F7A6A0" w:rsidR="00894E0D" w:rsidRPr="00B60A3B" w:rsidRDefault="00BF72F1" w:rsidP="005D52D7">
      <w:pPr>
        <w:pStyle w:val="Headingb"/>
        <w:tabs>
          <w:tab w:val="clear" w:pos="567"/>
        </w:tabs>
        <w:ind w:left="0" w:firstLine="0"/>
      </w:pPr>
      <w:r w:rsidRPr="00B60A3B">
        <w:t xml:space="preserve">Projet de Résolution </w:t>
      </w:r>
      <w:r w:rsidR="00894E0D" w:rsidRPr="00B60A3B">
        <w:t>212 (</w:t>
      </w:r>
      <w:r w:rsidRPr="00B60A3B">
        <w:t>Rév. Bucarest, 2022</w:t>
      </w:r>
      <w:r w:rsidR="00894E0D" w:rsidRPr="00B60A3B">
        <w:t>)</w:t>
      </w:r>
      <w:r w:rsidRPr="00B60A3B">
        <w:t xml:space="preserve"> – </w:t>
      </w:r>
      <w:bookmarkStart w:id="12" w:name="_Toc536018038"/>
      <w:r w:rsidRPr="00B60A3B">
        <w:t>Locaux futurs du siège de l'Union</w:t>
      </w:r>
      <w:bookmarkEnd w:id="12"/>
    </w:p>
    <w:p w14:paraId="5BC40563" w14:textId="0F1F7834" w:rsidR="00894E0D" w:rsidRPr="00B60A3B" w:rsidRDefault="00894E0D" w:rsidP="005D52D7">
      <w:r w:rsidRPr="00B60A3B">
        <w:t>2.1</w:t>
      </w:r>
      <w:r w:rsidRPr="00B60A3B">
        <w:tab/>
      </w:r>
      <w:r w:rsidRPr="00B60A3B">
        <w:rPr>
          <w:b/>
          <w:bCs/>
        </w:rPr>
        <w:t>Adopt</w:t>
      </w:r>
      <w:r w:rsidR="00BF72F1" w:rsidRPr="00B60A3B">
        <w:rPr>
          <w:b/>
          <w:bCs/>
        </w:rPr>
        <w:t>é</w:t>
      </w:r>
      <w:r w:rsidR="00384E46" w:rsidRPr="00B60A3B">
        <w:rPr>
          <w:b/>
          <w:bCs/>
        </w:rPr>
        <w:t>s</w:t>
      </w:r>
      <w:r w:rsidRPr="00B60A3B">
        <w:t>.</w:t>
      </w:r>
    </w:p>
    <w:p w14:paraId="0A0F8767" w14:textId="0D0FEDA2" w:rsidR="00894E0D" w:rsidRPr="00B60A3B" w:rsidRDefault="00894E0D" w:rsidP="005D52D7">
      <w:r w:rsidRPr="00B60A3B">
        <w:t>2.2</w:t>
      </w:r>
      <w:r w:rsidRPr="00B60A3B">
        <w:tab/>
      </w:r>
      <w:bookmarkStart w:id="13" w:name="lt_pId057"/>
      <w:r w:rsidR="00BF72F1" w:rsidRPr="00B60A3B">
        <w:t>La s</w:t>
      </w:r>
      <w:r w:rsidR="00977DA8" w:rsidRPr="00B60A3B">
        <w:t>eizième</w:t>
      </w:r>
      <w:r w:rsidR="00BF72F1" w:rsidRPr="00B60A3B">
        <w:t xml:space="preserve"> série de textes soumis par la Commission de rédaction en première lecture (B16) (Document 167) est </w:t>
      </w:r>
      <w:r w:rsidR="00BF72F1" w:rsidRPr="00B60A3B">
        <w:rPr>
          <w:b/>
          <w:bCs/>
        </w:rPr>
        <w:t>approuvée</w:t>
      </w:r>
      <w:bookmarkEnd w:id="13"/>
      <w:r w:rsidR="00BF72F1" w:rsidRPr="00B60A3B">
        <w:t>.</w:t>
      </w:r>
    </w:p>
    <w:p w14:paraId="10CA2521" w14:textId="081111DA" w:rsidR="00894E0D" w:rsidRPr="00B60A3B" w:rsidRDefault="00894E0D" w:rsidP="005D52D7">
      <w:pPr>
        <w:pStyle w:val="Heading1"/>
      </w:pPr>
      <w:r w:rsidRPr="00B60A3B">
        <w:lastRenderedPageBreak/>
        <w:t>3</w:t>
      </w:r>
      <w:r w:rsidRPr="00B60A3B">
        <w:tab/>
      </w:r>
      <w:r w:rsidR="002502AF" w:rsidRPr="00B60A3B">
        <w:rPr>
          <w:rFonts w:asciiTheme="minorHAnsi" w:hAnsiTheme="minorHAnsi" w:cstheme="minorHAnsi"/>
          <w:szCs w:val="24"/>
        </w:rPr>
        <w:t>Seizième</w:t>
      </w:r>
      <w:r w:rsidR="00BF72F1" w:rsidRPr="00B60A3B">
        <w:rPr>
          <w:rFonts w:asciiTheme="minorHAnsi" w:hAnsiTheme="minorHAnsi" w:cstheme="minorHAnsi"/>
          <w:szCs w:val="24"/>
        </w:rPr>
        <w:t xml:space="preserve"> série de textes soumis par la Commission de rédaction – seconde lecture</w:t>
      </w:r>
      <w:r w:rsidR="00BF72F1" w:rsidRPr="00B60A3B">
        <w:t xml:space="preserve"> </w:t>
      </w:r>
      <w:r w:rsidRPr="00B60A3B">
        <w:t xml:space="preserve">(Document </w:t>
      </w:r>
      <w:hyperlink r:id="rId25" w:history="1">
        <w:r w:rsidRPr="00B60A3B">
          <w:rPr>
            <w:rStyle w:val="Hyperlink"/>
            <w:rFonts w:asciiTheme="minorHAnsi" w:hAnsiTheme="minorHAnsi" w:cstheme="minorHAnsi"/>
            <w:szCs w:val="24"/>
          </w:rPr>
          <w:t>167</w:t>
        </w:r>
      </w:hyperlink>
      <w:r w:rsidRPr="00B60A3B">
        <w:t>)</w:t>
      </w:r>
    </w:p>
    <w:p w14:paraId="35FF2AFF" w14:textId="7D5BF40C" w:rsidR="00894E0D" w:rsidRPr="00B60A3B" w:rsidRDefault="00894E0D" w:rsidP="005D52D7">
      <w:r w:rsidRPr="00B60A3B">
        <w:t>3.1</w:t>
      </w:r>
      <w:r w:rsidRPr="00B60A3B">
        <w:tab/>
      </w:r>
      <w:r w:rsidR="00BF72F1" w:rsidRPr="00B60A3B">
        <w:t>La s</w:t>
      </w:r>
      <w:r w:rsidR="002502AF" w:rsidRPr="00B60A3B">
        <w:t>eizième</w:t>
      </w:r>
      <w:r w:rsidR="00BF72F1" w:rsidRPr="00B60A3B">
        <w:t xml:space="preserve"> série de textes soumis par la Commission de rédaction (Document 167) est </w:t>
      </w:r>
      <w:r w:rsidR="00BF72F1" w:rsidRPr="00B60A3B">
        <w:rPr>
          <w:b/>
          <w:bCs/>
        </w:rPr>
        <w:t>approuvée</w:t>
      </w:r>
      <w:r w:rsidR="00BF72F1" w:rsidRPr="00B60A3B">
        <w:rPr>
          <w:bCs/>
        </w:rPr>
        <w:t xml:space="preserve"> en </w:t>
      </w:r>
      <w:r w:rsidR="00BF72F1" w:rsidRPr="00B60A3B">
        <w:t>seconde</w:t>
      </w:r>
      <w:r w:rsidR="00BF72F1" w:rsidRPr="00B60A3B">
        <w:rPr>
          <w:bCs/>
        </w:rPr>
        <w:t xml:space="preserve"> lecture</w:t>
      </w:r>
      <w:r w:rsidR="00BF72F1" w:rsidRPr="00B60A3B">
        <w:t>.</w:t>
      </w:r>
    </w:p>
    <w:p w14:paraId="19214178" w14:textId="1BA445C7" w:rsidR="00894E0D" w:rsidRPr="00B60A3B" w:rsidRDefault="00894E0D" w:rsidP="005D52D7">
      <w:pPr>
        <w:pStyle w:val="Heading1"/>
      </w:pPr>
      <w:r w:rsidRPr="00B60A3B">
        <w:t>4</w:t>
      </w:r>
      <w:r w:rsidRPr="00B60A3B">
        <w:tab/>
      </w:r>
      <w:r w:rsidR="004239FD" w:rsidRPr="00B60A3B">
        <w:rPr>
          <w:rFonts w:asciiTheme="minorHAnsi" w:hAnsiTheme="minorHAnsi" w:cstheme="minorHAnsi"/>
          <w:szCs w:val="24"/>
        </w:rPr>
        <w:t>Dix-s</w:t>
      </w:r>
      <w:r w:rsidR="00BF72F1" w:rsidRPr="00B60A3B">
        <w:rPr>
          <w:rFonts w:asciiTheme="minorHAnsi" w:hAnsiTheme="minorHAnsi" w:cstheme="minorHAnsi"/>
          <w:szCs w:val="24"/>
        </w:rPr>
        <w:t>eptième série de textes soumis par la Commission de rédaction en première lecture (B17)</w:t>
      </w:r>
      <w:r w:rsidR="00BF72F1" w:rsidRPr="00B60A3B">
        <w:t xml:space="preserve"> </w:t>
      </w:r>
      <w:r w:rsidRPr="00B60A3B">
        <w:t xml:space="preserve">(Document </w:t>
      </w:r>
      <w:hyperlink r:id="rId26" w:history="1">
        <w:r w:rsidRPr="00B60A3B">
          <w:rPr>
            <w:rStyle w:val="Hyperlink"/>
            <w:rFonts w:asciiTheme="minorHAnsi" w:hAnsiTheme="minorHAnsi" w:cstheme="minorHAnsi"/>
            <w:szCs w:val="24"/>
          </w:rPr>
          <w:t>173</w:t>
        </w:r>
      </w:hyperlink>
      <w:r w:rsidRPr="00B60A3B">
        <w:t>)</w:t>
      </w:r>
    </w:p>
    <w:p w14:paraId="2BD9615A" w14:textId="5CA9F732" w:rsidR="00894E0D" w:rsidRPr="00B60A3B" w:rsidRDefault="00BF72F1" w:rsidP="005D52D7">
      <w:pPr>
        <w:pStyle w:val="Headingb"/>
        <w:ind w:left="0" w:firstLine="0"/>
        <w:rPr>
          <w:rFonts w:asciiTheme="minorHAnsi" w:hAnsiTheme="minorHAnsi" w:cstheme="minorHAnsi"/>
          <w:b w:val="0"/>
          <w:bCs/>
          <w:szCs w:val="24"/>
        </w:rPr>
      </w:pPr>
      <w:r w:rsidRPr="00B60A3B">
        <w:t xml:space="preserve">Projet de Résolution </w:t>
      </w:r>
      <w:r w:rsidR="00894E0D" w:rsidRPr="00B60A3B">
        <w:rPr>
          <w:rFonts w:asciiTheme="minorHAnsi" w:hAnsiTheme="minorHAnsi" w:cstheme="minorHAnsi"/>
          <w:bCs/>
          <w:szCs w:val="24"/>
        </w:rPr>
        <w:t>182 (R</w:t>
      </w:r>
      <w:r w:rsidRPr="00B60A3B">
        <w:rPr>
          <w:rFonts w:asciiTheme="minorHAnsi" w:hAnsiTheme="minorHAnsi" w:cstheme="minorHAnsi"/>
          <w:bCs/>
          <w:szCs w:val="24"/>
        </w:rPr>
        <w:t>é</w:t>
      </w:r>
      <w:r w:rsidR="00894E0D" w:rsidRPr="00B60A3B">
        <w:rPr>
          <w:rFonts w:asciiTheme="minorHAnsi" w:hAnsiTheme="minorHAnsi" w:cstheme="minorHAnsi"/>
          <w:bCs/>
          <w:szCs w:val="24"/>
        </w:rPr>
        <w:t>v. Bucarest, 2022)</w:t>
      </w:r>
      <w:r w:rsidRPr="00B60A3B">
        <w:rPr>
          <w:rFonts w:asciiTheme="minorHAnsi" w:hAnsiTheme="minorHAnsi" w:cstheme="minorHAnsi"/>
          <w:bCs/>
          <w:szCs w:val="24"/>
        </w:rPr>
        <w:t xml:space="preserve"> – Rôle des télécommunications/technologies de l'information et de la communication en ce qui concerne les changements climatiques et la protection de l'environnement</w:t>
      </w:r>
    </w:p>
    <w:p w14:paraId="4D787B7B" w14:textId="7D0AF97F" w:rsidR="00894E0D" w:rsidRPr="00B60A3B" w:rsidRDefault="00BF72F1" w:rsidP="00B60A3B">
      <w:pPr>
        <w:pStyle w:val="Headingb"/>
        <w:ind w:left="0" w:firstLine="0"/>
      </w:pPr>
      <w:r w:rsidRPr="00B60A3B">
        <w:t xml:space="preserve">Projet de Résolution </w:t>
      </w:r>
      <w:r w:rsidR="00894E0D" w:rsidRPr="00B60A3B">
        <w:t>COM5/1 (Bucarest, 2022)</w:t>
      </w:r>
      <w:r w:rsidRPr="00B60A3B">
        <w:t xml:space="preserve"> – </w:t>
      </w:r>
      <w:r w:rsidR="004B0738" w:rsidRPr="00B60A3B">
        <w:t>Utilisation des assignations de fréquence par les installations radioélectriques militaires pour les services de défense nationale</w:t>
      </w:r>
    </w:p>
    <w:p w14:paraId="222609F5" w14:textId="455322BB" w:rsidR="00894E0D" w:rsidRPr="00B60A3B" w:rsidRDefault="00894E0D" w:rsidP="005D52D7">
      <w:pPr>
        <w:rPr>
          <w:bCs/>
        </w:rPr>
      </w:pPr>
      <w:r w:rsidRPr="00B60A3B">
        <w:t>4.1</w:t>
      </w:r>
      <w:r w:rsidRPr="00B60A3B">
        <w:tab/>
      </w:r>
      <w:r w:rsidRPr="00B60A3B">
        <w:rPr>
          <w:b/>
          <w:bCs/>
        </w:rPr>
        <w:t>Adopt</w:t>
      </w:r>
      <w:r w:rsidR="004B0738" w:rsidRPr="00B60A3B">
        <w:rPr>
          <w:b/>
          <w:bCs/>
        </w:rPr>
        <w:t>é</w:t>
      </w:r>
      <w:r w:rsidR="00384E46" w:rsidRPr="00B60A3B">
        <w:rPr>
          <w:b/>
          <w:bCs/>
        </w:rPr>
        <w:t>s</w:t>
      </w:r>
      <w:r w:rsidRPr="00B60A3B">
        <w:t>.</w:t>
      </w:r>
    </w:p>
    <w:p w14:paraId="2858C18A" w14:textId="574FCB6F" w:rsidR="00894E0D" w:rsidRPr="00B60A3B" w:rsidRDefault="00894E0D" w:rsidP="005D52D7">
      <w:pPr>
        <w:rPr>
          <w:b/>
          <w:bCs/>
        </w:rPr>
      </w:pPr>
      <w:r w:rsidRPr="00B60A3B">
        <w:t>4.2</w:t>
      </w:r>
      <w:r w:rsidRPr="00B60A3B">
        <w:tab/>
      </w:r>
      <w:r w:rsidR="002A76DF" w:rsidRPr="00B60A3B">
        <w:t xml:space="preserve">Le </w:t>
      </w:r>
      <w:r w:rsidR="002A76DF" w:rsidRPr="00B60A3B">
        <w:rPr>
          <w:b/>
          <w:bCs/>
        </w:rPr>
        <w:t>délégué de la République islamique d'Iran</w:t>
      </w:r>
      <w:r w:rsidR="002A76DF" w:rsidRPr="00B60A3B">
        <w:t xml:space="preserve"> </w:t>
      </w:r>
      <w:r w:rsidR="00B31AD1" w:rsidRPr="00B60A3B">
        <w:t>déclare que</w:t>
      </w:r>
      <w:r w:rsidR="00B451E5" w:rsidRPr="00B60A3B">
        <w:t xml:space="preserve"> depuis que l'</w:t>
      </w:r>
      <w:r w:rsidR="00E436CA" w:rsidRPr="00B60A3B">
        <w:t>a</w:t>
      </w:r>
      <w:r w:rsidR="00B451E5" w:rsidRPr="00B60A3B">
        <w:t xml:space="preserve">rticle 48 de la Constitution, qui porte sur les </w:t>
      </w:r>
      <w:bookmarkStart w:id="14" w:name="_Toc422623805"/>
      <w:r w:rsidR="00B451E5" w:rsidRPr="00B60A3B">
        <w:t xml:space="preserve">installations </w:t>
      </w:r>
      <w:r w:rsidR="00B451E5" w:rsidRPr="00B60A3B">
        <w:rPr>
          <w:rFonts w:asciiTheme="minorHAnsi" w:hAnsiTheme="minorHAnsi"/>
        </w:rPr>
        <w:t>des services de défense nationale</w:t>
      </w:r>
      <w:bookmarkEnd w:id="14"/>
      <w:r w:rsidR="00B451E5" w:rsidRPr="00B60A3B">
        <w:rPr>
          <w:rFonts w:asciiTheme="minorHAnsi" w:hAnsiTheme="minorHAnsi"/>
        </w:rPr>
        <w:t>,</w:t>
      </w:r>
      <w:r w:rsidR="00B451E5" w:rsidRPr="00B60A3B">
        <w:t xml:space="preserve"> </w:t>
      </w:r>
      <w:r w:rsidR="00B60A3B" w:rsidRPr="00B60A3B">
        <w:t xml:space="preserve">a </w:t>
      </w:r>
      <w:r w:rsidR="00B451E5" w:rsidRPr="00B60A3B">
        <w:t>été rédigé pour la première fois en 1903,</w:t>
      </w:r>
      <w:r w:rsidR="006C12B6" w:rsidRPr="00B60A3B">
        <w:t xml:space="preserve"> sa nature et son objet</w:t>
      </w:r>
      <w:r w:rsidR="00B451E5" w:rsidRPr="00B60A3B">
        <w:t xml:space="preserve"> sont restés inchangés</w:t>
      </w:r>
      <w:r w:rsidR="006C12B6" w:rsidRPr="00B60A3B">
        <w:t>.</w:t>
      </w:r>
      <w:r w:rsidR="00B31AD1" w:rsidRPr="00B60A3B">
        <w:t xml:space="preserve"> </w:t>
      </w:r>
      <w:r w:rsidR="00C9316B" w:rsidRPr="00B60A3B">
        <w:t xml:space="preserve">Le Règlement des radiocommunications a pourtant considérablement évolué au cours de cette période et il félicite la Conférence d'avoir adopté par consensus une résolution sur l'utilisation des assignations de fréquence par les installations radioélectriques militaires pour ce </w:t>
      </w:r>
      <w:r w:rsidR="00E436CA" w:rsidRPr="00B60A3B">
        <w:t xml:space="preserve">type </w:t>
      </w:r>
      <w:r w:rsidR="00C9316B" w:rsidRPr="00B60A3B">
        <w:t xml:space="preserve">de services. </w:t>
      </w:r>
    </w:p>
    <w:p w14:paraId="7005942F" w14:textId="2711B665" w:rsidR="00894E0D" w:rsidRPr="00B60A3B" w:rsidRDefault="00036DC3" w:rsidP="005D52D7">
      <w:pPr>
        <w:pStyle w:val="Headingb"/>
        <w:ind w:left="0" w:firstLine="0"/>
        <w:rPr>
          <w:rFonts w:asciiTheme="minorHAnsi" w:hAnsiTheme="minorHAnsi" w:cstheme="minorHAnsi"/>
          <w:bCs/>
        </w:rPr>
      </w:pPr>
      <w:r w:rsidRPr="00B60A3B">
        <w:rPr>
          <w:rFonts w:asciiTheme="minorHAnsi" w:hAnsiTheme="minorHAnsi" w:cstheme="minorHAnsi"/>
          <w:bCs/>
          <w:spacing w:val="2"/>
        </w:rPr>
        <w:t>Projet de</w:t>
      </w:r>
      <w:r w:rsidR="00894E0D" w:rsidRPr="00B60A3B">
        <w:rPr>
          <w:rFonts w:asciiTheme="minorHAnsi" w:hAnsiTheme="minorHAnsi" w:cstheme="minorHAnsi"/>
          <w:bCs/>
          <w:spacing w:val="2"/>
        </w:rPr>
        <w:t xml:space="preserve"> </w:t>
      </w:r>
      <w:r w:rsidRPr="00B60A3B">
        <w:rPr>
          <w:rFonts w:asciiTheme="minorHAnsi" w:hAnsiTheme="minorHAnsi" w:cstheme="minorHAnsi"/>
          <w:bCs/>
          <w:spacing w:val="2"/>
        </w:rPr>
        <w:t>Résolution</w:t>
      </w:r>
      <w:r w:rsidR="00894E0D" w:rsidRPr="00B60A3B">
        <w:rPr>
          <w:rFonts w:asciiTheme="minorHAnsi" w:hAnsiTheme="minorHAnsi" w:cstheme="minorHAnsi"/>
          <w:bCs/>
          <w:spacing w:val="2"/>
        </w:rPr>
        <w:t xml:space="preserve"> COM5/2 (Bucarest, 2022)</w:t>
      </w:r>
      <w:r w:rsidR="00BF72F1" w:rsidRPr="00B60A3B">
        <w:rPr>
          <w:rFonts w:asciiTheme="minorHAnsi" w:hAnsiTheme="minorHAnsi" w:cstheme="minorHAnsi"/>
          <w:bCs/>
          <w:spacing w:val="2"/>
        </w:rPr>
        <w:t xml:space="preserve"> – </w:t>
      </w:r>
      <w:r w:rsidRPr="00B60A3B">
        <w:rPr>
          <w:rFonts w:asciiTheme="minorHAnsi" w:hAnsiTheme="minorHAnsi" w:cstheme="minorHAnsi"/>
          <w:bCs/>
          <w:spacing w:val="2"/>
        </w:rPr>
        <w:t>Gestion de la continuité des activités de l'UIT pour la période 2023-2026</w:t>
      </w:r>
    </w:p>
    <w:p w14:paraId="2112D31A" w14:textId="0F2626FA" w:rsidR="00894E0D" w:rsidRPr="00B60A3B" w:rsidRDefault="00894E0D" w:rsidP="005D52D7">
      <w:pPr>
        <w:rPr>
          <w:bCs/>
        </w:rPr>
      </w:pPr>
      <w:r w:rsidRPr="00B60A3B">
        <w:t>4.3</w:t>
      </w:r>
      <w:r w:rsidRPr="00B60A3B">
        <w:tab/>
      </w:r>
      <w:r w:rsidRPr="00B60A3B">
        <w:rPr>
          <w:b/>
          <w:bCs/>
        </w:rPr>
        <w:t>Adopt</w:t>
      </w:r>
      <w:r w:rsidR="00036DC3" w:rsidRPr="00B60A3B">
        <w:rPr>
          <w:b/>
          <w:bCs/>
        </w:rPr>
        <w:t>é</w:t>
      </w:r>
      <w:r w:rsidRPr="00B60A3B">
        <w:t>.</w:t>
      </w:r>
    </w:p>
    <w:p w14:paraId="6A394204" w14:textId="37943353" w:rsidR="00894E0D" w:rsidRPr="00B60A3B" w:rsidRDefault="00894E0D" w:rsidP="005D52D7">
      <w:pPr>
        <w:rPr>
          <w:szCs w:val="24"/>
        </w:rPr>
      </w:pPr>
      <w:r w:rsidRPr="00B60A3B">
        <w:rPr>
          <w:szCs w:val="24"/>
        </w:rPr>
        <w:t>4.4</w:t>
      </w:r>
      <w:r w:rsidRPr="00B60A3B">
        <w:rPr>
          <w:szCs w:val="24"/>
        </w:rPr>
        <w:tab/>
      </w:r>
      <w:r w:rsidR="00036DC3" w:rsidRPr="00B60A3B">
        <w:t xml:space="preserve">La </w:t>
      </w:r>
      <w:r w:rsidR="00384E46" w:rsidRPr="00B60A3B">
        <w:t>dix-</w:t>
      </w:r>
      <w:r w:rsidR="00036DC3" w:rsidRPr="00B60A3B">
        <w:t xml:space="preserve">septième série de textes soumis par la Commission de rédaction en première lecture (B17) (Document 173) est </w:t>
      </w:r>
      <w:r w:rsidR="00036DC3" w:rsidRPr="00B60A3B">
        <w:rPr>
          <w:b/>
          <w:bCs/>
        </w:rPr>
        <w:t>approuvée</w:t>
      </w:r>
      <w:r w:rsidR="00036DC3" w:rsidRPr="00B60A3B">
        <w:t>.</w:t>
      </w:r>
    </w:p>
    <w:p w14:paraId="31A68EC9" w14:textId="67DB0F7A" w:rsidR="00894E0D" w:rsidRPr="00B60A3B" w:rsidRDefault="00894E0D" w:rsidP="005D52D7">
      <w:pPr>
        <w:pStyle w:val="Heading1"/>
      </w:pPr>
      <w:r w:rsidRPr="00B60A3B">
        <w:t>5</w:t>
      </w:r>
      <w:r w:rsidRPr="00B60A3B">
        <w:tab/>
      </w:r>
      <w:r w:rsidR="00384E46" w:rsidRPr="00B60A3B">
        <w:rPr>
          <w:rFonts w:asciiTheme="minorHAnsi" w:hAnsiTheme="minorHAnsi" w:cstheme="minorHAnsi"/>
          <w:szCs w:val="24"/>
        </w:rPr>
        <w:t>Dix-s</w:t>
      </w:r>
      <w:r w:rsidR="00036DC3" w:rsidRPr="00B60A3B">
        <w:rPr>
          <w:rFonts w:asciiTheme="minorHAnsi" w:hAnsiTheme="minorHAnsi" w:cstheme="minorHAnsi"/>
          <w:szCs w:val="24"/>
        </w:rPr>
        <w:t>eptième série de textes soumis par la Commission de rédaction – seconde lecture</w:t>
      </w:r>
      <w:r w:rsidR="00036DC3" w:rsidRPr="00B60A3B">
        <w:t xml:space="preserve"> </w:t>
      </w:r>
      <w:r w:rsidRPr="00B60A3B">
        <w:t xml:space="preserve">(Document </w:t>
      </w:r>
      <w:hyperlink r:id="rId27" w:history="1">
        <w:r w:rsidRPr="00B60A3B">
          <w:rPr>
            <w:rStyle w:val="Hyperlink"/>
            <w:rFonts w:asciiTheme="minorHAnsi" w:hAnsiTheme="minorHAnsi" w:cstheme="minorHAnsi"/>
            <w:szCs w:val="24"/>
          </w:rPr>
          <w:t>173</w:t>
        </w:r>
      </w:hyperlink>
      <w:r w:rsidRPr="00B60A3B">
        <w:t>)</w:t>
      </w:r>
    </w:p>
    <w:p w14:paraId="5DC08E1C" w14:textId="0D816BE0" w:rsidR="00894E0D" w:rsidRPr="00B60A3B" w:rsidRDefault="00894E0D" w:rsidP="005D52D7">
      <w:r w:rsidRPr="00B60A3B">
        <w:t>5.1</w:t>
      </w:r>
      <w:r w:rsidRPr="00B60A3B">
        <w:tab/>
      </w:r>
      <w:r w:rsidR="00036DC3" w:rsidRPr="00B60A3B">
        <w:t xml:space="preserve">La </w:t>
      </w:r>
      <w:r w:rsidR="00384E46" w:rsidRPr="00B60A3B">
        <w:t>dix-</w:t>
      </w:r>
      <w:r w:rsidR="00036DC3" w:rsidRPr="00B60A3B">
        <w:t xml:space="preserve">septième série de textes soumis par la Commission de rédaction (Document 173) est </w:t>
      </w:r>
      <w:r w:rsidR="00036DC3" w:rsidRPr="00B60A3B">
        <w:rPr>
          <w:b/>
          <w:bCs/>
        </w:rPr>
        <w:t>approuvée</w:t>
      </w:r>
      <w:r w:rsidR="00036DC3" w:rsidRPr="00B60A3B">
        <w:rPr>
          <w:bCs/>
        </w:rPr>
        <w:t xml:space="preserve"> en </w:t>
      </w:r>
      <w:r w:rsidR="00036DC3" w:rsidRPr="00B60A3B">
        <w:t>seconde</w:t>
      </w:r>
      <w:r w:rsidR="00036DC3" w:rsidRPr="00B60A3B">
        <w:rPr>
          <w:bCs/>
        </w:rPr>
        <w:t xml:space="preserve"> lecture</w:t>
      </w:r>
      <w:r w:rsidR="00036DC3" w:rsidRPr="00B60A3B">
        <w:t>.</w:t>
      </w:r>
    </w:p>
    <w:p w14:paraId="3F18A0E3" w14:textId="45799DAE" w:rsidR="00894E0D" w:rsidRPr="00B60A3B" w:rsidRDefault="00894E0D" w:rsidP="005D52D7">
      <w:pPr>
        <w:pStyle w:val="Heading1"/>
      </w:pPr>
      <w:r w:rsidRPr="00B60A3B">
        <w:t>6</w:t>
      </w:r>
      <w:r w:rsidRPr="00B60A3B">
        <w:tab/>
      </w:r>
      <w:r w:rsidR="00384E46" w:rsidRPr="00B60A3B">
        <w:rPr>
          <w:rFonts w:asciiTheme="minorHAnsi" w:hAnsiTheme="minorHAnsi" w:cstheme="minorHAnsi"/>
          <w:szCs w:val="24"/>
        </w:rPr>
        <w:t>Dix-h</w:t>
      </w:r>
      <w:r w:rsidR="00036DC3" w:rsidRPr="00B60A3B">
        <w:rPr>
          <w:rFonts w:asciiTheme="minorHAnsi" w:hAnsiTheme="minorHAnsi" w:cstheme="minorHAnsi"/>
          <w:szCs w:val="24"/>
        </w:rPr>
        <w:t>uitième série de textes soumis par la Commission de rédaction en première lecture (B18)</w:t>
      </w:r>
      <w:r w:rsidR="00036DC3" w:rsidRPr="00B60A3B">
        <w:t xml:space="preserve"> </w:t>
      </w:r>
      <w:r w:rsidRPr="00B60A3B">
        <w:t xml:space="preserve">(Document </w:t>
      </w:r>
      <w:hyperlink r:id="rId28" w:history="1">
        <w:r w:rsidRPr="00B60A3B">
          <w:rPr>
            <w:rStyle w:val="Hyperlink"/>
            <w:rFonts w:asciiTheme="minorHAnsi" w:hAnsiTheme="minorHAnsi" w:cstheme="minorHAnsi"/>
            <w:szCs w:val="24"/>
          </w:rPr>
          <w:t>174</w:t>
        </w:r>
      </w:hyperlink>
      <w:r w:rsidRPr="00B60A3B">
        <w:t>)</w:t>
      </w:r>
    </w:p>
    <w:p w14:paraId="2EE100B4" w14:textId="6F8BC206" w:rsidR="00894E0D" w:rsidRPr="00B60A3B" w:rsidRDefault="00036DC3" w:rsidP="005D52D7">
      <w:pPr>
        <w:pStyle w:val="Headingb"/>
        <w:ind w:left="0" w:firstLine="0"/>
        <w:rPr>
          <w:rFonts w:asciiTheme="minorHAnsi" w:hAnsiTheme="minorHAnsi" w:cstheme="minorHAnsi"/>
          <w:b w:val="0"/>
          <w:bCs/>
          <w:szCs w:val="24"/>
        </w:rPr>
      </w:pPr>
      <w:r w:rsidRPr="00B60A3B">
        <w:rPr>
          <w:rFonts w:asciiTheme="minorHAnsi" w:hAnsiTheme="minorHAnsi" w:cstheme="minorHAnsi"/>
          <w:bCs/>
          <w:spacing w:val="2"/>
        </w:rPr>
        <w:t xml:space="preserve">Projet de Résolution </w:t>
      </w:r>
      <w:r w:rsidR="00894E0D" w:rsidRPr="00B60A3B">
        <w:rPr>
          <w:rFonts w:asciiTheme="minorHAnsi" w:hAnsiTheme="minorHAnsi" w:cstheme="minorHAnsi"/>
          <w:bCs/>
          <w:szCs w:val="24"/>
        </w:rPr>
        <w:t>64 (R</w:t>
      </w:r>
      <w:r w:rsidRPr="00B60A3B">
        <w:rPr>
          <w:rFonts w:asciiTheme="minorHAnsi" w:hAnsiTheme="minorHAnsi" w:cstheme="minorHAnsi"/>
          <w:bCs/>
          <w:szCs w:val="24"/>
        </w:rPr>
        <w:t>é</w:t>
      </w:r>
      <w:r w:rsidR="00894E0D" w:rsidRPr="00B60A3B">
        <w:rPr>
          <w:rFonts w:asciiTheme="minorHAnsi" w:hAnsiTheme="minorHAnsi" w:cstheme="minorHAnsi"/>
          <w:bCs/>
          <w:szCs w:val="24"/>
        </w:rPr>
        <w:t>v. Bucarest, 2022)</w:t>
      </w:r>
      <w:r w:rsidR="00BF72F1" w:rsidRPr="00B60A3B">
        <w:rPr>
          <w:rFonts w:asciiTheme="minorHAnsi" w:hAnsiTheme="minorHAnsi" w:cstheme="minorHAnsi"/>
          <w:bCs/>
          <w:szCs w:val="24"/>
        </w:rPr>
        <w:t xml:space="preserve"> – </w:t>
      </w:r>
      <w:bookmarkStart w:id="15" w:name="_Toc536017936"/>
      <w:r w:rsidRPr="00B60A3B">
        <w:rPr>
          <w:rFonts w:asciiTheme="minorHAnsi" w:hAnsiTheme="minorHAnsi" w:cstheme="minorHAnsi"/>
          <w:bCs/>
          <w:szCs w:val="24"/>
        </w:rPr>
        <w:t>Accès non discriminatoire aux moyens, services et applications reposant sur les télécommunications et les technologies de l'information et de la communication, y compris la recherche appliquée, le transfert de technologie et les réunions électroniques, selon des modalités mutuellement convenues</w:t>
      </w:r>
      <w:bookmarkEnd w:id="15"/>
    </w:p>
    <w:p w14:paraId="08E4C3DF" w14:textId="7BC370E2" w:rsidR="00894E0D" w:rsidRPr="00B60A3B" w:rsidRDefault="00894E0D" w:rsidP="005D52D7">
      <w:r w:rsidRPr="00B60A3B">
        <w:t>6.1</w:t>
      </w:r>
      <w:r w:rsidRPr="00B60A3B">
        <w:tab/>
      </w:r>
      <w:r w:rsidRPr="00B60A3B">
        <w:rPr>
          <w:b/>
          <w:bCs/>
        </w:rPr>
        <w:t>Adopt</w:t>
      </w:r>
      <w:r w:rsidR="00036DC3" w:rsidRPr="00B60A3B">
        <w:rPr>
          <w:b/>
          <w:bCs/>
        </w:rPr>
        <w:t>é</w:t>
      </w:r>
      <w:r w:rsidRPr="00B60A3B">
        <w:rPr>
          <w:bCs/>
        </w:rPr>
        <w:t>.</w:t>
      </w:r>
    </w:p>
    <w:p w14:paraId="4B3B0A9E" w14:textId="2C6488CC" w:rsidR="00894E0D" w:rsidRPr="00B60A3B" w:rsidRDefault="00036DC3" w:rsidP="005D52D7">
      <w:pPr>
        <w:pStyle w:val="Headingb"/>
        <w:ind w:left="0" w:firstLine="0"/>
        <w:rPr>
          <w:rFonts w:asciiTheme="minorHAnsi" w:hAnsiTheme="minorHAnsi" w:cstheme="minorHAnsi"/>
          <w:bCs/>
        </w:rPr>
      </w:pPr>
      <w:r w:rsidRPr="00B60A3B">
        <w:rPr>
          <w:rFonts w:asciiTheme="minorHAnsi" w:hAnsiTheme="minorHAnsi" w:cstheme="minorHAnsi"/>
          <w:bCs/>
          <w:spacing w:val="2"/>
        </w:rPr>
        <w:lastRenderedPageBreak/>
        <w:t xml:space="preserve">Projet de Résolution </w:t>
      </w:r>
      <w:r w:rsidR="00894E0D" w:rsidRPr="00B60A3B">
        <w:rPr>
          <w:rFonts w:asciiTheme="minorHAnsi" w:hAnsiTheme="minorHAnsi" w:cstheme="minorHAnsi"/>
          <w:bCs/>
        </w:rPr>
        <w:t>131 (R</w:t>
      </w:r>
      <w:r w:rsidRPr="00B60A3B">
        <w:rPr>
          <w:rFonts w:asciiTheme="minorHAnsi" w:hAnsiTheme="minorHAnsi" w:cstheme="minorHAnsi"/>
          <w:bCs/>
        </w:rPr>
        <w:t>é</w:t>
      </w:r>
      <w:r w:rsidR="00894E0D" w:rsidRPr="00B60A3B">
        <w:rPr>
          <w:rFonts w:asciiTheme="minorHAnsi" w:hAnsiTheme="minorHAnsi" w:cstheme="minorHAnsi"/>
          <w:bCs/>
        </w:rPr>
        <w:t>v. Bucarest, 2022)</w:t>
      </w:r>
      <w:r w:rsidR="00BF72F1" w:rsidRPr="00B60A3B">
        <w:rPr>
          <w:rFonts w:asciiTheme="minorHAnsi" w:hAnsiTheme="minorHAnsi" w:cstheme="minorHAnsi"/>
          <w:bCs/>
        </w:rPr>
        <w:t xml:space="preserve"> – </w:t>
      </w:r>
      <w:bookmarkStart w:id="16" w:name="_Toc407016227"/>
      <w:r w:rsidRPr="00B60A3B">
        <w:rPr>
          <w:rFonts w:asciiTheme="minorHAnsi" w:hAnsiTheme="minorHAnsi" w:cstheme="minorHAnsi"/>
          <w:bCs/>
        </w:rPr>
        <w:t>Mesurer les technologies de l'information et de la communication pour édifier une société de l'information inclusive et qui facilite l'intégration</w:t>
      </w:r>
      <w:bookmarkEnd w:id="16"/>
    </w:p>
    <w:p w14:paraId="3313299D" w14:textId="447C607A" w:rsidR="00894E0D" w:rsidRPr="00B60A3B" w:rsidRDefault="00894E0D" w:rsidP="005D52D7">
      <w:pPr>
        <w:rPr>
          <w:b/>
          <w:bCs/>
        </w:rPr>
      </w:pPr>
      <w:r w:rsidRPr="00B60A3B">
        <w:t>6.2</w:t>
      </w:r>
      <w:r w:rsidRPr="00B60A3B">
        <w:tab/>
      </w:r>
      <w:r w:rsidR="004943B8" w:rsidRPr="00B60A3B">
        <w:t xml:space="preserve">Le </w:t>
      </w:r>
      <w:r w:rsidR="004943B8" w:rsidRPr="00B60A3B">
        <w:rPr>
          <w:b/>
          <w:bCs/>
        </w:rPr>
        <w:t xml:space="preserve">Président de la Commission de </w:t>
      </w:r>
      <w:r w:rsidR="004D7CD9" w:rsidRPr="00B60A3B">
        <w:rPr>
          <w:b/>
          <w:bCs/>
        </w:rPr>
        <w:t>rédaction</w:t>
      </w:r>
      <w:r w:rsidR="004943B8" w:rsidRPr="00B60A3B">
        <w:rPr>
          <w:b/>
          <w:bCs/>
        </w:rPr>
        <w:t xml:space="preserve"> </w:t>
      </w:r>
      <w:r w:rsidR="004943B8" w:rsidRPr="00B60A3B">
        <w:t xml:space="preserve">attire l'attention sur le point </w:t>
      </w:r>
      <w:r w:rsidR="004943B8" w:rsidRPr="00B60A3B">
        <w:rPr>
          <w:i/>
          <w:iCs/>
        </w:rPr>
        <w:t>b)</w:t>
      </w:r>
      <w:r w:rsidR="004943B8" w:rsidRPr="00B60A3B">
        <w:t xml:space="preserve"> du </w:t>
      </w:r>
      <w:r w:rsidR="004943B8" w:rsidRPr="00B60A3B">
        <w:rPr>
          <w:i/>
          <w:iCs/>
        </w:rPr>
        <w:t xml:space="preserve">rappelant </w:t>
      </w:r>
      <w:r w:rsidR="004943B8" w:rsidRPr="00B60A3B">
        <w:t xml:space="preserve">et </w:t>
      </w:r>
      <w:r w:rsidR="004D7CD9" w:rsidRPr="00B60A3B">
        <w:t>précise</w:t>
      </w:r>
      <w:r w:rsidR="004943B8" w:rsidRPr="00B60A3B">
        <w:t xml:space="preserve"> que le projet de Résolution 131 (Rév. Bucarest, 2022) contient une </w:t>
      </w:r>
      <w:r w:rsidR="00583E3B" w:rsidRPr="00B60A3B">
        <w:t>référence</w:t>
      </w:r>
      <w:r w:rsidR="004943B8" w:rsidRPr="00B60A3B">
        <w:t xml:space="preserve"> détaillée au libellé de la Résolution 71, </w:t>
      </w:r>
      <w:r w:rsidR="00705AC2" w:rsidRPr="00B60A3B">
        <w:t>laquelle n'a pas encore été adoptée</w:t>
      </w:r>
      <w:r w:rsidR="004943B8" w:rsidRPr="00B60A3B">
        <w:t xml:space="preserve">, et que le texte </w:t>
      </w:r>
      <w:r w:rsidR="004D37BC" w:rsidRPr="00B60A3B">
        <w:t>correspondant</w:t>
      </w:r>
      <w:r w:rsidR="004943B8" w:rsidRPr="00B60A3B">
        <w:t xml:space="preserve"> a été mis entre crochets. </w:t>
      </w:r>
      <w:r w:rsidR="00DA2ABA" w:rsidRPr="00B60A3B">
        <w:t xml:space="preserve">Les </w:t>
      </w:r>
      <w:r w:rsidR="004D37BC" w:rsidRPr="00B60A3B">
        <w:t>délégués</w:t>
      </w:r>
      <w:r w:rsidR="00DA2ABA" w:rsidRPr="00B60A3B">
        <w:t xml:space="preserve"> </w:t>
      </w:r>
      <w:r w:rsidR="009F1F65" w:rsidRPr="00B60A3B">
        <w:t>souhaiteront</w:t>
      </w:r>
      <w:r w:rsidR="00DA2ABA" w:rsidRPr="00B60A3B">
        <w:t xml:space="preserve"> peut-être soit renvoyer le projet de Résolution</w:t>
      </w:r>
      <w:r w:rsidR="00B60A3B" w:rsidRPr="00B60A3B">
        <w:t> </w:t>
      </w:r>
      <w:r w:rsidR="00DA2ABA" w:rsidRPr="00B60A3B">
        <w:t xml:space="preserve">131 au Groupe de travail de la plénière pour que celui-ci apporte </w:t>
      </w:r>
      <w:r w:rsidR="004D37BC" w:rsidRPr="00B60A3B">
        <w:t>l</w:t>
      </w:r>
      <w:r w:rsidR="00DA2ABA" w:rsidRPr="00B60A3B">
        <w:t>es modifications</w:t>
      </w:r>
      <w:r w:rsidR="00245FE3" w:rsidRPr="00B60A3B">
        <w:t>,</w:t>
      </w:r>
      <w:r w:rsidR="00DA2ABA" w:rsidRPr="00B60A3B">
        <w:t xml:space="preserve"> </w:t>
      </w:r>
      <w:r w:rsidR="00972542" w:rsidRPr="00B60A3B">
        <w:t>le cas échéant</w:t>
      </w:r>
      <w:r w:rsidR="00245FE3" w:rsidRPr="00B60A3B">
        <w:t>,</w:t>
      </w:r>
      <w:r w:rsidR="00DA2ABA" w:rsidRPr="00B60A3B">
        <w:t xml:space="preserve"> au texte entre crochets une fois la Résolution 71 adoptée, soit supprimer le texte entre crochets.</w:t>
      </w:r>
    </w:p>
    <w:p w14:paraId="01303A31" w14:textId="1735490C" w:rsidR="00894E0D" w:rsidRPr="00B60A3B" w:rsidRDefault="00894E0D" w:rsidP="005D52D7">
      <w:pPr>
        <w:rPr>
          <w:b/>
          <w:bCs/>
        </w:rPr>
      </w:pPr>
      <w:r w:rsidRPr="00B60A3B">
        <w:t>6.3</w:t>
      </w:r>
      <w:r w:rsidRPr="00B60A3B">
        <w:tab/>
      </w:r>
      <w:r w:rsidR="004D7CD9" w:rsidRPr="00B60A3B">
        <w:t xml:space="preserve">Après </w:t>
      </w:r>
      <w:r w:rsidR="00480DDE" w:rsidRPr="00B60A3B">
        <w:t xml:space="preserve">une discussion à laquelle ont participé les </w:t>
      </w:r>
      <w:r w:rsidR="004D7CD9" w:rsidRPr="00B60A3B">
        <w:rPr>
          <w:b/>
          <w:bCs/>
        </w:rPr>
        <w:t>délégués de la République islamique d'Iran</w:t>
      </w:r>
      <w:r w:rsidR="004D7CD9" w:rsidRPr="00B60A3B">
        <w:t xml:space="preserve">, </w:t>
      </w:r>
      <w:r w:rsidR="004D7CD9" w:rsidRPr="00B60A3B">
        <w:rPr>
          <w:b/>
          <w:bCs/>
        </w:rPr>
        <w:t>du Brésil</w:t>
      </w:r>
      <w:r w:rsidR="004D7CD9" w:rsidRPr="00B60A3B">
        <w:t xml:space="preserve">, </w:t>
      </w:r>
      <w:r w:rsidR="004D7CD9" w:rsidRPr="00B60A3B">
        <w:rPr>
          <w:b/>
          <w:bCs/>
        </w:rPr>
        <w:t>de la Jordanie</w:t>
      </w:r>
      <w:r w:rsidR="004D7CD9" w:rsidRPr="00B60A3B">
        <w:t xml:space="preserve">, </w:t>
      </w:r>
      <w:r w:rsidR="004D7CD9" w:rsidRPr="00B60A3B">
        <w:rPr>
          <w:b/>
          <w:bCs/>
        </w:rPr>
        <w:t>de la Fédération de Russie et du Royaume-Uni</w:t>
      </w:r>
      <w:r w:rsidR="004D7CD9" w:rsidRPr="00B60A3B">
        <w:t xml:space="preserve">, le </w:t>
      </w:r>
      <w:r w:rsidR="004D7CD9" w:rsidRPr="00B60A3B">
        <w:rPr>
          <w:b/>
          <w:bCs/>
        </w:rPr>
        <w:t xml:space="preserve">Président </w:t>
      </w:r>
      <w:r w:rsidR="004D7CD9" w:rsidRPr="00B60A3B">
        <w:rPr>
          <w:bCs/>
        </w:rPr>
        <w:t xml:space="preserve">suggère </w:t>
      </w:r>
      <w:r w:rsidR="002D3C84" w:rsidRPr="00B60A3B">
        <w:rPr>
          <w:bCs/>
        </w:rPr>
        <w:t>de reporter simplement</w:t>
      </w:r>
      <w:r w:rsidR="004D7CD9" w:rsidRPr="00B60A3B">
        <w:rPr>
          <w:bCs/>
        </w:rPr>
        <w:t xml:space="preserve"> l'adoption du projet de Résolution 131 (Rév. Bucarest, 2022) en attendant </w:t>
      </w:r>
      <w:r w:rsidR="002D3C84" w:rsidRPr="00B60A3B">
        <w:rPr>
          <w:bCs/>
        </w:rPr>
        <w:t>que soit adoptée la</w:t>
      </w:r>
      <w:r w:rsidR="004D7CD9" w:rsidRPr="00B60A3B">
        <w:rPr>
          <w:bCs/>
        </w:rPr>
        <w:t xml:space="preserve"> Résolution 71. Il n'y a aucune raison de renvoyer le texte au Groupe de travail de la plénière; les modifications nécessaires </w:t>
      </w:r>
      <w:r w:rsidR="004D37BC" w:rsidRPr="00B60A3B">
        <w:rPr>
          <w:bCs/>
        </w:rPr>
        <w:t xml:space="preserve">à apporter </w:t>
      </w:r>
      <w:r w:rsidR="004D7CD9" w:rsidRPr="00B60A3B">
        <w:rPr>
          <w:bCs/>
        </w:rPr>
        <w:t xml:space="preserve">au texte entre crochets </w:t>
      </w:r>
      <w:r w:rsidR="004D37BC" w:rsidRPr="00B60A3B">
        <w:rPr>
          <w:bCs/>
        </w:rPr>
        <w:t xml:space="preserve">peuvent </w:t>
      </w:r>
      <w:r w:rsidR="004D7CD9" w:rsidRPr="00B60A3B">
        <w:rPr>
          <w:bCs/>
        </w:rPr>
        <w:t>être apportées par la Commission de rédaction.</w:t>
      </w:r>
    </w:p>
    <w:p w14:paraId="32350839" w14:textId="2897ADF5" w:rsidR="00894E0D" w:rsidRPr="00B60A3B" w:rsidRDefault="00894E0D" w:rsidP="005D52D7">
      <w:pPr>
        <w:rPr>
          <w:b/>
          <w:bCs/>
        </w:rPr>
      </w:pPr>
      <w:r w:rsidRPr="00B60A3B">
        <w:t>6.4</w:t>
      </w:r>
      <w:r w:rsidRPr="00B60A3B">
        <w:tab/>
      </w:r>
      <w:bookmarkStart w:id="17" w:name="lt_pId067"/>
      <w:r w:rsidR="00036DC3" w:rsidRPr="00B60A3B">
        <w:t xml:space="preserve">Il en est ainsi </w:t>
      </w:r>
      <w:r w:rsidR="00036DC3" w:rsidRPr="00B60A3B">
        <w:rPr>
          <w:b/>
          <w:bCs/>
        </w:rPr>
        <w:t>décidé</w:t>
      </w:r>
      <w:r w:rsidR="00036DC3" w:rsidRPr="00B60A3B">
        <w:t>.</w:t>
      </w:r>
      <w:bookmarkEnd w:id="17"/>
    </w:p>
    <w:p w14:paraId="378942CF" w14:textId="44251B2B" w:rsidR="00894E0D" w:rsidRPr="00B60A3B" w:rsidRDefault="00036DC3" w:rsidP="005D52D7">
      <w:pPr>
        <w:pStyle w:val="Headingb"/>
        <w:ind w:left="0" w:firstLine="0"/>
        <w:rPr>
          <w:rFonts w:asciiTheme="minorHAnsi" w:hAnsiTheme="minorHAnsi" w:cstheme="minorHAnsi"/>
          <w:bCs/>
        </w:rPr>
      </w:pPr>
      <w:r w:rsidRPr="00B60A3B">
        <w:rPr>
          <w:rFonts w:asciiTheme="minorHAnsi" w:hAnsiTheme="minorHAnsi" w:cstheme="minorHAnsi"/>
          <w:bCs/>
          <w:spacing w:val="2"/>
        </w:rPr>
        <w:t xml:space="preserve">Projet de Résolution </w:t>
      </w:r>
      <w:r w:rsidR="00894E0D" w:rsidRPr="00B60A3B">
        <w:rPr>
          <w:rFonts w:asciiTheme="minorHAnsi" w:hAnsiTheme="minorHAnsi" w:cstheme="minorHAnsi"/>
          <w:bCs/>
        </w:rPr>
        <w:t>180 (R</w:t>
      </w:r>
      <w:r w:rsidRPr="00B60A3B">
        <w:rPr>
          <w:rFonts w:asciiTheme="minorHAnsi" w:hAnsiTheme="minorHAnsi" w:cstheme="minorHAnsi"/>
          <w:bCs/>
        </w:rPr>
        <w:t>é</w:t>
      </w:r>
      <w:r w:rsidR="00894E0D" w:rsidRPr="00B60A3B">
        <w:rPr>
          <w:rFonts w:asciiTheme="minorHAnsi" w:hAnsiTheme="minorHAnsi" w:cstheme="minorHAnsi"/>
          <w:bCs/>
        </w:rPr>
        <w:t>v. Bucarest, 2022)</w:t>
      </w:r>
      <w:r w:rsidR="00BF72F1" w:rsidRPr="00B60A3B">
        <w:rPr>
          <w:rFonts w:asciiTheme="minorHAnsi" w:hAnsiTheme="minorHAnsi" w:cstheme="minorHAnsi"/>
          <w:bCs/>
        </w:rPr>
        <w:t xml:space="preserve"> – </w:t>
      </w:r>
      <w:r w:rsidRPr="00B60A3B">
        <w:rPr>
          <w:rFonts w:asciiTheme="minorHAnsi" w:hAnsiTheme="minorHAnsi" w:cstheme="minorHAnsi"/>
          <w:bCs/>
        </w:rPr>
        <w:t>Promouvoir le déploiement de la version 6 du protocole Internet</w:t>
      </w:r>
    </w:p>
    <w:p w14:paraId="27D4C4D9" w14:textId="720A3D54" w:rsidR="00894E0D" w:rsidRPr="00B60A3B" w:rsidRDefault="00894E0D" w:rsidP="005D52D7">
      <w:pPr>
        <w:rPr>
          <w:bCs/>
        </w:rPr>
      </w:pPr>
      <w:r w:rsidRPr="00B60A3B">
        <w:t>6.5</w:t>
      </w:r>
      <w:r w:rsidRPr="00B60A3B">
        <w:tab/>
      </w:r>
      <w:r w:rsidRPr="00B60A3B">
        <w:rPr>
          <w:b/>
          <w:bCs/>
        </w:rPr>
        <w:t>Adopt</w:t>
      </w:r>
      <w:r w:rsidR="00036DC3" w:rsidRPr="00B60A3B">
        <w:rPr>
          <w:b/>
          <w:bCs/>
        </w:rPr>
        <w:t>é</w:t>
      </w:r>
      <w:r w:rsidRPr="00B60A3B">
        <w:t>.</w:t>
      </w:r>
    </w:p>
    <w:p w14:paraId="2890791F" w14:textId="6D591B5F" w:rsidR="00894E0D" w:rsidRPr="00B60A3B" w:rsidRDefault="007F05CD" w:rsidP="005D52D7">
      <w:pPr>
        <w:pStyle w:val="Headingb"/>
        <w:ind w:left="0" w:firstLine="0"/>
        <w:rPr>
          <w:rFonts w:asciiTheme="minorHAnsi" w:hAnsiTheme="minorHAnsi" w:cstheme="minorHAnsi"/>
          <w:bCs/>
        </w:rPr>
      </w:pPr>
      <w:r w:rsidRPr="00B60A3B">
        <w:rPr>
          <w:rFonts w:asciiTheme="minorHAnsi" w:hAnsiTheme="minorHAnsi" w:cstheme="minorHAnsi"/>
          <w:bCs/>
        </w:rPr>
        <w:t>P</w:t>
      </w:r>
      <w:r w:rsidR="003840CC" w:rsidRPr="00B60A3B">
        <w:rPr>
          <w:rFonts w:asciiTheme="minorHAnsi" w:hAnsiTheme="minorHAnsi" w:cstheme="minorHAnsi"/>
          <w:bCs/>
        </w:rPr>
        <w:t>roposition visant à n'apporter aucune modification à la Résolution 206 (Dubaï, 2018) sur les OTT</w:t>
      </w:r>
    </w:p>
    <w:p w14:paraId="49836E42" w14:textId="673CC8F5" w:rsidR="00894E0D" w:rsidRPr="00B60A3B" w:rsidRDefault="00894E0D" w:rsidP="005D52D7">
      <w:r w:rsidRPr="00B60A3B">
        <w:t>6.6</w:t>
      </w:r>
      <w:r w:rsidRPr="00B60A3B">
        <w:tab/>
      </w:r>
      <w:r w:rsidRPr="00B60A3B">
        <w:rPr>
          <w:b/>
          <w:bCs/>
        </w:rPr>
        <w:t>Appro</w:t>
      </w:r>
      <w:r w:rsidR="000D43F6" w:rsidRPr="00B60A3B">
        <w:rPr>
          <w:b/>
          <w:bCs/>
        </w:rPr>
        <w:t>uvé</w:t>
      </w:r>
      <w:r w:rsidR="009D5176" w:rsidRPr="00B60A3B">
        <w:rPr>
          <w:b/>
          <w:bCs/>
        </w:rPr>
        <w:t>e</w:t>
      </w:r>
      <w:r w:rsidRPr="00B60A3B">
        <w:t>.</w:t>
      </w:r>
    </w:p>
    <w:p w14:paraId="5229A534" w14:textId="3F711A9F" w:rsidR="00894E0D" w:rsidRPr="00B60A3B" w:rsidRDefault="00894E0D" w:rsidP="005D52D7">
      <w:pPr>
        <w:rPr>
          <w:b/>
          <w:szCs w:val="24"/>
        </w:rPr>
      </w:pPr>
      <w:r w:rsidRPr="00B60A3B">
        <w:rPr>
          <w:szCs w:val="24"/>
        </w:rPr>
        <w:t>6.7</w:t>
      </w:r>
      <w:r w:rsidRPr="00B60A3B">
        <w:rPr>
          <w:szCs w:val="24"/>
        </w:rPr>
        <w:tab/>
      </w:r>
      <w:r w:rsidR="000D43F6" w:rsidRPr="00B60A3B">
        <w:rPr>
          <w:szCs w:val="24"/>
        </w:rPr>
        <w:t xml:space="preserve">À l'exception du projet de Résolution 131 (Rév. </w:t>
      </w:r>
      <w:r w:rsidR="000D43F6" w:rsidRPr="00B60A3B">
        <w:rPr>
          <w:rFonts w:asciiTheme="minorHAnsi" w:hAnsiTheme="minorHAnsi" w:cstheme="minorHAnsi"/>
          <w:bCs/>
        </w:rPr>
        <w:t>Bucarest, 2022</w:t>
      </w:r>
      <w:r w:rsidR="000D43F6" w:rsidRPr="00B60A3B">
        <w:rPr>
          <w:szCs w:val="24"/>
        </w:rPr>
        <w:t xml:space="preserve">), la </w:t>
      </w:r>
      <w:r w:rsidR="007F05CD" w:rsidRPr="00B60A3B">
        <w:rPr>
          <w:szCs w:val="24"/>
        </w:rPr>
        <w:t>dix-</w:t>
      </w:r>
      <w:r w:rsidR="000D43F6" w:rsidRPr="00B60A3B">
        <w:rPr>
          <w:szCs w:val="24"/>
        </w:rPr>
        <w:t xml:space="preserve">huitième série de textes soumis par la Commission de rédaction </w:t>
      </w:r>
      <w:r w:rsidR="007F05CD" w:rsidRPr="00B60A3B">
        <w:rPr>
          <w:szCs w:val="24"/>
        </w:rPr>
        <w:t xml:space="preserve">en première lecture (B18) </w:t>
      </w:r>
      <w:r w:rsidR="000D43F6" w:rsidRPr="00B60A3B">
        <w:rPr>
          <w:szCs w:val="24"/>
        </w:rPr>
        <w:t xml:space="preserve">(Document 174) est </w:t>
      </w:r>
      <w:r w:rsidR="000D43F6" w:rsidRPr="00B60A3B">
        <w:rPr>
          <w:b/>
          <w:bCs/>
          <w:szCs w:val="24"/>
        </w:rPr>
        <w:t>approuvée</w:t>
      </w:r>
      <w:r w:rsidR="000D43F6" w:rsidRPr="00B60A3B">
        <w:rPr>
          <w:szCs w:val="24"/>
        </w:rPr>
        <w:t>.</w:t>
      </w:r>
    </w:p>
    <w:p w14:paraId="22B3A3D1" w14:textId="69B97E50" w:rsidR="00894E0D" w:rsidRPr="00B60A3B" w:rsidRDefault="00894E0D" w:rsidP="005D52D7">
      <w:pPr>
        <w:pStyle w:val="Heading1"/>
      </w:pPr>
      <w:r w:rsidRPr="00B60A3B">
        <w:t>7</w:t>
      </w:r>
      <w:r w:rsidRPr="00B60A3B">
        <w:tab/>
      </w:r>
      <w:r w:rsidR="007F05CD" w:rsidRPr="00B60A3B">
        <w:rPr>
          <w:rFonts w:asciiTheme="minorHAnsi" w:hAnsiTheme="minorHAnsi" w:cstheme="minorHAnsi"/>
          <w:szCs w:val="24"/>
        </w:rPr>
        <w:t>Dix-h</w:t>
      </w:r>
      <w:r w:rsidR="000D43F6" w:rsidRPr="00B60A3B">
        <w:rPr>
          <w:rFonts w:asciiTheme="minorHAnsi" w:hAnsiTheme="minorHAnsi" w:cstheme="minorHAnsi"/>
          <w:szCs w:val="24"/>
        </w:rPr>
        <w:t>uitième série de textes soumis par la Commission de rédaction – seconde lecture</w:t>
      </w:r>
      <w:r w:rsidR="000D43F6" w:rsidRPr="00B60A3B">
        <w:t xml:space="preserve"> </w:t>
      </w:r>
      <w:r w:rsidRPr="00B60A3B">
        <w:t xml:space="preserve">(Document </w:t>
      </w:r>
      <w:hyperlink r:id="rId29" w:history="1">
        <w:r w:rsidRPr="00B60A3B">
          <w:rPr>
            <w:rStyle w:val="Hyperlink"/>
            <w:rFonts w:asciiTheme="minorHAnsi" w:hAnsiTheme="minorHAnsi" w:cstheme="minorHAnsi"/>
            <w:szCs w:val="24"/>
          </w:rPr>
          <w:t>174</w:t>
        </w:r>
      </w:hyperlink>
      <w:r w:rsidRPr="00B60A3B">
        <w:t>)</w:t>
      </w:r>
    </w:p>
    <w:p w14:paraId="60A0604A" w14:textId="728DFE1C" w:rsidR="00894E0D" w:rsidRPr="00B60A3B" w:rsidRDefault="00894E0D" w:rsidP="005D52D7">
      <w:pPr>
        <w:rPr>
          <w:szCs w:val="24"/>
        </w:rPr>
      </w:pPr>
      <w:r w:rsidRPr="00B60A3B">
        <w:t>7.1</w:t>
      </w:r>
      <w:r w:rsidRPr="00B60A3B">
        <w:tab/>
      </w:r>
      <w:r w:rsidR="000D43F6" w:rsidRPr="00B60A3B">
        <w:rPr>
          <w:szCs w:val="24"/>
        </w:rPr>
        <w:t xml:space="preserve">À l'exception du projet de Résolution 131 (Rév. </w:t>
      </w:r>
      <w:r w:rsidR="000D43F6" w:rsidRPr="00B60A3B">
        <w:rPr>
          <w:rFonts w:asciiTheme="minorHAnsi" w:hAnsiTheme="minorHAnsi" w:cstheme="minorHAnsi"/>
          <w:bCs/>
        </w:rPr>
        <w:t>Bucarest, 2022</w:t>
      </w:r>
      <w:r w:rsidR="000D43F6" w:rsidRPr="00B60A3B">
        <w:rPr>
          <w:szCs w:val="24"/>
        </w:rPr>
        <w:t xml:space="preserve">), la </w:t>
      </w:r>
      <w:r w:rsidR="007F05CD" w:rsidRPr="00B60A3B">
        <w:rPr>
          <w:szCs w:val="24"/>
        </w:rPr>
        <w:t>dix-</w:t>
      </w:r>
      <w:r w:rsidR="000D43F6" w:rsidRPr="00B60A3B">
        <w:rPr>
          <w:szCs w:val="24"/>
        </w:rPr>
        <w:t xml:space="preserve">huitième série de textes soumis par la Commission de rédaction (Document 174) est </w:t>
      </w:r>
      <w:r w:rsidR="000D43F6" w:rsidRPr="00B60A3B">
        <w:rPr>
          <w:b/>
          <w:bCs/>
          <w:szCs w:val="24"/>
        </w:rPr>
        <w:t>approuvée</w:t>
      </w:r>
      <w:r w:rsidR="000D43F6" w:rsidRPr="00B60A3B">
        <w:rPr>
          <w:bCs/>
          <w:szCs w:val="24"/>
        </w:rPr>
        <w:t xml:space="preserve"> en </w:t>
      </w:r>
      <w:r w:rsidR="000D43F6" w:rsidRPr="00B60A3B">
        <w:rPr>
          <w:szCs w:val="24"/>
        </w:rPr>
        <w:t>seconde</w:t>
      </w:r>
      <w:r w:rsidR="000D43F6" w:rsidRPr="00B60A3B">
        <w:rPr>
          <w:bCs/>
          <w:szCs w:val="24"/>
        </w:rPr>
        <w:t xml:space="preserve"> lecture</w:t>
      </w:r>
      <w:r w:rsidR="000D43F6" w:rsidRPr="00B60A3B">
        <w:rPr>
          <w:szCs w:val="24"/>
        </w:rPr>
        <w:t>.</w:t>
      </w:r>
    </w:p>
    <w:p w14:paraId="4C5A778D" w14:textId="45A92DF8" w:rsidR="00B60A3B" w:rsidRPr="00B60A3B" w:rsidRDefault="00B60A3B">
      <w:pPr>
        <w:tabs>
          <w:tab w:val="clear" w:pos="567"/>
          <w:tab w:val="clear" w:pos="1134"/>
          <w:tab w:val="clear" w:pos="1701"/>
          <w:tab w:val="clear" w:pos="2268"/>
          <w:tab w:val="clear" w:pos="2835"/>
        </w:tabs>
        <w:overflowPunct/>
        <w:autoSpaceDE/>
        <w:autoSpaceDN/>
        <w:adjustRightInd/>
        <w:spacing w:before="0"/>
        <w:textAlignment w:val="auto"/>
      </w:pPr>
      <w:r w:rsidRPr="00B60A3B">
        <w:br w:type="page"/>
      </w:r>
    </w:p>
    <w:p w14:paraId="039AEF26" w14:textId="1DDB72F1" w:rsidR="00894E0D" w:rsidRPr="00B60A3B" w:rsidRDefault="00894E0D" w:rsidP="005D52D7">
      <w:pPr>
        <w:pStyle w:val="Heading1"/>
        <w:rPr>
          <w:rFonts w:asciiTheme="minorHAnsi" w:hAnsiTheme="minorHAnsi" w:cstheme="minorHAnsi"/>
          <w:bCs/>
          <w:szCs w:val="24"/>
        </w:rPr>
      </w:pPr>
      <w:r w:rsidRPr="00B60A3B">
        <w:rPr>
          <w:rFonts w:asciiTheme="minorHAnsi" w:hAnsiTheme="minorHAnsi" w:cstheme="minorHAnsi"/>
          <w:bCs/>
          <w:szCs w:val="24"/>
        </w:rPr>
        <w:lastRenderedPageBreak/>
        <w:t>8</w:t>
      </w:r>
      <w:r w:rsidRPr="00B60A3B">
        <w:rPr>
          <w:rFonts w:asciiTheme="minorHAnsi" w:hAnsiTheme="minorHAnsi" w:cstheme="minorHAnsi"/>
          <w:bCs/>
          <w:szCs w:val="24"/>
        </w:rPr>
        <w:tab/>
      </w:r>
      <w:r w:rsidR="00FA2819" w:rsidRPr="00B60A3B">
        <w:rPr>
          <w:rFonts w:asciiTheme="minorHAnsi" w:hAnsiTheme="minorHAnsi" w:cstheme="minorHAnsi"/>
          <w:szCs w:val="24"/>
        </w:rPr>
        <w:t>Approbation des procès-verbaux</w:t>
      </w:r>
      <w:r w:rsidR="00FA2819" w:rsidRPr="00B60A3B">
        <w:rPr>
          <w:rFonts w:asciiTheme="minorHAnsi" w:hAnsiTheme="minorHAnsi" w:cstheme="minorHAnsi"/>
          <w:bCs/>
          <w:szCs w:val="24"/>
        </w:rPr>
        <w:t xml:space="preserve"> </w:t>
      </w:r>
      <w:r w:rsidRPr="00B60A3B">
        <w:rPr>
          <w:rFonts w:asciiTheme="minorHAnsi" w:hAnsiTheme="minorHAnsi" w:cstheme="minorHAnsi"/>
          <w:bCs/>
          <w:szCs w:val="24"/>
        </w:rPr>
        <w:t xml:space="preserve">(Documents </w:t>
      </w:r>
      <w:hyperlink r:id="rId30" w:history="1">
        <w:r w:rsidRPr="00B60A3B">
          <w:rPr>
            <w:rStyle w:val="Hyperlink"/>
            <w:rFonts w:asciiTheme="minorHAnsi" w:hAnsiTheme="minorHAnsi" w:cstheme="minorHAnsi"/>
            <w:bCs/>
            <w:szCs w:val="24"/>
          </w:rPr>
          <w:t>107</w:t>
        </w:r>
      </w:hyperlink>
      <w:r w:rsidRPr="00B60A3B">
        <w:rPr>
          <w:rFonts w:asciiTheme="minorHAnsi" w:hAnsiTheme="minorHAnsi" w:cstheme="minorHAnsi"/>
          <w:bCs/>
          <w:szCs w:val="24"/>
        </w:rPr>
        <w:t xml:space="preserve">, </w:t>
      </w:r>
      <w:hyperlink r:id="rId31" w:history="1">
        <w:r w:rsidRPr="00B60A3B">
          <w:rPr>
            <w:rStyle w:val="Hyperlink"/>
            <w:rFonts w:asciiTheme="minorHAnsi" w:hAnsiTheme="minorHAnsi" w:cstheme="minorHAnsi"/>
            <w:bCs/>
            <w:szCs w:val="24"/>
          </w:rPr>
          <w:t>108</w:t>
        </w:r>
      </w:hyperlink>
      <w:r w:rsidRPr="00B60A3B">
        <w:rPr>
          <w:rFonts w:asciiTheme="minorHAnsi" w:hAnsiTheme="minorHAnsi" w:cstheme="minorHAnsi"/>
          <w:bCs/>
          <w:szCs w:val="24"/>
        </w:rPr>
        <w:t xml:space="preserve">, </w:t>
      </w:r>
      <w:hyperlink r:id="rId32" w:history="1">
        <w:r w:rsidRPr="00B60A3B">
          <w:rPr>
            <w:rStyle w:val="Hyperlink"/>
            <w:rFonts w:asciiTheme="minorHAnsi" w:hAnsiTheme="minorHAnsi" w:cstheme="minorHAnsi"/>
            <w:bCs/>
            <w:szCs w:val="24"/>
          </w:rPr>
          <w:t>115</w:t>
        </w:r>
      </w:hyperlink>
      <w:r w:rsidRPr="00B60A3B">
        <w:rPr>
          <w:rFonts w:asciiTheme="minorHAnsi" w:hAnsiTheme="minorHAnsi" w:cstheme="minorHAnsi"/>
          <w:bCs/>
          <w:szCs w:val="24"/>
        </w:rPr>
        <w:t xml:space="preserve">, </w:t>
      </w:r>
      <w:hyperlink r:id="rId33" w:history="1">
        <w:r w:rsidRPr="00B60A3B">
          <w:rPr>
            <w:rStyle w:val="Hyperlink"/>
            <w:rFonts w:asciiTheme="minorHAnsi" w:hAnsiTheme="minorHAnsi" w:cstheme="minorHAnsi"/>
            <w:bCs/>
            <w:szCs w:val="24"/>
          </w:rPr>
          <w:t>116</w:t>
        </w:r>
      </w:hyperlink>
      <w:r w:rsidRPr="00B60A3B">
        <w:rPr>
          <w:rFonts w:asciiTheme="minorHAnsi" w:hAnsiTheme="minorHAnsi" w:cstheme="minorHAnsi"/>
          <w:bCs/>
          <w:szCs w:val="24"/>
        </w:rPr>
        <w:t xml:space="preserve">, </w:t>
      </w:r>
      <w:hyperlink r:id="rId34" w:history="1">
        <w:r w:rsidRPr="00B60A3B">
          <w:rPr>
            <w:rStyle w:val="Hyperlink"/>
            <w:rFonts w:asciiTheme="minorHAnsi" w:hAnsiTheme="minorHAnsi" w:cstheme="minorHAnsi"/>
            <w:bCs/>
            <w:szCs w:val="24"/>
          </w:rPr>
          <w:t>117</w:t>
        </w:r>
      </w:hyperlink>
      <w:r w:rsidRPr="00B60A3B">
        <w:rPr>
          <w:rFonts w:asciiTheme="minorHAnsi" w:hAnsiTheme="minorHAnsi" w:cstheme="minorHAnsi"/>
          <w:bCs/>
          <w:szCs w:val="24"/>
        </w:rPr>
        <w:t xml:space="preserve">, </w:t>
      </w:r>
      <w:hyperlink r:id="rId35" w:history="1">
        <w:r w:rsidRPr="00B60A3B">
          <w:rPr>
            <w:rStyle w:val="Hyperlink"/>
            <w:rFonts w:asciiTheme="minorHAnsi" w:hAnsiTheme="minorHAnsi" w:cstheme="minorHAnsi"/>
            <w:bCs/>
            <w:szCs w:val="24"/>
          </w:rPr>
          <w:t>118</w:t>
        </w:r>
      </w:hyperlink>
      <w:r w:rsidRPr="00B60A3B">
        <w:rPr>
          <w:rFonts w:asciiTheme="minorHAnsi" w:hAnsiTheme="minorHAnsi" w:cstheme="minorHAnsi"/>
          <w:bCs/>
          <w:szCs w:val="24"/>
        </w:rPr>
        <w:t xml:space="preserve">, </w:t>
      </w:r>
      <w:hyperlink r:id="rId36" w:history="1">
        <w:r w:rsidRPr="00B60A3B">
          <w:rPr>
            <w:rStyle w:val="Hyperlink"/>
            <w:rFonts w:asciiTheme="minorHAnsi" w:hAnsiTheme="minorHAnsi" w:cstheme="minorHAnsi"/>
            <w:bCs/>
            <w:szCs w:val="24"/>
          </w:rPr>
          <w:t>139</w:t>
        </w:r>
      </w:hyperlink>
      <w:r w:rsidRPr="00B60A3B">
        <w:rPr>
          <w:rFonts w:asciiTheme="minorHAnsi" w:hAnsiTheme="minorHAnsi" w:cstheme="minorHAnsi"/>
          <w:bCs/>
          <w:szCs w:val="24"/>
        </w:rPr>
        <w:t xml:space="preserve">, </w:t>
      </w:r>
      <w:hyperlink r:id="rId37" w:history="1">
        <w:r w:rsidRPr="00B60A3B">
          <w:rPr>
            <w:rStyle w:val="Hyperlink"/>
            <w:rFonts w:asciiTheme="minorHAnsi" w:hAnsiTheme="minorHAnsi" w:cstheme="minorHAnsi"/>
            <w:bCs/>
            <w:szCs w:val="24"/>
          </w:rPr>
          <w:t>140</w:t>
        </w:r>
      </w:hyperlink>
      <w:r w:rsidRPr="00B60A3B">
        <w:rPr>
          <w:rFonts w:asciiTheme="minorHAnsi" w:hAnsiTheme="minorHAnsi" w:cstheme="minorHAnsi"/>
          <w:bCs/>
          <w:szCs w:val="24"/>
        </w:rPr>
        <w:t xml:space="preserve">, </w:t>
      </w:r>
      <w:hyperlink r:id="rId38" w:history="1">
        <w:r w:rsidRPr="00B60A3B">
          <w:rPr>
            <w:rStyle w:val="Hyperlink"/>
            <w:rFonts w:asciiTheme="minorHAnsi" w:hAnsiTheme="minorHAnsi" w:cstheme="minorHAnsi"/>
            <w:bCs/>
            <w:szCs w:val="24"/>
          </w:rPr>
          <w:t>141</w:t>
        </w:r>
      </w:hyperlink>
      <w:r w:rsidRPr="00B60A3B">
        <w:rPr>
          <w:rFonts w:asciiTheme="minorHAnsi" w:hAnsiTheme="minorHAnsi" w:cstheme="minorHAnsi"/>
          <w:bCs/>
          <w:szCs w:val="24"/>
        </w:rPr>
        <w:t xml:space="preserve"> </w:t>
      </w:r>
      <w:r w:rsidR="005D52D7" w:rsidRPr="00B60A3B">
        <w:rPr>
          <w:rFonts w:asciiTheme="minorHAnsi" w:hAnsiTheme="minorHAnsi" w:cstheme="minorHAnsi"/>
          <w:bCs/>
          <w:szCs w:val="24"/>
        </w:rPr>
        <w:t>et</w:t>
      </w:r>
      <w:r w:rsidRPr="00B60A3B">
        <w:rPr>
          <w:rFonts w:asciiTheme="minorHAnsi" w:hAnsiTheme="minorHAnsi" w:cstheme="minorHAnsi"/>
          <w:bCs/>
          <w:szCs w:val="24"/>
        </w:rPr>
        <w:t xml:space="preserve"> </w:t>
      </w:r>
      <w:hyperlink r:id="rId39" w:history="1">
        <w:r w:rsidRPr="00B60A3B">
          <w:rPr>
            <w:rStyle w:val="Hyperlink"/>
            <w:rFonts w:asciiTheme="minorHAnsi" w:hAnsiTheme="minorHAnsi" w:cstheme="minorHAnsi"/>
            <w:bCs/>
            <w:szCs w:val="24"/>
          </w:rPr>
          <w:t>142</w:t>
        </w:r>
      </w:hyperlink>
      <w:r w:rsidRPr="00B60A3B">
        <w:rPr>
          <w:rFonts w:asciiTheme="minorHAnsi" w:hAnsiTheme="minorHAnsi" w:cstheme="minorHAnsi"/>
          <w:bCs/>
          <w:szCs w:val="24"/>
        </w:rPr>
        <w:t>)</w:t>
      </w:r>
    </w:p>
    <w:p w14:paraId="69D5265F" w14:textId="1FBB1840" w:rsidR="00894E0D" w:rsidRPr="00B60A3B" w:rsidRDefault="00894E0D" w:rsidP="005D52D7">
      <w:r w:rsidRPr="00B60A3B">
        <w:t>8.1</w:t>
      </w:r>
      <w:r w:rsidRPr="00B60A3B">
        <w:tab/>
      </w:r>
      <w:r w:rsidR="007F05CD" w:rsidRPr="00B60A3B">
        <w:t xml:space="preserve">Sous réserve d'un </w:t>
      </w:r>
      <w:r w:rsidR="004D37BC" w:rsidRPr="00B60A3B">
        <w:t xml:space="preserve">ajout </w:t>
      </w:r>
      <w:r w:rsidR="007F05CD" w:rsidRPr="00B60A3B">
        <w:t>demandée par la</w:t>
      </w:r>
      <w:r w:rsidR="002F299B" w:rsidRPr="00B60A3B">
        <w:rPr>
          <w:b/>
        </w:rPr>
        <w:t xml:space="preserve"> déléguée</w:t>
      </w:r>
      <w:r w:rsidRPr="00B60A3B">
        <w:rPr>
          <w:b/>
        </w:rPr>
        <w:t xml:space="preserve"> </w:t>
      </w:r>
      <w:r w:rsidR="007F05CD" w:rsidRPr="00B60A3B">
        <w:rPr>
          <w:b/>
        </w:rPr>
        <w:t xml:space="preserve">de Trinité-et-Tobago </w:t>
      </w:r>
      <w:r w:rsidR="007F05CD" w:rsidRPr="00B60A3B">
        <w:rPr>
          <w:bCs/>
        </w:rPr>
        <w:t xml:space="preserve">au procès-verbal de la neuvième séance plénière </w:t>
      </w:r>
      <w:r w:rsidRPr="00B60A3B">
        <w:t xml:space="preserve">(Document 142), </w:t>
      </w:r>
      <w:r w:rsidR="007F05CD" w:rsidRPr="00B60A3B">
        <w:t>les procès-</w:t>
      </w:r>
      <w:r w:rsidR="007204C9" w:rsidRPr="00B60A3B">
        <w:t>verbaux de la cérémonie d'ouverture</w:t>
      </w:r>
      <w:r w:rsidRPr="00B60A3B">
        <w:t xml:space="preserve"> (Document 107), </w:t>
      </w:r>
      <w:r w:rsidR="007204C9" w:rsidRPr="00B60A3B">
        <w:t>de la première séance plénière</w:t>
      </w:r>
      <w:r w:rsidRPr="00B60A3B">
        <w:t xml:space="preserve"> (Document 108) , </w:t>
      </w:r>
      <w:r w:rsidR="007204C9" w:rsidRPr="00B60A3B">
        <w:t>de la deuxième séance plénière</w:t>
      </w:r>
      <w:r w:rsidRPr="00B60A3B">
        <w:t xml:space="preserve"> (Document 115), </w:t>
      </w:r>
      <w:r w:rsidR="007204C9" w:rsidRPr="00B60A3B">
        <w:t>de la troisième séance plénière</w:t>
      </w:r>
      <w:r w:rsidRPr="00B60A3B">
        <w:t xml:space="preserve"> (Document 116), </w:t>
      </w:r>
      <w:r w:rsidR="007204C9" w:rsidRPr="00B60A3B">
        <w:t>de la quatrième séance plénière</w:t>
      </w:r>
      <w:r w:rsidRPr="00B60A3B">
        <w:t xml:space="preserve"> (Document 117), </w:t>
      </w:r>
      <w:r w:rsidR="007204C9" w:rsidRPr="00B60A3B">
        <w:t>de la cinquième séance plénière</w:t>
      </w:r>
      <w:r w:rsidRPr="00B60A3B">
        <w:t xml:space="preserve"> (Document 118), </w:t>
      </w:r>
      <w:r w:rsidR="007204C9" w:rsidRPr="00B60A3B">
        <w:t>de la sixième séance plénière</w:t>
      </w:r>
      <w:r w:rsidRPr="00B60A3B">
        <w:t xml:space="preserve"> (Document 139), </w:t>
      </w:r>
      <w:r w:rsidR="007204C9" w:rsidRPr="00B60A3B">
        <w:t>de la septième séance plénière</w:t>
      </w:r>
      <w:r w:rsidRPr="00B60A3B">
        <w:t xml:space="preserve"> (Document 140), </w:t>
      </w:r>
      <w:r w:rsidR="007204C9" w:rsidRPr="00B60A3B">
        <w:t>de la huitième séance plénière</w:t>
      </w:r>
      <w:r w:rsidRPr="00B60A3B">
        <w:t xml:space="preserve"> (Document 141) </w:t>
      </w:r>
      <w:r w:rsidR="007204C9" w:rsidRPr="00B60A3B">
        <w:t>et de la neuvième séance plénière</w:t>
      </w:r>
      <w:r w:rsidRPr="00B60A3B">
        <w:t xml:space="preserve"> (Document 142) </w:t>
      </w:r>
      <w:r w:rsidR="007204C9" w:rsidRPr="00B60A3B">
        <w:t xml:space="preserve">ont été </w:t>
      </w:r>
      <w:r w:rsidR="007204C9" w:rsidRPr="00B60A3B">
        <w:rPr>
          <w:b/>
          <w:bCs/>
        </w:rPr>
        <w:t>approuvés</w:t>
      </w:r>
      <w:r w:rsidRPr="00B60A3B">
        <w:t>.</w:t>
      </w:r>
    </w:p>
    <w:p w14:paraId="4A006114" w14:textId="779572CB" w:rsidR="00FA2819" w:rsidRPr="00B60A3B" w:rsidRDefault="00FA2819" w:rsidP="005D52D7">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rPr>
      </w:pPr>
      <w:bookmarkStart w:id="18" w:name="lt_pId084"/>
      <w:r w:rsidRPr="00B60A3B">
        <w:rPr>
          <w:b/>
          <w:bCs/>
        </w:rPr>
        <w:t>La séance est levée à 10 h 30</w:t>
      </w:r>
      <w:r w:rsidRPr="00B60A3B">
        <w:rPr>
          <w:rFonts w:asciiTheme="minorHAnsi" w:hAnsiTheme="minorHAnsi"/>
          <w:b/>
          <w:bCs/>
          <w:szCs w:val="24"/>
        </w:rPr>
        <w:t>.</w:t>
      </w:r>
      <w:bookmarkEnd w:id="18"/>
    </w:p>
    <w:p w14:paraId="0B990E64" w14:textId="45645EBB" w:rsidR="00FA2819" w:rsidRDefault="00FA2819" w:rsidP="005D52D7">
      <w:pPr>
        <w:tabs>
          <w:tab w:val="clear" w:pos="567"/>
          <w:tab w:val="clear" w:pos="1134"/>
          <w:tab w:val="clear" w:pos="1701"/>
          <w:tab w:val="clear" w:pos="2268"/>
          <w:tab w:val="clear" w:pos="2835"/>
          <w:tab w:val="left" w:pos="7088"/>
        </w:tabs>
        <w:spacing w:before="840"/>
      </w:pPr>
      <w:r w:rsidRPr="00B60A3B">
        <w:t xml:space="preserve">Le Secrétaire </w:t>
      </w:r>
      <w:proofErr w:type="gramStart"/>
      <w:r w:rsidRPr="00B60A3B">
        <w:t>général:</w:t>
      </w:r>
      <w:proofErr w:type="gramEnd"/>
      <w:r w:rsidRPr="00B60A3B">
        <w:tab/>
        <w:t>Le Président:</w:t>
      </w:r>
      <w:r w:rsidRPr="00B60A3B">
        <w:br/>
        <w:t>H. ZHAO</w:t>
      </w:r>
      <w:r w:rsidRPr="00B60A3B">
        <w:tab/>
        <w:t>S. SĂRMAȘ</w:t>
      </w:r>
    </w:p>
    <w:p w14:paraId="3692FA62" w14:textId="69E6899C" w:rsidR="00AC6C0A" w:rsidRPr="00B60A3B" w:rsidRDefault="00AC6C0A" w:rsidP="00AC6C0A">
      <w:pPr>
        <w:tabs>
          <w:tab w:val="clear" w:pos="567"/>
          <w:tab w:val="clear" w:pos="1134"/>
          <w:tab w:val="clear" w:pos="1701"/>
          <w:tab w:val="clear" w:pos="2268"/>
          <w:tab w:val="clear" w:pos="2835"/>
          <w:tab w:val="left" w:pos="7088"/>
        </w:tabs>
        <w:spacing w:before="840"/>
        <w:jc w:val="center"/>
      </w:pPr>
      <w:r>
        <w:rPr>
          <w:rFonts w:asciiTheme="minorEastAsia" w:eastAsiaTheme="minorEastAsia" w:hAnsiTheme="minorEastAsia" w:hint="eastAsia"/>
          <w:lang w:eastAsia="zh-CN"/>
        </w:rPr>
        <w:t>_</w:t>
      </w:r>
      <w:r>
        <w:rPr>
          <w:rFonts w:asciiTheme="minorEastAsia" w:eastAsiaTheme="minorEastAsia" w:hAnsiTheme="minorEastAsia"/>
          <w:lang w:eastAsia="zh-CN"/>
        </w:rPr>
        <w:t>___________________</w:t>
      </w:r>
    </w:p>
    <w:sectPr w:rsidR="00AC6C0A" w:rsidRPr="00B60A3B" w:rsidSect="003A0B7D">
      <w:headerReference w:type="default" r:id="rId40"/>
      <w:footerReference w:type="default" r:id="rId41"/>
      <w:footerReference w:type="first" r:id="rId4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8996" w14:textId="77777777" w:rsidR="005D70E8" w:rsidRDefault="005D70E8">
      <w:r>
        <w:separator/>
      </w:r>
    </w:p>
  </w:endnote>
  <w:endnote w:type="continuationSeparator" w:id="0">
    <w:p w14:paraId="2919B736" w14:textId="77777777" w:rsidR="005D70E8" w:rsidRDefault="005D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8227" w14:textId="33226B39" w:rsidR="00334FD1" w:rsidRPr="00334FD1" w:rsidRDefault="00334FD1" w:rsidP="00334FD1">
    <w:pPr>
      <w:pStyle w:val="Footer"/>
      <w:rPr>
        <w:lang w:val="en-US"/>
      </w:rPr>
    </w:pPr>
    <w:r>
      <w:fldChar w:fldCharType="begin"/>
    </w:r>
    <w:r w:rsidRPr="00334FD1">
      <w:rPr>
        <w:lang w:val="en-US"/>
      </w:rPr>
      <w:instrText xml:space="preserve"> FILENAME \p  \* MERGEFORMAT </w:instrText>
    </w:r>
    <w:r>
      <w:fldChar w:fldCharType="separate"/>
    </w:r>
    <w:r w:rsidR="005D52D7">
      <w:rPr>
        <w:lang w:val="en-US"/>
      </w:rPr>
      <w:t>P:\FRA\SG\CONF-SG\PP22\200\204F.docx</w:t>
    </w:r>
    <w:r>
      <w:fldChar w:fldCharType="end"/>
    </w:r>
    <w:r w:rsidRPr="00334FD1">
      <w:rPr>
        <w:lang w:val="en-US"/>
      </w:rPr>
      <w:t xml:space="preserve"> (</w:t>
    </w:r>
    <w:r>
      <w:rPr>
        <w:lang w:val="en-US"/>
      </w:rPr>
      <w:t>515438</w:t>
    </w:r>
    <w:r w:rsidRPr="00334FD1">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35386948" w:rsidR="000D15FB" w:rsidRDefault="000D15FB" w:rsidP="006359EF">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CBDD" w14:textId="77777777" w:rsidR="005D70E8" w:rsidRDefault="005D70E8">
      <w:r>
        <w:t>____________________</w:t>
      </w:r>
    </w:p>
  </w:footnote>
  <w:footnote w:type="continuationSeparator" w:id="0">
    <w:p w14:paraId="40C8C77C" w14:textId="77777777" w:rsidR="005D70E8" w:rsidRDefault="005D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0EB38AE0" w:rsidR="00BD1614" w:rsidRDefault="00BD1614" w:rsidP="001E2226">
    <w:pPr>
      <w:pStyle w:val="Header"/>
    </w:pPr>
    <w:r>
      <w:t>PP</w:t>
    </w:r>
    <w:r w:rsidR="002A7A1D">
      <w:t>22</w:t>
    </w:r>
    <w:r>
      <w:t>/</w:t>
    </w:r>
    <w:r w:rsidR="00351B3A">
      <w:t>204</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A5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E8B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2B3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49D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7A8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902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B2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2C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800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4CD50A"/>
    <w:lvl w:ilvl="0">
      <w:start w:val="1"/>
      <w:numFmt w:val="bullet"/>
      <w:lvlText w:val=""/>
      <w:lvlJc w:val="left"/>
      <w:pPr>
        <w:tabs>
          <w:tab w:val="num" w:pos="360"/>
        </w:tabs>
        <w:ind w:left="360" w:hanging="360"/>
      </w:pPr>
      <w:rPr>
        <w:rFonts w:ascii="Symbol" w:hAnsi="Symbol" w:hint="default"/>
      </w:rPr>
    </w:lvl>
  </w:abstractNum>
  <w:num w:numId="1" w16cid:durableId="2094349674">
    <w:abstractNumId w:val="9"/>
  </w:num>
  <w:num w:numId="2" w16cid:durableId="1175459727">
    <w:abstractNumId w:val="7"/>
  </w:num>
  <w:num w:numId="3" w16cid:durableId="792019126">
    <w:abstractNumId w:val="6"/>
  </w:num>
  <w:num w:numId="4" w16cid:durableId="1515337378">
    <w:abstractNumId w:val="5"/>
  </w:num>
  <w:num w:numId="5" w16cid:durableId="1945918354">
    <w:abstractNumId w:val="4"/>
  </w:num>
  <w:num w:numId="6" w16cid:durableId="611254779">
    <w:abstractNumId w:val="8"/>
  </w:num>
  <w:num w:numId="7" w16cid:durableId="252007699">
    <w:abstractNumId w:val="3"/>
  </w:num>
  <w:num w:numId="8" w16cid:durableId="643969490">
    <w:abstractNumId w:val="2"/>
  </w:num>
  <w:num w:numId="9" w16cid:durableId="1619990636">
    <w:abstractNumId w:val="1"/>
  </w:num>
  <w:num w:numId="10" w16cid:durableId="97537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2A23"/>
    <w:rsid w:val="000163DD"/>
    <w:rsid w:val="00030A08"/>
    <w:rsid w:val="00036DC3"/>
    <w:rsid w:val="00050D79"/>
    <w:rsid w:val="00060D74"/>
    <w:rsid w:val="00072D5C"/>
    <w:rsid w:val="0008398C"/>
    <w:rsid w:val="00084308"/>
    <w:rsid w:val="00094C00"/>
    <w:rsid w:val="000B14B6"/>
    <w:rsid w:val="000C467B"/>
    <w:rsid w:val="000D15FB"/>
    <w:rsid w:val="000D43F6"/>
    <w:rsid w:val="000F58F7"/>
    <w:rsid w:val="001051E4"/>
    <w:rsid w:val="001354EA"/>
    <w:rsid w:val="00136FCE"/>
    <w:rsid w:val="00145CC5"/>
    <w:rsid w:val="00153BA4"/>
    <w:rsid w:val="001873E1"/>
    <w:rsid w:val="001941AD"/>
    <w:rsid w:val="0019732C"/>
    <w:rsid w:val="001A0682"/>
    <w:rsid w:val="001B3F4D"/>
    <w:rsid w:val="001B4D8D"/>
    <w:rsid w:val="001D31B2"/>
    <w:rsid w:val="001E1B9B"/>
    <w:rsid w:val="001E2226"/>
    <w:rsid w:val="001F6233"/>
    <w:rsid w:val="00215E5B"/>
    <w:rsid w:val="002355CD"/>
    <w:rsid w:val="00245FE3"/>
    <w:rsid w:val="002502AF"/>
    <w:rsid w:val="00270B2F"/>
    <w:rsid w:val="00295C98"/>
    <w:rsid w:val="002A0E1B"/>
    <w:rsid w:val="002A76DF"/>
    <w:rsid w:val="002A7A1D"/>
    <w:rsid w:val="002C1059"/>
    <w:rsid w:val="002C2F9C"/>
    <w:rsid w:val="002D3C84"/>
    <w:rsid w:val="002F065B"/>
    <w:rsid w:val="002F299B"/>
    <w:rsid w:val="003010FE"/>
    <w:rsid w:val="00322DEA"/>
    <w:rsid w:val="00334FD1"/>
    <w:rsid w:val="00351B3A"/>
    <w:rsid w:val="00355FBD"/>
    <w:rsid w:val="00381461"/>
    <w:rsid w:val="003840CC"/>
    <w:rsid w:val="00384E46"/>
    <w:rsid w:val="00385E62"/>
    <w:rsid w:val="00391C12"/>
    <w:rsid w:val="003A0B7D"/>
    <w:rsid w:val="003A45C2"/>
    <w:rsid w:val="003C4BE2"/>
    <w:rsid w:val="003D147D"/>
    <w:rsid w:val="003D637A"/>
    <w:rsid w:val="00404B4E"/>
    <w:rsid w:val="00420EF8"/>
    <w:rsid w:val="004239FD"/>
    <w:rsid w:val="00430015"/>
    <w:rsid w:val="004678D0"/>
    <w:rsid w:val="00480DDE"/>
    <w:rsid w:val="00482954"/>
    <w:rsid w:val="0048403B"/>
    <w:rsid w:val="004943B8"/>
    <w:rsid w:val="004951C0"/>
    <w:rsid w:val="004A2152"/>
    <w:rsid w:val="004B0738"/>
    <w:rsid w:val="004C7646"/>
    <w:rsid w:val="004D37BC"/>
    <w:rsid w:val="004D7CD9"/>
    <w:rsid w:val="00524001"/>
    <w:rsid w:val="00544FEB"/>
    <w:rsid w:val="00553BCD"/>
    <w:rsid w:val="00564B63"/>
    <w:rsid w:val="00567746"/>
    <w:rsid w:val="00575DC7"/>
    <w:rsid w:val="005836C2"/>
    <w:rsid w:val="00583E3B"/>
    <w:rsid w:val="00592EEB"/>
    <w:rsid w:val="0059791A"/>
    <w:rsid w:val="005A4EFD"/>
    <w:rsid w:val="005A5ABE"/>
    <w:rsid w:val="005C2ECC"/>
    <w:rsid w:val="005C6744"/>
    <w:rsid w:val="005D52D7"/>
    <w:rsid w:val="005D70E8"/>
    <w:rsid w:val="005E419E"/>
    <w:rsid w:val="005F63BD"/>
    <w:rsid w:val="006116B0"/>
    <w:rsid w:val="00611CF1"/>
    <w:rsid w:val="006201D9"/>
    <w:rsid w:val="006277DB"/>
    <w:rsid w:val="006359EF"/>
    <w:rsid w:val="00635B7B"/>
    <w:rsid w:val="006369FE"/>
    <w:rsid w:val="00655B98"/>
    <w:rsid w:val="006710E6"/>
    <w:rsid w:val="00686973"/>
    <w:rsid w:val="00696B2D"/>
    <w:rsid w:val="006A2656"/>
    <w:rsid w:val="006A3475"/>
    <w:rsid w:val="006A6342"/>
    <w:rsid w:val="006B6C9C"/>
    <w:rsid w:val="006C12B6"/>
    <w:rsid w:val="006C7AE3"/>
    <w:rsid w:val="006D3562"/>
    <w:rsid w:val="006D55E8"/>
    <w:rsid w:val="006E1921"/>
    <w:rsid w:val="006E4D62"/>
    <w:rsid w:val="006F1B01"/>
    <w:rsid w:val="006F36F9"/>
    <w:rsid w:val="00702064"/>
    <w:rsid w:val="0070576B"/>
    <w:rsid w:val="00705AC2"/>
    <w:rsid w:val="00713335"/>
    <w:rsid w:val="007204C9"/>
    <w:rsid w:val="00727C2F"/>
    <w:rsid w:val="00735F13"/>
    <w:rsid w:val="007717F2"/>
    <w:rsid w:val="00772E3B"/>
    <w:rsid w:val="0078134C"/>
    <w:rsid w:val="007A5830"/>
    <w:rsid w:val="007D21FB"/>
    <w:rsid w:val="007D6F19"/>
    <w:rsid w:val="007F05CD"/>
    <w:rsid w:val="00801256"/>
    <w:rsid w:val="00812AF1"/>
    <w:rsid w:val="00830EEA"/>
    <w:rsid w:val="008703CB"/>
    <w:rsid w:val="00894E0D"/>
    <w:rsid w:val="008A4A92"/>
    <w:rsid w:val="008B61AF"/>
    <w:rsid w:val="008C33C2"/>
    <w:rsid w:val="008C6137"/>
    <w:rsid w:val="008E2DB4"/>
    <w:rsid w:val="008F1274"/>
    <w:rsid w:val="00901DD5"/>
    <w:rsid w:val="0090735B"/>
    <w:rsid w:val="00912D5E"/>
    <w:rsid w:val="00914C68"/>
    <w:rsid w:val="00934340"/>
    <w:rsid w:val="009346ED"/>
    <w:rsid w:val="00956128"/>
    <w:rsid w:val="00956DC7"/>
    <w:rsid w:val="00966CD3"/>
    <w:rsid w:val="00972542"/>
    <w:rsid w:val="00977DA8"/>
    <w:rsid w:val="00987A20"/>
    <w:rsid w:val="009A0E15"/>
    <w:rsid w:val="009D4037"/>
    <w:rsid w:val="009D4366"/>
    <w:rsid w:val="009D5176"/>
    <w:rsid w:val="009F0592"/>
    <w:rsid w:val="009F1F65"/>
    <w:rsid w:val="00A20E72"/>
    <w:rsid w:val="00A246DC"/>
    <w:rsid w:val="00A33DD9"/>
    <w:rsid w:val="00A47BAF"/>
    <w:rsid w:val="00A542D3"/>
    <w:rsid w:val="00A5784F"/>
    <w:rsid w:val="00A8436E"/>
    <w:rsid w:val="00A95B66"/>
    <w:rsid w:val="00AC447E"/>
    <w:rsid w:val="00AC6C0A"/>
    <w:rsid w:val="00AD46AE"/>
    <w:rsid w:val="00AE0667"/>
    <w:rsid w:val="00B176EE"/>
    <w:rsid w:val="00B31AD1"/>
    <w:rsid w:val="00B351BF"/>
    <w:rsid w:val="00B41E0A"/>
    <w:rsid w:val="00B451E5"/>
    <w:rsid w:val="00B56DE0"/>
    <w:rsid w:val="00B60A3B"/>
    <w:rsid w:val="00B71F12"/>
    <w:rsid w:val="00B7610D"/>
    <w:rsid w:val="00B76FEC"/>
    <w:rsid w:val="00B96B1E"/>
    <w:rsid w:val="00BB2A6F"/>
    <w:rsid w:val="00BC6304"/>
    <w:rsid w:val="00BD1614"/>
    <w:rsid w:val="00BD382C"/>
    <w:rsid w:val="00BD5DA6"/>
    <w:rsid w:val="00BF72F1"/>
    <w:rsid w:val="00BF7D25"/>
    <w:rsid w:val="00C010C0"/>
    <w:rsid w:val="00C40CB5"/>
    <w:rsid w:val="00C54CE6"/>
    <w:rsid w:val="00C575E2"/>
    <w:rsid w:val="00C71931"/>
    <w:rsid w:val="00C7368B"/>
    <w:rsid w:val="00C92746"/>
    <w:rsid w:val="00C9316B"/>
    <w:rsid w:val="00CC4DC5"/>
    <w:rsid w:val="00CE1A7C"/>
    <w:rsid w:val="00CE43CB"/>
    <w:rsid w:val="00CE6B44"/>
    <w:rsid w:val="00D0464B"/>
    <w:rsid w:val="00D12C74"/>
    <w:rsid w:val="00D2263F"/>
    <w:rsid w:val="00D5240A"/>
    <w:rsid w:val="00D56483"/>
    <w:rsid w:val="00D5658F"/>
    <w:rsid w:val="00D56AD6"/>
    <w:rsid w:val="00D70019"/>
    <w:rsid w:val="00D74B58"/>
    <w:rsid w:val="00D82ABE"/>
    <w:rsid w:val="00DA2ABA"/>
    <w:rsid w:val="00DA4ABA"/>
    <w:rsid w:val="00DA685B"/>
    <w:rsid w:val="00DA742B"/>
    <w:rsid w:val="00DF25C1"/>
    <w:rsid w:val="00DF48F7"/>
    <w:rsid w:val="00DF4964"/>
    <w:rsid w:val="00DF4D73"/>
    <w:rsid w:val="00DF79B0"/>
    <w:rsid w:val="00E1047D"/>
    <w:rsid w:val="00E333D9"/>
    <w:rsid w:val="00E436CA"/>
    <w:rsid w:val="00E443FA"/>
    <w:rsid w:val="00E54FCE"/>
    <w:rsid w:val="00E60DA1"/>
    <w:rsid w:val="00E93D35"/>
    <w:rsid w:val="00EA23A0"/>
    <w:rsid w:val="00EA45DB"/>
    <w:rsid w:val="00EC7AFE"/>
    <w:rsid w:val="00ED2CD9"/>
    <w:rsid w:val="00F07DA7"/>
    <w:rsid w:val="00F564C1"/>
    <w:rsid w:val="00F77FA2"/>
    <w:rsid w:val="00F8357A"/>
    <w:rsid w:val="00FA0AAE"/>
    <w:rsid w:val="00FA1B77"/>
    <w:rsid w:val="00FA2819"/>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paragraph" w:styleId="Title">
    <w:name w:val="Title"/>
    <w:basedOn w:val="Normal"/>
    <w:link w:val="TitleChar"/>
    <w:qFormat/>
    <w:rsid w:val="00894E0D"/>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894E0D"/>
    <w:rPr>
      <w:rFonts w:ascii="Arial" w:hAnsi="Arial"/>
      <w:b/>
      <w:bCs/>
      <w:sz w:val="22"/>
      <w:szCs w:val="24"/>
      <w:lang w:eastAsia="en-US"/>
    </w:rPr>
  </w:style>
  <w:style w:type="paragraph" w:customStyle="1" w:styleId="pf0">
    <w:name w:val="pf0"/>
    <w:basedOn w:val="Normal"/>
    <w:rsid w:val="00894E0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cf01">
    <w:name w:val="cf01"/>
    <w:basedOn w:val="DefaultParagraphFont"/>
    <w:rsid w:val="00894E0D"/>
    <w:rPr>
      <w:rFonts w:ascii="Segoe UI" w:hAnsi="Segoe UI" w:cs="Segoe UI" w:hint="default"/>
      <w:b/>
      <w:bCs/>
      <w:sz w:val="18"/>
      <w:szCs w:val="18"/>
    </w:rPr>
  </w:style>
  <w:style w:type="paragraph" w:styleId="NormalWeb">
    <w:name w:val="Normal (Web)"/>
    <w:basedOn w:val="Normal"/>
    <w:uiPriority w:val="99"/>
    <w:unhideWhenUsed/>
    <w:rsid w:val="00894E0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cf31">
    <w:name w:val="cf31"/>
    <w:basedOn w:val="DefaultParagraphFont"/>
    <w:rsid w:val="00894E0D"/>
    <w:rPr>
      <w:rFonts w:ascii="Segoe UI" w:hAnsi="Segoe UI" w:cs="Segoe UI" w:hint="default"/>
      <w:sz w:val="18"/>
      <w:szCs w:val="18"/>
    </w:rPr>
  </w:style>
  <w:style w:type="character" w:customStyle="1" w:styleId="cf41">
    <w:name w:val="cf41"/>
    <w:basedOn w:val="DefaultParagraphFont"/>
    <w:rsid w:val="00894E0D"/>
    <w:rPr>
      <w:rFonts w:ascii="Segoe UI" w:hAnsi="Segoe UI" w:cs="Segoe UI" w:hint="default"/>
      <w:sz w:val="18"/>
      <w:szCs w:val="18"/>
    </w:rPr>
  </w:style>
  <w:style w:type="character" w:styleId="CommentReference">
    <w:name w:val="annotation reference"/>
    <w:basedOn w:val="DefaultParagraphFont"/>
    <w:semiHidden/>
    <w:unhideWhenUsed/>
    <w:rsid w:val="00CE43CB"/>
    <w:rPr>
      <w:sz w:val="16"/>
      <w:szCs w:val="16"/>
    </w:rPr>
  </w:style>
  <w:style w:type="paragraph" w:styleId="CommentText">
    <w:name w:val="annotation text"/>
    <w:basedOn w:val="Normal"/>
    <w:link w:val="CommentTextChar"/>
    <w:unhideWhenUsed/>
    <w:rsid w:val="00CE43CB"/>
    <w:rPr>
      <w:sz w:val="20"/>
    </w:rPr>
  </w:style>
  <w:style w:type="character" w:customStyle="1" w:styleId="CommentTextChar">
    <w:name w:val="Comment Text Char"/>
    <w:basedOn w:val="DefaultParagraphFont"/>
    <w:link w:val="CommentText"/>
    <w:rsid w:val="00CE43CB"/>
    <w:rPr>
      <w:rFonts w:ascii="Calibri" w:hAnsi="Calibri"/>
      <w:lang w:val="fr-FR" w:eastAsia="en-US"/>
    </w:rPr>
  </w:style>
  <w:style w:type="paragraph" w:styleId="CommentSubject">
    <w:name w:val="annotation subject"/>
    <w:basedOn w:val="CommentText"/>
    <w:next w:val="CommentText"/>
    <w:link w:val="CommentSubjectChar"/>
    <w:semiHidden/>
    <w:unhideWhenUsed/>
    <w:rsid w:val="00CE43CB"/>
    <w:rPr>
      <w:b/>
      <w:bCs/>
    </w:rPr>
  </w:style>
  <w:style w:type="character" w:customStyle="1" w:styleId="CommentSubjectChar">
    <w:name w:val="Comment Subject Char"/>
    <w:basedOn w:val="CommentTextChar"/>
    <w:link w:val="CommentSubject"/>
    <w:semiHidden/>
    <w:rsid w:val="00CE43CB"/>
    <w:rPr>
      <w:rFonts w:ascii="Calibri" w:hAnsi="Calibri"/>
      <w:b/>
      <w:bCs/>
      <w:lang w:val="fr-FR" w:eastAsia="en-US"/>
    </w:rPr>
  </w:style>
  <w:style w:type="paragraph" w:styleId="Revision">
    <w:name w:val="Revision"/>
    <w:hidden/>
    <w:uiPriority w:val="99"/>
    <w:semiHidden/>
    <w:rsid w:val="00E436C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07/en" TargetMode="External"/><Relationship Id="rId18" Type="http://schemas.openxmlformats.org/officeDocument/2006/relationships/hyperlink" Target="https://www.itu.int/md/S22-PP-C-0118/en" TargetMode="External"/><Relationship Id="rId26" Type="http://schemas.openxmlformats.org/officeDocument/2006/relationships/hyperlink" Target="https://www.itu.int/md/S22-PP-C-0173/en" TargetMode="External"/><Relationship Id="rId39" Type="http://schemas.openxmlformats.org/officeDocument/2006/relationships/hyperlink" Target="https://www.itu.int/md/S22-PP-C-0142/en" TargetMode="External"/><Relationship Id="rId21" Type="http://schemas.openxmlformats.org/officeDocument/2006/relationships/hyperlink" Target="https://www.itu.int/md/S22-PP-C-0141/en" TargetMode="External"/><Relationship Id="rId34" Type="http://schemas.openxmlformats.org/officeDocument/2006/relationships/hyperlink" Target="https://www.itu.int/md/S22-PP-C-0117/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2-PP-C-0116/en" TargetMode="External"/><Relationship Id="rId20" Type="http://schemas.openxmlformats.org/officeDocument/2006/relationships/hyperlink" Target="https://www.itu.int/md/S22-PP-C-0140/en" TargetMode="External"/><Relationship Id="rId29" Type="http://schemas.openxmlformats.org/officeDocument/2006/relationships/hyperlink" Target="https://www.itu.int/md/S22-PP-C-0174/en"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73/en" TargetMode="External"/><Relationship Id="rId24" Type="http://schemas.openxmlformats.org/officeDocument/2006/relationships/hyperlink" Target="https://www.itu.int/md/S22-PP-C-0167/en" TargetMode="External"/><Relationship Id="rId32" Type="http://schemas.openxmlformats.org/officeDocument/2006/relationships/hyperlink" Target="https://www.itu.int/md/S22-PP-C-0115/en" TargetMode="External"/><Relationship Id="rId37" Type="http://schemas.openxmlformats.org/officeDocument/2006/relationships/hyperlink" Target="https://www.itu.int/md/S22-PP-C-0140/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2-PP-C-0115/en" TargetMode="External"/><Relationship Id="rId23" Type="http://schemas.openxmlformats.org/officeDocument/2006/relationships/hyperlink" Target="https://www.itu.int/md/S22-PP-C-0165/en" TargetMode="External"/><Relationship Id="rId28" Type="http://schemas.openxmlformats.org/officeDocument/2006/relationships/hyperlink" Target="https://www.itu.int/md/S22-PP-C-0174/en" TargetMode="External"/><Relationship Id="rId36" Type="http://schemas.openxmlformats.org/officeDocument/2006/relationships/hyperlink" Target="https://www.itu.int/md/S22-PP-C-0139/en" TargetMode="External"/><Relationship Id="rId10" Type="http://schemas.openxmlformats.org/officeDocument/2006/relationships/hyperlink" Target="https://www.itu.int/md/S22-PP-C-0167/en" TargetMode="External"/><Relationship Id="rId19" Type="http://schemas.openxmlformats.org/officeDocument/2006/relationships/hyperlink" Target="https://www.itu.int/md/S22-PP-C-0139/en" TargetMode="External"/><Relationship Id="rId31" Type="http://schemas.openxmlformats.org/officeDocument/2006/relationships/hyperlink" Target="https://www.itu.int/md/S22-PP-C-0108/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PP-C-0165/en" TargetMode="External"/><Relationship Id="rId14" Type="http://schemas.openxmlformats.org/officeDocument/2006/relationships/hyperlink" Target="https://www.itu.int/md/S22-PP-C-0108/en" TargetMode="External"/><Relationship Id="rId22" Type="http://schemas.openxmlformats.org/officeDocument/2006/relationships/hyperlink" Target="https://www.itu.int/md/S22-PP-C-0142/en" TargetMode="External"/><Relationship Id="rId27" Type="http://schemas.openxmlformats.org/officeDocument/2006/relationships/hyperlink" Target="https://www.itu.int/md/S22-PP-C-0173/en" TargetMode="External"/><Relationship Id="rId30" Type="http://schemas.openxmlformats.org/officeDocument/2006/relationships/hyperlink" Target="https://www.itu.int/md/S22-PP-C-0107/en" TargetMode="External"/><Relationship Id="rId35" Type="http://schemas.openxmlformats.org/officeDocument/2006/relationships/hyperlink" Target="https://www.itu.int/md/S22-PP-C-0118/en"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2-PP-C-0174/en" TargetMode="External"/><Relationship Id="rId17" Type="http://schemas.openxmlformats.org/officeDocument/2006/relationships/hyperlink" Target="https://www.itu.int/md/S22-PP-C-0117/en" TargetMode="External"/><Relationship Id="rId25" Type="http://schemas.openxmlformats.org/officeDocument/2006/relationships/hyperlink" Target="https://www.itu.int/md/S22-PP-C-0167/en" TargetMode="External"/><Relationship Id="rId33" Type="http://schemas.openxmlformats.org/officeDocument/2006/relationships/hyperlink" Target="https://www.itu.int/md/S22-PP-C-0116/en" TargetMode="External"/><Relationship Id="rId38" Type="http://schemas.openxmlformats.org/officeDocument/2006/relationships/hyperlink" Target="https://www.itu.int/md/S22-PP-C-014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9671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Xue, Kun</cp:lastModifiedBy>
  <cp:revision>2</cp:revision>
  <dcterms:created xsi:type="dcterms:W3CDTF">2022-11-21T07:52:00Z</dcterms:created>
  <dcterms:modified xsi:type="dcterms:W3CDTF">2022-11-21T07:52:00Z</dcterms:modified>
  <cp:category>Conference document</cp:category>
</cp:coreProperties>
</file>