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51F0A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351F0A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51F0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51F0A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351F0A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51F0A">
              <w:rPr>
                <w:rFonts w:ascii="Verdana" w:hAnsi="Verdana"/>
                <w:szCs w:val="22"/>
                <w:lang w:val="ru-RU"/>
              </w:rPr>
              <w:br/>
            </w:r>
            <w:r w:rsidR="00513BE3" w:rsidRPr="00351F0A">
              <w:rPr>
                <w:b/>
                <w:bCs/>
                <w:lang w:val="ru-RU"/>
              </w:rPr>
              <w:t>Бухарест</w:t>
            </w:r>
            <w:r w:rsidRPr="00351F0A">
              <w:rPr>
                <w:b/>
                <w:bCs/>
                <w:lang w:val="ru-RU"/>
              </w:rPr>
              <w:t>, 2</w:t>
            </w:r>
            <w:r w:rsidR="00513BE3" w:rsidRPr="00351F0A">
              <w:rPr>
                <w:b/>
                <w:bCs/>
                <w:lang w:val="ru-RU"/>
              </w:rPr>
              <w:t>6</w:t>
            </w:r>
            <w:r w:rsidRPr="00351F0A">
              <w:rPr>
                <w:b/>
                <w:bCs/>
                <w:lang w:val="ru-RU"/>
              </w:rPr>
              <w:t xml:space="preserve"> </w:t>
            </w:r>
            <w:r w:rsidR="00513BE3" w:rsidRPr="00351F0A">
              <w:rPr>
                <w:b/>
                <w:bCs/>
                <w:lang w:val="ru-RU"/>
              </w:rPr>
              <w:t xml:space="preserve">сентября </w:t>
            </w:r>
            <w:r w:rsidRPr="00351F0A">
              <w:rPr>
                <w:b/>
                <w:bCs/>
                <w:lang w:val="ru-RU"/>
              </w:rPr>
              <w:t xml:space="preserve">– </w:t>
            </w:r>
            <w:r w:rsidR="002D024B" w:rsidRPr="00351F0A">
              <w:rPr>
                <w:b/>
                <w:bCs/>
                <w:lang w:val="ru-RU"/>
              </w:rPr>
              <w:t>1</w:t>
            </w:r>
            <w:r w:rsidR="00513BE3" w:rsidRPr="00351F0A">
              <w:rPr>
                <w:b/>
                <w:bCs/>
                <w:lang w:val="ru-RU"/>
              </w:rPr>
              <w:t>4</w:t>
            </w:r>
            <w:r w:rsidRPr="00351F0A">
              <w:rPr>
                <w:b/>
                <w:bCs/>
                <w:lang w:val="ru-RU"/>
              </w:rPr>
              <w:t xml:space="preserve"> </w:t>
            </w:r>
            <w:r w:rsidR="00513BE3" w:rsidRPr="00351F0A">
              <w:rPr>
                <w:b/>
                <w:bCs/>
                <w:lang w:val="ru-RU"/>
              </w:rPr>
              <w:t xml:space="preserve">октября </w:t>
            </w:r>
            <w:r w:rsidRPr="00351F0A">
              <w:rPr>
                <w:b/>
                <w:bCs/>
                <w:lang w:val="ru-RU"/>
              </w:rPr>
              <w:t>20</w:t>
            </w:r>
            <w:r w:rsidR="00513BE3" w:rsidRPr="00351F0A">
              <w:rPr>
                <w:b/>
                <w:bCs/>
                <w:lang w:val="ru-RU"/>
              </w:rPr>
              <w:t>22</w:t>
            </w:r>
            <w:r w:rsidRPr="00351F0A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351F0A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351F0A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51F0A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351F0A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351F0A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51F0A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351F0A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351F0A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51F0A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351F0A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51F0A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637B8A81" w:rsidR="00F96AB4" w:rsidRPr="00351F0A" w:rsidRDefault="00BC4B72" w:rsidP="004E535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51F0A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4E535E" w:rsidRPr="00351F0A">
              <w:rPr>
                <w:rFonts w:cstheme="minorHAnsi"/>
                <w:b/>
                <w:bCs/>
                <w:szCs w:val="28"/>
                <w:lang w:val="ru-RU"/>
              </w:rPr>
              <w:t>20</w:t>
            </w:r>
            <w:r w:rsidR="00DC4F1B" w:rsidRPr="00351F0A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351F0A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351F0A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351F0A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326BAD88" w:rsidR="00F96AB4" w:rsidRPr="00351F0A" w:rsidRDefault="00DC4F1B" w:rsidP="004E535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51F0A">
              <w:rPr>
                <w:rFonts w:cstheme="minorHAnsi"/>
                <w:b/>
                <w:bCs/>
                <w:szCs w:val="28"/>
                <w:lang w:val="ru-RU"/>
              </w:rPr>
              <w:t>26</w:t>
            </w:r>
            <w:r w:rsidR="00BC4B72" w:rsidRPr="00351F0A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202</w:t>
            </w:r>
            <w:r w:rsidR="004E535E" w:rsidRPr="00351F0A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351F0A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351F0A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351F0A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351F0A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51F0A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51F0A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351F0A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51F0A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7E83094B" w:rsidR="00F96AB4" w:rsidRPr="00351F0A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351F0A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6B58C07" w14:textId="77777777" w:rsidR="00DC4F1B" w:rsidRPr="00351F0A" w:rsidRDefault="00DC4F1B" w:rsidP="00DC4F1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51F0A">
              <w:rPr>
                <w:lang w:val="ru-RU"/>
              </w:rPr>
              <w:t>протокол</w:t>
            </w:r>
          </w:p>
          <w:p w14:paraId="134DD2E2" w14:textId="66D47E64" w:rsidR="00F96AB4" w:rsidRPr="00351F0A" w:rsidRDefault="00DC4F1B" w:rsidP="00DC4F1B">
            <w:pPr>
              <w:pStyle w:val="Title1"/>
              <w:rPr>
                <w:lang w:val="ru-RU"/>
              </w:rPr>
            </w:pPr>
            <w:r w:rsidRPr="00351F0A">
              <w:rPr>
                <w:lang w:val="ru-RU"/>
              </w:rPr>
              <w:t>ЧЕТЫРНАДЦАТОГО ПЛЕНАРНОГО ЗАСЕДАНИЯ</w:t>
            </w:r>
          </w:p>
        </w:tc>
      </w:tr>
      <w:tr w:rsidR="00F96AB4" w:rsidRPr="00351F0A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12B47C51" w:rsidR="00F96AB4" w:rsidRPr="00351F0A" w:rsidRDefault="00DC4F1B" w:rsidP="00DC4F1B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351F0A">
              <w:rPr>
                <w:lang w:val="ru-RU"/>
              </w:rPr>
              <w:t>Вторник, 11 октября 2022 года, 09 час. 40 мин.</w:t>
            </w:r>
          </w:p>
        </w:tc>
      </w:tr>
      <w:tr w:rsidR="00F96AB4" w:rsidRPr="00351F0A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4303B0D5" w:rsidR="00F96AB4" w:rsidRPr="00351F0A" w:rsidRDefault="00DC4F1B" w:rsidP="00DC4F1B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351F0A">
              <w:rPr>
                <w:b/>
                <w:bCs/>
                <w:lang w:val="ru-RU"/>
              </w:rPr>
              <w:t>Председатель</w:t>
            </w:r>
            <w:r w:rsidRPr="00351F0A">
              <w:rPr>
                <w:lang w:val="ru-RU"/>
              </w:rPr>
              <w:t xml:space="preserve">: г-н </w:t>
            </w:r>
            <w:r w:rsidR="00033931" w:rsidRPr="00351F0A">
              <w:rPr>
                <w:lang w:val="ru-RU"/>
              </w:rPr>
              <w:t xml:space="preserve">Сабин </w:t>
            </w:r>
            <w:proofErr w:type="spellStart"/>
            <w:r w:rsidR="00033931" w:rsidRPr="00351F0A">
              <w:rPr>
                <w:lang w:val="ru-RU"/>
              </w:rPr>
              <w:t>Сэрмаш</w:t>
            </w:r>
            <w:proofErr w:type="spellEnd"/>
            <w:r w:rsidRPr="00351F0A">
              <w:rPr>
                <w:lang w:val="ru-RU"/>
              </w:rPr>
              <w:t xml:space="preserve"> (Румыния)</w:t>
            </w:r>
          </w:p>
        </w:tc>
      </w:tr>
      <w:bookmarkEnd w:id="7"/>
    </w:tbl>
    <w:p w14:paraId="52D7C2CD" w14:textId="77777777" w:rsidR="00DC4F1B" w:rsidRPr="00351F0A" w:rsidRDefault="00DC4F1B" w:rsidP="00DC4F1B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DC4F1B" w:rsidRPr="00351F0A" w14:paraId="7A674088" w14:textId="77777777" w:rsidTr="00EC0954">
        <w:tc>
          <w:tcPr>
            <w:tcW w:w="534" w:type="dxa"/>
          </w:tcPr>
          <w:p w14:paraId="3A5926B0" w14:textId="77777777" w:rsidR="00DC4F1B" w:rsidRPr="00351F0A" w:rsidRDefault="00DC4F1B" w:rsidP="00EC0954">
            <w:pPr>
              <w:rPr>
                <w:b/>
                <w:bCs/>
                <w:szCs w:val="22"/>
                <w:lang w:val="ru-RU"/>
              </w:rPr>
            </w:pPr>
            <w:bookmarkStart w:id="8" w:name="_Hlk118124655"/>
          </w:p>
        </w:tc>
        <w:tc>
          <w:tcPr>
            <w:tcW w:w="7263" w:type="dxa"/>
          </w:tcPr>
          <w:p w14:paraId="092DFD37" w14:textId="77777777" w:rsidR="00DC4F1B" w:rsidRPr="00351F0A" w:rsidRDefault="00DC4F1B" w:rsidP="00EC0954">
            <w:pPr>
              <w:pStyle w:val="toc0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14:paraId="4457E133" w14:textId="77777777" w:rsidR="00DC4F1B" w:rsidRPr="00351F0A" w:rsidRDefault="00DC4F1B" w:rsidP="00EC0954">
            <w:pPr>
              <w:pStyle w:val="toc0"/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Документы</w:t>
            </w:r>
          </w:p>
        </w:tc>
      </w:tr>
      <w:tr w:rsidR="00DC4F1B" w:rsidRPr="00351F0A" w14:paraId="39DF0ECB" w14:textId="77777777" w:rsidTr="00EC0954">
        <w:tc>
          <w:tcPr>
            <w:tcW w:w="534" w:type="dxa"/>
          </w:tcPr>
          <w:p w14:paraId="6623ADE5" w14:textId="77777777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1</w:t>
            </w:r>
          </w:p>
        </w:tc>
        <w:tc>
          <w:tcPr>
            <w:tcW w:w="7263" w:type="dxa"/>
          </w:tcPr>
          <w:p w14:paraId="01D31A37" w14:textId="77777777" w:rsidR="00DC4F1B" w:rsidRPr="00351F0A" w:rsidRDefault="00DC4F1B" w:rsidP="00DC4F1B">
            <w:pPr>
              <w:rPr>
                <w:szCs w:val="22"/>
                <w:lang w:val="ru-RU"/>
              </w:rPr>
            </w:pPr>
            <w:bookmarkStart w:id="9" w:name="_Hlk118124560"/>
            <w:r w:rsidRPr="00351F0A">
              <w:rPr>
                <w:szCs w:val="22"/>
                <w:lang w:val="ru-RU"/>
              </w:rPr>
              <w:t>Отчет Комитета 3 (Бюджетный контроль)</w:t>
            </w:r>
            <w:bookmarkEnd w:id="9"/>
          </w:p>
        </w:tc>
        <w:tc>
          <w:tcPr>
            <w:tcW w:w="2234" w:type="dxa"/>
          </w:tcPr>
          <w:p w14:paraId="1AA1524D" w14:textId="35B9C626" w:rsidR="00DC4F1B" w:rsidRPr="00351F0A" w:rsidRDefault="00E34CD0" w:rsidP="00DC4F1B">
            <w:pPr>
              <w:jc w:val="center"/>
              <w:rPr>
                <w:lang w:val="ru-RU"/>
              </w:rPr>
            </w:pPr>
            <w:hyperlink r:id="rId8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165</w:t>
              </w:r>
            </w:hyperlink>
          </w:p>
        </w:tc>
      </w:tr>
      <w:tr w:rsidR="00DC4F1B" w:rsidRPr="00351F0A" w14:paraId="095F4913" w14:textId="77777777" w:rsidTr="00EC0954">
        <w:tc>
          <w:tcPr>
            <w:tcW w:w="534" w:type="dxa"/>
          </w:tcPr>
          <w:p w14:paraId="3D4762C7" w14:textId="77777777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2</w:t>
            </w:r>
          </w:p>
        </w:tc>
        <w:tc>
          <w:tcPr>
            <w:tcW w:w="7263" w:type="dxa"/>
          </w:tcPr>
          <w:p w14:paraId="76A54EBF" w14:textId="08A34F70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Шестнадцатая серия текстов, представленных Редакционным комитетом для первого чтения (B16)</w:t>
            </w:r>
          </w:p>
        </w:tc>
        <w:tc>
          <w:tcPr>
            <w:tcW w:w="2234" w:type="dxa"/>
          </w:tcPr>
          <w:p w14:paraId="3ECAE927" w14:textId="419CDFF8" w:rsidR="00DC4F1B" w:rsidRPr="00351F0A" w:rsidRDefault="00E34CD0" w:rsidP="00DC4F1B">
            <w:pPr>
              <w:jc w:val="center"/>
              <w:rPr>
                <w:lang w:val="ru-RU"/>
              </w:rPr>
            </w:pPr>
            <w:hyperlink r:id="rId9" w:history="1">
              <w:r w:rsidR="00DC4F1B" w:rsidRPr="00351F0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167</w:t>
              </w:r>
            </w:hyperlink>
          </w:p>
        </w:tc>
      </w:tr>
      <w:tr w:rsidR="00DC4F1B" w:rsidRPr="00351F0A" w14:paraId="0A2F1490" w14:textId="77777777" w:rsidTr="00EC0954">
        <w:tc>
          <w:tcPr>
            <w:tcW w:w="534" w:type="dxa"/>
          </w:tcPr>
          <w:p w14:paraId="039A1150" w14:textId="33BEE331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3</w:t>
            </w:r>
          </w:p>
        </w:tc>
        <w:tc>
          <w:tcPr>
            <w:tcW w:w="7263" w:type="dxa"/>
          </w:tcPr>
          <w:p w14:paraId="4896E6E7" w14:textId="7A323C0E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Шестнадцатая серия текстов, представленных Редакционным комитетом – второе чтение</w:t>
            </w:r>
          </w:p>
        </w:tc>
        <w:tc>
          <w:tcPr>
            <w:tcW w:w="2234" w:type="dxa"/>
          </w:tcPr>
          <w:p w14:paraId="602518A3" w14:textId="4C56DD01" w:rsidR="00DC4F1B" w:rsidRPr="00351F0A" w:rsidRDefault="00DC4F1B" w:rsidP="00DC4F1B">
            <w:pPr>
              <w:jc w:val="center"/>
              <w:rPr>
                <w:lang w:val="ru-RU"/>
              </w:rPr>
            </w:pPr>
            <w:r w:rsidRPr="00351F0A">
              <w:rPr>
                <w:rFonts w:asciiTheme="minorHAnsi" w:hAnsiTheme="minorHAnsi"/>
                <w:szCs w:val="24"/>
                <w:lang w:val="ru-RU"/>
              </w:rPr>
              <w:t>167</w:t>
            </w:r>
          </w:p>
        </w:tc>
      </w:tr>
      <w:tr w:rsidR="00DC4F1B" w:rsidRPr="00351F0A" w14:paraId="638FAAB2" w14:textId="77777777" w:rsidTr="00EC0954">
        <w:tc>
          <w:tcPr>
            <w:tcW w:w="534" w:type="dxa"/>
          </w:tcPr>
          <w:p w14:paraId="27831174" w14:textId="60352342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4</w:t>
            </w:r>
          </w:p>
        </w:tc>
        <w:tc>
          <w:tcPr>
            <w:tcW w:w="7263" w:type="dxa"/>
          </w:tcPr>
          <w:p w14:paraId="6A4167C7" w14:textId="5D405900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Семнадцатая серия текстов, представленных Редакционным комитетом для первого чтения (B17)</w:t>
            </w:r>
          </w:p>
        </w:tc>
        <w:tc>
          <w:tcPr>
            <w:tcW w:w="2234" w:type="dxa"/>
          </w:tcPr>
          <w:p w14:paraId="6A3738EC" w14:textId="449383EE" w:rsidR="00DC4F1B" w:rsidRPr="00351F0A" w:rsidRDefault="00E34CD0" w:rsidP="00DC4F1B">
            <w:pPr>
              <w:jc w:val="center"/>
              <w:rPr>
                <w:lang w:val="ru-RU"/>
              </w:rPr>
            </w:pPr>
            <w:hyperlink r:id="rId10" w:history="1">
              <w:r w:rsidR="00DC4F1B" w:rsidRPr="00351F0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173</w:t>
              </w:r>
            </w:hyperlink>
          </w:p>
        </w:tc>
      </w:tr>
      <w:tr w:rsidR="00DC4F1B" w:rsidRPr="00351F0A" w14:paraId="0E9D3670" w14:textId="77777777" w:rsidTr="00EC0954">
        <w:tc>
          <w:tcPr>
            <w:tcW w:w="534" w:type="dxa"/>
          </w:tcPr>
          <w:p w14:paraId="19945D43" w14:textId="71967B68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5</w:t>
            </w:r>
          </w:p>
        </w:tc>
        <w:tc>
          <w:tcPr>
            <w:tcW w:w="7263" w:type="dxa"/>
          </w:tcPr>
          <w:p w14:paraId="6BCA8AB6" w14:textId="04FE43F9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Семнадцатая серия текстов, представленных Редакционным комитетом – второе чтение</w:t>
            </w:r>
          </w:p>
        </w:tc>
        <w:tc>
          <w:tcPr>
            <w:tcW w:w="2234" w:type="dxa"/>
          </w:tcPr>
          <w:p w14:paraId="54384ADF" w14:textId="5DB41834" w:rsidR="00DC4F1B" w:rsidRPr="00351F0A" w:rsidRDefault="00DC4F1B" w:rsidP="00DC4F1B">
            <w:pPr>
              <w:jc w:val="center"/>
              <w:rPr>
                <w:lang w:val="ru-RU"/>
              </w:rPr>
            </w:pPr>
            <w:r w:rsidRPr="00351F0A">
              <w:rPr>
                <w:rFonts w:asciiTheme="minorHAnsi" w:hAnsiTheme="minorHAnsi"/>
                <w:szCs w:val="24"/>
                <w:lang w:val="ru-RU"/>
              </w:rPr>
              <w:t>173</w:t>
            </w:r>
          </w:p>
        </w:tc>
      </w:tr>
      <w:tr w:rsidR="00DC4F1B" w:rsidRPr="00351F0A" w14:paraId="6431B96C" w14:textId="77777777" w:rsidTr="00EC0954">
        <w:tc>
          <w:tcPr>
            <w:tcW w:w="534" w:type="dxa"/>
          </w:tcPr>
          <w:p w14:paraId="403E2FF8" w14:textId="35093C38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6</w:t>
            </w:r>
          </w:p>
        </w:tc>
        <w:tc>
          <w:tcPr>
            <w:tcW w:w="7263" w:type="dxa"/>
          </w:tcPr>
          <w:p w14:paraId="2CC3094C" w14:textId="1BFE9551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Восемнадцатая серия текстов, представленных Редакционным комитетом для первого чтения (B18)</w:t>
            </w:r>
          </w:p>
        </w:tc>
        <w:tc>
          <w:tcPr>
            <w:tcW w:w="2234" w:type="dxa"/>
          </w:tcPr>
          <w:p w14:paraId="51487808" w14:textId="0ABB5993" w:rsidR="00DC4F1B" w:rsidRPr="00351F0A" w:rsidRDefault="00E34CD0" w:rsidP="00DC4F1B">
            <w:pPr>
              <w:jc w:val="center"/>
              <w:rPr>
                <w:lang w:val="ru-RU"/>
              </w:rPr>
            </w:pPr>
            <w:hyperlink r:id="rId11" w:history="1">
              <w:r w:rsidR="00DC4F1B" w:rsidRPr="00351F0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174</w:t>
              </w:r>
            </w:hyperlink>
          </w:p>
        </w:tc>
      </w:tr>
      <w:tr w:rsidR="00DC4F1B" w:rsidRPr="00351F0A" w14:paraId="6AECD979" w14:textId="77777777" w:rsidTr="00EC0954">
        <w:tc>
          <w:tcPr>
            <w:tcW w:w="534" w:type="dxa"/>
          </w:tcPr>
          <w:p w14:paraId="62A3615D" w14:textId="3E57F880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7</w:t>
            </w:r>
          </w:p>
        </w:tc>
        <w:tc>
          <w:tcPr>
            <w:tcW w:w="7263" w:type="dxa"/>
          </w:tcPr>
          <w:p w14:paraId="30DB13AA" w14:textId="54C42CFA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Восемнадцатая серия текстов, представленных Редакционным комитетом – второе чтение</w:t>
            </w:r>
          </w:p>
        </w:tc>
        <w:tc>
          <w:tcPr>
            <w:tcW w:w="2234" w:type="dxa"/>
          </w:tcPr>
          <w:p w14:paraId="5F8E234B" w14:textId="506805B0" w:rsidR="00DC4F1B" w:rsidRPr="00351F0A" w:rsidRDefault="00DC4F1B" w:rsidP="00DC4F1B">
            <w:pPr>
              <w:jc w:val="center"/>
              <w:rPr>
                <w:lang w:val="ru-RU"/>
              </w:rPr>
            </w:pPr>
            <w:r w:rsidRPr="00351F0A">
              <w:rPr>
                <w:rFonts w:asciiTheme="minorHAnsi" w:hAnsiTheme="minorHAnsi"/>
                <w:szCs w:val="24"/>
                <w:lang w:val="ru-RU"/>
              </w:rPr>
              <w:t>174</w:t>
            </w:r>
          </w:p>
        </w:tc>
      </w:tr>
      <w:tr w:rsidR="00DC4F1B" w:rsidRPr="00351F0A" w14:paraId="771D6B16" w14:textId="77777777" w:rsidTr="00EC0954">
        <w:tc>
          <w:tcPr>
            <w:tcW w:w="534" w:type="dxa"/>
          </w:tcPr>
          <w:p w14:paraId="15613A73" w14:textId="03D0D91F" w:rsidR="00DC4F1B" w:rsidRPr="00351F0A" w:rsidRDefault="00DC4F1B" w:rsidP="00DC4F1B">
            <w:pPr>
              <w:jc w:val="center"/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8</w:t>
            </w:r>
          </w:p>
        </w:tc>
        <w:tc>
          <w:tcPr>
            <w:tcW w:w="7263" w:type="dxa"/>
          </w:tcPr>
          <w:p w14:paraId="4E0C1243" w14:textId="7E263454" w:rsidR="00DC4F1B" w:rsidRPr="00351F0A" w:rsidRDefault="00DC4F1B" w:rsidP="00DC4F1B">
            <w:pPr>
              <w:rPr>
                <w:szCs w:val="22"/>
                <w:lang w:val="ru-RU"/>
              </w:rPr>
            </w:pPr>
            <w:r w:rsidRPr="00351F0A">
              <w:rPr>
                <w:szCs w:val="22"/>
                <w:lang w:val="ru-RU"/>
              </w:rPr>
              <w:t>Утверждение протокола</w:t>
            </w:r>
          </w:p>
        </w:tc>
        <w:tc>
          <w:tcPr>
            <w:tcW w:w="2234" w:type="dxa"/>
          </w:tcPr>
          <w:p w14:paraId="40256EEE" w14:textId="4D159F54" w:rsidR="00DC4F1B" w:rsidRPr="00351F0A" w:rsidRDefault="00E34CD0" w:rsidP="00DC4F1B">
            <w:pPr>
              <w:jc w:val="center"/>
              <w:rPr>
                <w:lang w:val="ru-RU"/>
              </w:rPr>
            </w:pPr>
            <w:hyperlink r:id="rId12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107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3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108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4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115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5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116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6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117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7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118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8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139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19" w:history="1">
              <w:r w:rsidR="00DC4F1B" w:rsidRPr="00351F0A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140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20" w:history="1">
              <w:r w:rsidR="00DC4F1B" w:rsidRPr="00351F0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141</w:t>
              </w:r>
            </w:hyperlink>
            <w:r w:rsidR="00DC4F1B" w:rsidRPr="00351F0A">
              <w:rPr>
                <w:rFonts w:asciiTheme="minorHAnsi" w:eastAsiaTheme="minorEastAsia" w:hAnsiTheme="minorHAnsi" w:cstheme="minorBidi"/>
                <w:szCs w:val="24"/>
                <w:lang w:val="ru-RU"/>
              </w:rPr>
              <w:t xml:space="preserve">, </w:t>
            </w:r>
            <w:hyperlink r:id="rId21" w:history="1">
              <w:r w:rsidR="00DC4F1B" w:rsidRPr="00351F0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ru-RU"/>
                </w:rPr>
                <w:t>142</w:t>
              </w:r>
            </w:hyperlink>
          </w:p>
        </w:tc>
      </w:tr>
      <w:bookmarkEnd w:id="8"/>
    </w:tbl>
    <w:p w14:paraId="1B5FE002" w14:textId="77777777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br w:type="page"/>
      </w:r>
    </w:p>
    <w:p w14:paraId="22BA37AA" w14:textId="749D395E" w:rsidR="00DC4F1B" w:rsidRPr="00351F0A" w:rsidRDefault="00DC4F1B" w:rsidP="00351F0A">
      <w:pPr>
        <w:pStyle w:val="Heading1"/>
        <w:rPr>
          <w:lang w:val="ru-RU"/>
        </w:rPr>
      </w:pPr>
      <w:r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lastRenderedPageBreak/>
        <w:t>1</w:t>
      </w:r>
      <w:r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tab/>
      </w:r>
      <w:r w:rsidR="00034277"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t xml:space="preserve">Отчет Комитета 3 (Бюджетный контроль) </w:t>
      </w:r>
      <w:r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t>(</w:t>
      </w:r>
      <w:r w:rsidR="00034277"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t>Документ</w:t>
      </w:r>
      <w:r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t xml:space="preserve"> </w:t>
      </w:r>
      <w:hyperlink r:id="rId22" w:history="1">
        <w:r w:rsidRPr="00351F0A">
          <w:rPr>
            <w:rStyle w:val="Hyperlink"/>
            <w:lang w:val="ru-RU"/>
          </w:rPr>
          <w:t>165</w:t>
        </w:r>
      </w:hyperlink>
      <w:r w:rsidRPr="00351F0A">
        <w:rPr>
          <w:rStyle w:val="cf01"/>
          <w:rFonts w:ascii="Calibri" w:hAnsi="Calibri" w:cs="Times New Roman"/>
          <w:b/>
          <w:bCs w:val="0"/>
          <w:sz w:val="26"/>
          <w:szCs w:val="20"/>
          <w:lang w:val="ru-RU"/>
        </w:rPr>
        <w:t>)</w:t>
      </w:r>
    </w:p>
    <w:p w14:paraId="5CF642AF" w14:textId="5721A928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1.1</w:t>
      </w:r>
      <w:r w:rsidRPr="00351F0A">
        <w:rPr>
          <w:lang w:val="ru-RU"/>
        </w:rPr>
        <w:tab/>
      </w:r>
      <w:r w:rsidR="00FA0A06" w:rsidRPr="00351F0A">
        <w:rPr>
          <w:b/>
          <w:bCs/>
          <w:lang w:val="ru-RU"/>
        </w:rPr>
        <w:t xml:space="preserve">Председатель Комитета </w:t>
      </w:r>
      <w:r w:rsidRPr="00351F0A">
        <w:rPr>
          <w:b/>
          <w:bCs/>
          <w:lang w:val="ru-RU"/>
        </w:rPr>
        <w:t>3</w:t>
      </w:r>
      <w:r w:rsidRPr="00351F0A">
        <w:rPr>
          <w:lang w:val="ru-RU"/>
        </w:rPr>
        <w:t xml:space="preserve">, </w:t>
      </w:r>
      <w:r w:rsidR="00FA0A06" w:rsidRPr="00351F0A">
        <w:rPr>
          <w:lang w:val="ru-RU"/>
        </w:rPr>
        <w:t>представляя отчет Комитета, содержащийся в Документе </w:t>
      </w:r>
      <w:r w:rsidRPr="00351F0A">
        <w:rPr>
          <w:lang w:val="ru-RU"/>
        </w:rPr>
        <w:t xml:space="preserve">165, </w:t>
      </w:r>
      <w:r w:rsidR="00FA0A06" w:rsidRPr="00351F0A">
        <w:rPr>
          <w:lang w:val="ru-RU"/>
        </w:rPr>
        <w:t xml:space="preserve">говорит, </w:t>
      </w:r>
      <w:r w:rsidR="00D93B2D" w:rsidRPr="00351F0A">
        <w:rPr>
          <w:lang w:val="ru-RU"/>
        </w:rPr>
        <w:t>что впоследствии он будет передан Совету 20</w:t>
      </w:r>
      <w:r w:rsidRPr="00351F0A">
        <w:rPr>
          <w:lang w:val="ru-RU"/>
        </w:rPr>
        <w:t>23</w:t>
      </w:r>
      <w:r w:rsidR="00D93B2D" w:rsidRPr="00351F0A">
        <w:rPr>
          <w:lang w:val="ru-RU"/>
        </w:rPr>
        <w:t> года</w:t>
      </w:r>
      <w:r w:rsidRPr="00351F0A">
        <w:rPr>
          <w:lang w:val="ru-RU"/>
        </w:rPr>
        <w:t xml:space="preserve">. </w:t>
      </w:r>
      <w:r w:rsidR="008D6696" w:rsidRPr="00351F0A">
        <w:rPr>
          <w:lang w:val="ru-RU"/>
        </w:rPr>
        <w:t>Выступающий</w:t>
      </w:r>
      <w:r w:rsidR="00074F81" w:rsidRPr="00351F0A">
        <w:rPr>
          <w:lang w:val="ru-RU"/>
        </w:rPr>
        <w:t xml:space="preserve"> напоминает,</w:t>
      </w:r>
      <w:r w:rsidR="00033931" w:rsidRPr="00351F0A">
        <w:rPr>
          <w:lang w:val="ru-RU"/>
        </w:rPr>
        <w:t xml:space="preserve"> что бюджет </w:t>
      </w:r>
      <w:r w:rsidR="00074F81" w:rsidRPr="00351F0A">
        <w:rPr>
          <w:lang w:val="ru-RU"/>
        </w:rPr>
        <w:t>Конференции</w:t>
      </w:r>
      <w:r w:rsidR="00033931" w:rsidRPr="00351F0A">
        <w:rPr>
          <w:lang w:val="ru-RU"/>
        </w:rPr>
        <w:t xml:space="preserve">, утвержденный </w:t>
      </w:r>
      <w:r w:rsidR="00074F81" w:rsidRPr="00351F0A">
        <w:rPr>
          <w:lang w:val="ru-RU"/>
        </w:rPr>
        <w:t xml:space="preserve">на сессии </w:t>
      </w:r>
      <w:r w:rsidR="00033931" w:rsidRPr="00351F0A">
        <w:rPr>
          <w:lang w:val="ru-RU"/>
        </w:rPr>
        <w:t>Совет</w:t>
      </w:r>
      <w:r w:rsidR="00074F81" w:rsidRPr="00351F0A">
        <w:rPr>
          <w:lang w:val="ru-RU"/>
        </w:rPr>
        <w:t>а</w:t>
      </w:r>
      <w:r w:rsidR="00033931" w:rsidRPr="00351F0A">
        <w:rPr>
          <w:lang w:val="ru-RU"/>
        </w:rPr>
        <w:t xml:space="preserve"> 2021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года, составил 2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610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000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швейцарских фра</w:t>
      </w:r>
      <w:r w:rsidR="00074F81" w:rsidRPr="00351F0A">
        <w:rPr>
          <w:lang w:val="ru-RU"/>
        </w:rPr>
        <w:t>н</w:t>
      </w:r>
      <w:r w:rsidR="00033931" w:rsidRPr="00351F0A">
        <w:rPr>
          <w:lang w:val="ru-RU"/>
        </w:rPr>
        <w:t>ков</w:t>
      </w:r>
      <w:r w:rsidR="00074F81" w:rsidRPr="00351F0A">
        <w:rPr>
          <w:lang w:val="ru-RU"/>
        </w:rPr>
        <w:t>,</w:t>
      </w:r>
      <w:r w:rsidR="00033931" w:rsidRPr="00351F0A">
        <w:rPr>
          <w:lang w:val="ru-RU"/>
        </w:rPr>
        <w:t xml:space="preserve"> </w:t>
      </w:r>
      <w:r w:rsidR="00074F81" w:rsidRPr="00351F0A">
        <w:rPr>
          <w:lang w:val="ru-RU"/>
        </w:rPr>
        <w:t>и</w:t>
      </w:r>
      <w:r w:rsidR="00033931" w:rsidRPr="00351F0A">
        <w:rPr>
          <w:lang w:val="ru-RU"/>
        </w:rPr>
        <w:t xml:space="preserve"> </w:t>
      </w:r>
      <w:r w:rsidR="00074F81" w:rsidRPr="00351F0A">
        <w:rPr>
          <w:lang w:val="ru-RU"/>
        </w:rPr>
        <w:t>отмечает</w:t>
      </w:r>
      <w:r w:rsidR="00033931" w:rsidRPr="00351F0A">
        <w:rPr>
          <w:lang w:val="ru-RU"/>
        </w:rPr>
        <w:t>, что фактические расходы, согласно прогнозам, составят 2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369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000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швейцарских фра</w:t>
      </w:r>
      <w:r w:rsidR="00074F81" w:rsidRPr="00351F0A">
        <w:rPr>
          <w:lang w:val="ru-RU"/>
        </w:rPr>
        <w:t>н</w:t>
      </w:r>
      <w:r w:rsidR="00033931" w:rsidRPr="00351F0A">
        <w:rPr>
          <w:lang w:val="ru-RU"/>
        </w:rPr>
        <w:t xml:space="preserve">ков, </w:t>
      </w:r>
      <w:r w:rsidR="00074F81" w:rsidRPr="00351F0A">
        <w:rPr>
          <w:lang w:val="ru-RU"/>
        </w:rPr>
        <w:t>и</w:t>
      </w:r>
      <w:r w:rsidR="00033931" w:rsidRPr="00351F0A">
        <w:rPr>
          <w:lang w:val="ru-RU"/>
        </w:rPr>
        <w:t xml:space="preserve"> остаток средств составит 241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000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швейцарских фра</w:t>
      </w:r>
      <w:r w:rsidR="00074F81" w:rsidRPr="00351F0A">
        <w:rPr>
          <w:lang w:val="ru-RU"/>
        </w:rPr>
        <w:t>н</w:t>
      </w:r>
      <w:r w:rsidR="00033931" w:rsidRPr="00351F0A">
        <w:rPr>
          <w:lang w:val="ru-RU"/>
        </w:rPr>
        <w:t xml:space="preserve">ков. Подробный финансовый отчет </w:t>
      </w:r>
      <w:r w:rsidR="00074F81" w:rsidRPr="00351F0A">
        <w:rPr>
          <w:lang w:val="ru-RU"/>
        </w:rPr>
        <w:t xml:space="preserve">Конференции </w:t>
      </w:r>
      <w:r w:rsidR="00033931" w:rsidRPr="00351F0A">
        <w:rPr>
          <w:lang w:val="ru-RU"/>
        </w:rPr>
        <w:t>по состоянию на 7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октября 2022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года, включая все расходы на двухлетний период 2022</w:t>
      </w:r>
      <w:r w:rsidR="00074F81" w:rsidRPr="00351F0A">
        <w:rPr>
          <w:lang w:val="ru-RU"/>
        </w:rPr>
        <w:t>–</w:t>
      </w:r>
      <w:r w:rsidR="00033931" w:rsidRPr="00351F0A">
        <w:rPr>
          <w:lang w:val="ru-RU"/>
        </w:rPr>
        <w:t>2023</w:t>
      </w:r>
      <w:r w:rsidR="00351F0A" w:rsidRPr="00351F0A">
        <w:rPr>
          <w:lang w:val="ru-RU"/>
        </w:rPr>
        <w:t> </w:t>
      </w:r>
      <w:r w:rsidR="00033931" w:rsidRPr="00351F0A">
        <w:rPr>
          <w:lang w:val="ru-RU"/>
        </w:rPr>
        <w:t xml:space="preserve">годов и подробный анализ расходов </w:t>
      </w:r>
      <w:r w:rsidR="00074F81" w:rsidRPr="00351F0A">
        <w:rPr>
          <w:lang w:val="ru-RU"/>
        </w:rPr>
        <w:t>Конференции,</w:t>
      </w:r>
      <w:r w:rsidR="00033931" w:rsidRPr="00351F0A">
        <w:rPr>
          <w:lang w:val="ru-RU"/>
        </w:rPr>
        <w:t xml:space="preserve"> представлен в Приложении А к отчету. Комитет выра</w:t>
      </w:r>
      <w:r w:rsidR="00074F81" w:rsidRPr="00351F0A">
        <w:rPr>
          <w:lang w:val="ru-RU"/>
        </w:rPr>
        <w:t>жает</w:t>
      </w:r>
      <w:r w:rsidR="00033931" w:rsidRPr="00351F0A">
        <w:rPr>
          <w:lang w:val="ru-RU"/>
        </w:rPr>
        <w:t xml:space="preserve"> благодарность правительству Румынии за </w:t>
      </w:r>
      <w:r w:rsidR="00074F81" w:rsidRPr="00351F0A">
        <w:rPr>
          <w:lang w:val="ru-RU"/>
        </w:rPr>
        <w:t>прекрасную</w:t>
      </w:r>
      <w:r w:rsidR="00033931" w:rsidRPr="00351F0A">
        <w:rPr>
          <w:lang w:val="ru-RU"/>
        </w:rPr>
        <w:t xml:space="preserve"> организацию</w:t>
      </w:r>
      <w:r w:rsidR="00074F81" w:rsidRPr="00351F0A">
        <w:rPr>
          <w:lang w:val="ru-RU"/>
        </w:rPr>
        <w:t xml:space="preserve"> работы</w:t>
      </w:r>
      <w:r w:rsidR="00033931" w:rsidRPr="00351F0A">
        <w:rPr>
          <w:lang w:val="ru-RU"/>
        </w:rPr>
        <w:t xml:space="preserve"> </w:t>
      </w:r>
      <w:r w:rsidR="00074F81" w:rsidRPr="00351F0A">
        <w:rPr>
          <w:lang w:val="ru-RU"/>
        </w:rPr>
        <w:t>Конференции</w:t>
      </w:r>
      <w:r w:rsidR="00033931" w:rsidRPr="00351F0A">
        <w:rPr>
          <w:lang w:val="ru-RU"/>
        </w:rPr>
        <w:t>.</w:t>
      </w:r>
    </w:p>
    <w:p w14:paraId="6E6909D0" w14:textId="1892078A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1.2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Делегат от Швейцарии</w:t>
      </w:r>
      <w:r w:rsidRPr="00351F0A">
        <w:rPr>
          <w:lang w:val="ru-RU"/>
        </w:rPr>
        <w:t xml:space="preserve"> </w:t>
      </w:r>
      <w:r w:rsidR="00074F81" w:rsidRPr="00351F0A">
        <w:rPr>
          <w:lang w:val="ru-RU"/>
        </w:rPr>
        <w:t>просит представить</w:t>
      </w:r>
      <w:r w:rsidR="00033931" w:rsidRPr="00351F0A">
        <w:rPr>
          <w:lang w:val="ru-RU"/>
        </w:rPr>
        <w:t xml:space="preserve"> информацию о финансовых последствиях решений </w:t>
      </w:r>
      <w:r w:rsidR="00074F81" w:rsidRPr="00351F0A">
        <w:rPr>
          <w:lang w:val="ru-RU"/>
        </w:rPr>
        <w:t>Конференции в соответствии с кругом ведения, определенн</w:t>
      </w:r>
      <w:r w:rsidR="008D6696" w:rsidRPr="00351F0A">
        <w:rPr>
          <w:lang w:val="ru-RU"/>
        </w:rPr>
        <w:t>ы</w:t>
      </w:r>
      <w:r w:rsidR="00074F81" w:rsidRPr="00351F0A">
        <w:rPr>
          <w:lang w:val="ru-RU"/>
        </w:rPr>
        <w:t xml:space="preserve">м </w:t>
      </w:r>
      <w:r w:rsidR="00033931" w:rsidRPr="00351F0A">
        <w:rPr>
          <w:lang w:val="ru-RU"/>
        </w:rPr>
        <w:t xml:space="preserve">в </w:t>
      </w:r>
      <w:r w:rsidR="00074F81" w:rsidRPr="00351F0A">
        <w:rPr>
          <w:lang w:val="ru-RU"/>
        </w:rPr>
        <w:t>Документе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 xml:space="preserve">103. Такая информация обычно предоставляется и будет полезна для </w:t>
      </w:r>
      <w:r w:rsidR="008D6696" w:rsidRPr="00351F0A">
        <w:rPr>
          <w:lang w:val="ru-RU"/>
        </w:rPr>
        <w:t xml:space="preserve">Финансового </w:t>
      </w:r>
      <w:r w:rsidR="00033931" w:rsidRPr="00351F0A">
        <w:rPr>
          <w:lang w:val="ru-RU"/>
        </w:rPr>
        <w:t>плана Союза.</w:t>
      </w:r>
    </w:p>
    <w:p w14:paraId="4EAA7363" w14:textId="4C3F3975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1.3</w:t>
      </w:r>
      <w:r w:rsidRPr="00351F0A">
        <w:rPr>
          <w:lang w:val="ru-RU"/>
        </w:rPr>
        <w:tab/>
      </w:r>
      <w:r w:rsidR="00033931" w:rsidRPr="00351F0A">
        <w:rPr>
          <w:b/>
          <w:bCs/>
          <w:lang w:val="ru-RU"/>
        </w:rPr>
        <w:t>Секретарь Комитета 6</w:t>
      </w:r>
      <w:r w:rsidR="00033931" w:rsidRPr="00351F0A">
        <w:rPr>
          <w:lang w:val="ru-RU"/>
        </w:rPr>
        <w:t xml:space="preserve"> отве</w:t>
      </w:r>
      <w:r w:rsidR="00074F81" w:rsidRPr="00351F0A">
        <w:rPr>
          <w:lang w:val="ru-RU"/>
        </w:rPr>
        <w:t>чает</w:t>
      </w:r>
      <w:r w:rsidR="00033931" w:rsidRPr="00351F0A">
        <w:rPr>
          <w:lang w:val="ru-RU"/>
        </w:rPr>
        <w:t>, что Комитет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6 (</w:t>
      </w:r>
      <w:r w:rsidR="008D6696" w:rsidRPr="00351F0A">
        <w:rPr>
          <w:lang w:val="ru-RU"/>
        </w:rPr>
        <w:t xml:space="preserve">Администрирование </w:t>
      </w:r>
      <w:r w:rsidR="00033931" w:rsidRPr="00351F0A">
        <w:rPr>
          <w:lang w:val="ru-RU"/>
        </w:rPr>
        <w:t xml:space="preserve">и управление) отвечает за анализ финансовых последствий </w:t>
      </w:r>
      <w:r w:rsidR="00074F81" w:rsidRPr="00351F0A">
        <w:rPr>
          <w:lang w:val="ru-RU"/>
        </w:rPr>
        <w:t xml:space="preserve">Резолюций </w:t>
      </w:r>
      <w:r w:rsidR="00033931" w:rsidRPr="00351F0A">
        <w:rPr>
          <w:lang w:val="ru-RU"/>
        </w:rPr>
        <w:t xml:space="preserve">и </w:t>
      </w:r>
      <w:r w:rsidR="008D6696" w:rsidRPr="00351F0A">
        <w:rPr>
          <w:lang w:val="ru-RU"/>
        </w:rPr>
        <w:t xml:space="preserve">Решений </w:t>
      </w:r>
      <w:r w:rsidR="00074F81" w:rsidRPr="00351F0A">
        <w:rPr>
          <w:lang w:val="ru-RU"/>
        </w:rPr>
        <w:t>Конференции</w:t>
      </w:r>
      <w:r w:rsidR="00033931" w:rsidRPr="00351F0A">
        <w:rPr>
          <w:lang w:val="ru-RU"/>
        </w:rPr>
        <w:t xml:space="preserve">. </w:t>
      </w:r>
      <w:r w:rsidR="00074F81" w:rsidRPr="00351F0A">
        <w:rPr>
          <w:lang w:val="ru-RU"/>
        </w:rPr>
        <w:t>Оценка</w:t>
      </w:r>
      <w:r w:rsidR="00033931" w:rsidRPr="00351F0A">
        <w:rPr>
          <w:lang w:val="ru-RU"/>
        </w:rPr>
        <w:t xml:space="preserve"> расходов не была отражена в отчете Комитета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3, поскольку Комитет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5 и Рабочая группа пленарного заседания еще не представили Комитету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 xml:space="preserve">6 </w:t>
      </w:r>
      <w:r w:rsidR="00074F81" w:rsidRPr="00351F0A">
        <w:rPr>
          <w:lang w:val="ru-RU"/>
        </w:rPr>
        <w:t>запросы на оценку</w:t>
      </w:r>
      <w:r w:rsidR="00033931" w:rsidRPr="00351F0A">
        <w:rPr>
          <w:lang w:val="ru-RU"/>
        </w:rPr>
        <w:t>.</w:t>
      </w:r>
    </w:p>
    <w:p w14:paraId="7C197C7F" w14:textId="0A9ECEAD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1.4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Делегат от Исламской Республики Иран</w:t>
      </w:r>
      <w:r w:rsidRPr="00351F0A">
        <w:rPr>
          <w:lang w:val="ru-RU"/>
        </w:rPr>
        <w:t xml:space="preserve"> </w:t>
      </w:r>
      <w:r w:rsidR="00074F81" w:rsidRPr="00351F0A">
        <w:rPr>
          <w:lang w:val="ru-RU"/>
        </w:rPr>
        <w:t>дает высокую оценку</w:t>
      </w:r>
      <w:r w:rsidR="00033931" w:rsidRPr="00351F0A">
        <w:rPr>
          <w:lang w:val="ru-RU"/>
        </w:rPr>
        <w:t xml:space="preserve"> отчет</w:t>
      </w:r>
      <w:r w:rsidR="00074F81" w:rsidRPr="00351F0A">
        <w:rPr>
          <w:lang w:val="ru-RU"/>
        </w:rPr>
        <w:t>у</w:t>
      </w:r>
      <w:r w:rsidR="00033931" w:rsidRPr="00351F0A">
        <w:rPr>
          <w:lang w:val="ru-RU"/>
        </w:rPr>
        <w:t xml:space="preserve"> и </w:t>
      </w:r>
      <w:r w:rsidR="00074F81" w:rsidRPr="00351F0A">
        <w:rPr>
          <w:lang w:val="ru-RU"/>
        </w:rPr>
        <w:t>выражает</w:t>
      </w:r>
      <w:r w:rsidR="00033931" w:rsidRPr="00351F0A">
        <w:rPr>
          <w:lang w:val="ru-RU"/>
        </w:rPr>
        <w:t xml:space="preserve"> свою признательность, в частности, за неоценимый вклад в работу Комитета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>3 г-н</w:t>
      </w:r>
      <w:r w:rsidR="00074F81" w:rsidRPr="00351F0A">
        <w:rPr>
          <w:lang w:val="ru-RU"/>
        </w:rPr>
        <w:t>у</w:t>
      </w:r>
      <w:r w:rsidR="00033931" w:rsidRPr="00351F0A">
        <w:rPr>
          <w:lang w:val="ru-RU"/>
        </w:rPr>
        <w:t xml:space="preserve"> </w:t>
      </w:r>
      <w:proofErr w:type="spellStart"/>
      <w:r w:rsidR="00033931" w:rsidRPr="00351F0A">
        <w:rPr>
          <w:lang w:val="ru-RU"/>
        </w:rPr>
        <w:t>Алассан</w:t>
      </w:r>
      <w:r w:rsidR="00074F81" w:rsidRPr="00351F0A">
        <w:rPr>
          <w:lang w:val="ru-RU"/>
        </w:rPr>
        <w:t>у</w:t>
      </w:r>
      <w:proofErr w:type="spellEnd"/>
      <w:r w:rsidR="00033931" w:rsidRPr="00351F0A">
        <w:rPr>
          <w:lang w:val="ru-RU"/>
        </w:rPr>
        <w:t xml:space="preserve"> Ба, </w:t>
      </w:r>
      <w:r w:rsidR="00074F81" w:rsidRPr="00351F0A">
        <w:rPr>
          <w:lang w:val="ru-RU"/>
        </w:rPr>
        <w:t>руководителю</w:t>
      </w:r>
      <w:r w:rsidR="00033931" w:rsidRPr="00351F0A">
        <w:rPr>
          <w:lang w:val="ru-RU"/>
        </w:rPr>
        <w:t xml:space="preserve"> Департамента управления финансовыми ресурсами и секретар</w:t>
      </w:r>
      <w:r w:rsidR="00074F81" w:rsidRPr="00351F0A">
        <w:rPr>
          <w:lang w:val="ru-RU"/>
        </w:rPr>
        <w:t>ю</w:t>
      </w:r>
      <w:r w:rsidR="00033931" w:rsidRPr="00351F0A">
        <w:rPr>
          <w:lang w:val="ru-RU"/>
        </w:rPr>
        <w:t xml:space="preserve"> Комитета 6.</w:t>
      </w:r>
    </w:p>
    <w:p w14:paraId="78CA04AD" w14:textId="71266B71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1.5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Делегат от Канады</w:t>
      </w:r>
      <w:r w:rsidR="00074F81" w:rsidRPr="00351F0A">
        <w:rPr>
          <w:lang w:val="ru-RU"/>
        </w:rPr>
        <w:t xml:space="preserve"> с</w:t>
      </w:r>
      <w:r w:rsidR="00033931" w:rsidRPr="00351F0A">
        <w:rPr>
          <w:lang w:val="ru-RU"/>
        </w:rPr>
        <w:t>сыла</w:t>
      </w:r>
      <w:r w:rsidR="00074F81" w:rsidRPr="00351F0A">
        <w:rPr>
          <w:lang w:val="ru-RU"/>
        </w:rPr>
        <w:t xml:space="preserve">ется </w:t>
      </w:r>
      <w:r w:rsidR="00033931" w:rsidRPr="00351F0A">
        <w:rPr>
          <w:lang w:val="ru-RU"/>
        </w:rPr>
        <w:t xml:space="preserve">на </w:t>
      </w:r>
      <w:r w:rsidR="00074F81" w:rsidRPr="00351F0A">
        <w:rPr>
          <w:lang w:val="ru-RU"/>
        </w:rPr>
        <w:t xml:space="preserve">Статью </w:t>
      </w:r>
      <w:r w:rsidR="00033931" w:rsidRPr="00351F0A">
        <w:rPr>
          <w:lang w:val="ru-RU"/>
        </w:rPr>
        <w:t>34 Конвенции</w:t>
      </w:r>
      <w:r w:rsidR="00074F81" w:rsidRPr="00351F0A">
        <w:rPr>
          <w:lang w:val="ru-RU"/>
        </w:rPr>
        <w:t>, касающуюся</w:t>
      </w:r>
      <w:r w:rsidR="00033931" w:rsidRPr="00351F0A">
        <w:rPr>
          <w:lang w:val="ru-RU"/>
        </w:rPr>
        <w:t xml:space="preserve"> финансовой ответственности </w:t>
      </w:r>
      <w:r w:rsidR="00074F81" w:rsidRPr="00351F0A">
        <w:rPr>
          <w:lang w:val="ru-RU"/>
        </w:rPr>
        <w:t>Конференций</w:t>
      </w:r>
      <w:r w:rsidR="00033931" w:rsidRPr="00351F0A">
        <w:rPr>
          <w:lang w:val="ru-RU"/>
        </w:rPr>
        <w:t>,</w:t>
      </w:r>
      <w:r w:rsidR="00074F81" w:rsidRPr="00351F0A">
        <w:rPr>
          <w:lang w:val="ru-RU"/>
        </w:rPr>
        <w:t xml:space="preserve"> и</w:t>
      </w:r>
      <w:r w:rsidR="00033931" w:rsidRPr="00351F0A">
        <w:rPr>
          <w:lang w:val="ru-RU"/>
        </w:rPr>
        <w:t xml:space="preserve"> говорит, что необходимы механизмы для обеспечения </w:t>
      </w:r>
      <w:r w:rsidR="00074F81" w:rsidRPr="00351F0A">
        <w:rPr>
          <w:lang w:val="ru-RU"/>
        </w:rPr>
        <w:t>реализации</w:t>
      </w:r>
      <w:r w:rsidR="00033931" w:rsidRPr="00351F0A">
        <w:rPr>
          <w:lang w:val="ru-RU"/>
        </w:rPr>
        <w:t xml:space="preserve"> пп.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 xml:space="preserve">488 и 489 Конвенции на практике, в частности механизм оценки финансовых последствий любых принятых </w:t>
      </w:r>
      <w:r w:rsidR="00074F81" w:rsidRPr="00351F0A">
        <w:rPr>
          <w:lang w:val="ru-RU"/>
        </w:rPr>
        <w:t>Резолюций</w:t>
      </w:r>
      <w:r w:rsidR="00033931" w:rsidRPr="00351F0A">
        <w:rPr>
          <w:lang w:val="ru-RU"/>
        </w:rPr>
        <w:t xml:space="preserve">, </w:t>
      </w:r>
      <w:r w:rsidR="00074F81" w:rsidRPr="00351F0A">
        <w:rPr>
          <w:lang w:val="ru-RU"/>
        </w:rPr>
        <w:t xml:space="preserve">Решений </w:t>
      </w:r>
      <w:r w:rsidR="00033931" w:rsidRPr="00351F0A">
        <w:rPr>
          <w:lang w:val="ru-RU"/>
        </w:rPr>
        <w:t xml:space="preserve">или </w:t>
      </w:r>
      <w:r w:rsidR="00074F81" w:rsidRPr="00351F0A">
        <w:rPr>
          <w:lang w:val="ru-RU"/>
        </w:rPr>
        <w:t>Рекомендаций</w:t>
      </w:r>
      <w:r w:rsidR="00033931" w:rsidRPr="00351F0A">
        <w:rPr>
          <w:lang w:val="ru-RU"/>
        </w:rPr>
        <w:t xml:space="preserve">. Этот вопрос приобретает особую важность в связи с предстоящей </w:t>
      </w:r>
      <w:r w:rsidR="00074F81" w:rsidRPr="00351F0A">
        <w:rPr>
          <w:lang w:val="ru-RU"/>
        </w:rPr>
        <w:t>деятельностью</w:t>
      </w:r>
      <w:r w:rsidR="00033931" w:rsidRPr="00351F0A">
        <w:rPr>
          <w:lang w:val="ru-RU"/>
        </w:rPr>
        <w:t xml:space="preserve"> по доработке </w:t>
      </w:r>
      <w:r w:rsidR="00074F81" w:rsidRPr="00351F0A">
        <w:rPr>
          <w:lang w:val="ru-RU"/>
        </w:rPr>
        <w:t xml:space="preserve">Стратегического </w:t>
      </w:r>
      <w:r w:rsidR="00033931" w:rsidRPr="00351F0A">
        <w:rPr>
          <w:lang w:val="ru-RU"/>
        </w:rPr>
        <w:t xml:space="preserve">плана и </w:t>
      </w:r>
      <w:r w:rsidR="00074F81" w:rsidRPr="00351F0A">
        <w:rPr>
          <w:lang w:val="ru-RU"/>
        </w:rPr>
        <w:t>четкому увязыванию</w:t>
      </w:r>
      <w:r w:rsidR="00033931" w:rsidRPr="00351F0A">
        <w:rPr>
          <w:lang w:val="ru-RU"/>
        </w:rPr>
        <w:t xml:space="preserve"> с </w:t>
      </w:r>
      <w:r w:rsidR="008D6696" w:rsidRPr="00351F0A">
        <w:rPr>
          <w:lang w:val="ru-RU"/>
        </w:rPr>
        <w:t xml:space="preserve">Финансовым </w:t>
      </w:r>
      <w:r w:rsidR="00033931" w:rsidRPr="00351F0A">
        <w:rPr>
          <w:lang w:val="ru-RU"/>
        </w:rPr>
        <w:t>планом Союза, содержащимся в Решении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 xml:space="preserve">5. Вопрос о том, как </w:t>
      </w:r>
      <w:r w:rsidR="00074F81" w:rsidRPr="00351F0A">
        <w:rPr>
          <w:lang w:val="ru-RU"/>
        </w:rPr>
        <w:t xml:space="preserve">именно следует </w:t>
      </w:r>
      <w:r w:rsidR="00033931" w:rsidRPr="00351F0A">
        <w:rPr>
          <w:lang w:val="ru-RU"/>
        </w:rPr>
        <w:t>сформулировать и ввести в действие такой механизм, может быть вынесен на рассмотрение Рабочей группы Совета по финансовым и людским ресурсам.</w:t>
      </w:r>
    </w:p>
    <w:p w14:paraId="79225A74" w14:textId="6D859D5C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1.6</w:t>
      </w:r>
      <w:r w:rsidRPr="00351F0A">
        <w:rPr>
          <w:lang w:val="ru-RU"/>
        </w:rPr>
        <w:tab/>
      </w:r>
      <w:r w:rsidR="00034277" w:rsidRPr="00351F0A">
        <w:rPr>
          <w:szCs w:val="22"/>
          <w:lang w:val="ru-RU"/>
        </w:rPr>
        <w:t>Отчет Комитета 3 (Бюджетный контроль)</w:t>
      </w:r>
      <w:r w:rsidR="00034277" w:rsidRPr="00351F0A">
        <w:rPr>
          <w:lang w:val="ru-RU"/>
        </w:rPr>
        <w:t xml:space="preserve">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</w:t>
      </w:r>
      <w:r w:rsidR="00351F0A">
        <w:rPr>
          <w:lang w:val="en-US"/>
        </w:rPr>
        <w:t> </w:t>
      </w:r>
      <w:r w:rsidRPr="00351F0A">
        <w:rPr>
          <w:lang w:val="ru-RU"/>
        </w:rPr>
        <w:t xml:space="preserve">165) </w:t>
      </w:r>
      <w:r w:rsidR="00D93B2D" w:rsidRPr="00351F0A">
        <w:rPr>
          <w:b/>
          <w:bCs/>
          <w:lang w:val="ru-RU"/>
        </w:rPr>
        <w:t>утверждается</w:t>
      </w:r>
      <w:r w:rsidRPr="00351F0A">
        <w:rPr>
          <w:lang w:val="ru-RU"/>
        </w:rPr>
        <w:t>.</w:t>
      </w:r>
    </w:p>
    <w:p w14:paraId="35F50CDA" w14:textId="1483AA4D" w:rsidR="00DC4F1B" w:rsidRPr="00351F0A" w:rsidRDefault="00DC4F1B" w:rsidP="00DC4F1B">
      <w:pPr>
        <w:pStyle w:val="Heading1"/>
        <w:rPr>
          <w:lang w:val="ru-RU"/>
        </w:rPr>
      </w:pPr>
      <w:r w:rsidRPr="00351F0A">
        <w:rPr>
          <w:lang w:val="ru-RU"/>
        </w:rPr>
        <w:t>2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Шестнадцатая серия текстов, представленных Редакционным комитетом для первого чтения (B16)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</w:t>
      </w:r>
      <w:r w:rsidRPr="00351F0A">
        <w:rPr>
          <w:lang w:val="ru-RU"/>
        </w:rPr>
        <w:t xml:space="preserve"> </w:t>
      </w:r>
      <w:hyperlink r:id="rId23" w:history="1">
        <w:r w:rsidRPr="00351F0A">
          <w:rPr>
            <w:rStyle w:val="Hyperlink"/>
            <w:rFonts w:asciiTheme="minorHAnsi" w:hAnsiTheme="minorHAnsi" w:cstheme="minorHAnsi"/>
            <w:szCs w:val="24"/>
            <w:lang w:val="ru-RU"/>
          </w:rPr>
          <w:t>167</w:t>
        </w:r>
      </w:hyperlink>
      <w:r w:rsidRPr="00351F0A">
        <w:rPr>
          <w:lang w:val="ru-RU"/>
        </w:rPr>
        <w:t>)</w:t>
      </w:r>
    </w:p>
    <w:p w14:paraId="14FAD2A7" w14:textId="34862B86" w:rsidR="00DC4F1B" w:rsidRPr="00351F0A" w:rsidRDefault="00034277" w:rsidP="00034277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>Проект Резолюции</w:t>
      </w:r>
      <w:r w:rsidR="00DC4F1B" w:rsidRPr="00351F0A">
        <w:rPr>
          <w:b/>
          <w:bCs/>
          <w:lang w:val="ru-RU"/>
        </w:rPr>
        <w:t xml:space="preserve"> 25 (</w:t>
      </w:r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>. Бухарест, 2022 г.</w:t>
      </w:r>
      <w:r w:rsidR="00DC4F1B" w:rsidRPr="00351F0A">
        <w:rPr>
          <w:b/>
          <w:bCs/>
          <w:lang w:val="ru-RU"/>
        </w:rPr>
        <w:t xml:space="preserve">) </w:t>
      </w:r>
      <w:r w:rsidRPr="00351F0A">
        <w:rPr>
          <w:b/>
          <w:bCs/>
          <w:lang w:val="ru-RU"/>
        </w:rPr>
        <w:t>−</w:t>
      </w:r>
      <w:r w:rsidR="00DC4F1B" w:rsidRPr="00351F0A">
        <w:rPr>
          <w:b/>
          <w:bCs/>
          <w:lang w:val="ru-RU"/>
        </w:rPr>
        <w:t xml:space="preserve"> </w:t>
      </w:r>
      <w:bookmarkStart w:id="10" w:name="_Toc536109896"/>
      <w:r w:rsidR="000539D9" w:rsidRPr="00351F0A">
        <w:rPr>
          <w:b/>
          <w:bCs/>
          <w:lang w:val="ru-RU"/>
        </w:rPr>
        <w:t>Укрепление регионального присутствия</w:t>
      </w:r>
      <w:bookmarkEnd w:id="10"/>
      <w:r w:rsidR="000539D9" w:rsidRPr="00351F0A">
        <w:rPr>
          <w:b/>
          <w:bCs/>
          <w:lang w:val="ru-RU"/>
        </w:rPr>
        <w:t xml:space="preserve"> МСЭ</w:t>
      </w:r>
    </w:p>
    <w:p w14:paraId="757000C5" w14:textId="50C056E3" w:rsidR="00DC4F1B" w:rsidRPr="00351F0A" w:rsidRDefault="00034277" w:rsidP="00034277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148 (</w:t>
      </w:r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>. Бухарест</w:t>
      </w:r>
      <w:r w:rsidR="00DC4F1B" w:rsidRPr="00351F0A">
        <w:rPr>
          <w:b/>
          <w:bCs/>
          <w:lang w:val="ru-RU"/>
        </w:rPr>
        <w:t>, 2022</w:t>
      </w:r>
      <w:r w:rsidRPr="00351F0A">
        <w:rPr>
          <w:b/>
          <w:bCs/>
          <w:lang w:val="ru-RU"/>
        </w:rPr>
        <w:t> г.</w:t>
      </w:r>
      <w:r w:rsidR="00DC4F1B" w:rsidRPr="00351F0A">
        <w:rPr>
          <w:b/>
          <w:bCs/>
          <w:lang w:val="ru-RU"/>
        </w:rPr>
        <w:t xml:space="preserve">) </w:t>
      </w:r>
      <w:r w:rsidRPr="00351F0A">
        <w:rPr>
          <w:b/>
          <w:bCs/>
          <w:lang w:val="ru-RU"/>
        </w:rPr>
        <w:t>−</w:t>
      </w:r>
      <w:r w:rsidR="00DC4F1B" w:rsidRPr="00351F0A">
        <w:rPr>
          <w:b/>
          <w:bCs/>
          <w:lang w:val="ru-RU"/>
        </w:rPr>
        <w:t xml:space="preserve"> </w:t>
      </w:r>
      <w:r w:rsidR="000539D9" w:rsidRPr="00351F0A">
        <w:rPr>
          <w:b/>
          <w:bCs/>
          <w:lang w:val="ru-RU"/>
        </w:rPr>
        <w:t>Задачи и функции заместителя Генерального секретаря</w:t>
      </w:r>
    </w:p>
    <w:p w14:paraId="64DA76EE" w14:textId="03B7FACF" w:rsidR="00DC4F1B" w:rsidRPr="00351F0A" w:rsidRDefault="00034277" w:rsidP="00034277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212 (</w:t>
      </w:r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>. Бухарест, 2022 г.</w:t>
      </w:r>
      <w:r w:rsidR="00DC4F1B" w:rsidRPr="00351F0A">
        <w:rPr>
          <w:b/>
          <w:bCs/>
          <w:lang w:val="ru-RU"/>
        </w:rPr>
        <w:t xml:space="preserve">) </w:t>
      </w:r>
      <w:r w:rsidRPr="00351F0A">
        <w:rPr>
          <w:b/>
          <w:bCs/>
          <w:lang w:val="ru-RU"/>
        </w:rPr>
        <w:t>−</w:t>
      </w:r>
      <w:r w:rsidR="00DC4F1B" w:rsidRPr="00351F0A">
        <w:rPr>
          <w:b/>
          <w:bCs/>
          <w:lang w:val="ru-RU"/>
        </w:rPr>
        <w:t xml:space="preserve"> </w:t>
      </w:r>
      <w:r w:rsidR="000539D9" w:rsidRPr="00351F0A">
        <w:rPr>
          <w:b/>
          <w:bCs/>
          <w:lang w:val="ru-RU"/>
        </w:rPr>
        <w:t>Будущие помещения штаб-квартиры Союза</w:t>
      </w:r>
    </w:p>
    <w:p w14:paraId="2C1181EC" w14:textId="51468C28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2.1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Принимаются</w:t>
      </w:r>
      <w:r w:rsidRPr="00351F0A">
        <w:rPr>
          <w:lang w:val="ru-RU"/>
        </w:rPr>
        <w:t>.</w:t>
      </w:r>
    </w:p>
    <w:p w14:paraId="36B1FF12" w14:textId="5625CD8B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2.2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Шестнадцатая серия текстов, представленных Редакционным комитетом для первого чтения </w:t>
      </w:r>
      <w:r w:rsidRPr="00351F0A">
        <w:rPr>
          <w:lang w:val="ru-RU"/>
        </w:rPr>
        <w:t>(B16) (</w:t>
      </w:r>
      <w:r w:rsidR="00034277" w:rsidRPr="00351F0A">
        <w:rPr>
          <w:lang w:val="ru-RU"/>
        </w:rPr>
        <w:t>Документ </w:t>
      </w:r>
      <w:r w:rsidRPr="00351F0A">
        <w:rPr>
          <w:lang w:val="ru-RU"/>
        </w:rPr>
        <w:t>167)</w:t>
      </w:r>
      <w:r w:rsidR="00A73116" w:rsidRPr="00351F0A">
        <w:rPr>
          <w:lang w:val="ru-RU"/>
        </w:rPr>
        <w:t>,</w:t>
      </w:r>
      <w:r w:rsidRPr="00351F0A">
        <w:rPr>
          <w:lang w:val="ru-RU"/>
        </w:rPr>
        <w:t xml:space="preserve"> </w:t>
      </w:r>
      <w:r w:rsidR="00A73116" w:rsidRPr="00351F0A">
        <w:rPr>
          <w:b/>
          <w:bCs/>
          <w:lang w:val="ru-RU"/>
        </w:rPr>
        <w:t>утверждается</w:t>
      </w:r>
      <w:r w:rsidRPr="00351F0A">
        <w:rPr>
          <w:lang w:val="ru-RU"/>
        </w:rPr>
        <w:t>.</w:t>
      </w:r>
    </w:p>
    <w:p w14:paraId="65932230" w14:textId="4E7CF655" w:rsidR="00DC4F1B" w:rsidRPr="00351F0A" w:rsidRDefault="00DC4F1B" w:rsidP="00DC4F1B">
      <w:pPr>
        <w:pStyle w:val="Heading1"/>
        <w:rPr>
          <w:lang w:val="ru-RU"/>
        </w:rPr>
      </w:pPr>
      <w:r w:rsidRPr="00351F0A">
        <w:rPr>
          <w:lang w:val="ru-RU"/>
        </w:rPr>
        <w:t>3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Шестнадцатая серия текстов, представленных Редакционным комитетом – второе чтение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</w:t>
      </w:r>
      <w:r w:rsidRPr="00351F0A">
        <w:rPr>
          <w:lang w:val="ru-RU"/>
        </w:rPr>
        <w:t xml:space="preserve"> </w:t>
      </w:r>
      <w:hyperlink r:id="rId24" w:history="1">
        <w:r w:rsidRPr="00351F0A">
          <w:rPr>
            <w:rStyle w:val="Hyperlink"/>
            <w:rFonts w:asciiTheme="minorHAnsi" w:hAnsiTheme="minorHAnsi" w:cstheme="minorHAnsi"/>
            <w:szCs w:val="24"/>
            <w:lang w:val="ru-RU"/>
          </w:rPr>
          <w:t>167</w:t>
        </w:r>
      </w:hyperlink>
      <w:r w:rsidRPr="00351F0A">
        <w:rPr>
          <w:lang w:val="ru-RU"/>
        </w:rPr>
        <w:t>)</w:t>
      </w:r>
    </w:p>
    <w:p w14:paraId="589384AC" w14:textId="383AFEDF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3.1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Шестнадцатая серия текстов, представленных Редакционным комитетом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 </w:t>
      </w:r>
      <w:r w:rsidRPr="00351F0A">
        <w:rPr>
          <w:lang w:val="ru-RU"/>
        </w:rPr>
        <w:t>167)</w:t>
      </w:r>
      <w:r w:rsidR="00A73116" w:rsidRPr="00351F0A">
        <w:rPr>
          <w:lang w:val="ru-RU"/>
        </w:rPr>
        <w:t>,</w:t>
      </w:r>
      <w:r w:rsidRPr="00351F0A">
        <w:rPr>
          <w:lang w:val="ru-RU"/>
        </w:rPr>
        <w:t xml:space="preserve"> </w:t>
      </w:r>
      <w:r w:rsidR="00A73116" w:rsidRPr="00351F0A">
        <w:rPr>
          <w:b/>
          <w:bCs/>
          <w:lang w:val="ru-RU"/>
        </w:rPr>
        <w:t>утверждается</w:t>
      </w:r>
      <w:r w:rsidR="00A73116" w:rsidRPr="00351F0A">
        <w:rPr>
          <w:lang w:val="ru-RU"/>
        </w:rPr>
        <w:t xml:space="preserve"> во втором чтении</w:t>
      </w:r>
      <w:r w:rsidRPr="00351F0A">
        <w:rPr>
          <w:lang w:val="ru-RU"/>
        </w:rPr>
        <w:t>.</w:t>
      </w:r>
    </w:p>
    <w:p w14:paraId="2E559047" w14:textId="587A7510" w:rsidR="00DC4F1B" w:rsidRPr="00351F0A" w:rsidRDefault="00DC4F1B" w:rsidP="00DC4F1B">
      <w:pPr>
        <w:pStyle w:val="Heading1"/>
        <w:rPr>
          <w:lang w:val="ru-RU"/>
        </w:rPr>
      </w:pPr>
      <w:r w:rsidRPr="00351F0A">
        <w:rPr>
          <w:lang w:val="ru-RU"/>
        </w:rPr>
        <w:lastRenderedPageBreak/>
        <w:t>4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Семнадцатая серия текстов, представленных Редакционным комитетом для первого чтения (B17)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</w:t>
      </w:r>
      <w:r w:rsidRPr="00351F0A">
        <w:rPr>
          <w:lang w:val="ru-RU"/>
        </w:rPr>
        <w:t xml:space="preserve"> </w:t>
      </w:r>
      <w:hyperlink r:id="rId25" w:history="1">
        <w:r w:rsidRPr="00351F0A">
          <w:rPr>
            <w:rStyle w:val="Hyperlink"/>
            <w:rFonts w:asciiTheme="minorHAnsi" w:hAnsiTheme="minorHAnsi" w:cstheme="minorHAnsi"/>
            <w:szCs w:val="24"/>
            <w:lang w:val="ru-RU"/>
          </w:rPr>
          <w:t>173</w:t>
        </w:r>
      </w:hyperlink>
      <w:r w:rsidRPr="00351F0A">
        <w:rPr>
          <w:lang w:val="ru-RU"/>
        </w:rPr>
        <w:t>)</w:t>
      </w:r>
    </w:p>
    <w:p w14:paraId="238CCCCF" w14:textId="780CCB57" w:rsidR="00DC4F1B" w:rsidRPr="00351F0A" w:rsidRDefault="00034277" w:rsidP="00034277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182 (</w:t>
      </w:r>
      <w:bookmarkStart w:id="11" w:name="_Hlk118125286"/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 xml:space="preserve">. Бухарест, 2022 г.) − </w:t>
      </w:r>
      <w:bookmarkEnd w:id="11"/>
      <w:r w:rsidR="000539D9" w:rsidRPr="00351F0A">
        <w:rPr>
          <w:b/>
          <w:bCs/>
          <w:lang w:val="ru-RU"/>
        </w:rPr>
        <w:t>Роль электросвязи/информационно-коммуникационных технологий в изменении климата и охране окружающей среды</w:t>
      </w:r>
    </w:p>
    <w:p w14:paraId="6B99F2F2" w14:textId="2E1E54F0" w:rsidR="00DC4F1B" w:rsidRPr="00351F0A" w:rsidRDefault="00034277" w:rsidP="00034277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COM5/1 (</w:t>
      </w:r>
      <w:r w:rsidRPr="00351F0A">
        <w:rPr>
          <w:b/>
          <w:bCs/>
          <w:lang w:val="ru-RU"/>
        </w:rPr>
        <w:t xml:space="preserve">Бухарест, 2022 г.) − </w:t>
      </w:r>
      <w:r w:rsidR="000539D9" w:rsidRPr="00351F0A">
        <w:rPr>
          <w:b/>
          <w:bCs/>
          <w:lang w:val="ru-RU"/>
        </w:rPr>
        <w:t>Использование частотных присвоений военным радиооборудованием для служб национальной обороны</w:t>
      </w:r>
    </w:p>
    <w:p w14:paraId="0C0A0E46" w14:textId="4820E384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4.1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Принимаются</w:t>
      </w:r>
      <w:r w:rsidRPr="00351F0A">
        <w:rPr>
          <w:lang w:val="ru-RU"/>
        </w:rPr>
        <w:t>.</w:t>
      </w:r>
    </w:p>
    <w:p w14:paraId="78D25DAE" w14:textId="74E0590C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4.2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Делегат от Исламской Республики Иран</w:t>
      </w:r>
      <w:r w:rsidRPr="00351F0A">
        <w:rPr>
          <w:lang w:val="ru-RU"/>
        </w:rPr>
        <w:t xml:space="preserve"> </w:t>
      </w:r>
      <w:r w:rsidR="00C95B0A" w:rsidRPr="00351F0A">
        <w:rPr>
          <w:lang w:val="ru-RU"/>
        </w:rPr>
        <w:t>отмечает</w:t>
      </w:r>
      <w:r w:rsidR="00033931" w:rsidRPr="00351F0A">
        <w:rPr>
          <w:lang w:val="ru-RU"/>
        </w:rPr>
        <w:t xml:space="preserve">, что </w:t>
      </w:r>
      <w:r w:rsidR="00C95B0A" w:rsidRPr="00351F0A">
        <w:rPr>
          <w:lang w:val="ru-RU"/>
        </w:rPr>
        <w:t>после</w:t>
      </w:r>
      <w:r w:rsidR="00033931" w:rsidRPr="00351F0A">
        <w:rPr>
          <w:lang w:val="ru-RU"/>
        </w:rPr>
        <w:t xml:space="preserve"> </w:t>
      </w:r>
      <w:r w:rsidR="00C95B0A" w:rsidRPr="00351F0A">
        <w:rPr>
          <w:lang w:val="ru-RU"/>
        </w:rPr>
        <w:t xml:space="preserve">разработки Статьи 48 Устава об оборудовании служб национальной обороны </w:t>
      </w:r>
      <w:r w:rsidR="00033931" w:rsidRPr="00351F0A">
        <w:rPr>
          <w:lang w:val="ru-RU"/>
        </w:rPr>
        <w:t xml:space="preserve">в 1903 году ее суть и цель не изменились. Однако за это время Регламент радиосвязи претерпел значительные изменения, и он поздравляет </w:t>
      </w:r>
      <w:r w:rsidR="008D6696" w:rsidRPr="00351F0A">
        <w:rPr>
          <w:lang w:val="ru-RU"/>
        </w:rPr>
        <w:t xml:space="preserve">Конференцию </w:t>
      </w:r>
      <w:r w:rsidR="00033931" w:rsidRPr="00351F0A">
        <w:rPr>
          <w:lang w:val="ru-RU"/>
        </w:rPr>
        <w:t xml:space="preserve">с принятием консенсусом </w:t>
      </w:r>
      <w:r w:rsidR="00074F81" w:rsidRPr="00351F0A">
        <w:rPr>
          <w:lang w:val="ru-RU"/>
        </w:rPr>
        <w:t xml:space="preserve">Резолюции </w:t>
      </w:r>
      <w:r w:rsidR="00033931" w:rsidRPr="00351F0A">
        <w:rPr>
          <w:lang w:val="ru-RU"/>
        </w:rPr>
        <w:t xml:space="preserve">об использовании частотных присвоений </w:t>
      </w:r>
      <w:r w:rsidR="00074F81" w:rsidRPr="00351F0A">
        <w:rPr>
          <w:lang w:val="ru-RU"/>
        </w:rPr>
        <w:t xml:space="preserve">военным радиооборудованием </w:t>
      </w:r>
      <w:r w:rsidR="00033931" w:rsidRPr="00351F0A">
        <w:rPr>
          <w:lang w:val="ru-RU"/>
        </w:rPr>
        <w:t>для таких служб.</w:t>
      </w:r>
    </w:p>
    <w:p w14:paraId="3960DCA4" w14:textId="07A66EF8" w:rsidR="00DC4F1B" w:rsidRPr="00351F0A" w:rsidRDefault="00034277" w:rsidP="00034277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COM5/2 (</w:t>
      </w:r>
      <w:r w:rsidRPr="00351F0A">
        <w:rPr>
          <w:b/>
          <w:bCs/>
          <w:lang w:val="ru-RU"/>
        </w:rPr>
        <w:t xml:space="preserve">Бухарест, 2022 г.) − </w:t>
      </w:r>
      <w:r w:rsidR="000539D9" w:rsidRPr="00351F0A">
        <w:rPr>
          <w:b/>
          <w:bCs/>
          <w:lang w:val="ru-RU"/>
        </w:rPr>
        <w:t xml:space="preserve">Управление обеспечением непрерывности деятельности МСЭ на период </w:t>
      </w:r>
      <w:r w:rsidR="00033931" w:rsidRPr="00351F0A">
        <w:rPr>
          <w:b/>
          <w:bCs/>
          <w:lang w:val="ru-RU"/>
        </w:rPr>
        <w:t>2023–2026</w:t>
      </w:r>
      <w:r w:rsidR="000539D9" w:rsidRPr="00351F0A">
        <w:rPr>
          <w:b/>
          <w:bCs/>
          <w:lang w:val="ru-RU"/>
        </w:rPr>
        <w:t> годов</w:t>
      </w:r>
    </w:p>
    <w:p w14:paraId="53FD3FF1" w14:textId="517BED6F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4.3</w:t>
      </w:r>
      <w:r w:rsidRPr="00351F0A">
        <w:rPr>
          <w:lang w:val="ru-RU"/>
        </w:rPr>
        <w:tab/>
      </w:r>
      <w:r w:rsidR="00A73116" w:rsidRPr="00351F0A">
        <w:rPr>
          <w:b/>
          <w:bCs/>
          <w:lang w:val="ru-RU"/>
        </w:rPr>
        <w:t>Принимается</w:t>
      </w:r>
      <w:r w:rsidRPr="00351F0A">
        <w:rPr>
          <w:lang w:val="ru-RU"/>
        </w:rPr>
        <w:t>.</w:t>
      </w:r>
    </w:p>
    <w:p w14:paraId="358ADB84" w14:textId="2E790DBE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4.4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Семнадцатая серия текстов, представленных Редакционным комитетом для первого чтения (B17)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</w:t>
      </w:r>
      <w:r w:rsidR="00F73E69" w:rsidRPr="00351F0A">
        <w:rPr>
          <w:lang w:val="ru-RU"/>
        </w:rPr>
        <w:t> </w:t>
      </w:r>
      <w:r w:rsidRPr="00351F0A">
        <w:rPr>
          <w:lang w:val="ru-RU"/>
        </w:rPr>
        <w:t>173)</w:t>
      </w:r>
      <w:r w:rsidR="00A73116" w:rsidRPr="00351F0A">
        <w:rPr>
          <w:lang w:val="ru-RU"/>
        </w:rPr>
        <w:t>,</w:t>
      </w:r>
      <w:r w:rsidRPr="00351F0A">
        <w:rPr>
          <w:lang w:val="ru-RU"/>
        </w:rPr>
        <w:t xml:space="preserve"> </w:t>
      </w:r>
      <w:r w:rsidR="00A73116" w:rsidRPr="00351F0A">
        <w:rPr>
          <w:b/>
          <w:lang w:val="ru-RU"/>
        </w:rPr>
        <w:t>утверждается</w:t>
      </w:r>
      <w:r w:rsidRPr="00351F0A">
        <w:rPr>
          <w:lang w:val="ru-RU"/>
        </w:rPr>
        <w:t>.</w:t>
      </w:r>
    </w:p>
    <w:p w14:paraId="2B141E10" w14:textId="2F11E94A" w:rsidR="00DC4F1B" w:rsidRPr="00351F0A" w:rsidRDefault="00DC4F1B" w:rsidP="00DC4F1B">
      <w:pPr>
        <w:pStyle w:val="Heading1"/>
        <w:rPr>
          <w:lang w:val="ru-RU"/>
        </w:rPr>
      </w:pPr>
      <w:r w:rsidRPr="00351F0A">
        <w:rPr>
          <w:lang w:val="ru-RU"/>
        </w:rPr>
        <w:t>5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Семнадцатая серия текстов, представленных Редакционным комитетом – второе чтение </w:t>
      </w:r>
      <w:r w:rsidRPr="00351F0A">
        <w:rPr>
          <w:lang w:val="ru-RU"/>
        </w:rPr>
        <w:t>(</w:t>
      </w:r>
      <w:r w:rsidR="00034277" w:rsidRPr="00351F0A">
        <w:rPr>
          <w:lang w:val="ru-RU"/>
        </w:rPr>
        <w:t>Документ</w:t>
      </w:r>
      <w:r w:rsidR="00351F0A">
        <w:rPr>
          <w:lang w:val="en-US"/>
        </w:rPr>
        <w:t> </w:t>
      </w:r>
      <w:hyperlink r:id="rId26" w:history="1">
        <w:r w:rsidRPr="00351F0A">
          <w:rPr>
            <w:rStyle w:val="Hyperlink"/>
            <w:rFonts w:asciiTheme="minorHAnsi" w:hAnsiTheme="minorHAnsi" w:cstheme="minorHAnsi"/>
            <w:szCs w:val="24"/>
            <w:lang w:val="ru-RU"/>
          </w:rPr>
          <w:t>173</w:t>
        </w:r>
      </w:hyperlink>
      <w:r w:rsidRPr="00351F0A">
        <w:rPr>
          <w:lang w:val="ru-RU"/>
        </w:rPr>
        <w:t>)</w:t>
      </w:r>
    </w:p>
    <w:p w14:paraId="3DD20DC0" w14:textId="7ABF8A37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5.1</w:t>
      </w:r>
      <w:r w:rsidRPr="00351F0A">
        <w:rPr>
          <w:lang w:val="ru-RU"/>
        </w:rPr>
        <w:tab/>
      </w:r>
      <w:r w:rsidR="00034277" w:rsidRPr="00351F0A">
        <w:rPr>
          <w:lang w:val="ru-RU"/>
        </w:rPr>
        <w:t xml:space="preserve">Семнадцатая серия текстов, представленных Редакционным комитетом </w:t>
      </w:r>
      <w:r w:rsidRPr="00351F0A">
        <w:rPr>
          <w:lang w:val="ru-RU"/>
        </w:rPr>
        <w:t>(</w:t>
      </w:r>
      <w:r w:rsidR="00F73E69" w:rsidRPr="00351F0A">
        <w:rPr>
          <w:lang w:val="ru-RU"/>
        </w:rPr>
        <w:t>Документ </w:t>
      </w:r>
      <w:r w:rsidRPr="00351F0A">
        <w:rPr>
          <w:lang w:val="ru-RU"/>
        </w:rPr>
        <w:t>173)</w:t>
      </w:r>
      <w:r w:rsidR="00A73116" w:rsidRPr="00351F0A">
        <w:rPr>
          <w:lang w:val="ru-RU"/>
        </w:rPr>
        <w:t>,</w:t>
      </w:r>
      <w:r w:rsidRPr="00351F0A">
        <w:rPr>
          <w:lang w:val="ru-RU"/>
        </w:rPr>
        <w:t xml:space="preserve"> </w:t>
      </w:r>
      <w:r w:rsidR="00A73116" w:rsidRPr="00351F0A">
        <w:rPr>
          <w:b/>
          <w:bCs/>
          <w:lang w:val="ru-RU"/>
        </w:rPr>
        <w:t>утверждается</w:t>
      </w:r>
      <w:r w:rsidR="00A73116" w:rsidRPr="00351F0A">
        <w:rPr>
          <w:lang w:val="ru-RU"/>
        </w:rPr>
        <w:t xml:space="preserve"> во втором чтении</w:t>
      </w:r>
      <w:r w:rsidRPr="00351F0A">
        <w:rPr>
          <w:lang w:val="ru-RU"/>
        </w:rPr>
        <w:t>.</w:t>
      </w:r>
    </w:p>
    <w:p w14:paraId="3E665298" w14:textId="4EDCE9BC" w:rsidR="00DC4F1B" w:rsidRPr="00351F0A" w:rsidRDefault="00DC4F1B" w:rsidP="00DC4F1B">
      <w:pPr>
        <w:pStyle w:val="Heading1"/>
        <w:rPr>
          <w:lang w:val="ru-RU"/>
        </w:rPr>
      </w:pPr>
      <w:r w:rsidRPr="00351F0A">
        <w:rPr>
          <w:lang w:val="ru-RU"/>
        </w:rPr>
        <w:t>6</w:t>
      </w:r>
      <w:r w:rsidRPr="00351F0A">
        <w:rPr>
          <w:lang w:val="ru-RU"/>
        </w:rPr>
        <w:tab/>
      </w:r>
      <w:r w:rsidR="00F73E69" w:rsidRPr="00351F0A">
        <w:rPr>
          <w:lang w:val="ru-RU"/>
        </w:rPr>
        <w:t xml:space="preserve">Восемнадцатая серия текстов, представленных Редакционным комитетом для первого чтения (B18) </w:t>
      </w:r>
      <w:r w:rsidRPr="00351F0A">
        <w:rPr>
          <w:lang w:val="ru-RU"/>
        </w:rPr>
        <w:t>(</w:t>
      </w:r>
      <w:r w:rsidR="00F73E69" w:rsidRPr="00351F0A">
        <w:rPr>
          <w:lang w:val="ru-RU"/>
        </w:rPr>
        <w:t>Документ </w:t>
      </w:r>
      <w:hyperlink r:id="rId27" w:history="1">
        <w:r w:rsidRPr="00351F0A">
          <w:rPr>
            <w:rStyle w:val="Hyperlink"/>
            <w:rFonts w:asciiTheme="minorHAnsi" w:hAnsiTheme="minorHAnsi" w:cstheme="minorHAnsi"/>
            <w:szCs w:val="24"/>
            <w:lang w:val="ru-RU"/>
          </w:rPr>
          <w:t>174</w:t>
        </w:r>
      </w:hyperlink>
      <w:r w:rsidRPr="00351F0A">
        <w:rPr>
          <w:lang w:val="ru-RU"/>
        </w:rPr>
        <w:t>)</w:t>
      </w:r>
    </w:p>
    <w:p w14:paraId="767B74DF" w14:textId="2B23972B" w:rsidR="00DC4F1B" w:rsidRPr="00351F0A" w:rsidRDefault="00F73E69" w:rsidP="00F73E69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64 (</w:t>
      </w:r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 xml:space="preserve">. Бухарест, 2022 г.) − </w:t>
      </w:r>
      <w:r w:rsidR="000539D9" w:rsidRPr="00351F0A">
        <w:rPr>
          <w:b/>
          <w:bCs/>
          <w:lang w:val="ru-RU"/>
        </w:rPr>
        <w:t>Недискриминационный доступ к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 взаимно согласованных условиях</w:t>
      </w:r>
    </w:p>
    <w:p w14:paraId="793F7F2D" w14:textId="3762CE77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6.1</w:t>
      </w:r>
      <w:r w:rsidRPr="00351F0A">
        <w:rPr>
          <w:lang w:val="ru-RU"/>
        </w:rPr>
        <w:tab/>
      </w:r>
      <w:r w:rsidR="00793DDB" w:rsidRPr="00351F0A">
        <w:rPr>
          <w:b/>
          <w:bCs/>
          <w:lang w:val="ru-RU"/>
        </w:rPr>
        <w:t>Принимается</w:t>
      </w:r>
      <w:r w:rsidRPr="00351F0A">
        <w:rPr>
          <w:lang w:val="ru-RU"/>
        </w:rPr>
        <w:t>.</w:t>
      </w:r>
    </w:p>
    <w:p w14:paraId="13FEDE68" w14:textId="7A4DE112" w:rsidR="00DC4F1B" w:rsidRPr="00351F0A" w:rsidRDefault="00F73E69" w:rsidP="00F73E69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131 (</w:t>
      </w:r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 xml:space="preserve">. Бухарест, 2022 г.) − </w:t>
      </w:r>
      <w:bookmarkStart w:id="12" w:name="_Toc407102933"/>
      <w:bookmarkStart w:id="13" w:name="_Toc536109934"/>
      <w:r w:rsidR="000539D9" w:rsidRPr="00351F0A">
        <w:rPr>
          <w:b/>
          <w:bCs/>
          <w:lang w:val="ru-RU"/>
        </w:rPr>
        <w:t xml:space="preserve">Измерение информационно-коммуникационных технологий </w:t>
      </w:r>
      <w:proofErr w:type="gramStart"/>
      <w:r w:rsidR="000539D9" w:rsidRPr="00351F0A">
        <w:rPr>
          <w:b/>
          <w:bCs/>
          <w:lang w:val="ru-RU"/>
        </w:rPr>
        <w:t>для построения</w:t>
      </w:r>
      <w:proofErr w:type="gramEnd"/>
      <w:r w:rsidR="000539D9" w:rsidRPr="00351F0A">
        <w:rPr>
          <w:b/>
          <w:bCs/>
          <w:lang w:val="ru-RU"/>
        </w:rPr>
        <w:t xml:space="preserve"> объединяющего и открытого для всех информационного общества</w:t>
      </w:r>
      <w:bookmarkEnd w:id="12"/>
      <w:bookmarkEnd w:id="13"/>
    </w:p>
    <w:p w14:paraId="33A6F567" w14:textId="058CCC03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6.2</w:t>
      </w:r>
      <w:r w:rsidRPr="00351F0A">
        <w:rPr>
          <w:lang w:val="ru-RU"/>
        </w:rPr>
        <w:tab/>
      </w:r>
      <w:r w:rsidR="00793DDB" w:rsidRPr="00351F0A">
        <w:rPr>
          <w:b/>
          <w:bCs/>
          <w:lang w:val="ru-RU"/>
        </w:rPr>
        <w:t>Председатель Редакционного комитета</w:t>
      </w:r>
      <w:r w:rsidR="00033931" w:rsidRPr="00351F0A">
        <w:rPr>
          <w:lang w:val="ru-RU"/>
        </w:rPr>
        <w:t xml:space="preserve"> обраща</w:t>
      </w:r>
      <w:r w:rsidR="00C95B0A" w:rsidRPr="00351F0A">
        <w:rPr>
          <w:lang w:val="ru-RU"/>
        </w:rPr>
        <w:t>ет</w:t>
      </w:r>
      <w:r w:rsidR="00033931" w:rsidRPr="00351F0A">
        <w:rPr>
          <w:lang w:val="ru-RU"/>
        </w:rPr>
        <w:t xml:space="preserve"> внимание на</w:t>
      </w:r>
      <w:r w:rsidR="00C95B0A" w:rsidRPr="00351F0A">
        <w:rPr>
          <w:lang w:val="ru-RU"/>
        </w:rPr>
        <w:t xml:space="preserve"> пункт b) раздела </w:t>
      </w:r>
      <w:r w:rsidR="00C95B0A" w:rsidRPr="00351F0A">
        <w:rPr>
          <w:i/>
          <w:iCs/>
          <w:lang w:val="ru-RU"/>
        </w:rPr>
        <w:t>напоминая</w:t>
      </w:r>
      <w:r w:rsidR="00033931" w:rsidRPr="00351F0A">
        <w:rPr>
          <w:lang w:val="ru-RU"/>
        </w:rPr>
        <w:t xml:space="preserve"> </w:t>
      </w:r>
      <w:r w:rsidR="00C95B0A" w:rsidRPr="00351F0A">
        <w:rPr>
          <w:lang w:val="ru-RU"/>
        </w:rPr>
        <w:t>и</w:t>
      </w:r>
      <w:r w:rsidR="00033931" w:rsidRPr="00351F0A">
        <w:rPr>
          <w:lang w:val="ru-RU"/>
        </w:rPr>
        <w:t xml:space="preserve"> говорит, что проект </w:t>
      </w:r>
      <w:r w:rsidR="00C95B0A" w:rsidRPr="00351F0A">
        <w:rPr>
          <w:lang w:val="ru-RU"/>
        </w:rPr>
        <w:t xml:space="preserve">Резолюции </w:t>
      </w:r>
      <w:r w:rsidR="00033931" w:rsidRPr="00351F0A">
        <w:rPr>
          <w:lang w:val="ru-RU"/>
        </w:rPr>
        <w:t>131 (</w:t>
      </w:r>
      <w:proofErr w:type="spellStart"/>
      <w:r w:rsidR="00033931" w:rsidRPr="00351F0A">
        <w:rPr>
          <w:lang w:val="ru-RU"/>
        </w:rPr>
        <w:t>Пересм</w:t>
      </w:r>
      <w:proofErr w:type="spellEnd"/>
      <w:r w:rsidR="00033931" w:rsidRPr="00351F0A">
        <w:rPr>
          <w:lang w:val="ru-RU"/>
        </w:rPr>
        <w:t xml:space="preserve">. Бухарест, 2022 г.) содержит подробную ссылку на формулировку в </w:t>
      </w:r>
      <w:r w:rsidR="00C95B0A" w:rsidRPr="00351F0A">
        <w:rPr>
          <w:lang w:val="ru-RU"/>
        </w:rPr>
        <w:t xml:space="preserve">Резолюции </w:t>
      </w:r>
      <w:r w:rsidR="00033931" w:rsidRPr="00351F0A">
        <w:rPr>
          <w:lang w:val="ru-RU"/>
        </w:rPr>
        <w:t>71, котор</w:t>
      </w:r>
      <w:r w:rsidR="008D6696" w:rsidRPr="00351F0A">
        <w:rPr>
          <w:lang w:val="ru-RU"/>
        </w:rPr>
        <w:t>ая</w:t>
      </w:r>
      <w:r w:rsidR="00033931" w:rsidRPr="00351F0A">
        <w:rPr>
          <w:lang w:val="ru-RU"/>
        </w:rPr>
        <w:t xml:space="preserve"> еще не </w:t>
      </w:r>
      <w:r w:rsidR="008D6696" w:rsidRPr="00351F0A">
        <w:rPr>
          <w:lang w:val="ru-RU"/>
        </w:rPr>
        <w:t>принята</w:t>
      </w:r>
      <w:r w:rsidR="00033931" w:rsidRPr="00351F0A">
        <w:rPr>
          <w:lang w:val="ru-RU"/>
        </w:rPr>
        <w:t xml:space="preserve">, и что соответствующий текст был заключен в квадратные скобки. Поэтому </w:t>
      </w:r>
      <w:r w:rsidR="00C95B0A" w:rsidRPr="00351F0A">
        <w:rPr>
          <w:lang w:val="ru-RU"/>
        </w:rPr>
        <w:t xml:space="preserve">участники </w:t>
      </w:r>
      <w:r w:rsidR="008D6696" w:rsidRPr="00351F0A">
        <w:rPr>
          <w:lang w:val="ru-RU"/>
        </w:rPr>
        <w:t>заседания</w:t>
      </w:r>
      <w:r w:rsidR="00033931" w:rsidRPr="00351F0A">
        <w:rPr>
          <w:lang w:val="ru-RU"/>
        </w:rPr>
        <w:t>, возможно, пожела</w:t>
      </w:r>
      <w:r w:rsidR="00C95B0A" w:rsidRPr="00351F0A">
        <w:rPr>
          <w:lang w:val="ru-RU"/>
        </w:rPr>
        <w:t>ю</w:t>
      </w:r>
      <w:r w:rsidR="00033931" w:rsidRPr="00351F0A">
        <w:rPr>
          <w:lang w:val="ru-RU"/>
        </w:rPr>
        <w:t xml:space="preserve">т либо направить проект </w:t>
      </w:r>
      <w:r w:rsidR="00C95B0A" w:rsidRPr="00351F0A">
        <w:rPr>
          <w:lang w:val="ru-RU"/>
        </w:rPr>
        <w:t>Резолюции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 xml:space="preserve">131 обратно в Рабочую группу пленарного заседания для внесения любых последующих изменений в текст, заключенный в скобки, после принятия </w:t>
      </w:r>
      <w:r w:rsidR="00C95B0A" w:rsidRPr="00351F0A">
        <w:rPr>
          <w:lang w:val="ru-RU"/>
        </w:rPr>
        <w:t xml:space="preserve">Резолюции </w:t>
      </w:r>
      <w:r w:rsidR="00033931" w:rsidRPr="00351F0A">
        <w:rPr>
          <w:lang w:val="ru-RU"/>
        </w:rPr>
        <w:t>71, либо исключить текст, заключенный в скобки.</w:t>
      </w:r>
    </w:p>
    <w:p w14:paraId="27213E0C" w14:textId="5F64A42A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6.3</w:t>
      </w:r>
      <w:r w:rsidRPr="00351F0A">
        <w:rPr>
          <w:lang w:val="ru-RU"/>
        </w:rPr>
        <w:tab/>
      </w:r>
      <w:r w:rsidR="00033931" w:rsidRPr="00351F0A">
        <w:rPr>
          <w:lang w:val="ru-RU"/>
        </w:rPr>
        <w:t>После обсуждения, в котором прин</w:t>
      </w:r>
      <w:r w:rsidR="00C95B0A" w:rsidRPr="00351F0A">
        <w:rPr>
          <w:lang w:val="ru-RU"/>
        </w:rPr>
        <w:t>имают</w:t>
      </w:r>
      <w:r w:rsidR="00033931" w:rsidRPr="00351F0A">
        <w:rPr>
          <w:lang w:val="ru-RU"/>
        </w:rPr>
        <w:t xml:space="preserve"> участие </w:t>
      </w:r>
      <w:r w:rsidR="00033931" w:rsidRPr="00351F0A">
        <w:rPr>
          <w:b/>
          <w:bCs/>
          <w:lang w:val="ru-RU"/>
        </w:rPr>
        <w:t>делегаты от Исламской Республики Иран</w:t>
      </w:r>
      <w:r w:rsidR="00033931" w:rsidRPr="00351F0A">
        <w:rPr>
          <w:lang w:val="ru-RU"/>
        </w:rPr>
        <w:t xml:space="preserve">, </w:t>
      </w:r>
      <w:r w:rsidR="00033931" w:rsidRPr="00351F0A">
        <w:rPr>
          <w:b/>
          <w:bCs/>
          <w:lang w:val="ru-RU"/>
        </w:rPr>
        <w:t>Бразилии</w:t>
      </w:r>
      <w:r w:rsidR="00033931" w:rsidRPr="00351F0A">
        <w:rPr>
          <w:lang w:val="ru-RU"/>
        </w:rPr>
        <w:t xml:space="preserve">, </w:t>
      </w:r>
      <w:r w:rsidR="00033931" w:rsidRPr="00351F0A">
        <w:rPr>
          <w:b/>
          <w:bCs/>
          <w:lang w:val="ru-RU"/>
        </w:rPr>
        <w:t>Иордании</w:t>
      </w:r>
      <w:r w:rsidR="00033931" w:rsidRPr="00351F0A">
        <w:rPr>
          <w:lang w:val="ru-RU"/>
        </w:rPr>
        <w:t xml:space="preserve">, </w:t>
      </w:r>
      <w:r w:rsidR="00033931" w:rsidRPr="00351F0A">
        <w:rPr>
          <w:b/>
          <w:bCs/>
          <w:lang w:val="ru-RU"/>
        </w:rPr>
        <w:t>Российской Федерации</w:t>
      </w:r>
      <w:r w:rsidR="00033931" w:rsidRPr="00351F0A">
        <w:rPr>
          <w:lang w:val="ru-RU"/>
        </w:rPr>
        <w:t xml:space="preserve"> и </w:t>
      </w:r>
      <w:r w:rsidR="00033931" w:rsidRPr="00351F0A">
        <w:rPr>
          <w:b/>
          <w:bCs/>
          <w:lang w:val="ru-RU"/>
        </w:rPr>
        <w:t>Соединенного Королевства</w:t>
      </w:r>
      <w:r w:rsidR="00033931" w:rsidRPr="00351F0A">
        <w:rPr>
          <w:lang w:val="ru-RU"/>
        </w:rPr>
        <w:t xml:space="preserve">, </w:t>
      </w:r>
      <w:r w:rsidR="00033931" w:rsidRPr="00351F0A">
        <w:rPr>
          <w:b/>
          <w:bCs/>
          <w:lang w:val="ru-RU"/>
        </w:rPr>
        <w:t>Председатель</w:t>
      </w:r>
      <w:r w:rsidR="00033931" w:rsidRPr="00351F0A">
        <w:rPr>
          <w:lang w:val="ru-RU"/>
        </w:rPr>
        <w:t xml:space="preserve"> предл</w:t>
      </w:r>
      <w:r w:rsidR="00C95B0A" w:rsidRPr="00351F0A">
        <w:rPr>
          <w:lang w:val="ru-RU"/>
        </w:rPr>
        <w:t xml:space="preserve">агает отложить </w:t>
      </w:r>
      <w:r w:rsidR="00033931" w:rsidRPr="00351F0A">
        <w:rPr>
          <w:lang w:val="ru-RU"/>
        </w:rPr>
        <w:t>принят</w:t>
      </w:r>
      <w:r w:rsidR="00C95B0A" w:rsidRPr="00351F0A">
        <w:rPr>
          <w:lang w:val="ru-RU"/>
        </w:rPr>
        <w:t>ие</w:t>
      </w:r>
      <w:r w:rsidR="00033931" w:rsidRPr="00351F0A">
        <w:rPr>
          <w:lang w:val="ru-RU"/>
        </w:rPr>
        <w:t xml:space="preserve"> проект</w:t>
      </w:r>
      <w:r w:rsidR="00C95B0A" w:rsidRPr="00351F0A">
        <w:rPr>
          <w:lang w:val="ru-RU"/>
        </w:rPr>
        <w:t>а</w:t>
      </w:r>
      <w:r w:rsidR="00033931" w:rsidRPr="00351F0A">
        <w:rPr>
          <w:lang w:val="ru-RU"/>
        </w:rPr>
        <w:t xml:space="preserve"> </w:t>
      </w:r>
      <w:r w:rsidR="00C95B0A" w:rsidRPr="00351F0A">
        <w:rPr>
          <w:lang w:val="ru-RU"/>
        </w:rPr>
        <w:t xml:space="preserve">Резолюции </w:t>
      </w:r>
      <w:r w:rsidR="00033931" w:rsidRPr="00351F0A">
        <w:rPr>
          <w:lang w:val="ru-RU"/>
        </w:rPr>
        <w:t>131 (</w:t>
      </w:r>
      <w:proofErr w:type="spellStart"/>
      <w:r w:rsidR="00033931" w:rsidRPr="00351F0A">
        <w:rPr>
          <w:lang w:val="ru-RU"/>
        </w:rPr>
        <w:t>Пересм</w:t>
      </w:r>
      <w:proofErr w:type="spellEnd"/>
      <w:r w:rsidR="00033931" w:rsidRPr="00351F0A">
        <w:rPr>
          <w:lang w:val="ru-RU"/>
        </w:rPr>
        <w:t>. Бухарест, 2022</w:t>
      </w:r>
      <w:r w:rsidR="00351F0A">
        <w:rPr>
          <w:lang w:val="en-US"/>
        </w:rPr>
        <w:t> </w:t>
      </w:r>
      <w:r w:rsidR="00033931" w:rsidRPr="00351F0A">
        <w:rPr>
          <w:lang w:val="ru-RU"/>
        </w:rPr>
        <w:t xml:space="preserve">г.) до принятия </w:t>
      </w:r>
      <w:r w:rsidR="00C95B0A" w:rsidRPr="00351F0A">
        <w:rPr>
          <w:lang w:val="ru-RU"/>
        </w:rPr>
        <w:lastRenderedPageBreak/>
        <w:t>Резолюции</w:t>
      </w:r>
      <w:r w:rsidR="00F85F07">
        <w:rPr>
          <w:lang w:val="en-US"/>
        </w:rPr>
        <w:t> </w:t>
      </w:r>
      <w:r w:rsidR="00033931" w:rsidRPr="00351F0A">
        <w:rPr>
          <w:lang w:val="ru-RU"/>
        </w:rPr>
        <w:t xml:space="preserve">71. Нет </w:t>
      </w:r>
      <w:r w:rsidR="00C95B0A" w:rsidRPr="00351F0A">
        <w:rPr>
          <w:lang w:val="ru-RU"/>
        </w:rPr>
        <w:t>оснований</w:t>
      </w:r>
      <w:r w:rsidR="00033931" w:rsidRPr="00351F0A">
        <w:rPr>
          <w:lang w:val="ru-RU"/>
        </w:rPr>
        <w:t xml:space="preserve"> возвращать текст в Рабочую группу </w:t>
      </w:r>
      <w:r w:rsidR="00C95B0A" w:rsidRPr="00351F0A">
        <w:rPr>
          <w:lang w:val="ru-RU"/>
        </w:rPr>
        <w:t>пленарного заседания</w:t>
      </w:r>
      <w:r w:rsidR="00033931" w:rsidRPr="00351F0A">
        <w:rPr>
          <w:lang w:val="ru-RU"/>
        </w:rPr>
        <w:t>; необходимые изменения в текст в квадратных скобках может внести Редакционный комитет.</w:t>
      </w:r>
    </w:p>
    <w:p w14:paraId="41560CBB" w14:textId="08CD2DBD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6.4</w:t>
      </w:r>
      <w:r w:rsidRPr="00351F0A">
        <w:rPr>
          <w:lang w:val="ru-RU"/>
        </w:rPr>
        <w:tab/>
      </w:r>
      <w:r w:rsidR="00793DDB" w:rsidRPr="00351F0A">
        <w:rPr>
          <w:lang w:val="ru-RU"/>
        </w:rPr>
        <w:t xml:space="preserve">Решение </w:t>
      </w:r>
      <w:r w:rsidR="00793DDB" w:rsidRPr="00351F0A">
        <w:rPr>
          <w:b/>
          <w:bCs/>
          <w:lang w:val="ru-RU"/>
        </w:rPr>
        <w:t>принимается</w:t>
      </w:r>
      <w:r w:rsidRPr="00351F0A">
        <w:rPr>
          <w:lang w:val="ru-RU"/>
        </w:rPr>
        <w:t>.</w:t>
      </w:r>
    </w:p>
    <w:p w14:paraId="1D332885" w14:textId="16228879" w:rsidR="00DC4F1B" w:rsidRPr="00351F0A" w:rsidRDefault="00343B1E" w:rsidP="00343B1E">
      <w:pPr>
        <w:rPr>
          <w:b/>
          <w:bCs/>
          <w:lang w:val="ru-RU"/>
        </w:rPr>
      </w:pPr>
      <w:r w:rsidRPr="00351F0A">
        <w:rPr>
          <w:b/>
          <w:bCs/>
          <w:lang w:val="ru-RU"/>
        </w:rPr>
        <w:t xml:space="preserve">Проект Резолюции </w:t>
      </w:r>
      <w:r w:rsidR="00DC4F1B" w:rsidRPr="00351F0A">
        <w:rPr>
          <w:b/>
          <w:bCs/>
          <w:lang w:val="ru-RU"/>
        </w:rPr>
        <w:t>180 (</w:t>
      </w:r>
      <w:proofErr w:type="spellStart"/>
      <w:r w:rsidRPr="00351F0A">
        <w:rPr>
          <w:b/>
          <w:bCs/>
          <w:lang w:val="ru-RU"/>
        </w:rPr>
        <w:t>Пересм</w:t>
      </w:r>
      <w:proofErr w:type="spellEnd"/>
      <w:r w:rsidRPr="00351F0A">
        <w:rPr>
          <w:b/>
          <w:bCs/>
          <w:lang w:val="ru-RU"/>
        </w:rPr>
        <w:t xml:space="preserve">. Бухарест, 2022 г.) − </w:t>
      </w:r>
      <w:bookmarkStart w:id="14" w:name="_Toc407102985"/>
      <w:bookmarkStart w:id="15" w:name="_Toc536109974"/>
      <w:r w:rsidR="000539D9" w:rsidRPr="00351F0A">
        <w:rPr>
          <w:b/>
          <w:bCs/>
          <w:lang w:val="ru-RU"/>
        </w:rPr>
        <w:t xml:space="preserve">Содействие внедрению протокола </w:t>
      </w:r>
      <w:proofErr w:type="gramStart"/>
      <w:r w:rsidR="000539D9" w:rsidRPr="00351F0A">
        <w:rPr>
          <w:b/>
          <w:bCs/>
          <w:lang w:val="ru-RU"/>
        </w:rPr>
        <w:t>Интернет версии</w:t>
      </w:r>
      <w:proofErr w:type="gramEnd"/>
      <w:r w:rsidR="000539D9" w:rsidRPr="00351F0A">
        <w:rPr>
          <w:b/>
          <w:bCs/>
          <w:lang w:val="ru-RU"/>
        </w:rPr>
        <w:t> 6</w:t>
      </w:r>
      <w:bookmarkEnd w:id="14"/>
      <w:bookmarkEnd w:id="15"/>
    </w:p>
    <w:p w14:paraId="4EA62DD6" w14:textId="3085B0A6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6.5</w:t>
      </w:r>
      <w:r w:rsidRPr="00351F0A">
        <w:rPr>
          <w:lang w:val="ru-RU"/>
        </w:rPr>
        <w:tab/>
      </w:r>
      <w:r w:rsidR="00793DDB" w:rsidRPr="00351F0A">
        <w:rPr>
          <w:b/>
          <w:bCs/>
          <w:lang w:val="ru-RU"/>
        </w:rPr>
        <w:t>Принимается</w:t>
      </w:r>
      <w:r w:rsidRPr="00351F0A">
        <w:rPr>
          <w:lang w:val="ru-RU"/>
        </w:rPr>
        <w:t>.</w:t>
      </w:r>
    </w:p>
    <w:p w14:paraId="58395B6F" w14:textId="51CFF7B3" w:rsidR="00DC4F1B" w:rsidRPr="00351F0A" w:rsidRDefault="008D6696" w:rsidP="00343B1E">
      <w:pPr>
        <w:rPr>
          <w:b/>
          <w:bCs/>
          <w:lang w:val="ru-RU"/>
        </w:rPr>
      </w:pPr>
      <w:r w:rsidRPr="00351F0A">
        <w:rPr>
          <w:rFonts w:asciiTheme="minorHAnsi" w:hAnsiTheme="minorHAnsi" w:cstheme="minorHAnsi"/>
          <w:b/>
          <w:bCs/>
          <w:sz w:val="24"/>
          <w:lang w:val="ru-RU"/>
        </w:rPr>
        <w:t>NOC</w:t>
      </w:r>
      <w:r w:rsidR="00033931" w:rsidRPr="00351F0A">
        <w:rPr>
          <w:b/>
          <w:bCs/>
          <w:lang w:val="ru-RU"/>
        </w:rPr>
        <w:t xml:space="preserve"> Резолюци</w:t>
      </w:r>
      <w:r w:rsidRPr="00351F0A">
        <w:rPr>
          <w:b/>
          <w:bCs/>
          <w:lang w:val="ru-RU"/>
        </w:rPr>
        <w:t>я</w:t>
      </w:r>
      <w:r w:rsidR="00DC4F1B" w:rsidRPr="00351F0A">
        <w:rPr>
          <w:b/>
          <w:bCs/>
          <w:lang w:val="ru-RU"/>
        </w:rPr>
        <w:t xml:space="preserve"> 206 (</w:t>
      </w:r>
      <w:r w:rsidR="00343B1E" w:rsidRPr="00351F0A">
        <w:rPr>
          <w:b/>
          <w:bCs/>
          <w:lang w:val="ru-RU"/>
        </w:rPr>
        <w:t>Дубай</w:t>
      </w:r>
      <w:r w:rsidR="00DC4F1B" w:rsidRPr="00351F0A">
        <w:rPr>
          <w:b/>
          <w:bCs/>
          <w:lang w:val="ru-RU"/>
        </w:rPr>
        <w:t>, 2018</w:t>
      </w:r>
      <w:r w:rsidR="00343B1E" w:rsidRPr="00351F0A">
        <w:rPr>
          <w:b/>
          <w:bCs/>
          <w:lang w:val="ru-RU"/>
        </w:rPr>
        <w:t> г.</w:t>
      </w:r>
      <w:r w:rsidR="00DC4F1B" w:rsidRPr="00351F0A">
        <w:rPr>
          <w:b/>
          <w:bCs/>
          <w:lang w:val="ru-RU"/>
        </w:rPr>
        <w:t>) – OTT</w:t>
      </w:r>
    </w:p>
    <w:p w14:paraId="2B75925C" w14:textId="41F27A80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6.6</w:t>
      </w:r>
      <w:r w:rsidRPr="00351F0A">
        <w:rPr>
          <w:lang w:val="ru-RU"/>
        </w:rPr>
        <w:tab/>
      </w:r>
      <w:r w:rsidR="008D6696" w:rsidRPr="00351F0A">
        <w:rPr>
          <w:b/>
          <w:bCs/>
          <w:lang w:val="ru-RU"/>
        </w:rPr>
        <w:t>Утверждается</w:t>
      </w:r>
      <w:r w:rsidRPr="00351F0A">
        <w:rPr>
          <w:lang w:val="ru-RU"/>
        </w:rPr>
        <w:t>.</w:t>
      </w:r>
    </w:p>
    <w:p w14:paraId="587C8F83" w14:textId="36434516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6.7</w:t>
      </w:r>
      <w:r w:rsidRPr="00351F0A">
        <w:rPr>
          <w:lang w:val="ru-RU"/>
        </w:rPr>
        <w:tab/>
      </w:r>
      <w:r w:rsidR="00793DDB" w:rsidRPr="00351F0A">
        <w:rPr>
          <w:lang w:val="ru-RU"/>
        </w:rPr>
        <w:t>За исключением проекта Резолюции </w:t>
      </w:r>
      <w:r w:rsidRPr="00351F0A">
        <w:rPr>
          <w:lang w:val="ru-RU"/>
        </w:rPr>
        <w:t>131 (</w:t>
      </w:r>
      <w:proofErr w:type="spellStart"/>
      <w:r w:rsidR="0064356B" w:rsidRPr="00351F0A">
        <w:rPr>
          <w:lang w:val="ru-RU"/>
        </w:rPr>
        <w:t>Пересм</w:t>
      </w:r>
      <w:proofErr w:type="spellEnd"/>
      <w:r w:rsidR="0064356B" w:rsidRPr="00351F0A">
        <w:rPr>
          <w:lang w:val="ru-RU"/>
        </w:rPr>
        <w:t>. Бухарест</w:t>
      </w:r>
      <w:r w:rsidRPr="00351F0A">
        <w:rPr>
          <w:lang w:val="ru-RU"/>
        </w:rPr>
        <w:t>, 2022</w:t>
      </w:r>
      <w:r w:rsidR="0064356B" w:rsidRPr="00351F0A">
        <w:rPr>
          <w:lang w:val="ru-RU"/>
        </w:rPr>
        <w:t> г.</w:t>
      </w:r>
      <w:r w:rsidRPr="00351F0A">
        <w:rPr>
          <w:lang w:val="ru-RU"/>
        </w:rPr>
        <w:t xml:space="preserve">), </w:t>
      </w:r>
      <w:r w:rsidR="0064356B" w:rsidRPr="00351F0A">
        <w:rPr>
          <w:lang w:val="ru-RU"/>
        </w:rPr>
        <w:t>в</w:t>
      </w:r>
      <w:r w:rsidR="00343B1E" w:rsidRPr="00351F0A">
        <w:rPr>
          <w:lang w:val="ru-RU"/>
        </w:rPr>
        <w:t xml:space="preserve">осемнадцатая серия текстов, представленных Редакционным комитетом для первого чтения </w:t>
      </w:r>
      <w:r w:rsidRPr="00351F0A">
        <w:rPr>
          <w:lang w:val="ru-RU"/>
        </w:rPr>
        <w:t>(B18) (</w:t>
      </w:r>
      <w:r w:rsidR="00343B1E" w:rsidRPr="00351F0A">
        <w:rPr>
          <w:lang w:val="ru-RU"/>
        </w:rPr>
        <w:t>Документ </w:t>
      </w:r>
      <w:r w:rsidRPr="00351F0A">
        <w:rPr>
          <w:lang w:val="ru-RU"/>
        </w:rPr>
        <w:t>174)</w:t>
      </w:r>
      <w:r w:rsidR="00A73116" w:rsidRPr="00351F0A">
        <w:rPr>
          <w:lang w:val="ru-RU"/>
        </w:rPr>
        <w:t>,</w:t>
      </w:r>
      <w:r w:rsidRPr="00351F0A">
        <w:rPr>
          <w:lang w:val="ru-RU"/>
        </w:rPr>
        <w:t xml:space="preserve"> </w:t>
      </w:r>
      <w:r w:rsidR="00A73116" w:rsidRPr="00351F0A">
        <w:rPr>
          <w:b/>
          <w:lang w:val="ru-RU"/>
        </w:rPr>
        <w:t>утверждается</w:t>
      </w:r>
      <w:r w:rsidRPr="00351F0A">
        <w:rPr>
          <w:lang w:val="ru-RU"/>
        </w:rPr>
        <w:t>.</w:t>
      </w:r>
    </w:p>
    <w:p w14:paraId="3D9A885B" w14:textId="763AC47C" w:rsidR="00DC4F1B" w:rsidRPr="00351F0A" w:rsidRDefault="00DC4F1B" w:rsidP="00DC4F1B">
      <w:pPr>
        <w:pStyle w:val="Heading1"/>
        <w:rPr>
          <w:lang w:val="ru-RU"/>
        </w:rPr>
      </w:pPr>
      <w:r w:rsidRPr="00351F0A">
        <w:rPr>
          <w:lang w:val="ru-RU"/>
        </w:rPr>
        <w:t>7</w:t>
      </w:r>
      <w:r w:rsidRPr="00351F0A">
        <w:rPr>
          <w:lang w:val="ru-RU"/>
        </w:rPr>
        <w:tab/>
      </w:r>
      <w:r w:rsidR="0064356B" w:rsidRPr="00351F0A">
        <w:rPr>
          <w:lang w:val="ru-RU"/>
        </w:rPr>
        <w:t xml:space="preserve">Восемнадцатая серия текстов, представленных Редакционным комитетом – второе чтение </w:t>
      </w:r>
      <w:r w:rsidRPr="00351F0A">
        <w:rPr>
          <w:lang w:val="ru-RU"/>
        </w:rPr>
        <w:t>(Документ </w:t>
      </w:r>
      <w:hyperlink r:id="rId28" w:history="1">
        <w:r w:rsidRPr="00351F0A">
          <w:rPr>
            <w:rStyle w:val="Hyperlink"/>
            <w:rFonts w:asciiTheme="minorHAnsi" w:hAnsiTheme="minorHAnsi" w:cstheme="minorHAnsi"/>
            <w:szCs w:val="24"/>
            <w:lang w:val="ru-RU"/>
          </w:rPr>
          <w:t>174</w:t>
        </w:r>
      </w:hyperlink>
      <w:r w:rsidRPr="00351F0A">
        <w:rPr>
          <w:lang w:val="ru-RU"/>
        </w:rPr>
        <w:t>)</w:t>
      </w:r>
    </w:p>
    <w:p w14:paraId="6C6DD6E2" w14:textId="14CB94C4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7.1</w:t>
      </w:r>
      <w:r w:rsidRPr="00351F0A">
        <w:rPr>
          <w:lang w:val="ru-RU"/>
        </w:rPr>
        <w:tab/>
      </w:r>
      <w:r w:rsidR="00793DDB" w:rsidRPr="00351F0A">
        <w:rPr>
          <w:lang w:val="ru-RU"/>
        </w:rPr>
        <w:t>За исключением проекта Резолюции </w:t>
      </w:r>
      <w:r w:rsidRPr="00351F0A">
        <w:rPr>
          <w:lang w:val="ru-RU"/>
        </w:rPr>
        <w:t>131 (</w:t>
      </w:r>
      <w:proofErr w:type="spellStart"/>
      <w:r w:rsidR="0064356B" w:rsidRPr="00351F0A">
        <w:rPr>
          <w:lang w:val="ru-RU"/>
        </w:rPr>
        <w:t>Пересм</w:t>
      </w:r>
      <w:proofErr w:type="spellEnd"/>
      <w:r w:rsidR="0064356B" w:rsidRPr="00351F0A">
        <w:rPr>
          <w:lang w:val="ru-RU"/>
        </w:rPr>
        <w:t>. Бухарест</w:t>
      </w:r>
      <w:r w:rsidRPr="00351F0A">
        <w:rPr>
          <w:lang w:val="ru-RU"/>
        </w:rPr>
        <w:t>, 2022</w:t>
      </w:r>
      <w:r w:rsidR="0064356B" w:rsidRPr="00351F0A">
        <w:rPr>
          <w:lang w:val="ru-RU"/>
        </w:rPr>
        <w:t> г.</w:t>
      </w:r>
      <w:r w:rsidRPr="00351F0A">
        <w:rPr>
          <w:lang w:val="ru-RU"/>
        </w:rPr>
        <w:t xml:space="preserve">), </w:t>
      </w:r>
      <w:r w:rsidR="00785297" w:rsidRPr="00351F0A">
        <w:rPr>
          <w:lang w:val="ru-RU"/>
        </w:rPr>
        <w:t>восемнадцатая серия текстов, представленных Редакционным комитетом</w:t>
      </w:r>
      <w:r w:rsidRPr="00351F0A">
        <w:rPr>
          <w:lang w:val="ru-RU"/>
        </w:rPr>
        <w:t xml:space="preserve"> (</w:t>
      </w:r>
      <w:r w:rsidR="0064356B" w:rsidRPr="00351F0A">
        <w:rPr>
          <w:lang w:val="ru-RU"/>
        </w:rPr>
        <w:t>Документ </w:t>
      </w:r>
      <w:r w:rsidRPr="00351F0A">
        <w:rPr>
          <w:lang w:val="ru-RU"/>
        </w:rPr>
        <w:t>174)</w:t>
      </w:r>
      <w:r w:rsidR="00A73116" w:rsidRPr="00351F0A">
        <w:rPr>
          <w:lang w:val="ru-RU"/>
        </w:rPr>
        <w:t>,</w:t>
      </w:r>
      <w:r w:rsidRPr="00351F0A">
        <w:rPr>
          <w:lang w:val="ru-RU"/>
        </w:rPr>
        <w:t xml:space="preserve"> </w:t>
      </w:r>
      <w:r w:rsidR="00A73116" w:rsidRPr="00351F0A">
        <w:rPr>
          <w:b/>
          <w:bCs/>
          <w:lang w:val="ru-RU"/>
        </w:rPr>
        <w:t>утверждается</w:t>
      </w:r>
      <w:r w:rsidR="00A73116" w:rsidRPr="00351F0A">
        <w:rPr>
          <w:lang w:val="ru-RU"/>
        </w:rPr>
        <w:t xml:space="preserve"> во втором чтении</w:t>
      </w:r>
      <w:r w:rsidRPr="00351F0A">
        <w:rPr>
          <w:lang w:val="ru-RU"/>
        </w:rPr>
        <w:t>.</w:t>
      </w:r>
    </w:p>
    <w:p w14:paraId="4CD99569" w14:textId="2E2F9930" w:rsidR="00DC4F1B" w:rsidRPr="00351F0A" w:rsidRDefault="00DC4F1B" w:rsidP="00DC4F1B">
      <w:pPr>
        <w:pStyle w:val="Heading1"/>
        <w:rPr>
          <w:rFonts w:asciiTheme="minorHAnsi" w:hAnsiTheme="minorHAnsi" w:cstheme="minorHAnsi"/>
          <w:bCs/>
          <w:szCs w:val="24"/>
          <w:lang w:val="ru-RU"/>
        </w:rPr>
      </w:pPr>
      <w:r w:rsidRPr="00351F0A">
        <w:rPr>
          <w:rFonts w:asciiTheme="minorHAnsi" w:hAnsiTheme="minorHAnsi" w:cstheme="minorHAnsi"/>
          <w:bCs/>
          <w:szCs w:val="24"/>
          <w:lang w:val="ru-RU"/>
        </w:rPr>
        <w:t>8</w:t>
      </w:r>
      <w:r w:rsidRPr="00351F0A">
        <w:rPr>
          <w:rFonts w:asciiTheme="minorHAnsi" w:hAnsiTheme="minorHAnsi" w:cstheme="minorHAnsi"/>
          <w:bCs/>
          <w:szCs w:val="24"/>
          <w:lang w:val="ru-RU"/>
        </w:rPr>
        <w:tab/>
      </w:r>
      <w:r w:rsidR="007230AF" w:rsidRPr="00351F0A">
        <w:rPr>
          <w:rFonts w:asciiTheme="minorHAnsi" w:hAnsiTheme="minorHAnsi" w:cstheme="minorHAnsi"/>
          <w:bCs/>
          <w:szCs w:val="24"/>
          <w:lang w:val="ru-RU"/>
        </w:rPr>
        <w:t xml:space="preserve">Утверждение протоколов </w:t>
      </w:r>
      <w:r w:rsidRPr="00351F0A">
        <w:rPr>
          <w:rFonts w:asciiTheme="minorHAnsi" w:hAnsiTheme="minorHAnsi" w:cstheme="minorHAnsi"/>
          <w:bCs/>
          <w:szCs w:val="24"/>
          <w:lang w:val="ru-RU"/>
        </w:rPr>
        <w:t>(Документы</w:t>
      </w:r>
      <w:r w:rsidR="00785297" w:rsidRPr="00351F0A">
        <w:rPr>
          <w:rFonts w:asciiTheme="minorHAnsi" w:hAnsiTheme="minorHAnsi" w:cstheme="minorHAnsi"/>
          <w:bCs/>
          <w:szCs w:val="24"/>
          <w:lang w:val="ru-RU"/>
        </w:rPr>
        <w:t> </w:t>
      </w:r>
      <w:hyperlink r:id="rId29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107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0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108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1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115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2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116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3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117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4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118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5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139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6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140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, </w:t>
      </w:r>
      <w:hyperlink r:id="rId37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141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 xml:space="preserve"> и </w:t>
      </w:r>
      <w:hyperlink r:id="rId38" w:history="1">
        <w:r w:rsidRPr="00351F0A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142</w:t>
        </w:r>
      </w:hyperlink>
      <w:r w:rsidRPr="00351F0A">
        <w:rPr>
          <w:rFonts w:asciiTheme="minorHAnsi" w:hAnsiTheme="minorHAnsi" w:cstheme="minorHAnsi"/>
          <w:bCs/>
          <w:szCs w:val="24"/>
          <w:lang w:val="ru-RU"/>
        </w:rPr>
        <w:t>)</w:t>
      </w:r>
    </w:p>
    <w:p w14:paraId="5245B9FB" w14:textId="523095B2" w:rsidR="00DC4F1B" w:rsidRPr="00351F0A" w:rsidRDefault="00DC4F1B" w:rsidP="00DC4F1B">
      <w:pPr>
        <w:rPr>
          <w:lang w:val="ru-RU"/>
        </w:rPr>
      </w:pPr>
      <w:r w:rsidRPr="00351F0A">
        <w:rPr>
          <w:lang w:val="ru-RU"/>
        </w:rPr>
        <w:t>8.1</w:t>
      </w:r>
      <w:r w:rsidRPr="00351F0A">
        <w:rPr>
          <w:lang w:val="ru-RU"/>
        </w:rPr>
        <w:tab/>
      </w:r>
      <w:r w:rsidR="00746C4E" w:rsidRPr="00351F0A">
        <w:rPr>
          <w:lang w:val="ru-RU"/>
        </w:rPr>
        <w:t xml:space="preserve">С учетом </w:t>
      </w:r>
      <w:r w:rsidR="00033931" w:rsidRPr="00351F0A">
        <w:rPr>
          <w:lang w:val="ru-RU"/>
        </w:rPr>
        <w:t xml:space="preserve">вставки </w:t>
      </w:r>
      <w:r w:rsidR="00746C4E" w:rsidRPr="00351F0A">
        <w:rPr>
          <w:lang w:val="ru-RU"/>
        </w:rPr>
        <w:t xml:space="preserve">текста </w:t>
      </w:r>
      <w:r w:rsidR="008C5D86" w:rsidRPr="00351F0A">
        <w:rPr>
          <w:lang w:val="ru-RU"/>
        </w:rPr>
        <w:t>в п</w:t>
      </w:r>
      <w:r w:rsidR="00793DDB" w:rsidRPr="00351F0A">
        <w:rPr>
          <w:lang w:val="ru-RU"/>
        </w:rPr>
        <w:t xml:space="preserve">ротокол </w:t>
      </w:r>
      <w:r w:rsidR="008C5D86" w:rsidRPr="00351F0A">
        <w:rPr>
          <w:lang w:val="ru-RU"/>
        </w:rPr>
        <w:t>девятого</w:t>
      </w:r>
      <w:r w:rsidR="00793DDB" w:rsidRPr="00351F0A">
        <w:rPr>
          <w:lang w:val="ru-RU"/>
        </w:rPr>
        <w:t xml:space="preserve"> пленарного заседания</w:t>
      </w:r>
      <w:r w:rsidRPr="00351F0A">
        <w:rPr>
          <w:lang w:val="ru-RU"/>
        </w:rPr>
        <w:t xml:space="preserve"> (Документ 142) </w:t>
      </w:r>
      <w:r w:rsidR="00746C4E" w:rsidRPr="00351F0A">
        <w:rPr>
          <w:lang w:val="ru-RU"/>
        </w:rPr>
        <w:t xml:space="preserve">по просьбе </w:t>
      </w:r>
      <w:r w:rsidR="00746C4E" w:rsidRPr="00351F0A">
        <w:rPr>
          <w:b/>
          <w:bCs/>
          <w:lang w:val="ru-RU"/>
        </w:rPr>
        <w:t>делегата от Тринидада и Тобаго</w:t>
      </w:r>
      <w:r w:rsidR="00746C4E" w:rsidRPr="00351F0A">
        <w:rPr>
          <w:lang w:val="ru-RU"/>
        </w:rPr>
        <w:t xml:space="preserve">, </w:t>
      </w:r>
      <w:r w:rsidR="008C5D86" w:rsidRPr="00351F0A">
        <w:rPr>
          <w:lang w:val="ru-RU"/>
        </w:rPr>
        <w:t>протоколы</w:t>
      </w:r>
      <w:r w:rsidRPr="00351F0A">
        <w:rPr>
          <w:lang w:val="ru-RU"/>
        </w:rPr>
        <w:t xml:space="preserve"> </w:t>
      </w:r>
      <w:r w:rsidR="008C5D86" w:rsidRPr="00351F0A">
        <w:rPr>
          <w:lang w:val="ru-RU"/>
        </w:rPr>
        <w:t>церемонии открытия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107), </w:t>
      </w:r>
      <w:r w:rsidR="008C5D86" w:rsidRPr="00351F0A">
        <w:rPr>
          <w:lang w:val="ru-RU"/>
        </w:rPr>
        <w:t>первого пленарного заседания</w:t>
      </w:r>
      <w:r w:rsidRPr="00351F0A">
        <w:rPr>
          <w:lang w:val="ru-RU"/>
        </w:rPr>
        <w:t xml:space="preserve"> (Документ 108) , </w:t>
      </w:r>
      <w:r w:rsidR="008C5D86" w:rsidRPr="00351F0A">
        <w:rPr>
          <w:lang w:val="ru-RU"/>
        </w:rPr>
        <w:t>второго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115), </w:t>
      </w:r>
      <w:r w:rsidR="008C5D86" w:rsidRPr="00351F0A">
        <w:rPr>
          <w:lang w:val="ru-RU"/>
        </w:rPr>
        <w:t>третьего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116), </w:t>
      </w:r>
      <w:r w:rsidR="008C5D86" w:rsidRPr="00351F0A">
        <w:rPr>
          <w:lang w:val="ru-RU"/>
        </w:rPr>
        <w:t>четвертого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117), </w:t>
      </w:r>
      <w:r w:rsidR="008C5D86" w:rsidRPr="00351F0A">
        <w:rPr>
          <w:lang w:val="ru-RU"/>
        </w:rPr>
        <w:t>пятого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118), </w:t>
      </w:r>
      <w:r w:rsidR="008C5D86" w:rsidRPr="00351F0A">
        <w:rPr>
          <w:lang w:val="ru-RU"/>
        </w:rPr>
        <w:t>шестого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139), </w:t>
      </w:r>
      <w:r w:rsidR="008C5D86" w:rsidRPr="00351F0A">
        <w:rPr>
          <w:lang w:val="ru-RU"/>
        </w:rPr>
        <w:t>седьмого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140), </w:t>
      </w:r>
      <w:r w:rsidR="008C5D86" w:rsidRPr="00351F0A">
        <w:rPr>
          <w:lang w:val="ru-RU"/>
        </w:rPr>
        <w:t>восьмого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141) </w:t>
      </w:r>
      <w:r w:rsidR="008C5D86" w:rsidRPr="00351F0A">
        <w:rPr>
          <w:lang w:val="ru-RU"/>
        </w:rPr>
        <w:t>и девятого пленарного заседания</w:t>
      </w:r>
      <w:r w:rsidRPr="00351F0A">
        <w:rPr>
          <w:lang w:val="ru-RU"/>
        </w:rPr>
        <w:t xml:space="preserve"> (Документ</w:t>
      </w:r>
      <w:r w:rsidR="008C5D86" w:rsidRPr="00351F0A">
        <w:rPr>
          <w:lang w:val="ru-RU"/>
        </w:rPr>
        <w:t> </w:t>
      </w:r>
      <w:r w:rsidRPr="00351F0A">
        <w:rPr>
          <w:lang w:val="ru-RU"/>
        </w:rPr>
        <w:t xml:space="preserve">142) </w:t>
      </w:r>
      <w:r w:rsidR="00793DDB" w:rsidRPr="00351F0A">
        <w:rPr>
          <w:b/>
          <w:bCs/>
          <w:lang w:val="ru-RU"/>
        </w:rPr>
        <w:t>утверждаются</w:t>
      </w:r>
      <w:r w:rsidRPr="00351F0A">
        <w:rPr>
          <w:lang w:val="ru-RU"/>
        </w:rPr>
        <w:t>.</w:t>
      </w:r>
    </w:p>
    <w:p w14:paraId="57FCAE0B" w14:textId="35E364FA" w:rsidR="00DC4F1B" w:rsidRPr="00351F0A" w:rsidRDefault="00C10860" w:rsidP="00DC4F1B">
      <w:pPr>
        <w:rPr>
          <w:lang w:val="ru-RU"/>
        </w:rPr>
      </w:pPr>
      <w:r w:rsidRPr="00351F0A">
        <w:rPr>
          <w:b/>
          <w:bCs/>
          <w:lang w:val="ru-RU"/>
        </w:rPr>
        <w:t xml:space="preserve">Заседание закрывается в </w:t>
      </w:r>
      <w:r w:rsidR="00DC4F1B" w:rsidRPr="00351F0A">
        <w:rPr>
          <w:b/>
          <w:bCs/>
          <w:lang w:val="ru-RU"/>
        </w:rPr>
        <w:t>10</w:t>
      </w:r>
      <w:r w:rsidR="00785297" w:rsidRPr="00351F0A">
        <w:rPr>
          <w:b/>
          <w:bCs/>
          <w:lang w:val="ru-RU"/>
        </w:rPr>
        <w:t> час</w:t>
      </w:r>
      <w:r w:rsidR="00785297" w:rsidRPr="00351F0A">
        <w:rPr>
          <w:lang w:val="ru-RU"/>
        </w:rPr>
        <w:t>.</w:t>
      </w:r>
      <w:r w:rsidR="007230AF" w:rsidRPr="00351F0A">
        <w:rPr>
          <w:b/>
          <w:bCs/>
          <w:lang w:val="ru-RU"/>
        </w:rPr>
        <w:t> </w:t>
      </w:r>
      <w:r w:rsidR="00DC4F1B" w:rsidRPr="00351F0A">
        <w:rPr>
          <w:b/>
          <w:bCs/>
          <w:lang w:val="ru-RU"/>
        </w:rPr>
        <w:t>30</w:t>
      </w:r>
      <w:r w:rsidR="00785297" w:rsidRPr="00351F0A">
        <w:rPr>
          <w:b/>
          <w:bCs/>
          <w:lang w:val="ru-RU"/>
        </w:rPr>
        <w:t> мин</w:t>
      </w:r>
      <w:r w:rsidR="00DC4F1B" w:rsidRPr="00351F0A">
        <w:rPr>
          <w:lang w:val="ru-RU"/>
        </w:rPr>
        <w:t>.</w:t>
      </w:r>
    </w:p>
    <w:p w14:paraId="7135EBE2" w14:textId="4A01B7C5" w:rsidR="00C10860" w:rsidRDefault="00C10860" w:rsidP="00C1086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1080"/>
        <w:rPr>
          <w:lang w:val="ru-RU"/>
        </w:rPr>
      </w:pPr>
      <w:r w:rsidRPr="00351F0A">
        <w:rPr>
          <w:lang w:val="ru-RU"/>
        </w:rPr>
        <w:t>Генеральный секретарь:</w:t>
      </w:r>
      <w:r w:rsidRPr="00351F0A">
        <w:rPr>
          <w:lang w:val="ru-RU"/>
        </w:rPr>
        <w:tab/>
        <w:t>Председатель:</w:t>
      </w:r>
      <w:r w:rsidRPr="00351F0A">
        <w:rPr>
          <w:lang w:val="ru-RU"/>
        </w:rPr>
        <w:br/>
        <w:t>Х. ЧЖАО</w:t>
      </w:r>
      <w:r w:rsidRPr="00351F0A">
        <w:rPr>
          <w:lang w:val="ru-RU"/>
        </w:rPr>
        <w:tab/>
      </w:r>
      <w:r w:rsidR="00033931" w:rsidRPr="00351F0A">
        <w:rPr>
          <w:lang w:val="ru-RU"/>
        </w:rPr>
        <w:t>С</w:t>
      </w:r>
      <w:r w:rsidRPr="00351F0A">
        <w:rPr>
          <w:lang w:val="ru-RU"/>
        </w:rPr>
        <w:t xml:space="preserve">. </w:t>
      </w:r>
      <w:r w:rsidR="00033931" w:rsidRPr="00351F0A">
        <w:rPr>
          <w:lang w:val="ru-RU"/>
        </w:rPr>
        <w:t>СЭРМАШ</w:t>
      </w:r>
    </w:p>
    <w:p w14:paraId="3EF3E964" w14:textId="003610D0" w:rsidR="00E34CD0" w:rsidRPr="00351F0A" w:rsidRDefault="00E34CD0" w:rsidP="00E34CD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1080"/>
        <w:jc w:val="center"/>
        <w:rPr>
          <w:lang w:val="ru-RU"/>
        </w:rPr>
      </w:pPr>
      <w:r>
        <w:rPr>
          <w:lang w:val="ru-RU"/>
        </w:rPr>
        <w:t>____________________</w:t>
      </w:r>
    </w:p>
    <w:sectPr w:rsidR="00E34CD0" w:rsidRPr="00351F0A" w:rsidSect="00BF3258">
      <w:headerReference w:type="default" r:id="rId39"/>
      <w:footerReference w:type="default" r:id="rId40"/>
      <w:footerReference w:type="first" r:id="rId41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6B22" w14:textId="77777777" w:rsidR="00716EFB" w:rsidRDefault="00716EFB" w:rsidP="0079159C">
      <w:r>
        <w:separator/>
      </w:r>
    </w:p>
    <w:p w14:paraId="22F8EF3D" w14:textId="77777777" w:rsidR="00716EFB" w:rsidRDefault="00716EFB" w:rsidP="0079159C"/>
    <w:p w14:paraId="42FEC29D" w14:textId="77777777" w:rsidR="00716EFB" w:rsidRDefault="00716EFB" w:rsidP="0079159C"/>
    <w:p w14:paraId="427CD781" w14:textId="77777777" w:rsidR="00716EFB" w:rsidRDefault="00716EFB" w:rsidP="0079159C"/>
    <w:p w14:paraId="4A643ADE" w14:textId="77777777" w:rsidR="00716EFB" w:rsidRDefault="00716EFB" w:rsidP="0079159C"/>
    <w:p w14:paraId="023329AC" w14:textId="77777777" w:rsidR="00716EFB" w:rsidRDefault="00716EFB" w:rsidP="0079159C"/>
    <w:p w14:paraId="7FD268D9" w14:textId="77777777" w:rsidR="00716EFB" w:rsidRDefault="00716EFB" w:rsidP="0079159C"/>
    <w:p w14:paraId="460D43F8" w14:textId="77777777" w:rsidR="00716EFB" w:rsidRDefault="00716EFB" w:rsidP="0079159C"/>
    <w:p w14:paraId="05F56AAC" w14:textId="77777777" w:rsidR="00716EFB" w:rsidRDefault="00716EFB" w:rsidP="0079159C"/>
    <w:p w14:paraId="3309F957" w14:textId="77777777" w:rsidR="00716EFB" w:rsidRDefault="00716EFB" w:rsidP="0079159C"/>
    <w:p w14:paraId="20AF4291" w14:textId="77777777" w:rsidR="00716EFB" w:rsidRDefault="00716EFB" w:rsidP="0079159C"/>
    <w:p w14:paraId="7E9984D8" w14:textId="77777777" w:rsidR="00716EFB" w:rsidRDefault="00716EFB" w:rsidP="0079159C"/>
    <w:p w14:paraId="628A604E" w14:textId="77777777" w:rsidR="00716EFB" w:rsidRDefault="00716EFB" w:rsidP="0079159C"/>
    <w:p w14:paraId="719D8AB1" w14:textId="77777777" w:rsidR="00716EFB" w:rsidRDefault="00716EFB" w:rsidP="0079159C"/>
    <w:p w14:paraId="43DE99E4" w14:textId="77777777" w:rsidR="00716EFB" w:rsidRDefault="00716EFB" w:rsidP="004B3A6C"/>
    <w:p w14:paraId="4DC2A7C1" w14:textId="77777777" w:rsidR="00716EFB" w:rsidRDefault="00716EFB" w:rsidP="004B3A6C"/>
  </w:endnote>
  <w:endnote w:type="continuationSeparator" w:id="0">
    <w:p w14:paraId="085D3695" w14:textId="77777777" w:rsidR="00716EFB" w:rsidRDefault="00716EFB" w:rsidP="0079159C">
      <w:r>
        <w:continuationSeparator/>
      </w:r>
    </w:p>
    <w:p w14:paraId="7B03BA0F" w14:textId="77777777" w:rsidR="00716EFB" w:rsidRDefault="00716EFB" w:rsidP="0079159C"/>
    <w:p w14:paraId="5905B9AC" w14:textId="77777777" w:rsidR="00716EFB" w:rsidRDefault="00716EFB" w:rsidP="0079159C"/>
    <w:p w14:paraId="4BB0EECC" w14:textId="77777777" w:rsidR="00716EFB" w:rsidRDefault="00716EFB" w:rsidP="0079159C"/>
    <w:p w14:paraId="5DC5F6DA" w14:textId="77777777" w:rsidR="00716EFB" w:rsidRDefault="00716EFB" w:rsidP="0079159C"/>
    <w:p w14:paraId="0E9BF4DF" w14:textId="77777777" w:rsidR="00716EFB" w:rsidRDefault="00716EFB" w:rsidP="0079159C"/>
    <w:p w14:paraId="100DC32A" w14:textId="77777777" w:rsidR="00716EFB" w:rsidRDefault="00716EFB" w:rsidP="0079159C"/>
    <w:p w14:paraId="7B04E5EA" w14:textId="77777777" w:rsidR="00716EFB" w:rsidRDefault="00716EFB" w:rsidP="0079159C"/>
    <w:p w14:paraId="05F5430A" w14:textId="77777777" w:rsidR="00716EFB" w:rsidRDefault="00716EFB" w:rsidP="0079159C"/>
    <w:p w14:paraId="2D198205" w14:textId="77777777" w:rsidR="00716EFB" w:rsidRDefault="00716EFB" w:rsidP="0079159C"/>
    <w:p w14:paraId="469DB3D0" w14:textId="77777777" w:rsidR="00716EFB" w:rsidRDefault="00716EFB" w:rsidP="0079159C"/>
    <w:p w14:paraId="2B07FCAB" w14:textId="77777777" w:rsidR="00716EFB" w:rsidRDefault="00716EFB" w:rsidP="0079159C"/>
    <w:p w14:paraId="6C74F83F" w14:textId="77777777" w:rsidR="00716EFB" w:rsidRDefault="00716EFB" w:rsidP="0079159C"/>
    <w:p w14:paraId="5E6477B4" w14:textId="77777777" w:rsidR="00716EFB" w:rsidRDefault="00716EFB" w:rsidP="0079159C"/>
    <w:p w14:paraId="4F51271B" w14:textId="77777777" w:rsidR="00716EFB" w:rsidRDefault="00716EFB" w:rsidP="004B3A6C"/>
    <w:p w14:paraId="7756142B" w14:textId="77777777" w:rsidR="00716EFB" w:rsidRDefault="00716EF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5F685DA9" w:rsidR="0083330B" w:rsidRPr="0083330B" w:rsidRDefault="00E34CD0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81457">
      <w:t>P:\RUS\SG\CONF-SG\PP22\200\204R.docx</w:t>
    </w:r>
    <w:r>
      <w:fldChar w:fldCharType="end"/>
    </w:r>
    <w:r w:rsidR="0083330B">
      <w:t xml:space="preserve"> (</w:t>
    </w:r>
    <w:r w:rsidR="00181457">
      <w:rPr>
        <w:lang w:val="ru-RU"/>
      </w:rPr>
      <w:t>515438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30525086" w:rsidR="005C3DE4" w:rsidRPr="00BF3258" w:rsidRDefault="00D37469" w:rsidP="00BF3258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09DC" w14:textId="77777777" w:rsidR="00716EFB" w:rsidRDefault="00716EFB" w:rsidP="0079159C">
      <w:r>
        <w:t>____________________</w:t>
      </w:r>
    </w:p>
  </w:footnote>
  <w:footnote w:type="continuationSeparator" w:id="0">
    <w:p w14:paraId="636B513C" w14:textId="77777777" w:rsidR="00716EFB" w:rsidRDefault="00716EFB" w:rsidP="0079159C">
      <w:r>
        <w:continuationSeparator/>
      </w:r>
    </w:p>
    <w:p w14:paraId="27184C0E" w14:textId="77777777" w:rsidR="00716EFB" w:rsidRDefault="00716EFB" w:rsidP="0079159C"/>
    <w:p w14:paraId="6A2A8615" w14:textId="77777777" w:rsidR="00716EFB" w:rsidRDefault="00716EFB" w:rsidP="0079159C"/>
    <w:p w14:paraId="7C66BB07" w14:textId="77777777" w:rsidR="00716EFB" w:rsidRDefault="00716EFB" w:rsidP="0079159C"/>
    <w:p w14:paraId="0C21EEDC" w14:textId="77777777" w:rsidR="00716EFB" w:rsidRDefault="00716EFB" w:rsidP="0079159C"/>
    <w:p w14:paraId="0CD53662" w14:textId="77777777" w:rsidR="00716EFB" w:rsidRDefault="00716EFB" w:rsidP="0079159C"/>
    <w:p w14:paraId="6A93F383" w14:textId="77777777" w:rsidR="00716EFB" w:rsidRDefault="00716EFB" w:rsidP="0079159C"/>
    <w:p w14:paraId="48F1E558" w14:textId="77777777" w:rsidR="00716EFB" w:rsidRDefault="00716EFB" w:rsidP="0079159C"/>
    <w:p w14:paraId="02F84B5F" w14:textId="77777777" w:rsidR="00716EFB" w:rsidRDefault="00716EFB" w:rsidP="0079159C"/>
    <w:p w14:paraId="0A702C4B" w14:textId="77777777" w:rsidR="00716EFB" w:rsidRDefault="00716EFB" w:rsidP="0079159C"/>
    <w:p w14:paraId="0C5FF63E" w14:textId="77777777" w:rsidR="00716EFB" w:rsidRDefault="00716EFB" w:rsidP="0079159C"/>
    <w:p w14:paraId="58766D72" w14:textId="77777777" w:rsidR="00716EFB" w:rsidRDefault="00716EFB" w:rsidP="0079159C"/>
    <w:p w14:paraId="5251A38E" w14:textId="77777777" w:rsidR="00716EFB" w:rsidRDefault="00716EFB" w:rsidP="0079159C"/>
    <w:p w14:paraId="20FC5C2C" w14:textId="77777777" w:rsidR="00716EFB" w:rsidRDefault="00716EFB" w:rsidP="0079159C"/>
    <w:p w14:paraId="0C68D8CF" w14:textId="77777777" w:rsidR="00716EFB" w:rsidRDefault="00716EFB" w:rsidP="004B3A6C"/>
    <w:p w14:paraId="2D5221FE" w14:textId="77777777" w:rsidR="00716EFB" w:rsidRDefault="00716EFB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6E6EB168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E535E">
      <w:rPr>
        <w:noProof/>
      </w:rPr>
      <w:t>2</w:t>
    </w:r>
    <w:r>
      <w:fldChar w:fldCharType="end"/>
    </w:r>
  </w:p>
  <w:p w14:paraId="5D4ADB8C" w14:textId="5E02A908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181457">
      <w:rPr>
        <w:lang w:val="ru-RU"/>
      </w:rPr>
      <w:t>204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3931"/>
    <w:rsid w:val="00034277"/>
    <w:rsid w:val="000539D9"/>
    <w:rsid w:val="000626B1"/>
    <w:rsid w:val="00063CA3"/>
    <w:rsid w:val="00065F00"/>
    <w:rsid w:val="00066DE8"/>
    <w:rsid w:val="00071D10"/>
    <w:rsid w:val="00074F81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1D41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1457"/>
    <w:rsid w:val="001A0EEB"/>
    <w:rsid w:val="001A74C5"/>
    <w:rsid w:val="001B2BFF"/>
    <w:rsid w:val="001B5341"/>
    <w:rsid w:val="001B5FBF"/>
    <w:rsid w:val="00200992"/>
    <w:rsid w:val="00202880"/>
    <w:rsid w:val="0020313F"/>
    <w:rsid w:val="002036DA"/>
    <w:rsid w:val="002173B8"/>
    <w:rsid w:val="00232D57"/>
    <w:rsid w:val="002356E7"/>
    <w:rsid w:val="00241B9A"/>
    <w:rsid w:val="002578B4"/>
    <w:rsid w:val="00273A0B"/>
    <w:rsid w:val="00275FB0"/>
    <w:rsid w:val="00277F85"/>
    <w:rsid w:val="00297915"/>
    <w:rsid w:val="002A409A"/>
    <w:rsid w:val="002A5402"/>
    <w:rsid w:val="002B033B"/>
    <w:rsid w:val="002B3829"/>
    <w:rsid w:val="002C4B8E"/>
    <w:rsid w:val="002C5477"/>
    <w:rsid w:val="002C78FF"/>
    <w:rsid w:val="002D0055"/>
    <w:rsid w:val="002D024B"/>
    <w:rsid w:val="003429D1"/>
    <w:rsid w:val="00343B1E"/>
    <w:rsid w:val="00351F0A"/>
    <w:rsid w:val="00375BBA"/>
    <w:rsid w:val="00384CFC"/>
    <w:rsid w:val="00395CE4"/>
    <w:rsid w:val="003E52A8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E535E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4356B"/>
    <w:rsid w:val="0067722F"/>
    <w:rsid w:val="00691D17"/>
    <w:rsid w:val="006B7F84"/>
    <w:rsid w:val="006C1A71"/>
    <w:rsid w:val="006E57C8"/>
    <w:rsid w:val="00706CC2"/>
    <w:rsid w:val="00710760"/>
    <w:rsid w:val="00716EFB"/>
    <w:rsid w:val="007230AF"/>
    <w:rsid w:val="0073319E"/>
    <w:rsid w:val="00733439"/>
    <w:rsid w:val="007340B5"/>
    <w:rsid w:val="00735C98"/>
    <w:rsid w:val="00746C4E"/>
    <w:rsid w:val="00750829"/>
    <w:rsid w:val="00760830"/>
    <w:rsid w:val="00785297"/>
    <w:rsid w:val="0079159C"/>
    <w:rsid w:val="007919C2"/>
    <w:rsid w:val="00793DDB"/>
    <w:rsid w:val="00795B00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C5D86"/>
    <w:rsid w:val="008D2EB4"/>
    <w:rsid w:val="008D3134"/>
    <w:rsid w:val="008D3BE2"/>
    <w:rsid w:val="008D6696"/>
    <w:rsid w:val="009125CE"/>
    <w:rsid w:val="0093377B"/>
    <w:rsid w:val="00934241"/>
    <w:rsid w:val="00945844"/>
    <w:rsid w:val="00950E0F"/>
    <w:rsid w:val="009628F3"/>
    <w:rsid w:val="00962CCF"/>
    <w:rsid w:val="0097690C"/>
    <w:rsid w:val="00996435"/>
    <w:rsid w:val="009A47A2"/>
    <w:rsid w:val="009A6D9A"/>
    <w:rsid w:val="009E4F4B"/>
    <w:rsid w:val="009F0BA9"/>
    <w:rsid w:val="009F3A10"/>
    <w:rsid w:val="00A23260"/>
    <w:rsid w:val="00A30372"/>
    <w:rsid w:val="00A3200E"/>
    <w:rsid w:val="00A54F56"/>
    <w:rsid w:val="00A73116"/>
    <w:rsid w:val="00A75EAA"/>
    <w:rsid w:val="00AC20C0"/>
    <w:rsid w:val="00AD6841"/>
    <w:rsid w:val="00B14377"/>
    <w:rsid w:val="00B1733E"/>
    <w:rsid w:val="00B45111"/>
    <w:rsid w:val="00B45785"/>
    <w:rsid w:val="00B52354"/>
    <w:rsid w:val="00B62568"/>
    <w:rsid w:val="00B7729A"/>
    <w:rsid w:val="00BA154E"/>
    <w:rsid w:val="00BC4B72"/>
    <w:rsid w:val="00BF252A"/>
    <w:rsid w:val="00BF3258"/>
    <w:rsid w:val="00BF720B"/>
    <w:rsid w:val="00C04511"/>
    <w:rsid w:val="00C1004D"/>
    <w:rsid w:val="00C10860"/>
    <w:rsid w:val="00C16846"/>
    <w:rsid w:val="00C40979"/>
    <w:rsid w:val="00C46ECA"/>
    <w:rsid w:val="00C62242"/>
    <w:rsid w:val="00C6326D"/>
    <w:rsid w:val="00C95B0A"/>
    <w:rsid w:val="00CA38C9"/>
    <w:rsid w:val="00CB52B1"/>
    <w:rsid w:val="00CC6362"/>
    <w:rsid w:val="00CD163A"/>
    <w:rsid w:val="00CE40BB"/>
    <w:rsid w:val="00D37275"/>
    <w:rsid w:val="00D37469"/>
    <w:rsid w:val="00D50E12"/>
    <w:rsid w:val="00D55DD9"/>
    <w:rsid w:val="00D57F41"/>
    <w:rsid w:val="00D92E58"/>
    <w:rsid w:val="00D93B2D"/>
    <w:rsid w:val="00D955EF"/>
    <w:rsid w:val="00D97CC5"/>
    <w:rsid w:val="00DC4F1B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34CD0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3E69"/>
    <w:rsid w:val="00F85F07"/>
    <w:rsid w:val="00F96AB4"/>
    <w:rsid w:val="00F97481"/>
    <w:rsid w:val="00FA0A06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C4F1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C4F1B"/>
    <w:rPr>
      <w:rFonts w:ascii="Arial" w:hAnsi="Arial"/>
      <w:b/>
      <w:bCs/>
      <w:sz w:val="22"/>
      <w:szCs w:val="24"/>
      <w:lang w:eastAsia="en-US"/>
    </w:rPr>
  </w:style>
  <w:style w:type="paragraph" w:customStyle="1" w:styleId="pf0">
    <w:name w:val="pf0"/>
    <w:basedOn w:val="Normal"/>
    <w:rsid w:val="00DC4F1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DC4F1B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F1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DC4F1B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DC4F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08/en" TargetMode="External"/><Relationship Id="rId18" Type="http://schemas.openxmlformats.org/officeDocument/2006/relationships/hyperlink" Target="https://www.itu.int/md/S22-PP-C-0139/en" TargetMode="External"/><Relationship Id="rId26" Type="http://schemas.openxmlformats.org/officeDocument/2006/relationships/hyperlink" Target="https://www.itu.int/md/S22-PP-C-0173/en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S22-PP-C-0142/en" TargetMode="External"/><Relationship Id="rId34" Type="http://schemas.openxmlformats.org/officeDocument/2006/relationships/hyperlink" Target="https://www.itu.int/md/S22-PP-C-0118/e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117/en" TargetMode="External"/><Relationship Id="rId20" Type="http://schemas.openxmlformats.org/officeDocument/2006/relationships/hyperlink" Target="https://www.itu.int/md/S22-PP-C-0141/en" TargetMode="External"/><Relationship Id="rId29" Type="http://schemas.openxmlformats.org/officeDocument/2006/relationships/hyperlink" Target="https://www.itu.int/md/S22-PP-C-0107/en" TargetMode="External"/><Relationship Id="rId41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174/en" TargetMode="External"/><Relationship Id="rId24" Type="http://schemas.openxmlformats.org/officeDocument/2006/relationships/hyperlink" Target="https://www.itu.int/md/S22-PP-C-0167/en" TargetMode="External"/><Relationship Id="rId32" Type="http://schemas.openxmlformats.org/officeDocument/2006/relationships/hyperlink" Target="https://www.itu.int/md/S22-PP-C-0116/en" TargetMode="External"/><Relationship Id="rId37" Type="http://schemas.openxmlformats.org/officeDocument/2006/relationships/hyperlink" Target="https://www.itu.int/md/S22-PP-C-0141/en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PP-C-0116/en" TargetMode="External"/><Relationship Id="rId23" Type="http://schemas.openxmlformats.org/officeDocument/2006/relationships/hyperlink" Target="https://www.itu.int/md/S22-PP-C-0167/en" TargetMode="External"/><Relationship Id="rId28" Type="http://schemas.openxmlformats.org/officeDocument/2006/relationships/hyperlink" Target="https://www.itu.int/md/S22-PP-C-0174/en" TargetMode="External"/><Relationship Id="rId36" Type="http://schemas.openxmlformats.org/officeDocument/2006/relationships/hyperlink" Target="https://www.itu.int/md/S22-PP-C-0140/en" TargetMode="External"/><Relationship Id="rId10" Type="http://schemas.openxmlformats.org/officeDocument/2006/relationships/hyperlink" Target="https://www.itu.int/md/S22-PP-C-0173/en" TargetMode="External"/><Relationship Id="rId19" Type="http://schemas.openxmlformats.org/officeDocument/2006/relationships/hyperlink" Target="https://www.itu.int/md/S22-PP-C-0140/en" TargetMode="External"/><Relationship Id="rId31" Type="http://schemas.openxmlformats.org/officeDocument/2006/relationships/hyperlink" Target="https://www.itu.int/md/S22-PP-C-01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167/en" TargetMode="External"/><Relationship Id="rId14" Type="http://schemas.openxmlformats.org/officeDocument/2006/relationships/hyperlink" Target="https://www.itu.int/md/S22-PP-C-0115/en" TargetMode="External"/><Relationship Id="rId22" Type="http://schemas.openxmlformats.org/officeDocument/2006/relationships/hyperlink" Target="https://www.itu.int/md/S22-PP-C-0165/en" TargetMode="External"/><Relationship Id="rId27" Type="http://schemas.openxmlformats.org/officeDocument/2006/relationships/hyperlink" Target="https://www.itu.int/md/S22-PP-C-0174/en" TargetMode="External"/><Relationship Id="rId30" Type="http://schemas.openxmlformats.org/officeDocument/2006/relationships/hyperlink" Target="https://www.itu.int/md/S22-PP-C-0108/en" TargetMode="External"/><Relationship Id="rId35" Type="http://schemas.openxmlformats.org/officeDocument/2006/relationships/hyperlink" Target="https://www.itu.int/md/S22-PP-C-0139/e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tu.int/md/S22-PP-C-0165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2-PP-C-0107/en" TargetMode="External"/><Relationship Id="rId17" Type="http://schemas.openxmlformats.org/officeDocument/2006/relationships/hyperlink" Target="https://www.itu.int/md/S22-PP-C-0118/en" TargetMode="External"/><Relationship Id="rId25" Type="http://schemas.openxmlformats.org/officeDocument/2006/relationships/hyperlink" Target="https://www.itu.int/md/S22-PP-C-0173/en" TargetMode="External"/><Relationship Id="rId33" Type="http://schemas.openxmlformats.org/officeDocument/2006/relationships/hyperlink" Target="https://www.itu.int/md/S22-PP-C-0117/en" TargetMode="External"/><Relationship Id="rId38" Type="http://schemas.openxmlformats.org/officeDocument/2006/relationships/hyperlink" Target="https://www.itu.int/md/S22-PP-C-014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9115</Characters>
  <Application>Microsoft Office Word</Application>
  <DocSecurity>4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Xue, Kun</cp:lastModifiedBy>
  <cp:revision>2</cp:revision>
  <dcterms:created xsi:type="dcterms:W3CDTF">2022-11-21T07:52:00Z</dcterms:created>
  <dcterms:modified xsi:type="dcterms:W3CDTF">2022-11-21T07:52:00Z</dcterms:modified>
  <cp:category>Conference document</cp:category>
</cp:coreProperties>
</file>