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884D1A" w14:paraId="4484B0C5" w14:textId="77777777" w:rsidTr="006359EF">
        <w:trPr>
          <w:cantSplit/>
          <w:jc w:val="center"/>
        </w:trPr>
        <w:tc>
          <w:tcPr>
            <w:tcW w:w="6911" w:type="dxa"/>
          </w:tcPr>
          <w:p w14:paraId="706F5501" w14:textId="3E73A757" w:rsidR="00BD1614" w:rsidRPr="00884D1A" w:rsidRDefault="00BD1614" w:rsidP="00105640">
            <w:pPr>
              <w:rPr>
                <w:b/>
                <w:bCs/>
                <w:position w:val="6"/>
                <w:szCs w:val="24"/>
                <w:lang w:val="fr-CH"/>
              </w:rPr>
            </w:pPr>
            <w:bookmarkStart w:id="0" w:name="dbreak"/>
            <w:bookmarkStart w:id="1" w:name="dpp"/>
            <w:bookmarkEnd w:id="0"/>
            <w:bookmarkEnd w:id="1"/>
            <w:r w:rsidRPr="00884D1A">
              <w:rPr>
                <w:rFonts w:cs="Times"/>
                <w:b/>
                <w:sz w:val="30"/>
                <w:szCs w:val="30"/>
                <w:lang w:val="fr-CH"/>
              </w:rPr>
              <w:t>Conférence de plénipotentiaires</w:t>
            </w:r>
            <w:r w:rsidRPr="00884D1A">
              <w:rPr>
                <w:b/>
                <w:smallCaps/>
                <w:sz w:val="30"/>
                <w:szCs w:val="30"/>
                <w:lang w:val="fr-CH"/>
              </w:rPr>
              <w:t xml:space="preserve"> (PP-</w:t>
            </w:r>
            <w:r w:rsidR="002A7A1D" w:rsidRPr="00884D1A">
              <w:rPr>
                <w:b/>
                <w:smallCaps/>
                <w:sz w:val="30"/>
                <w:szCs w:val="30"/>
                <w:lang w:val="fr-CH"/>
              </w:rPr>
              <w:t>22</w:t>
            </w:r>
            <w:r w:rsidRPr="00884D1A">
              <w:rPr>
                <w:b/>
                <w:smallCaps/>
                <w:sz w:val="30"/>
                <w:szCs w:val="30"/>
                <w:lang w:val="fr-CH"/>
              </w:rPr>
              <w:t>)</w:t>
            </w:r>
            <w:r w:rsidRPr="00884D1A">
              <w:rPr>
                <w:b/>
                <w:smallCaps/>
                <w:sz w:val="36"/>
                <w:lang w:val="fr-CH"/>
              </w:rPr>
              <w:br/>
            </w:r>
            <w:r w:rsidR="002A7A1D" w:rsidRPr="00884D1A">
              <w:rPr>
                <w:rFonts w:cs="Times New Roman Bold"/>
                <w:b/>
                <w:bCs/>
                <w:szCs w:val="24"/>
                <w:lang w:val="fr-CH"/>
              </w:rPr>
              <w:t>Bucarest</w:t>
            </w:r>
            <w:r w:rsidRPr="00884D1A">
              <w:rPr>
                <w:rFonts w:cs="Times New Roman Bold"/>
                <w:b/>
                <w:bCs/>
                <w:szCs w:val="24"/>
                <w:lang w:val="fr-CH"/>
              </w:rPr>
              <w:t>, 2</w:t>
            </w:r>
            <w:r w:rsidR="002A7A1D" w:rsidRPr="00884D1A">
              <w:rPr>
                <w:rFonts w:cs="Times New Roman Bold"/>
                <w:b/>
                <w:bCs/>
                <w:szCs w:val="24"/>
                <w:lang w:val="fr-CH"/>
              </w:rPr>
              <w:t>6</w:t>
            </w:r>
            <w:r w:rsidRPr="00884D1A">
              <w:rPr>
                <w:rFonts w:cs="Times New Roman Bold"/>
                <w:b/>
                <w:bCs/>
                <w:szCs w:val="24"/>
                <w:lang w:val="fr-CH"/>
              </w:rPr>
              <w:t xml:space="preserve"> </w:t>
            </w:r>
            <w:r w:rsidR="002A7A1D" w:rsidRPr="00884D1A">
              <w:rPr>
                <w:rFonts w:cs="Times New Roman Bold"/>
                <w:b/>
                <w:bCs/>
                <w:szCs w:val="24"/>
                <w:lang w:val="fr-CH"/>
              </w:rPr>
              <w:t>septembre</w:t>
            </w:r>
            <w:r w:rsidRPr="00884D1A">
              <w:rPr>
                <w:rFonts w:cs="Times New Roman Bold"/>
                <w:b/>
                <w:bCs/>
                <w:szCs w:val="24"/>
                <w:lang w:val="fr-CH"/>
              </w:rPr>
              <w:t xml:space="preserve"> </w:t>
            </w:r>
            <w:r w:rsidR="001E2226" w:rsidRPr="00884D1A">
              <w:rPr>
                <w:rFonts w:cs="Times New Roman Bold"/>
                <w:b/>
                <w:bCs/>
                <w:szCs w:val="24"/>
                <w:lang w:val="fr-CH"/>
              </w:rPr>
              <w:t>–</w:t>
            </w:r>
            <w:r w:rsidRPr="00884D1A">
              <w:rPr>
                <w:rFonts w:cs="Times New Roman Bold"/>
                <w:b/>
                <w:bCs/>
                <w:szCs w:val="24"/>
                <w:lang w:val="fr-CH"/>
              </w:rPr>
              <w:t xml:space="preserve"> </w:t>
            </w:r>
            <w:r w:rsidR="001E2226" w:rsidRPr="00884D1A">
              <w:rPr>
                <w:rFonts w:cs="Times New Roman Bold"/>
                <w:b/>
                <w:bCs/>
                <w:szCs w:val="24"/>
                <w:lang w:val="fr-CH"/>
              </w:rPr>
              <w:t>1</w:t>
            </w:r>
            <w:r w:rsidR="002A7A1D" w:rsidRPr="00884D1A">
              <w:rPr>
                <w:rFonts w:cs="Times New Roman Bold"/>
                <w:b/>
                <w:bCs/>
                <w:szCs w:val="24"/>
                <w:lang w:val="fr-CH"/>
              </w:rPr>
              <w:t>4</w:t>
            </w:r>
            <w:r w:rsidRPr="00884D1A">
              <w:rPr>
                <w:rFonts w:cs="Times New Roman Bold"/>
                <w:b/>
                <w:bCs/>
                <w:szCs w:val="24"/>
                <w:lang w:val="fr-CH"/>
              </w:rPr>
              <w:t xml:space="preserve"> </w:t>
            </w:r>
            <w:r w:rsidR="002A7A1D" w:rsidRPr="00884D1A">
              <w:rPr>
                <w:rFonts w:cs="Times New Roman Bold"/>
                <w:b/>
                <w:bCs/>
                <w:szCs w:val="24"/>
                <w:lang w:val="fr-CH"/>
              </w:rPr>
              <w:t>octobre</w:t>
            </w:r>
            <w:r w:rsidRPr="00884D1A">
              <w:rPr>
                <w:rFonts w:cs="Times New Roman Bold"/>
                <w:b/>
                <w:bCs/>
                <w:szCs w:val="24"/>
                <w:lang w:val="fr-CH"/>
              </w:rPr>
              <w:t xml:space="preserve"> 20</w:t>
            </w:r>
            <w:r w:rsidR="002A7A1D" w:rsidRPr="00884D1A">
              <w:rPr>
                <w:rFonts w:cs="Times New Roman Bold"/>
                <w:b/>
                <w:bCs/>
                <w:szCs w:val="24"/>
                <w:lang w:val="fr-CH"/>
              </w:rPr>
              <w:t>22</w:t>
            </w:r>
          </w:p>
        </w:tc>
        <w:tc>
          <w:tcPr>
            <w:tcW w:w="3120" w:type="dxa"/>
          </w:tcPr>
          <w:p w14:paraId="7A1CF8E0" w14:textId="6FB7D25A" w:rsidR="00BD1614" w:rsidRPr="00884D1A" w:rsidRDefault="002A7A1D" w:rsidP="00105640">
            <w:pPr>
              <w:spacing w:before="0"/>
              <w:rPr>
                <w:rFonts w:cstheme="minorHAnsi"/>
                <w:lang w:val="en-US"/>
              </w:rPr>
            </w:pPr>
            <w:bookmarkStart w:id="2" w:name="ditulogo"/>
            <w:bookmarkEnd w:id="2"/>
            <w:r w:rsidRPr="00884D1A">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84D1A" w14:paraId="3120A8D9" w14:textId="77777777" w:rsidTr="006359EF">
        <w:trPr>
          <w:cantSplit/>
          <w:jc w:val="center"/>
        </w:trPr>
        <w:tc>
          <w:tcPr>
            <w:tcW w:w="6911" w:type="dxa"/>
            <w:tcBorders>
              <w:bottom w:val="single" w:sz="12" w:space="0" w:color="auto"/>
            </w:tcBorders>
          </w:tcPr>
          <w:p w14:paraId="317E5819" w14:textId="77777777" w:rsidR="00BD1614" w:rsidRPr="00884D1A" w:rsidRDefault="00BD1614" w:rsidP="00105640">
            <w:pPr>
              <w:spacing w:before="0" w:after="48"/>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884D1A" w:rsidRDefault="00BD1614" w:rsidP="00105640">
            <w:pPr>
              <w:spacing w:before="0" w:after="48"/>
              <w:rPr>
                <w:rFonts w:cstheme="minorHAnsi"/>
                <w:b/>
                <w:smallCaps/>
                <w:szCs w:val="24"/>
                <w:lang w:val="en-US"/>
              </w:rPr>
            </w:pPr>
          </w:p>
        </w:tc>
      </w:tr>
      <w:tr w:rsidR="00BD1614" w:rsidRPr="00884D1A" w14:paraId="20A2296F" w14:textId="77777777" w:rsidTr="006359EF">
        <w:trPr>
          <w:cantSplit/>
          <w:jc w:val="center"/>
        </w:trPr>
        <w:tc>
          <w:tcPr>
            <w:tcW w:w="6911" w:type="dxa"/>
            <w:tcBorders>
              <w:top w:val="single" w:sz="12" w:space="0" w:color="auto"/>
            </w:tcBorders>
          </w:tcPr>
          <w:p w14:paraId="4CFA6027" w14:textId="77777777" w:rsidR="00BD1614" w:rsidRPr="00884D1A" w:rsidRDefault="00BD1614" w:rsidP="00105640">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84D1A" w:rsidRDefault="00BD1614" w:rsidP="00105640">
            <w:pPr>
              <w:spacing w:before="0"/>
              <w:rPr>
                <w:rFonts w:cstheme="minorHAnsi"/>
                <w:szCs w:val="24"/>
                <w:lang w:val="en-US"/>
              </w:rPr>
            </w:pPr>
          </w:p>
        </w:tc>
      </w:tr>
      <w:tr w:rsidR="00BD1614" w:rsidRPr="00884D1A" w14:paraId="5EBA9561" w14:textId="77777777" w:rsidTr="006359EF">
        <w:trPr>
          <w:cantSplit/>
          <w:jc w:val="center"/>
        </w:trPr>
        <w:tc>
          <w:tcPr>
            <w:tcW w:w="6911" w:type="dxa"/>
          </w:tcPr>
          <w:p w14:paraId="081C5B53" w14:textId="5ADEACCC" w:rsidR="00BD1614" w:rsidRPr="00884D1A" w:rsidRDefault="00420EF8" w:rsidP="00105640">
            <w:pPr>
              <w:pStyle w:val="Committee"/>
              <w:framePr w:hSpace="0" w:wrap="auto" w:hAnchor="text" w:yAlign="inline"/>
              <w:spacing w:after="0" w:line="240" w:lineRule="auto"/>
            </w:pPr>
            <w:r w:rsidRPr="00884D1A">
              <w:t>SÉANCE PLÉ</w:t>
            </w:r>
            <w:bookmarkStart w:id="4" w:name="_GoBack"/>
            <w:bookmarkEnd w:id="4"/>
            <w:r w:rsidRPr="00884D1A">
              <w:t>NIÈRE</w:t>
            </w:r>
          </w:p>
        </w:tc>
        <w:tc>
          <w:tcPr>
            <w:tcW w:w="3120" w:type="dxa"/>
          </w:tcPr>
          <w:p w14:paraId="42E82404" w14:textId="6BECC964" w:rsidR="00BD1614" w:rsidRPr="00884D1A" w:rsidRDefault="00420EF8" w:rsidP="00105640">
            <w:pPr>
              <w:spacing w:before="0"/>
              <w:rPr>
                <w:rFonts w:cstheme="minorHAnsi"/>
                <w:szCs w:val="24"/>
                <w:lang w:val="en-US"/>
              </w:rPr>
            </w:pPr>
            <w:r w:rsidRPr="00884D1A">
              <w:rPr>
                <w:rFonts w:cstheme="minorHAnsi"/>
                <w:b/>
                <w:szCs w:val="24"/>
                <w:lang w:val="en-US"/>
              </w:rPr>
              <w:t xml:space="preserve">Document </w:t>
            </w:r>
            <w:r w:rsidR="00EB3612" w:rsidRPr="00884D1A">
              <w:rPr>
                <w:rFonts w:cstheme="minorHAnsi"/>
                <w:b/>
                <w:szCs w:val="24"/>
                <w:lang w:val="en-US"/>
              </w:rPr>
              <w:t>206</w:t>
            </w:r>
            <w:r w:rsidRPr="00884D1A">
              <w:rPr>
                <w:rFonts w:cstheme="minorHAnsi"/>
                <w:b/>
                <w:szCs w:val="24"/>
                <w:lang w:val="en-US"/>
              </w:rPr>
              <w:t>-F</w:t>
            </w:r>
          </w:p>
        </w:tc>
      </w:tr>
      <w:tr w:rsidR="00BD1614" w:rsidRPr="00884D1A" w14:paraId="5C605E2F" w14:textId="77777777" w:rsidTr="006359EF">
        <w:trPr>
          <w:cantSplit/>
          <w:jc w:val="center"/>
        </w:trPr>
        <w:tc>
          <w:tcPr>
            <w:tcW w:w="6911" w:type="dxa"/>
          </w:tcPr>
          <w:p w14:paraId="3701819B" w14:textId="20A8E30E" w:rsidR="00BD1614" w:rsidRPr="00884D1A" w:rsidRDefault="00BD1614" w:rsidP="00105640">
            <w:pPr>
              <w:spacing w:before="0"/>
              <w:rPr>
                <w:rFonts w:cstheme="minorHAnsi"/>
                <w:b/>
                <w:szCs w:val="24"/>
                <w:lang w:val="en-US"/>
              </w:rPr>
            </w:pPr>
          </w:p>
        </w:tc>
        <w:tc>
          <w:tcPr>
            <w:tcW w:w="3120" w:type="dxa"/>
          </w:tcPr>
          <w:p w14:paraId="4FD5E934" w14:textId="0026F091" w:rsidR="00BD1614" w:rsidRPr="00884D1A" w:rsidRDefault="00EB3612" w:rsidP="00105640">
            <w:pPr>
              <w:spacing w:before="0"/>
              <w:rPr>
                <w:rFonts w:cstheme="minorHAnsi"/>
                <w:b/>
                <w:szCs w:val="24"/>
                <w:lang w:val="en-US"/>
              </w:rPr>
            </w:pPr>
            <w:r w:rsidRPr="00884D1A">
              <w:rPr>
                <w:rFonts w:cstheme="minorHAnsi"/>
                <w:b/>
                <w:szCs w:val="24"/>
                <w:lang w:val="en-US"/>
              </w:rPr>
              <w:t xml:space="preserve">26 </w:t>
            </w:r>
            <w:proofErr w:type="spellStart"/>
            <w:r w:rsidRPr="00884D1A">
              <w:rPr>
                <w:rFonts w:cstheme="minorHAnsi"/>
                <w:b/>
                <w:szCs w:val="24"/>
                <w:lang w:val="en-US"/>
              </w:rPr>
              <w:t>octobre</w:t>
            </w:r>
            <w:proofErr w:type="spellEnd"/>
            <w:r w:rsidRPr="00884D1A">
              <w:rPr>
                <w:rFonts w:cstheme="minorHAnsi"/>
                <w:b/>
                <w:szCs w:val="24"/>
                <w:lang w:val="en-US"/>
              </w:rPr>
              <w:t xml:space="preserve"> 2022</w:t>
            </w:r>
          </w:p>
        </w:tc>
      </w:tr>
      <w:tr w:rsidR="00BD1614" w:rsidRPr="00884D1A" w14:paraId="6B2B4BC1" w14:textId="77777777" w:rsidTr="006359EF">
        <w:trPr>
          <w:cantSplit/>
          <w:jc w:val="center"/>
        </w:trPr>
        <w:tc>
          <w:tcPr>
            <w:tcW w:w="6911" w:type="dxa"/>
          </w:tcPr>
          <w:p w14:paraId="780A194C" w14:textId="77777777" w:rsidR="00BD1614" w:rsidRPr="00884D1A" w:rsidRDefault="00BD1614" w:rsidP="00105640">
            <w:pPr>
              <w:spacing w:before="0"/>
              <w:rPr>
                <w:rFonts w:cstheme="minorHAnsi"/>
                <w:b/>
                <w:smallCaps/>
                <w:szCs w:val="24"/>
                <w:lang w:val="en-US"/>
              </w:rPr>
            </w:pPr>
          </w:p>
        </w:tc>
        <w:tc>
          <w:tcPr>
            <w:tcW w:w="3120" w:type="dxa"/>
          </w:tcPr>
          <w:p w14:paraId="36796BDA" w14:textId="3D9C6896" w:rsidR="00BD1614" w:rsidRPr="00884D1A" w:rsidRDefault="00420EF8" w:rsidP="00105640">
            <w:pPr>
              <w:spacing w:before="0"/>
              <w:rPr>
                <w:rFonts w:cstheme="minorHAnsi"/>
                <w:b/>
                <w:szCs w:val="24"/>
                <w:lang w:val="en-US"/>
              </w:rPr>
            </w:pPr>
            <w:r w:rsidRPr="00884D1A">
              <w:rPr>
                <w:rFonts w:cstheme="minorHAnsi"/>
                <w:b/>
                <w:szCs w:val="24"/>
                <w:lang w:val="en-US"/>
              </w:rPr>
              <w:t xml:space="preserve">Original: </w:t>
            </w:r>
            <w:proofErr w:type="spellStart"/>
            <w:r w:rsidRPr="00884D1A">
              <w:rPr>
                <w:rFonts w:cstheme="minorHAnsi"/>
                <w:b/>
                <w:szCs w:val="24"/>
                <w:lang w:val="en-US"/>
              </w:rPr>
              <w:t>anglais</w:t>
            </w:r>
            <w:proofErr w:type="spellEnd"/>
          </w:p>
        </w:tc>
      </w:tr>
      <w:tr w:rsidR="00BD1614" w:rsidRPr="00884D1A" w14:paraId="4259B884" w14:textId="77777777" w:rsidTr="006359EF">
        <w:trPr>
          <w:cantSplit/>
          <w:jc w:val="center"/>
        </w:trPr>
        <w:tc>
          <w:tcPr>
            <w:tcW w:w="10031" w:type="dxa"/>
            <w:gridSpan w:val="2"/>
          </w:tcPr>
          <w:p w14:paraId="770628D7" w14:textId="77777777" w:rsidR="00BD1614" w:rsidRPr="00884D1A" w:rsidRDefault="00BD1614" w:rsidP="00105640">
            <w:pPr>
              <w:spacing w:before="0"/>
              <w:rPr>
                <w:rFonts w:cstheme="minorHAnsi"/>
                <w:b/>
                <w:szCs w:val="24"/>
                <w:lang w:val="en-US"/>
              </w:rPr>
            </w:pPr>
          </w:p>
        </w:tc>
      </w:tr>
      <w:tr w:rsidR="00BD1614" w:rsidRPr="00884D1A" w14:paraId="534EEA05" w14:textId="77777777" w:rsidTr="006359EF">
        <w:trPr>
          <w:cantSplit/>
          <w:jc w:val="center"/>
        </w:trPr>
        <w:tc>
          <w:tcPr>
            <w:tcW w:w="10031" w:type="dxa"/>
            <w:gridSpan w:val="2"/>
          </w:tcPr>
          <w:p w14:paraId="002F5D8B" w14:textId="77777777" w:rsidR="00635428" w:rsidRPr="00884D1A" w:rsidRDefault="00D9100B" w:rsidP="00635428">
            <w:pPr>
              <w:pStyle w:val="Title1"/>
              <w:rPr>
                <w:bCs/>
              </w:rPr>
            </w:pPr>
            <w:bookmarkStart w:id="5" w:name="lt_pId010"/>
            <w:bookmarkStart w:id="6" w:name="dtitle1" w:colFirst="0" w:colLast="0"/>
            <w:bookmarkEnd w:id="3"/>
            <w:r w:rsidRPr="00884D1A">
              <w:rPr>
                <w:bCs/>
              </w:rPr>
              <w:t>PROCÈS-VERBAL</w:t>
            </w:r>
            <w:bookmarkStart w:id="7" w:name="lt_pId011"/>
            <w:bookmarkEnd w:id="5"/>
          </w:p>
          <w:p w14:paraId="433EEB74" w14:textId="77777777" w:rsidR="00635428" w:rsidRPr="00884D1A" w:rsidRDefault="00D9100B" w:rsidP="00635428">
            <w:pPr>
              <w:pStyle w:val="Title1"/>
              <w:rPr>
                <w:bCs/>
              </w:rPr>
            </w:pPr>
            <w:r w:rsidRPr="00884D1A">
              <w:rPr>
                <w:bCs/>
              </w:rPr>
              <w:t>DE LA</w:t>
            </w:r>
            <w:bookmarkStart w:id="8" w:name="lt_pId012"/>
            <w:bookmarkEnd w:id="7"/>
          </w:p>
          <w:p w14:paraId="0C8E89F3" w14:textId="521D25C6" w:rsidR="00BD1614" w:rsidRPr="00884D1A" w:rsidRDefault="00D9100B" w:rsidP="00635428">
            <w:pPr>
              <w:pStyle w:val="Title1"/>
            </w:pPr>
            <w:r w:rsidRPr="00884D1A">
              <w:rPr>
                <w:bCs/>
              </w:rPr>
              <w:t>SEIZIÈME SÉANCE PLÉNIÈRE</w:t>
            </w:r>
            <w:bookmarkEnd w:id="8"/>
          </w:p>
        </w:tc>
      </w:tr>
      <w:tr w:rsidR="00BD1614" w:rsidRPr="00884D1A" w14:paraId="37DA32CE" w14:textId="77777777" w:rsidTr="006359EF">
        <w:trPr>
          <w:cantSplit/>
          <w:jc w:val="center"/>
        </w:trPr>
        <w:tc>
          <w:tcPr>
            <w:tcW w:w="10031" w:type="dxa"/>
            <w:gridSpan w:val="2"/>
          </w:tcPr>
          <w:p w14:paraId="1574AB3E" w14:textId="5FC41D96" w:rsidR="00BD1614" w:rsidRPr="00884D1A" w:rsidRDefault="00EB3612" w:rsidP="00105640">
            <w:pPr>
              <w:pStyle w:val="Title2"/>
              <w:rPr>
                <w:lang w:val="en-US"/>
              </w:rPr>
            </w:pPr>
            <w:bookmarkStart w:id="9" w:name="dtitle2" w:colFirst="0" w:colLast="0"/>
            <w:bookmarkEnd w:id="6"/>
            <w:proofErr w:type="spellStart"/>
            <w:r w:rsidRPr="00884D1A">
              <w:rPr>
                <w:lang w:val="en-US"/>
              </w:rPr>
              <w:t>J</w:t>
            </w:r>
            <w:r w:rsidR="00D9100B" w:rsidRPr="00884D1A">
              <w:rPr>
                <w:caps w:val="0"/>
                <w:lang w:val="en-US"/>
              </w:rPr>
              <w:t>eudi</w:t>
            </w:r>
            <w:proofErr w:type="spellEnd"/>
            <w:r w:rsidR="00D9100B" w:rsidRPr="00884D1A">
              <w:rPr>
                <w:caps w:val="0"/>
                <w:lang w:val="en-US"/>
              </w:rPr>
              <w:t xml:space="preserve"> 13 </w:t>
            </w:r>
            <w:proofErr w:type="spellStart"/>
            <w:r w:rsidR="00D9100B" w:rsidRPr="00884D1A">
              <w:rPr>
                <w:caps w:val="0"/>
                <w:lang w:val="en-US"/>
              </w:rPr>
              <w:t>octobre</w:t>
            </w:r>
            <w:proofErr w:type="spellEnd"/>
            <w:r w:rsidR="00D9100B" w:rsidRPr="00884D1A">
              <w:rPr>
                <w:caps w:val="0"/>
                <w:lang w:val="en-US"/>
              </w:rPr>
              <w:t xml:space="preserve"> 2022 à </w:t>
            </w:r>
            <w:r w:rsidRPr="00884D1A">
              <w:rPr>
                <w:caps w:val="0"/>
                <w:lang w:val="en-US"/>
              </w:rPr>
              <w:t xml:space="preserve">9 h </w:t>
            </w:r>
            <w:r w:rsidRPr="00884D1A">
              <w:rPr>
                <w:lang w:val="en-US"/>
              </w:rPr>
              <w:t>40</w:t>
            </w:r>
          </w:p>
        </w:tc>
      </w:tr>
      <w:tr w:rsidR="00BD1614" w:rsidRPr="00884D1A" w14:paraId="3488B00F" w14:textId="77777777" w:rsidTr="006359EF">
        <w:trPr>
          <w:cantSplit/>
          <w:jc w:val="center"/>
        </w:trPr>
        <w:tc>
          <w:tcPr>
            <w:tcW w:w="10031" w:type="dxa"/>
            <w:gridSpan w:val="2"/>
          </w:tcPr>
          <w:p w14:paraId="48DBD50A" w14:textId="30D5EF2C" w:rsidR="00BD1614" w:rsidRPr="00884D1A" w:rsidRDefault="00EB3612" w:rsidP="00105640">
            <w:pPr>
              <w:pStyle w:val="Agendaitem"/>
              <w:rPr>
                <w:lang w:val="fr-FR"/>
              </w:rPr>
            </w:pPr>
            <w:bookmarkStart w:id="10" w:name="dtitle3" w:colFirst="0" w:colLast="0"/>
            <w:bookmarkEnd w:id="9"/>
            <w:r w:rsidRPr="00884D1A">
              <w:rPr>
                <w:b/>
                <w:bCs/>
              </w:rPr>
              <w:t>Président:</w:t>
            </w:r>
            <w:r w:rsidRPr="00884D1A">
              <w:t xml:space="preserve"> M.</w:t>
            </w:r>
            <w:r w:rsidRPr="00884D1A">
              <w:rPr>
                <w:rFonts w:ascii="Calibri" w:eastAsia="SimSun" w:hAnsi="Calibri"/>
                <w:bCs/>
                <w:sz w:val="24"/>
                <w:lang w:val="fr-FR"/>
              </w:rPr>
              <w:t xml:space="preserve"> </w:t>
            </w:r>
            <w:r w:rsidRPr="00884D1A">
              <w:rPr>
                <w:bCs/>
                <w:lang w:val="fr-FR"/>
              </w:rPr>
              <w:t xml:space="preserve">Sabin </w:t>
            </w:r>
            <w:proofErr w:type="spellStart"/>
            <w:r w:rsidRPr="00884D1A">
              <w:rPr>
                <w:bCs/>
                <w:lang w:val="fr-FR"/>
              </w:rPr>
              <w:t>Sărmaș</w:t>
            </w:r>
            <w:proofErr w:type="spellEnd"/>
            <w:r w:rsidRPr="00884D1A">
              <w:rPr>
                <w:bCs/>
                <w:lang w:val="fr-FR"/>
              </w:rPr>
              <w:t xml:space="preserve"> (Roumanie)</w:t>
            </w:r>
          </w:p>
        </w:tc>
      </w:tr>
      <w:bookmarkEnd w:id="10"/>
    </w:tbl>
    <w:p w14:paraId="7AD6F79A" w14:textId="1A45335E" w:rsidR="000D15FB" w:rsidRPr="00884D1A" w:rsidRDefault="000D15FB" w:rsidP="00105640"/>
    <w:tbl>
      <w:tblPr>
        <w:tblW w:w="10031" w:type="dxa"/>
        <w:jc w:val="center"/>
        <w:tblLayout w:type="fixed"/>
        <w:tblLook w:val="0000" w:firstRow="0" w:lastRow="0" w:firstColumn="0" w:lastColumn="0" w:noHBand="0" w:noVBand="0"/>
      </w:tblPr>
      <w:tblGrid>
        <w:gridCol w:w="534"/>
        <w:gridCol w:w="7971"/>
        <w:gridCol w:w="1526"/>
      </w:tblGrid>
      <w:tr w:rsidR="00EB3612" w:rsidRPr="00884D1A" w14:paraId="03D414CB" w14:textId="77777777" w:rsidTr="00727C93">
        <w:trPr>
          <w:tblHeader/>
          <w:jc w:val="center"/>
        </w:trPr>
        <w:tc>
          <w:tcPr>
            <w:tcW w:w="534" w:type="dxa"/>
          </w:tcPr>
          <w:p w14:paraId="2A3AE040" w14:textId="77777777" w:rsidR="00EB3612" w:rsidRPr="00884D1A" w:rsidRDefault="00EB3612" w:rsidP="00727C93">
            <w:pPr>
              <w:tabs>
                <w:tab w:val="right" w:pos="9781"/>
              </w:tabs>
              <w:spacing w:before="80" w:after="80"/>
              <w:rPr>
                <w:b/>
                <w:szCs w:val="24"/>
              </w:rPr>
            </w:pPr>
          </w:p>
        </w:tc>
        <w:tc>
          <w:tcPr>
            <w:tcW w:w="7971" w:type="dxa"/>
          </w:tcPr>
          <w:p w14:paraId="2FB9AEEC" w14:textId="54B5179C" w:rsidR="00EB3612" w:rsidRPr="00884D1A" w:rsidRDefault="00D9100B" w:rsidP="00727C93">
            <w:pPr>
              <w:tabs>
                <w:tab w:val="right" w:pos="9781"/>
              </w:tabs>
              <w:spacing w:before="80" w:after="80"/>
              <w:rPr>
                <w:b/>
                <w:szCs w:val="24"/>
                <w:lang w:val="en-CA"/>
              </w:rPr>
            </w:pPr>
            <w:proofErr w:type="spellStart"/>
            <w:r w:rsidRPr="00884D1A">
              <w:rPr>
                <w:b/>
                <w:szCs w:val="24"/>
                <w:lang w:val="en-CA"/>
              </w:rPr>
              <w:t>Sujets</w:t>
            </w:r>
            <w:proofErr w:type="spellEnd"/>
            <w:r w:rsidRPr="00884D1A">
              <w:rPr>
                <w:b/>
                <w:szCs w:val="24"/>
                <w:lang w:val="en-CA"/>
              </w:rPr>
              <w:t xml:space="preserve"> </w:t>
            </w:r>
            <w:proofErr w:type="spellStart"/>
            <w:r w:rsidRPr="00884D1A">
              <w:rPr>
                <w:b/>
                <w:szCs w:val="24"/>
                <w:lang w:val="en-CA"/>
              </w:rPr>
              <w:t>traités</w:t>
            </w:r>
            <w:proofErr w:type="spellEnd"/>
          </w:p>
        </w:tc>
        <w:tc>
          <w:tcPr>
            <w:tcW w:w="1526" w:type="dxa"/>
          </w:tcPr>
          <w:p w14:paraId="01786C01" w14:textId="77777777" w:rsidR="00EB3612" w:rsidRPr="00884D1A" w:rsidRDefault="00EB3612" w:rsidP="00727C93">
            <w:pPr>
              <w:tabs>
                <w:tab w:val="right" w:pos="9781"/>
              </w:tabs>
              <w:spacing w:before="80" w:after="80"/>
              <w:jc w:val="center"/>
              <w:rPr>
                <w:b/>
                <w:szCs w:val="24"/>
                <w:lang w:val="en-CA"/>
              </w:rPr>
            </w:pPr>
            <w:r w:rsidRPr="00884D1A">
              <w:rPr>
                <w:b/>
                <w:szCs w:val="24"/>
                <w:lang w:val="en-CA"/>
              </w:rPr>
              <w:t>Documents</w:t>
            </w:r>
          </w:p>
        </w:tc>
      </w:tr>
      <w:tr w:rsidR="00EB3612" w:rsidRPr="00884D1A" w14:paraId="1F2FBA7E" w14:textId="77777777" w:rsidTr="00EB3612">
        <w:trPr>
          <w:jc w:val="center"/>
        </w:trPr>
        <w:tc>
          <w:tcPr>
            <w:tcW w:w="534" w:type="dxa"/>
          </w:tcPr>
          <w:p w14:paraId="7A2E6C96" w14:textId="77777777" w:rsidR="00EB3612" w:rsidRPr="00884D1A" w:rsidRDefault="00EB3612" w:rsidP="00727C93">
            <w:pPr>
              <w:spacing w:before="80" w:after="80"/>
              <w:ind w:left="567" w:hanging="567"/>
              <w:rPr>
                <w:szCs w:val="24"/>
                <w:lang w:val="en-CA"/>
              </w:rPr>
            </w:pPr>
            <w:r w:rsidRPr="00884D1A">
              <w:rPr>
                <w:lang w:val="en-CA"/>
              </w:rPr>
              <w:t>1</w:t>
            </w:r>
          </w:p>
        </w:tc>
        <w:tc>
          <w:tcPr>
            <w:tcW w:w="7971" w:type="dxa"/>
          </w:tcPr>
          <w:p w14:paraId="6208AEB5" w14:textId="4102BDB5" w:rsidR="00EB3612" w:rsidRPr="00884D1A" w:rsidRDefault="005316B3" w:rsidP="00727C93">
            <w:pPr>
              <w:tabs>
                <w:tab w:val="left" w:pos="6"/>
              </w:tabs>
              <w:spacing w:before="80" w:after="80"/>
              <w:ind w:left="6"/>
              <w:rPr>
                <w:szCs w:val="24"/>
              </w:rPr>
            </w:pPr>
            <w:r w:rsidRPr="00884D1A">
              <w:t>Rapport du Président du Groupe de travail de la plénière</w:t>
            </w:r>
          </w:p>
        </w:tc>
        <w:tc>
          <w:tcPr>
            <w:tcW w:w="1526" w:type="dxa"/>
          </w:tcPr>
          <w:p w14:paraId="02234C38" w14:textId="62BB3617" w:rsidR="00EB3612" w:rsidRPr="00884D1A" w:rsidRDefault="00884D1A" w:rsidP="00727C93">
            <w:pPr>
              <w:spacing w:before="80" w:after="80"/>
              <w:jc w:val="center"/>
              <w:rPr>
                <w:szCs w:val="24"/>
                <w:lang w:val="en-CA"/>
              </w:rPr>
            </w:pPr>
            <w:hyperlink r:id="rId9" w:history="1">
              <w:r w:rsidR="00EB3612" w:rsidRPr="00884D1A">
                <w:rPr>
                  <w:rStyle w:val="Hyperlink"/>
                  <w:lang w:val="en-CA"/>
                </w:rPr>
                <w:t>188(Rév.1)</w:t>
              </w:r>
            </w:hyperlink>
          </w:p>
        </w:tc>
      </w:tr>
      <w:tr w:rsidR="00EB3612" w:rsidRPr="00884D1A" w14:paraId="673B776A" w14:textId="77777777" w:rsidTr="00EB3612">
        <w:trPr>
          <w:jc w:val="center"/>
        </w:trPr>
        <w:tc>
          <w:tcPr>
            <w:tcW w:w="534" w:type="dxa"/>
          </w:tcPr>
          <w:p w14:paraId="05122575" w14:textId="77777777" w:rsidR="00EB3612" w:rsidRPr="00884D1A" w:rsidRDefault="00EB3612" w:rsidP="00727C93">
            <w:pPr>
              <w:spacing w:before="80" w:after="80"/>
              <w:ind w:left="567" w:hanging="567"/>
              <w:rPr>
                <w:szCs w:val="24"/>
                <w:lang w:val="en-CA"/>
              </w:rPr>
            </w:pPr>
            <w:r w:rsidRPr="00884D1A">
              <w:rPr>
                <w:lang w:val="en-CA"/>
              </w:rPr>
              <w:t>2</w:t>
            </w:r>
          </w:p>
        </w:tc>
        <w:tc>
          <w:tcPr>
            <w:tcW w:w="7971" w:type="dxa"/>
          </w:tcPr>
          <w:p w14:paraId="2433AE08" w14:textId="62C54453" w:rsidR="00EB3612" w:rsidRPr="00884D1A" w:rsidRDefault="00B34FA0" w:rsidP="00727C93">
            <w:pPr>
              <w:spacing w:before="80" w:after="80"/>
              <w:rPr>
                <w:szCs w:val="24"/>
              </w:rPr>
            </w:pPr>
            <w:r w:rsidRPr="00884D1A">
              <w:t>Rapport de la Présidente de la Commission 6</w:t>
            </w:r>
          </w:p>
        </w:tc>
        <w:tc>
          <w:tcPr>
            <w:tcW w:w="1526" w:type="dxa"/>
          </w:tcPr>
          <w:p w14:paraId="6DA8290B" w14:textId="77777777" w:rsidR="00EB3612" w:rsidRPr="00884D1A" w:rsidRDefault="00884D1A" w:rsidP="00727C93">
            <w:pPr>
              <w:spacing w:before="80" w:after="80"/>
              <w:jc w:val="center"/>
              <w:rPr>
                <w:szCs w:val="24"/>
                <w:lang w:val="en-CA"/>
              </w:rPr>
            </w:pPr>
            <w:hyperlink r:id="rId10" w:history="1">
              <w:r w:rsidR="00EB3612" w:rsidRPr="00884D1A">
                <w:rPr>
                  <w:rStyle w:val="Hyperlink"/>
                  <w:lang w:val="en-CA"/>
                </w:rPr>
                <w:t>157</w:t>
              </w:r>
            </w:hyperlink>
          </w:p>
        </w:tc>
      </w:tr>
      <w:tr w:rsidR="00EB3612" w:rsidRPr="00884D1A" w14:paraId="52466EF0" w14:textId="77777777" w:rsidTr="00EB3612">
        <w:trPr>
          <w:jc w:val="center"/>
        </w:trPr>
        <w:tc>
          <w:tcPr>
            <w:tcW w:w="534" w:type="dxa"/>
          </w:tcPr>
          <w:p w14:paraId="6F61176A" w14:textId="77777777" w:rsidR="00EB3612" w:rsidRPr="00884D1A" w:rsidRDefault="00EB3612" w:rsidP="00727C93">
            <w:pPr>
              <w:spacing w:before="80" w:after="80"/>
              <w:ind w:left="567" w:hanging="567"/>
              <w:rPr>
                <w:szCs w:val="24"/>
                <w:lang w:val="en-CA"/>
              </w:rPr>
            </w:pPr>
            <w:r w:rsidRPr="00884D1A">
              <w:rPr>
                <w:lang w:val="en-CA"/>
              </w:rPr>
              <w:t>3</w:t>
            </w:r>
          </w:p>
        </w:tc>
        <w:tc>
          <w:tcPr>
            <w:tcW w:w="7971" w:type="dxa"/>
          </w:tcPr>
          <w:p w14:paraId="7ACC2BA6" w14:textId="39120A67" w:rsidR="00EB3612" w:rsidRPr="00884D1A" w:rsidRDefault="004D4F0B" w:rsidP="00727C93">
            <w:pPr>
              <w:spacing w:before="80" w:after="80"/>
              <w:rPr>
                <w:szCs w:val="24"/>
              </w:rPr>
            </w:pPr>
            <w:r w:rsidRPr="00884D1A">
              <w:t>Rapport de la Présidente de la Commission</w:t>
            </w:r>
            <w:r w:rsidR="00EB3612" w:rsidRPr="00884D1A">
              <w:t xml:space="preserve"> 5</w:t>
            </w:r>
          </w:p>
        </w:tc>
        <w:tc>
          <w:tcPr>
            <w:tcW w:w="1526" w:type="dxa"/>
          </w:tcPr>
          <w:p w14:paraId="05B3801C" w14:textId="77777777" w:rsidR="00EB3612" w:rsidRPr="00884D1A" w:rsidRDefault="00884D1A" w:rsidP="00727C93">
            <w:pPr>
              <w:spacing w:before="80" w:after="80"/>
              <w:jc w:val="center"/>
              <w:rPr>
                <w:szCs w:val="24"/>
                <w:lang w:val="en-CA"/>
              </w:rPr>
            </w:pPr>
            <w:hyperlink r:id="rId11" w:history="1">
              <w:r w:rsidR="00EB3612" w:rsidRPr="00884D1A">
                <w:rPr>
                  <w:rStyle w:val="Hyperlink"/>
                  <w:lang w:val="en-CA"/>
                </w:rPr>
                <w:t>189</w:t>
              </w:r>
            </w:hyperlink>
          </w:p>
        </w:tc>
      </w:tr>
      <w:tr w:rsidR="00EB3612" w:rsidRPr="00884D1A" w14:paraId="6C5E46D8" w14:textId="77777777" w:rsidTr="00EB3612">
        <w:trPr>
          <w:jc w:val="center"/>
        </w:trPr>
        <w:tc>
          <w:tcPr>
            <w:tcW w:w="534" w:type="dxa"/>
          </w:tcPr>
          <w:p w14:paraId="731AD2F0" w14:textId="77777777" w:rsidR="00EB3612" w:rsidRPr="00884D1A" w:rsidRDefault="00EB3612" w:rsidP="00727C93">
            <w:pPr>
              <w:spacing w:before="80" w:after="80"/>
              <w:ind w:left="567" w:hanging="567"/>
              <w:rPr>
                <w:szCs w:val="24"/>
                <w:lang w:val="en-CA"/>
              </w:rPr>
            </w:pPr>
            <w:r w:rsidRPr="00884D1A">
              <w:rPr>
                <w:lang w:val="en-CA"/>
              </w:rPr>
              <w:t>4</w:t>
            </w:r>
          </w:p>
        </w:tc>
        <w:tc>
          <w:tcPr>
            <w:tcW w:w="7971" w:type="dxa"/>
          </w:tcPr>
          <w:p w14:paraId="671B34A6" w14:textId="5E5C50EB" w:rsidR="00EB3612" w:rsidRPr="00884D1A" w:rsidRDefault="001414A1" w:rsidP="00727C93">
            <w:pPr>
              <w:tabs>
                <w:tab w:val="left" w:pos="6"/>
                <w:tab w:val="left" w:pos="668"/>
                <w:tab w:val="left" w:pos="855"/>
              </w:tabs>
              <w:spacing w:before="80" w:after="80"/>
              <w:rPr>
                <w:szCs w:val="24"/>
              </w:rPr>
            </w:pPr>
            <w:r w:rsidRPr="00884D1A">
              <w:t>Présentation à l</w:t>
            </w:r>
            <w:r w:rsidR="00C55F21" w:rsidRPr="00884D1A">
              <w:t>'</w:t>
            </w:r>
            <w:r w:rsidRPr="00884D1A">
              <w:t>intention des présidents des commissions</w:t>
            </w:r>
          </w:p>
        </w:tc>
        <w:tc>
          <w:tcPr>
            <w:tcW w:w="1526" w:type="dxa"/>
          </w:tcPr>
          <w:p w14:paraId="19BFC110" w14:textId="6408F078" w:rsidR="00EB3612" w:rsidRPr="00884D1A" w:rsidRDefault="00EB3612" w:rsidP="00727C93">
            <w:pPr>
              <w:spacing w:before="80" w:after="80"/>
              <w:jc w:val="center"/>
              <w:rPr>
                <w:szCs w:val="24"/>
                <w:lang w:val="en-CA"/>
              </w:rPr>
            </w:pPr>
            <w:r w:rsidRPr="00884D1A">
              <w:rPr>
                <w:lang w:val="en-CA"/>
              </w:rPr>
              <w:t>–</w:t>
            </w:r>
          </w:p>
        </w:tc>
      </w:tr>
      <w:tr w:rsidR="00EB3612" w:rsidRPr="00884D1A" w14:paraId="06799D6D" w14:textId="77777777" w:rsidTr="00EB3612">
        <w:trPr>
          <w:jc w:val="center"/>
        </w:trPr>
        <w:tc>
          <w:tcPr>
            <w:tcW w:w="534" w:type="dxa"/>
          </w:tcPr>
          <w:p w14:paraId="77D0C9F8" w14:textId="77777777" w:rsidR="00EB3612" w:rsidRPr="00884D1A" w:rsidRDefault="00EB3612" w:rsidP="00727C93">
            <w:pPr>
              <w:spacing w:before="80" w:after="80"/>
              <w:ind w:left="567" w:hanging="567"/>
              <w:rPr>
                <w:szCs w:val="24"/>
                <w:lang w:val="en-CA"/>
              </w:rPr>
            </w:pPr>
            <w:r w:rsidRPr="00884D1A">
              <w:rPr>
                <w:lang w:val="en-CA"/>
              </w:rPr>
              <w:t>5</w:t>
            </w:r>
          </w:p>
        </w:tc>
        <w:tc>
          <w:tcPr>
            <w:tcW w:w="7971" w:type="dxa"/>
          </w:tcPr>
          <w:p w14:paraId="1FE138E4" w14:textId="775257B9" w:rsidR="00EB3612" w:rsidRPr="00884D1A" w:rsidRDefault="0009385E" w:rsidP="00727C93">
            <w:pPr>
              <w:spacing w:before="80" w:after="80"/>
              <w:rPr>
                <w:spacing w:val="-2"/>
                <w:szCs w:val="24"/>
              </w:rPr>
            </w:pPr>
            <w:r w:rsidRPr="00884D1A">
              <w:rPr>
                <w:rFonts w:cstheme="minorHAnsi"/>
                <w:spacing w:val="-2"/>
                <w:szCs w:val="24"/>
              </w:rPr>
              <w:t>Vingt-troisième série de textes soumis par la Commission de rédaction en première lecture (B23)</w:t>
            </w:r>
          </w:p>
        </w:tc>
        <w:tc>
          <w:tcPr>
            <w:tcW w:w="1526" w:type="dxa"/>
          </w:tcPr>
          <w:p w14:paraId="1E5037CE" w14:textId="77777777" w:rsidR="00EB3612" w:rsidRPr="00884D1A" w:rsidRDefault="00884D1A" w:rsidP="00727C93">
            <w:pPr>
              <w:spacing w:before="80" w:after="80"/>
              <w:jc w:val="center"/>
              <w:rPr>
                <w:szCs w:val="24"/>
                <w:lang w:val="en-CA"/>
              </w:rPr>
            </w:pPr>
            <w:hyperlink r:id="rId12" w:history="1">
              <w:r w:rsidR="00EB3612" w:rsidRPr="00884D1A">
                <w:rPr>
                  <w:rStyle w:val="Hyperlink"/>
                  <w:lang w:val="en-CA"/>
                </w:rPr>
                <w:t>193</w:t>
              </w:r>
            </w:hyperlink>
          </w:p>
        </w:tc>
      </w:tr>
      <w:tr w:rsidR="00EB3612" w:rsidRPr="00884D1A" w14:paraId="3480D459" w14:textId="77777777" w:rsidTr="00EB3612">
        <w:trPr>
          <w:jc w:val="center"/>
        </w:trPr>
        <w:tc>
          <w:tcPr>
            <w:tcW w:w="534" w:type="dxa"/>
          </w:tcPr>
          <w:p w14:paraId="02990BEF" w14:textId="77777777" w:rsidR="00EB3612" w:rsidRPr="00884D1A" w:rsidRDefault="00EB3612" w:rsidP="00727C93">
            <w:pPr>
              <w:spacing w:before="80" w:after="80"/>
              <w:ind w:left="567" w:hanging="567"/>
              <w:rPr>
                <w:szCs w:val="24"/>
                <w:lang w:val="en-CA"/>
              </w:rPr>
            </w:pPr>
            <w:r w:rsidRPr="00884D1A">
              <w:rPr>
                <w:lang w:val="en-CA"/>
              </w:rPr>
              <w:t>6</w:t>
            </w:r>
          </w:p>
        </w:tc>
        <w:tc>
          <w:tcPr>
            <w:tcW w:w="7971" w:type="dxa"/>
          </w:tcPr>
          <w:p w14:paraId="446B7F2E" w14:textId="5DC71608" w:rsidR="00EB3612" w:rsidRPr="00884D1A" w:rsidRDefault="0009385E" w:rsidP="00727C93">
            <w:pPr>
              <w:tabs>
                <w:tab w:val="left" w:pos="4660"/>
              </w:tabs>
              <w:spacing w:before="80" w:after="80"/>
              <w:rPr>
                <w:szCs w:val="24"/>
              </w:rPr>
            </w:pPr>
            <w:r w:rsidRPr="00884D1A">
              <w:rPr>
                <w:rFonts w:cstheme="minorHAnsi"/>
                <w:spacing w:val="-2"/>
                <w:szCs w:val="24"/>
              </w:rPr>
              <w:t>Vingt-troisième série de textes soumis par la Commission de rédaction – seconde lecture</w:t>
            </w:r>
          </w:p>
        </w:tc>
        <w:tc>
          <w:tcPr>
            <w:tcW w:w="1526" w:type="dxa"/>
          </w:tcPr>
          <w:p w14:paraId="6AFAD9C2" w14:textId="77777777" w:rsidR="00EB3612" w:rsidRPr="00884D1A" w:rsidRDefault="00EB3612" w:rsidP="00727C93">
            <w:pPr>
              <w:spacing w:before="80" w:after="80"/>
              <w:jc w:val="center"/>
              <w:rPr>
                <w:szCs w:val="24"/>
                <w:lang w:val="en-CA"/>
              </w:rPr>
            </w:pPr>
            <w:r w:rsidRPr="00884D1A">
              <w:rPr>
                <w:lang w:val="en-CA"/>
              </w:rPr>
              <w:t>193</w:t>
            </w:r>
          </w:p>
        </w:tc>
      </w:tr>
      <w:tr w:rsidR="00EB3612" w:rsidRPr="00884D1A" w14:paraId="4CBBB8C1" w14:textId="77777777" w:rsidTr="00EB3612">
        <w:trPr>
          <w:jc w:val="center"/>
        </w:trPr>
        <w:tc>
          <w:tcPr>
            <w:tcW w:w="534" w:type="dxa"/>
          </w:tcPr>
          <w:p w14:paraId="4D5F3153" w14:textId="77777777" w:rsidR="00EB3612" w:rsidRPr="00884D1A" w:rsidRDefault="00EB3612" w:rsidP="00727C93">
            <w:pPr>
              <w:spacing w:before="80" w:after="80"/>
              <w:ind w:left="567" w:hanging="567"/>
              <w:rPr>
                <w:szCs w:val="24"/>
                <w:lang w:val="en-CA"/>
              </w:rPr>
            </w:pPr>
            <w:r w:rsidRPr="00884D1A">
              <w:rPr>
                <w:lang w:val="en-CA"/>
              </w:rPr>
              <w:t>7</w:t>
            </w:r>
          </w:p>
        </w:tc>
        <w:tc>
          <w:tcPr>
            <w:tcW w:w="7971" w:type="dxa"/>
          </w:tcPr>
          <w:p w14:paraId="57F41292" w14:textId="49607724" w:rsidR="00EB3612" w:rsidRPr="00884D1A" w:rsidRDefault="00836579" w:rsidP="00727C93">
            <w:pPr>
              <w:tabs>
                <w:tab w:val="left" w:pos="4660"/>
              </w:tabs>
              <w:spacing w:before="80" w:after="80"/>
              <w:rPr>
                <w:szCs w:val="24"/>
              </w:rPr>
            </w:pPr>
            <w:r w:rsidRPr="00884D1A">
              <w:rPr>
                <w:rFonts w:cstheme="minorHAnsi"/>
                <w:spacing w:val="-2"/>
                <w:szCs w:val="24"/>
              </w:rPr>
              <w:t>Vingt-quatrième série de textes soumis par la Commission de rédaction en première lecture</w:t>
            </w:r>
            <w:r w:rsidR="00EB3612" w:rsidRPr="00884D1A">
              <w:rPr>
                <w:rFonts w:cstheme="minorHAnsi"/>
                <w:bCs/>
                <w:szCs w:val="24"/>
              </w:rPr>
              <w:t xml:space="preserve"> (B24)</w:t>
            </w:r>
          </w:p>
        </w:tc>
        <w:tc>
          <w:tcPr>
            <w:tcW w:w="1526" w:type="dxa"/>
          </w:tcPr>
          <w:p w14:paraId="49794793" w14:textId="77777777" w:rsidR="00EB3612" w:rsidRPr="00884D1A" w:rsidRDefault="00884D1A" w:rsidP="00727C93">
            <w:pPr>
              <w:spacing w:before="80" w:after="80"/>
              <w:jc w:val="center"/>
              <w:rPr>
                <w:szCs w:val="24"/>
                <w:lang w:val="en-CA"/>
              </w:rPr>
            </w:pPr>
            <w:hyperlink r:id="rId13" w:history="1">
              <w:r w:rsidR="00EB3612" w:rsidRPr="00884D1A">
                <w:rPr>
                  <w:rStyle w:val="Hyperlink"/>
                  <w:lang w:val="en-CA"/>
                </w:rPr>
                <w:t>194</w:t>
              </w:r>
            </w:hyperlink>
          </w:p>
        </w:tc>
      </w:tr>
      <w:tr w:rsidR="00EB3612" w:rsidRPr="00884D1A" w14:paraId="11855DF1" w14:textId="77777777" w:rsidTr="00EB3612">
        <w:trPr>
          <w:jc w:val="center"/>
        </w:trPr>
        <w:tc>
          <w:tcPr>
            <w:tcW w:w="534" w:type="dxa"/>
          </w:tcPr>
          <w:p w14:paraId="58ABA299" w14:textId="77777777" w:rsidR="00EB3612" w:rsidRPr="00884D1A" w:rsidRDefault="00EB3612" w:rsidP="00727C93">
            <w:pPr>
              <w:spacing w:before="80" w:after="80"/>
              <w:ind w:left="567" w:hanging="567"/>
              <w:rPr>
                <w:szCs w:val="24"/>
                <w:lang w:val="en-CA"/>
              </w:rPr>
            </w:pPr>
            <w:r w:rsidRPr="00884D1A">
              <w:rPr>
                <w:lang w:val="en-CA"/>
              </w:rPr>
              <w:t>8</w:t>
            </w:r>
          </w:p>
        </w:tc>
        <w:tc>
          <w:tcPr>
            <w:tcW w:w="7971" w:type="dxa"/>
          </w:tcPr>
          <w:p w14:paraId="4B89A34B" w14:textId="11894AA9" w:rsidR="00EB3612" w:rsidRPr="00884D1A" w:rsidRDefault="00836579" w:rsidP="00727C93">
            <w:pPr>
              <w:tabs>
                <w:tab w:val="left" w:pos="4660"/>
              </w:tabs>
              <w:spacing w:before="80" w:after="80"/>
              <w:rPr>
                <w:szCs w:val="24"/>
              </w:rPr>
            </w:pPr>
            <w:r w:rsidRPr="00884D1A">
              <w:rPr>
                <w:rFonts w:cstheme="minorHAnsi"/>
                <w:spacing w:val="-2"/>
                <w:szCs w:val="24"/>
              </w:rPr>
              <w:t>Vingt-quatrième série de textes soumis par la Commission de rédaction – seconde lecture</w:t>
            </w:r>
          </w:p>
        </w:tc>
        <w:tc>
          <w:tcPr>
            <w:tcW w:w="1526" w:type="dxa"/>
          </w:tcPr>
          <w:p w14:paraId="7A4A5AAB" w14:textId="77777777" w:rsidR="00EB3612" w:rsidRPr="00884D1A" w:rsidRDefault="00EB3612" w:rsidP="00727C93">
            <w:pPr>
              <w:spacing w:before="80" w:after="80"/>
              <w:jc w:val="center"/>
              <w:rPr>
                <w:szCs w:val="24"/>
                <w:lang w:val="en-CA"/>
              </w:rPr>
            </w:pPr>
            <w:r w:rsidRPr="00884D1A">
              <w:rPr>
                <w:lang w:val="en-CA"/>
              </w:rPr>
              <w:t>194</w:t>
            </w:r>
          </w:p>
        </w:tc>
      </w:tr>
      <w:tr w:rsidR="00EB3612" w:rsidRPr="00884D1A" w14:paraId="5826F00F" w14:textId="77777777" w:rsidTr="00EB3612">
        <w:trPr>
          <w:jc w:val="center"/>
        </w:trPr>
        <w:tc>
          <w:tcPr>
            <w:tcW w:w="534" w:type="dxa"/>
          </w:tcPr>
          <w:p w14:paraId="447197EE" w14:textId="77777777" w:rsidR="00EB3612" w:rsidRPr="00884D1A" w:rsidRDefault="00EB3612" w:rsidP="00727C93">
            <w:pPr>
              <w:spacing w:before="80" w:after="80"/>
              <w:ind w:left="567" w:hanging="567"/>
              <w:rPr>
                <w:szCs w:val="24"/>
              </w:rPr>
            </w:pPr>
            <w:r w:rsidRPr="00884D1A">
              <w:rPr>
                <w:lang w:val="en-CA"/>
              </w:rPr>
              <w:t>9</w:t>
            </w:r>
          </w:p>
        </w:tc>
        <w:tc>
          <w:tcPr>
            <w:tcW w:w="7971" w:type="dxa"/>
          </w:tcPr>
          <w:p w14:paraId="54DE53D6" w14:textId="6C7A0AAB" w:rsidR="00EB3612" w:rsidRPr="00884D1A" w:rsidRDefault="00A92EFE" w:rsidP="00727C93">
            <w:pPr>
              <w:tabs>
                <w:tab w:val="left" w:pos="4660"/>
              </w:tabs>
              <w:spacing w:before="80" w:after="80"/>
              <w:rPr>
                <w:szCs w:val="24"/>
              </w:rPr>
            </w:pPr>
            <w:r w:rsidRPr="00884D1A">
              <w:rPr>
                <w:rFonts w:cstheme="minorHAnsi"/>
                <w:spacing w:val="-2"/>
                <w:szCs w:val="24"/>
              </w:rPr>
              <w:t>Vingt-sixième série de textes soumis par la Commission de rédaction en première lecture</w:t>
            </w:r>
            <w:r w:rsidR="00EB3612" w:rsidRPr="00884D1A">
              <w:rPr>
                <w:rFonts w:cstheme="minorHAnsi"/>
                <w:bCs/>
                <w:szCs w:val="24"/>
              </w:rPr>
              <w:t xml:space="preserve"> (B26)</w:t>
            </w:r>
          </w:p>
        </w:tc>
        <w:tc>
          <w:tcPr>
            <w:tcW w:w="1526" w:type="dxa"/>
          </w:tcPr>
          <w:p w14:paraId="7043126E" w14:textId="77777777" w:rsidR="00EB3612" w:rsidRPr="00884D1A" w:rsidRDefault="00884D1A" w:rsidP="00727C93">
            <w:pPr>
              <w:spacing w:before="80" w:after="80"/>
              <w:jc w:val="center"/>
              <w:rPr>
                <w:rFonts w:cs="Calibri"/>
                <w:szCs w:val="24"/>
              </w:rPr>
            </w:pPr>
            <w:hyperlink r:id="rId14" w:history="1">
              <w:r w:rsidR="00EB3612" w:rsidRPr="00884D1A">
                <w:rPr>
                  <w:rStyle w:val="Hyperlink"/>
                  <w:lang w:val="en-CA"/>
                </w:rPr>
                <w:t>196</w:t>
              </w:r>
            </w:hyperlink>
          </w:p>
        </w:tc>
      </w:tr>
      <w:tr w:rsidR="00EB3612" w:rsidRPr="00884D1A" w14:paraId="72930F21" w14:textId="77777777" w:rsidTr="00EB3612">
        <w:trPr>
          <w:jc w:val="center"/>
        </w:trPr>
        <w:tc>
          <w:tcPr>
            <w:tcW w:w="534" w:type="dxa"/>
          </w:tcPr>
          <w:p w14:paraId="68D45114" w14:textId="77777777" w:rsidR="00EB3612" w:rsidRPr="00884D1A" w:rsidRDefault="00EB3612" w:rsidP="00727C93">
            <w:pPr>
              <w:spacing w:before="80" w:after="80"/>
              <w:ind w:left="567" w:hanging="567"/>
              <w:rPr>
                <w:szCs w:val="24"/>
              </w:rPr>
            </w:pPr>
            <w:r w:rsidRPr="00884D1A">
              <w:rPr>
                <w:lang w:val="en-CA"/>
              </w:rPr>
              <w:t>10</w:t>
            </w:r>
          </w:p>
        </w:tc>
        <w:tc>
          <w:tcPr>
            <w:tcW w:w="7971" w:type="dxa"/>
          </w:tcPr>
          <w:p w14:paraId="3437601B" w14:textId="1CA0AD40" w:rsidR="00EB3612" w:rsidRPr="00884D1A" w:rsidRDefault="00A92EFE" w:rsidP="00727C93">
            <w:pPr>
              <w:tabs>
                <w:tab w:val="left" w:pos="4660"/>
              </w:tabs>
              <w:spacing w:before="80" w:after="80"/>
              <w:rPr>
                <w:szCs w:val="24"/>
              </w:rPr>
            </w:pPr>
            <w:r w:rsidRPr="00884D1A">
              <w:rPr>
                <w:rFonts w:cstheme="minorHAnsi"/>
                <w:spacing w:val="-2"/>
                <w:szCs w:val="24"/>
              </w:rPr>
              <w:t>Vingt-sixième série de textes soumis par la Commission de rédaction – seconde lecture</w:t>
            </w:r>
          </w:p>
        </w:tc>
        <w:tc>
          <w:tcPr>
            <w:tcW w:w="1526" w:type="dxa"/>
          </w:tcPr>
          <w:p w14:paraId="4B6EBE9B" w14:textId="77777777" w:rsidR="00EB3612" w:rsidRPr="00884D1A" w:rsidRDefault="00EB3612" w:rsidP="00727C93">
            <w:pPr>
              <w:spacing w:before="80" w:after="80"/>
              <w:jc w:val="center"/>
              <w:rPr>
                <w:rFonts w:cs="Calibri"/>
                <w:szCs w:val="24"/>
              </w:rPr>
            </w:pPr>
            <w:r w:rsidRPr="00884D1A">
              <w:rPr>
                <w:lang w:val="en-CA"/>
              </w:rPr>
              <w:t>196</w:t>
            </w:r>
          </w:p>
        </w:tc>
      </w:tr>
      <w:tr w:rsidR="00EB3612" w:rsidRPr="00884D1A" w14:paraId="619CB05E" w14:textId="77777777" w:rsidTr="00EB3612">
        <w:trPr>
          <w:jc w:val="center"/>
        </w:trPr>
        <w:tc>
          <w:tcPr>
            <w:tcW w:w="534" w:type="dxa"/>
          </w:tcPr>
          <w:p w14:paraId="0EB8687E" w14:textId="77777777" w:rsidR="00EB3612" w:rsidRPr="00884D1A" w:rsidRDefault="00EB3612" w:rsidP="00727C93">
            <w:pPr>
              <w:spacing w:before="80" w:after="80"/>
              <w:ind w:left="567" w:hanging="567"/>
              <w:rPr>
                <w:szCs w:val="24"/>
              </w:rPr>
            </w:pPr>
            <w:r w:rsidRPr="00884D1A">
              <w:rPr>
                <w:lang w:val="en-CA"/>
              </w:rPr>
              <w:t>11</w:t>
            </w:r>
          </w:p>
        </w:tc>
        <w:tc>
          <w:tcPr>
            <w:tcW w:w="7971" w:type="dxa"/>
          </w:tcPr>
          <w:p w14:paraId="538D54DB" w14:textId="07C35494" w:rsidR="00EB3612" w:rsidRPr="00884D1A" w:rsidRDefault="008A13E0" w:rsidP="00727C93">
            <w:pPr>
              <w:tabs>
                <w:tab w:val="left" w:pos="4660"/>
              </w:tabs>
              <w:spacing w:before="80" w:after="80"/>
              <w:rPr>
                <w:szCs w:val="24"/>
              </w:rPr>
            </w:pPr>
            <w:r w:rsidRPr="00884D1A">
              <w:rPr>
                <w:rFonts w:cstheme="minorHAnsi"/>
                <w:spacing w:val="-2"/>
                <w:szCs w:val="24"/>
              </w:rPr>
              <w:t>Quinzième série de textes soumis par la Commission de rédaction en première lecture</w:t>
            </w:r>
            <w:r w:rsidR="00EB3612" w:rsidRPr="00884D1A">
              <w:rPr>
                <w:rFonts w:cstheme="minorHAnsi"/>
                <w:bCs/>
                <w:szCs w:val="24"/>
              </w:rPr>
              <w:t xml:space="preserve"> (B15)</w:t>
            </w:r>
          </w:p>
        </w:tc>
        <w:tc>
          <w:tcPr>
            <w:tcW w:w="1526" w:type="dxa"/>
          </w:tcPr>
          <w:p w14:paraId="6FFD4067" w14:textId="77777777" w:rsidR="00EB3612" w:rsidRPr="00884D1A" w:rsidRDefault="00884D1A" w:rsidP="00727C93">
            <w:pPr>
              <w:spacing w:before="80" w:after="80"/>
              <w:jc w:val="center"/>
              <w:rPr>
                <w:rFonts w:cs="Calibri"/>
                <w:szCs w:val="24"/>
              </w:rPr>
            </w:pPr>
            <w:hyperlink r:id="rId15" w:history="1">
              <w:r w:rsidR="00EB3612" w:rsidRPr="00884D1A">
                <w:rPr>
                  <w:rStyle w:val="Hyperlink"/>
                  <w:lang w:val="en-CA"/>
                </w:rPr>
                <w:t>166</w:t>
              </w:r>
            </w:hyperlink>
          </w:p>
        </w:tc>
      </w:tr>
      <w:tr w:rsidR="00EB3612" w:rsidRPr="00884D1A" w14:paraId="4CDD6266" w14:textId="77777777" w:rsidTr="00EB3612">
        <w:trPr>
          <w:jc w:val="center"/>
        </w:trPr>
        <w:tc>
          <w:tcPr>
            <w:tcW w:w="534" w:type="dxa"/>
          </w:tcPr>
          <w:p w14:paraId="5326F737" w14:textId="77777777" w:rsidR="00EB3612" w:rsidRPr="00884D1A" w:rsidRDefault="00EB3612" w:rsidP="00727C93">
            <w:pPr>
              <w:spacing w:before="80" w:after="80"/>
              <w:ind w:left="567" w:hanging="567"/>
              <w:rPr>
                <w:szCs w:val="24"/>
              </w:rPr>
            </w:pPr>
            <w:r w:rsidRPr="00884D1A">
              <w:rPr>
                <w:lang w:val="en-CA"/>
              </w:rPr>
              <w:t>12</w:t>
            </w:r>
          </w:p>
        </w:tc>
        <w:tc>
          <w:tcPr>
            <w:tcW w:w="7971" w:type="dxa"/>
          </w:tcPr>
          <w:p w14:paraId="18E6D67E" w14:textId="65499034" w:rsidR="00EB3612" w:rsidRPr="00884D1A" w:rsidRDefault="00A0667A" w:rsidP="00727C93">
            <w:pPr>
              <w:tabs>
                <w:tab w:val="left" w:pos="4660"/>
              </w:tabs>
              <w:spacing w:before="80" w:after="80"/>
              <w:rPr>
                <w:szCs w:val="24"/>
              </w:rPr>
            </w:pPr>
            <w:r w:rsidRPr="00884D1A">
              <w:rPr>
                <w:rFonts w:cstheme="minorHAnsi"/>
                <w:spacing w:val="-2"/>
                <w:szCs w:val="24"/>
              </w:rPr>
              <w:t>Quinzième série de textes soumis par la Commission de rédaction – seconde lecture</w:t>
            </w:r>
          </w:p>
        </w:tc>
        <w:tc>
          <w:tcPr>
            <w:tcW w:w="1526" w:type="dxa"/>
          </w:tcPr>
          <w:p w14:paraId="6ABF6D9F" w14:textId="77777777" w:rsidR="00EB3612" w:rsidRPr="00884D1A" w:rsidRDefault="00EB3612" w:rsidP="00727C93">
            <w:pPr>
              <w:spacing w:before="80" w:after="80"/>
              <w:jc w:val="center"/>
              <w:rPr>
                <w:rFonts w:eastAsia="Calibri"/>
                <w:szCs w:val="24"/>
              </w:rPr>
            </w:pPr>
            <w:r w:rsidRPr="00884D1A">
              <w:rPr>
                <w:lang w:val="en-CA"/>
              </w:rPr>
              <w:t>166</w:t>
            </w:r>
          </w:p>
        </w:tc>
      </w:tr>
      <w:tr w:rsidR="00EB3612" w:rsidRPr="00884D1A" w14:paraId="13BB0653" w14:textId="77777777" w:rsidTr="00EB3612">
        <w:trPr>
          <w:jc w:val="center"/>
        </w:trPr>
        <w:tc>
          <w:tcPr>
            <w:tcW w:w="534" w:type="dxa"/>
          </w:tcPr>
          <w:p w14:paraId="6414C3A3" w14:textId="77777777" w:rsidR="00EB3612" w:rsidRPr="00884D1A" w:rsidRDefault="00EB3612" w:rsidP="00727C93">
            <w:pPr>
              <w:spacing w:before="80" w:after="80"/>
              <w:ind w:left="567" w:hanging="567"/>
              <w:rPr>
                <w:szCs w:val="24"/>
              </w:rPr>
            </w:pPr>
            <w:r w:rsidRPr="00884D1A">
              <w:rPr>
                <w:lang w:val="en-CA"/>
              </w:rPr>
              <w:lastRenderedPageBreak/>
              <w:t>13</w:t>
            </w:r>
          </w:p>
        </w:tc>
        <w:tc>
          <w:tcPr>
            <w:tcW w:w="7971" w:type="dxa"/>
          </w:tcPr>
          <w:p w14:paraId="0BA2233A" w14:textId="30A0A133" w:rsidR="00EB3612" w:rsidRPr="00884D1A" w:rsidRDefault="00593C72" w:rsidP="00727C93">
            <w:pPr>
              <w:tabs>
                <w:tab w:val="left" w:pos="4660"/>
              </w:tabs>
              <w:spacing w:before="80" w:after="80"/>
              <w:rPr>
                <w:szCs w:val="24"/>
              </w:rPr>
            </w:pPr>
            <w:r w:rsidRPr="00884D1A">
              <w:rPr>
                <w:rFonts w:cstheme="minorHAnsi"/>
                <w:spacing w:val="-2"/>
                <w:szCs w:val="24"/>
              </w:rPr>
              <w:t>Vingt-huitième série de textes soumis par la Commission de rédaction en première lecture</w:t>
            </w:r>
            <w:r w:rsidR="00EB3612" w:rsidRPr="00884D1A">
              <w:rPr>
                <w:rFonts w:cstheme="minorHAnsi"/>
                <w:bCs/>
                <w:szCs w:val="24"/>
              </w:rPr>
              <w:t xml:space="preserve"> (B28)</w:t>
            </w:r>
          </w:p>
        </w:tc>
        <w:tc>
          <w:tcPr>
            <w:tcW w:w="1526" w:type="dxa"/>
          </w:tcPr>
          <w:p w14:paraId="662E27D5" w14:textId="77777777" w:rsidR="00EB3612" w:rsidRPr="00884D1A" w:rsidRDefault="00884D1A" w:rsidP="00727C93">
            <w:pPr>
              <w:spacing w:before="80" w:after="80"/>
              <w:jc w:val="center"/>
              <w:rPr>
                <w:rFonts w:eastAsia="Calibri"/>
                <w:szCs w:val="24"/>
              </w:rPr>
            </w:pPr>
            <w:hyperlink r:id="rId16" w:history="1">
              <w:r w:rsidR="00EB3612" w:rsidRPr="00884D1A">
                <w:rPr>
                  <w:rStyle w:val="Hyperlink"/>
                  <w:lang w:val="en-CA"/>
                </w:rPr>
                <w:t>198</w:t>
              </w:r>
            </w:hyperlink>
          </w:p>
        </w:tc>
      </w:tr>
      <w:tr w:rsidR="00EB3612" w:rsidRPr="00884D1A" w14:paraId="78F12244" w14:textId="77777777" w:rsidTr="00EB3612">
        <w:trPr>
          <w:jc w:val="center"/>
        </w:trPr>
        <w:tc>
          <w:tcPr>
            <w:tcW w:w="534" w:type="dxa"/>
          </w:tcPr>
          <w:p w14:paraId="08EE5FDE" w14:textId="77777777" w:rsidR="00EB3612" w:rsidRPr="00884D1A" w:rsidRDefault="00EB3612" w:rsidP="00727C93">
            <w:pPr>
              <w:spacing w:before="80" w:after="80"/>
              <w:ind w:left="567" w:hanging="567"/>
              <w:rPr>
                <w:szCs w:val="24"/>
              </w:rPr>
            </w:pPr>
            <w:r w:rsidRPr="00884D1A">
              <w:rPr>
                <w:lang w:val="en-CA"/>
              </w:rPr>
              <w:t>14</w:t>
            </w:r>
          </w:p>
        </w:tc>
        <w:tc>
          <w:tcPr>
            <w:tcW w:w="7971" w:type="dxa"/>
          </w:tcPr>
          <w:p w14:paraId="3BE08697" w14:textId="4477B968" w:rsidR="00EB3612" w:rsidRPr="00884D1A" w:rsidRDefault="00A867FC" w:rsidP="00727C93">
            <w:pPr>
              <w:tabs>
                <w:tab w:val="left" w:pos="4660"/>
              </w:tabs>
              <w:spacing w:before="80" w:after="80"/>
              <w:rPr>
                <w:szCs w:val="24"/>
              </w:rPr>
            </w:pPr>
            <w:r w:rsidRPr="00884D1A">
              <w:rPr>
                <w:rFonts w:cstheme="minorHAnsi"/>
                <w:spacing w:val="-2"/>
                <w:szCs w:val="24"/>
              </w:rPr>
              <w:t>Vingt-huitième série de textes soumis par la Commission de rédaction – seconde lecture</w:t>
            </w:r>
          </w:p>
        </w:tc>
        <w:tc>
          <w:tcPr>
            <w:tcW w:w="1526" w:type="dxa"/>
          </w:tcPr>
          <w:p w14:paraId="2F981883" w14:textId="77777777" w:rsidR="00EB3612" w:rsidRPr="00884D1A" w:rsidRDefault="00EB3612" w:rsidP="00727C93">
            <w:pPr>
              <w:spacing w:before="80" w:after="80"/>
              <w:jc w:val="center"/>
              <w:rPr>
                <w:rFonts w:eastAsia="Calibri"/>
                <w:szCs w:val="24"/>
                <w:lang w:val="en-US"/>
              </w:rPr>
            </w:pPr>
            <w:r w:rsidRPr="00884D1A">
              <w:rPr>
                <w:lang w:val="en-CA"/>
              </w:rPr>
              <w:t>198</w:t>
            </w:r>
          </w:p>
        </w:tc>
      </w:tr>
      <w:tr w:rsidR="00EB3612" w:rsidRPr="00884D1A" w14:paraId="5E164FE4" w14:textId="77777777" w:rsidTr="00EB3612">
        <w:trPr>
          <w:jc w:val="center"/>
        </w:trPr>
        <w:tc>
          <w:tcPr>
            <w:tcW w:w="534" w:type="dxa"/>
          </w:tcPr>
          <w:p w14:paraId="55BC923F" w14:textId="77777777" w:rsidR="00EB3612" w:rsidRPr="00884D1A" w:rsidRDefault="00EB3612" w:rsidP="00727C93">
            <w:pPr>
              <w:spacing w:before="80" w:after="80"/>
              <w:ind w:left="567" w:hanging="567"/>
              <w:rPr>
                <w:szCs w:val="24"/>
                <w:lang w:val="en-US"/>
              </w:rPr>
            </w:pPr>
            <w:r w:rsidRPr="00884D1A">
              <w:rPr>
                <w:lang w:val="en-CA"/>
              </w:rPr>
              <w:t>15</w:t>
            </w:r>
          </w:p>
        </w:tc>
        <w:tc>
          <w:tcPr>
            <w:tcW w:w="7971" w:type="dxa"/>
          </w:tcPr>
          <w:p w14:paraId="3E436B5B" w14:textId="4B376B24" w:rsidR="00EB3612" w:rsidRPr="00884D1A" w:rsidRDefault="00CE2B59" w:rsidP="00727C93">
            <w:pPr>
              <w:tabs>
                <w:tab w:val="left" w:pos="4660"/>
              </w:tabs>
              <w:spacing w:before="80" w:after="80"/>
              <w:rPr>
                <w:szCs w:val="24"/>
              </w:rPr>
            </w:pPr>
            <w:r w:rsidRPr="00884D1A">
              <w:rPr>
                <w:rFonts w:cstheme="minorHAnsi"/>
                <w:spacing w:val="-2"/>
                <w:szCs w:val="24"/>
              </w:rPr>
              <w:t>Vingt-septième série de textes soumis par la Commission de rédaction en première lecture</w:t>
            </w:r>
            <w:r w:rsidRPr="00884D1A">
              <w:rPr>
                <w:rFonts w:cstheme="minorHAnsi"/>
                <w:bCs/>
                <w:szCs w:val="24"/>
              </w:rPr>
              <w:t xml:space="preserve"> </w:t>
            </w:r>
            <w:r w:rsidR="00EB3612" w:rsidRPr="00884D1A">
              <w:rPr>
                <w:rFonts w:cstheme="minorHAnsi"/>
                <w:bCs/>
                <w:szCs w:val="24"/>
              </w:rPr>
              <w:t>(B27)</w:t>
            </w:r>
          </w:p>
        </w:tc>
        <w:tc>
          <w:tcPr>
            <w:tcW w:w="1526" w:type="dxa"/>
          </w:tcPr>
          <w:p w14:paraId="3B7A4E30" w14:textId="77777777" w:rsidR="00EB3612" w:rsidRPr="00884D1A" w:rsidRDefault="00884D1A" w:rsidP="00727C93">
            <w:pPr>
              <w:spacing w:before="80" w:after="80"/>
              <w:jc w:val="center"/>
              <w:rPr>
                <w:rFonts w:eastAsia="Calibri"/>
                <w:szCs w:val="24"/>
              </w:rPr>
            </w:pPr>
            <w:hyperlink r:id="rId17" w:history="1">
              <w:r w:rsidR="00EB3612" w:rsidRPr="00884D1A">
                <w:rPr>
                  <w:rStyle w:val="Hyperlink"/>
                  <w:lang w:val="en-CA"/>
                </w:rPr>
                <w:t>197</w:t>
              </w:r>
            </w:hyperlink>
          </w:p>
        </w:tc>
      </w:tr>
      <w:tr w:rsidR="00EB3612" w:rsidRPr="00884D1A" w14:paraId="645A1D0E" w14:textId="77777777" w:rsidTr="00EB3612">
        <w:trPr>
          <w:jc w:val="center"/>
        </w:trPr>
        <w:tc>
          <w:tcPr>
            <w:tcW w:w="534" w:type="dxa"/>
          </w:tcPr>
          <w:p w14:paraId="1903D079" w14:textId="77777777" w:rsidR="00EB3612" w:rsidRPr="00884D1A" w:rsidRDefault="00EB3612" w:rsidP="00727C93">
            <w:pPr>
              <w:spacing w:before="80" w:after="80"/>
              <w:ind w:left="567" w:hanging="567"/>
              <w:rPr>
                <w:szCs w:val="24"/>
              </w:rPr>
            </w:pPr>
            <w:r w:rsidRPr="00884D1A">
              <w:rPr>
                <w:lang w:val="en-CA"/>
              </w:rPr>
              <w:t>16</w:t>
            </w:r>
          </w:p>
        </w:tc>
        <w:tc>
          <w:tcPr>
            <w:tcW w:w="7971" w:type="dxa"/>
          </w:tcPr>
          <w:p w14:paraId="426161FC" w14:textId="4FB1016D" w:rsidR="00EB3612" w:rsidRPr="00884D1A" w:rsidRDefault="00407952" w:rsidP="00727C93">
            <w:pPr>
              <w:tabs>
                <w:tab w:val="left" w:pos="4660"/>
              </w:tabs>
              <w:spacing w:before="80" w:after="80"/>
              <w:rPr>
                <w:szCs w:val="24"/>
              </w:rPr>
            </w:pPr>
            <w:r w:rsidRPr="00884D1A">
              <w:rPr>
                <w:rFonts w:cstheme="minorHAnsi"/>
                <w:spacing w:val="-2"/>
                <w:szCs w:val="24"/>
              </w:rPr>
              <w:t>Vingt-septième série de textes soumis par la Commission de rédaction – seconde lecture</w:t>
            </w:r>
          </w:p>
        </w:tc>
        <w:tc>
          <w:tcPr>
            <w:tcW w:w="1526" w:type="dxa"/>
          </w:tcPr>
          <w:p w14:paraId="2CF8EAF2" w14:textId="77777777" w:rsidR="00EB3612" w:rsidRPr="00884D1A" w:rsidRDefault="00EB3612" w:rsidP="00727C93">
            <w:pPr>
              <w:spacing w:before="80" w:after="80"/>
              <w:jc w:val="center"/>
              <w:rPr>
                <w:rFonts w:eastAsia="Calibri"/>
                <w:szCs w:val="24"/>
              </w:rPr>
            </w:pPr>
            <w:r w:rsidRPr="00884D1A">
              <w:rPr>
                <w:lang w:val="en-CA"/>
              </w:rPr>
              <w:t>197</w:t>
            </w:r>
          </w:p>
        </w:tc>
      </w:tr>
    </w:tbl>
    <w:p w14:paraId="23E5CC14" w14:textId="77777777" w:rsidR="00BD1614" w:rsidRPr="00884D1A" w:rsidRDefault="00BD1614" w:rsidP="00105640">
      <w:pPr>
        <w:tabs>
          <w:tab w:val="clear" w:pos="567"/>
          <w:tab w:val="clear" w:pos="1134"/>
          <w:tab w:val="clear" w:pos="1701"/>
          <w:tab w:val="clear" w:pos="2268"/>
          <w:tab w:val="clear" w:pos="2835"/>
        </w:tabs>
        <w:overflowPunct/>
        <w:autoSpaceDE/>
        <w:autoSpaceDN/>
        <w:adjustRightInd/>
        <w:spacing w:before="0"/>
        <w:textAlignment w:val="auto"/>
      </w:pPr>
      <w:r w:rsidRPr="00884D1A">
        <w:br w:type="page"/>
      </w:r>
    </w:p>
    <w:p w14:paraId="5EDCB7A3" w14:textId="321A013A" w:rsidR="00EB3612" w:rsidRPr="00884D1A" w:rsidRDefault="00EB3612" w:rsidP="00105640">
      <w:pPr>
        <w:pStyle w:val="Heading1"/>
      </w:pPr>
      <w:r w:rsidRPr="00884D1A">
        <w:lastRenderedPageBreak/>
        <w:t>1</w:t>
      </w:r>
      <w:r w:rsidRPr="00884D1A">
        <w:tab/>
      </w:r>
      <w:r w:rsidR="000F169F" w:rsidRPr="00884D1A">
        <w:t>Rapport du Président du Groupe de travail de la plénière</w:t>
      </w:r>
      <w:r w:rsidRPr="00884D1A">
        <w:t xml:space="preserve"> (Document </w:t>
      </w:r>
      <w:hyperlink r:id="rId18" w:history="1">
        <w:r w:rsidRPr="00884D1A">
          <w:rPr>
            <w:rStyle w:val="Hyperlink"/>
          </w:rPr>
          <w:t>188(Rév.1)</w:t>
        </w:r>
      </w:hyperlink>
      <w:r w:rsidRPr="00884D1A">
        <w:t>)</w:t>
      </w:r>
    </w:p>
    <w:p w14:paraId="44A5DDC4" w14:textId="17E1916B" w:rsidR="00214606" w:rsidRPr="00884D1A" w:rsidRDefault="00EB3612" w:rsidP="00105640">
      <w:r w:rsidRPr="00884D1A">
        <w:t>1.1</w:t>
      </w:r>
      <w:r w:rsidRPr="00884D1A">
        <w:tab/>
      </w:r>
      <w:r w:rsidR="00214606" w:rsidRPr="00884D1A">
        <w:t xml:space="preserve">Le </w:t>
      </w:r>
      <w:r w:rsidR="00214606" w:rsidRPr="00884D1A">
        <w:rPr>
          <w:b/>
        </w:rPr>
        <w:t>Président du Groupe de travail de la plénière</w:t>
      </w:r>
      <w:r w:rsidR="00321B01" w:rsidRPr="00884D1A">
        <w:rPr>
          <w:b/>
        </w:rPr>
        <w:t xml:space="preserve"> (GT-PLEN)</w:t>
      </w:r>
      <w:r w:rsidR="00727C93" w:rsidRPr="00884D1A">
        <w:t xml:space="preserve"> présente son rapport figurant </w:t>
      </w:r>
      <w:r w:rsidR="00836896" w:rsidRPr="00884D1A">
        <w:t xml:space="preserve">dans le Document 188(Rév.1) et déclare que le groupe de travail a tenu 12 séances et a examiné 89 propositions </w:t>
      </w:r>
      <w:r w:rsidR="00943266" w:rsidRPr="00884D1A">
        <w:t xml:space="preserve">soumises par des États </w:t>
      </w:r>
      <w:r w:rsidR="00836896" w:rsidRPr="00884D1A">
        <w:t xml:space="preserve">Membres. </w:t>
      </w:r>
      <w:r w:rsidR="002A5EE5" w:rsidRPr="00884D1A">
        <w:t xml:space="preserve">Il rappelle les méthodes de travail du groupe et indique que huit groupes ad hoc ont été </w:t>
      </w:r>
      <w:r w:rsidR="00891C37" w:rsidRPr="00884D1A">
        <w:t>créés</w:t>
      </w:r>
      <w:r w:rsidR="002A5EE5" w:rsidRPr="00884D1A">
        <w:t xml:space="preserve">, </w:t>
      </w:r>
      <w:r w:rsidR="00891C37" w:rsidRPr="00884D1A">
        <w:t xml:space="preserve">et que </w:t>
      </w:r>
      <w:r w:rsidR="00856F0A" w:rsidRPr="00884D1A">
        <w:t>sept résolutions</w:t>
      </w:r>
      <w:r w:rsidR="00943266" w:rsidRPr="00884D1A">
        <w:t xml:space="preserve"> révisées</w:t>
      </w:r>
      <w:r w:rsidR="00856F0A" w:rsidRPr="00884D1A">
        <w:t xml:space="preserve"> et deux propositions de nouvelles résolutions ont été examinées dans le cadre</w:t>
      </w:r>
      <w:r w:rsidR="00593B94" w:rsidRPr="00884D1A">
        <w:t xml:space="preserve"> de consultations informelles.</w:t>
      </w:r>
    </w:p>
    <w:p w14:paraId="157DB44B" w14:textId="20CBBAEC" w:rsidR="007353A3" w:rsidRPr="00884D1A" w:rsidRDefault="00EB3612" w:rsidP="00105640">
      <w:r w:rsidRPr="00884D1A">
        <w:t>1.2</w:t>
      </w:r>
      <w:r w:rsidRPr="00884D1A">
        <w:tab/>
      </w:r>
      <w:r w:rsidR="007353A3" w:rsidRPr="00884D1A">
        <w:t xml:space="preserve">Le groupe de travail </w:t>
      </w:r>
      <w:r w:rsidR="00666B23" w:rsidRPr="00884D1A">
        <w:t xml:space="preserve">a approuvé deux nouvelles résolutions, mis à jour 21 résolutions et </w:t>
      </w:r>
      <w:r w:rsidR="00A30C5F" w:rsidRPr="00884D1A">
        <w:t xml:space="preserve">décidé de laisser </w:t>
      </w:r>
      <w:r w:rsidR="00220F11" w:rsidRPr="00884D1A">
        <w:t xml:space="preserve">inchangées </w:t>
      </w:r>
      <w:r w:rsidR="00A30C5F" w:rsidRPr="00884D1A">
        <w:t>deux résolutions (voir l</w:t>
      </w:r>
      <w:r w:rsidR="00C55F21" w:rsidRPr="00884D1A">
        <w:t>'</w:t>
      </w:r>
      <w:r w:rsidR="00A30C5F" w:rsidRPr="00884D1A">
        <w:t xml:space="preserve">Annexe 1 du rapport). </w:t>
      </w:r>
      <w:r w:rsidR="00641163" w:rsidRPr="00884D1A">
        <w:t xml:space="preserve">Il a également décidé de formuler trois recommandations pour examen par la plénière, </w:t>
      </w:r>
      <w:r w:rsidR="00883F4C" w:rsidRPr="00884D1A">
        <w:t>concernant la transformation numérique; la connexion à l</w:t>
      </w:r>
      <w:r w:rsidR="00C55F21" w:rsidRPr="00884D1A">
        <w:t>'</w:t>
      </w:r>
      <w:r w:rsidR="00883F4C" w:rsidRPr="00884D1A">
        <w:t>Internet des centres d</w:t>
      </w:r>
      <w:r w:rsidR="00C55F21" w:rsidRPr="00884D1A">
        <w:t>'</w:t>
      </w:r>
      <w:r w:rsidR="00883F4C" w:rsidRPr="00884D1A">
        <w:t xml:space="preserve">accueil de réfugiés; et </w:t>
      </w:r>
      <w:r w:rsidR="002B61D7" w:rsidRPr="00884D1A">
        <w:t xml:space="preserve">le Programme mondial </w:t>
      </w:r>
      <w:proofErr w:type="spellStart"/>
      <w:r w:rsidR="002B61D7" w:rsidRPr="00884D1A">
        <w:t>cybersécurité</w:t>
      </w:r>
      <w:proofErr w:type="spellEnd"/>
      <w:r w:rsidR="002B61D7" w:rsidRPr="00884D1A">
        <w:t>.</w:t>
      </w:r>
    </w:p>
    <w:p w14:paraId="5C235B46" w14:textId="00DFB18A" w:rsidR="00523778" w:rsidRPr="00884D1A" w:rsidRDefault="00EB3612" w:rsidP="00105640">
      <w:r w:rsidRPr="00884D1A">
        <w:t>1.3</w:t>
      </w:r>
      <w:r w:rsidRPr="00884D1A">
        <w:tab/>
      </w:r>
      <w:r w:rsidR="00523778" w:rsidRPr="00884D1A">
        <w:t>L</w:t>
      </w:r>
      <w:r w:rsidR="00C55F21" w:rsidRPr="00884D1A">
        <w:t>'</w:t>
      </w:r>
      <w:r w:rsidR="00523778" w:rsidRPr="00884D1A">
        <w:t xml:space="preserve">Annexe 2 du rapport du Président </w:t>
      </w:r>
      <w:r w:rsidR="004E0F20" w:rsidRPr="00884D1A">
        <w:t>du GT-PLEN</w:t>
      </w:r>
      <w:r w:rsidR="00322199" w:rsidRPr="00884D1A">
        <w:t xml:space="preserve"> </w:t>
      </w:r>
      <w:r w:rsidR="00D356A3" w:rsidRPr="00884D1A">
        <w:t xml:space="preserve">contient une déclaration </w:t>
      </w:r>
      <w:r w:rsidR="00446E25" w:rsidRPr="00884D1A">
        <w:t>soumise par la délégation du Brésil en vue d</w:t>
      </w:r>
      <w:r w:rsidR="00C55F21" w:rsidRPr="00884D1A">
        <w:t>'</w:t>
      </w:r>
      <w:r w:rsidR="00446E25" w:rsidRPr="00884D1A">
        <w:t>être intégrée dans le rapport, concernant les discussions sur la révision de la Résolution 130 (</w:t>
      </w:r>
      <w:proofErr w:type="spellStart"/>
      <w:r w:rsidR="00446E25" w:rsidRPr="00884D1A">
        <w:t>Rév</w:t>
      </w:r>
      <w:proofErr w:type="spellEnd"/>
      <w:r w:rsidR="00446E25" w:rsidRPr="00884D1A">
        <w:t>. Dubaï, 2018)</w:t>
      </w:r>
      <w:r w:rsidR="00943266" w:rsidRPr="00884D1A">
        <w:t xml:space="preserve"> de la Conférence de plénipotentiaires</w:t>
      </w:r>
      <w:r w:rsidR="00446E25" w:rsidRPr="00884D1A">
        <w:t>.</w:t>
      </w:r>
    </w:p>
    <w:p w14:paraId="19DEB8FA" w14:textId="0CF507D5" w:rsidR="000B368D" w:rsidRPr="00884D1A" w:rsidRDefault="00EB3612" w:rsidP="00105640">
      <w:r w:rsidRPr="00884D1A">
        <w:t>1.4</w:t>
      </w:r>
      <w:r w:rsidRPr="00884D1A">
        <w:tab/>
      </w:r>
      <w:r w:rsidR="000B368D" w:rsidRPr="00884D1A">
        <w:t xml:space="preserve">Le </w:t>
      </w:r>
      <w:r w:rsidR="00322199" w:rsidRPr="00884D1A">
        <w:t xml:space="preserve">Président du </w:t>
      </w:r>
      <w:r w:rsidR="00541596" w:rsidRPr="00884D1A">
        <w:t>GT-PLEN</w:t>
      </w:r>
      <w:r w:rsidR="00322199" w:rsidRPr="00884D1A">
        <w:t xml:space="preserve"> </w:t>
      </w:r>
      <w:r w:rsidR="004E4F1B" w:rsidRPr="00884D1A">
        <w:t>remercie</w:t>
      </w:r>
      <w:r w:rsidR="004E0F20" w:rsidRPr="00884D1A">
        <w:t xml:space="preserve"> tous ceux qui ont participé aux travaux du GT-PLEN </w:t>
      </w:r>
      <w:r w:rsidR="001A7574" w:rsidRPr="00884D1A">
        <w:t xml:space="preserve">pour leur coopération, leur appui et </w:t>
      </w:r>
      <w:r w:rsidR="00E948A3" w:rsidRPr="00884D1A">
        <w:t xml:space="preserve">leur </w:t>
      </w:r>
      <w:r w:rsidR="004D2131" w:rsidRPr="00884D1A">
        <w:t>volonté</w:t>
      </w:r>
      <w:r w:rsidR="00E948A3" w:rsidRPr="00884D1A">
        <w:t xml:space="preserve"> de parvenir à un consensus.</w:t>
      </w:r>
    </w:p>
    <w:p w14:paraId="2E89AFB7" w14:textId="4ECE4A49" w:rsidR="00455C65" w:rsidRPr="00884D1A" w:rsidRDefault="00EB3612" w:rsidP="00105640">
      <w:r w:rsidRPr="00884D1A">
        <w:t>1.5</w:t>
      </w:r>
      <w:r w:rsidRPr="00884D1A">
        <w:tab/>
      </w:r>
      <w:r w:rsidR="00455C65" w:rsidRPr="00884D1A">
        <w:t xml:space="preserve">Le délégué de la </w:t>
      </w:r>
      <w:r w:rsidR="00455C65" w:rsidRPr="00884D1A">
        <w:rPr>
          <w:b/>
        </w:rPr>
        <w:t>République islamique d</w:t>
      </w:r>
      <w:r w:rsidR="00C55F21" w:rsidRPr="00884D1A">
        <w:rPr>
          <w:b/>
        </w:rPr>
        <w:t>'</w:t>
      </w:r>
      <w:r w:rsidR="00455C65" w:rsidRPr="00884D1A">
        <w:rPr>
          <w:b/>
        </w:rPr>
        <w:t>Iran</w:t>
      </w:r>
      <w:r w:rsidR="00455C65" w:rsidRPr="00884D1A">
        <w:t xml:space="preserve"> remercie le Président du Groupe de travail de la plénière pour </w:t>
      </w:r>
      <w:r w:rsidR="000A3195" w:rsidRPr="00884D1A">
        <w:t xml:space="preserve">ses efforts et </w:t>
      </w:r>
      <w:r w:rsidR="00D5565B" w:rsidRPr="00884D1A">
        <w:t>souscrit tout particu</w:t>
      </w:r>
      <w:r w:rsidR="00727C93" w:rsidRPr="00884D1A">
        <w:t>lièrement à la R</w:t>
      </w:r>
      <w:r w:rsidR="007631AF" w:rsidRPr="00884D1A">
        <w:t xml:space="preserve">ecommandation </w:t>
      </w:r>
      <w:r w:rsidR="00D5565B" w:rsidRPr="00884D1A">
        <w:t>1.</w:t>
      </w:r>
    </w:p>
    <w:p w14:paraId="1B72EC44" w14:textId="5CC10DB7" w:rsidR="007631AF" w:rsidRPr="00884D1A" w:rsidRDefault="00EB3612" w:rsidP="00105640">
      <w:r w:rsidRPr="00884D1A">
        <w:t>1.6</w:t>
      </w:r>
      <w:r w:rsidRPr="00884D1A">
        <w:tab/>
      </w:r>
      <w:r w:rsidR="007631AF" w:rsidRPr="00884D1A">
        <w:t>À la suite d</w:t>
      </w:r>
      <w:r w:rsidR="00C55F21" w:rsidRPr="00884D1A">
        <w:t>'</w:t>
      </w:r>
      <w:r w:rsidR="007631AF" w:rsidRPr="00884D1A">
        <w:t xml:space="preserve">une observation du </w:t>
      </w:r>
      <w:r w:rsidR="007631AF" w:rsidRPr="00884D1A">
        <w:rPr>
          <w:b/>
        </w:rPr>
        <w:t>délégué de la Jordanie</w:t>
      </w:r>
      <w:r w:rsidR="007631AF" w:rsidRPr="00884D1A">
        <w:t xml:space="preserve"> concernant </w:t>
      </w:r>
      <w:r w:rsidR="00E36F5F" w:rsidRPr="00884D1A">
        <w:t>les formulations utilisées</w:t>
      </w:r>
      <w:r w:rsidR="00727C93" w:rsidRPr="00884D1A">
        <w:t xml:space="preserve"> dans la R</w:t>
      </w:r>
      <w:r w:rsidR="00A6530E" w:rsidRPr="00884D1A">
        <w:t xml:space="preserve">ecommandation 2, </w:t>
      </w:r>
      <w:r w:rsidR="008A54C0" w:rsidRPr="00884D1A">
        <w:t xml:space="preserve">le </w:t>
      </w:r>
      <w:r w:rsidR="008A54C0" w:rsidRPr="00884D1A">
        <w:rPr>
          <w:b/>
        </w:rPr>
        <w:t>Président</w:t>
      </w:r>
      <w:r w:rsidR="008A54C0" w:rsidRPr="00884D1A">
        <w:t xml:space="preserve"> prie instamment la plénière de </w:t>
      </w:r>
      <w:r w:rsidR="00EC6CFA" w:rsidRPr="00884D1A">
        <w:t xml:space="preserve">conserver le texte </w:t>
      </w:r>
      <w:r w:rsidR="006E3C42" w:rsidRPr="00884D1A">
        <w:t>approuvé</w:t>
      </w:r>
      <w:r w:rsidR="00EC6CFA" w:rsidRPr="00884D1A">
        <w:t xml:space="preserve"> par le groupe de travail.</w:t>
      </w:r>
    </w:p>
    <w:p w14:paraId="048C50C1" w14:textId="6F5D0E42" w:rsidR="0074181F" w:rsidRPr="00884D1A" w:rsidRDefault="00EB3612" w:rsidP="00105640">
      <w:r w:rsidRPr="00884D1A">
        <w:t>1.7</w:t>
      </w:r>
      <w:r w:rsidRPr="00884D1A">
        <w:tab/>
      </w:r>
      <w:r w:rsidR="00A63C72" w:rsidRPr="00884D1A">
        <w:t xml:space="preserve">En réponse à une question du </w:t>
      </w:r>
      <w:r w:rsidR="00A63C72" w:rsidRPr="00884D1A">
        <w:rPr>
          <w:b/>
        </w:rPr>
        <w:t>délégué de la Jordanie</w:t>
      </w:r>
      <w:r w:rsidR="00A63C72" w:rsidRPr="00884D1A">
        <w:t xml:space="preserve">, le </w:t>
      </w:r>
      <w:r w:rsidR="00A63C72" w:rsidRPr="00884D1A">
        <w:rPr>
          <w:b/>
        </w:rPr>
        <w:t>Président du Groupe de travail de la plénière</w:t>
      </w:r>
      <w:r w:rsidR="00A63C72" w:rsidRPr="00884D1A">
        <w:t xml:space="preserve"> </w:t>
      </w:r>
      <w:r w:rsidR="007B4738" w:rsidRPr="00884D1A">
        <w:t xml:space="preserve">déclare que les propositions </w:t>
      </w:r>
      <w:r w:rsidR="00943266" w:rsidRPr="00884D1A">
        <w:t xml:space="preserve">présentées par les États </w:t>
      </w:r>
      <w:r w:rsidR="00727C93" w:rsidRPr="00884D1A">
        <w:t>Membres auxquelles la R</w:t>
      </w:r>
      <w:r w:rsidR="00D316DB" w:rsidRPr="00884D1A">
        <w:t>ecommandation 3 fait référence portent sur les nouvelles contributions soumises au Conseil.</w:t>
      </w:r>
    </w:p>
    <w:p w14:paraId="3386D4B9" w14:textId="02C32203" w:rsidR="00F46D98" w:rsidRPr="00884D1A" w:rsidRDefault="00EB3612" w:rsidP="00105640">
      <w:r w:rsidRPr="00884D1A">
        <w:t>1.8</w:t>
      </w:r>
      <w:r w:rsidRPr="00884D1A">
        <w:tab/>
      </w:r>
      <w:r w:rsidR="0076347C" w:rsidRPr="00884D1A">
        <w:t>Il est</w:t>
      </w:r>
      <w:r w:rsidR="0076347C" w:rsidRPr="00884D1A">
        <w:rPr>
          <w:b/>
        </w:rPr>
        <w:t xml:space="preserve"> pris note</w:t>
      </w:r>
      <w:r w:rsidR="0076347C" w:rsidRPr="00884D1A">
        <w:t xml:space="preserve"> du</w:t>
      </w:r>
      <w:r w:rsidR="00F46D98" w:rsidRPr="00884D1A">
        <w:t xml:space="preserve"> rapport du Président du Groupe de t</w:t>
      </w:r>
      <w:r w:rsidR="00727C93" w:rsidRPr="00884D1A">
        <w:t>ravail de la plénière (Document </w:t>
      </w:r>
      <w:r w:rsidR="00F46D98" w:rsidRPr="00884D1A">
        <w:t xml:space="preserve">188(Rév.1)) et </w:t>
      </w:r>
      <w:r w:rsidR="0076347C" w:rsidRPr="00884D1A">
        <w:t xml:space="preserve">de </w:t>
      </w:r>
      <w:r w:rsidR="00F46D98" w:rsidRPr="00884D1A">
        <w:t xml:space="preserve">la déclaration </w:t>
      </w:r>
      <w:r w:rsidR="00943266" w:rsidRPr="00884D1A">
        <w:t xml:space="preserve">reproduite </w:t>
      </w:r>
      <w:r w:rsidR="00F46D98" w:rsidRPr="00884D1A">
        <w:t>dans l</w:t>
      </w:r>
      <w:r w:rsidR="00C55F21" w:rsidRPr="00884D1A">
        <w:t>'</w:t>
      </w:r>
      <w:r w:rsidR="00F46D98" w:rsidRPr="00884D1A">
        <w:t xml:space="preserve">Annexe 2 </w:t>
      </w:r>
      <w:r w:rsidR="0076347C" w:rsidRPr="00884D1A">
        <w:t>d</w:t>
      </w:r>
      <w:r w:rsidR="00741EDB" w:rsidRPr="00884D1A">
        <w:t>e ce</w:t>
      </w:r>
      <w:r w:rsidR="0076347C" w:rsidRPr="00884D1A">
        <w:t xml:space="preserve"> rapport.</w:t>
      </w:r>
      <w:r w:rsidR="007E5116" w:rsidRPr="00884D1A">
        <w:t xml:space="preserve"> </w:t>
      </w:r>
      <w:r w:rsidR="007E5116" w:rsidRPr="00884D1A">
        <w:rPr>
          <w:lang w:val="fr-CH"/>
        </w:rPr>
        <w:t xml:space="preserve">Les trois recommandations figurant dans le rapport sont </w:t>
      </w:r>
      <w:r w:rsidR="007E5116" w:rsidRPr="00884D1A">
        <w:rPr>
          <w:b/>
          <w:lang w:val="fr-CH"/>
        </w:rPr>
        <w:t>approuvées</w:t>
      </w:r>
      <w:r w:rsidR="007E5116" w:rsidRPr="00884D1A">
        <w:rPr>
          <w:lang w:val="fr-CH"/>
        </w:rPr>
        <w:t>.</w:t>
      </w:r>
    </w:p>
    <w:p w14:paraId="53600522" w14:textId="45C855FD" w:rsidR="001425FE" w:rsidRPr="00884D1A" w:rsidRDefault="00EB3612" w:rsidP="00105640">
      <w:r w:rsidRPr="00884D1A">
        <w:t>1.9</w:t>
      </w:r>
      <w:r w:rsidRPr="00884D1A">
        <w:tab/>
      </w:r>
      <w:r w:rsidR="001425FE" w:rsidRPr="00884D1A">
        <w:t xml:space="preserve">Reprenant à son compte les remerciements exprimés par les délégués de la </w:t>
      </w:r>
      <w:r w:rsidR="001425FE" w:rsidRPr="00884D1A">
        <w:rPr>
          <w:b/>
        </w:rPr>
        <w:t>Jordanie</w:t>
      </w:r>
      <w:r w:rsidR="00727C93" w:rsidRPr="00884D1A">
        <w:t>, du </w:t>
      </w:r>
      <w:r w:rsidR="001425FE" w:rsidRPr="00884D1A">
        <w:rPr>
          <w:b/>
        </w:rPr>
        <w:t>Brésil</w:t>
      </w:r>
      <w:r w:rsidR="001425FE" w:rsidRPr="00884D1A">
        <w:t xml:space="preserve">, du </w:t>
      </w:r>
      <w:r w:rsidR="001425FE" w:rsidRPr="00884D1A">
        <w:rPr>
          <w:b/>
        </w:rPr>
        <w:t>Soudan du Sud</w:t>
      </w:r>
      <w:r w:rsidR="001425FE" w:rsidRPr="00884D1A">
        <w:t xml:space="preserve">, de la </w:t>
      </w:r>
      <w:r w:rsidR="00123080" w:rsidRPr="00884D1A">
        <w:rPr>
          <w:b/>
        </w:rPr>
        <w:t xml:space="preserve">République </w:t>
      </w:r>
      <w:proofErr w:type="spellStart"/>
      <w:r w:rsidR="00123080" w:rsidRPr="00884D1A">
        <w:rPr>
          <w:b/>
        </w:rPr>
        <w:t>sud</w:t>
      </w:r>
      <w:r w:rsidR="001425FE" w:rsidRPr="00884D1A">
        <w:rPr>
          <w:b/>
        </w:rPr>
        <w:t>africaine</w:t>
      </w:r>
      <w:proofErr w:type="spellEnd"/>
      <w:r w:rsidR="001425FE" w:rsidRPr="00884D1A">
        <w:t xml:space="preserve">, de la </w:t>
      </w:r>
      <w:r w:rsidR="001425FE" w:rsidRPr="00884D1A">
        <w:rPr>
          <w:b/>
        </w:rPr>
        <w:t>République islamique d</w:t>
      </w:r>
      <w:r w:rsidR="00C55F21" w:rsidRPr="00884D1A">
        <w:rPr>
          <w:b/>
        </w:rPr>
        <w:t>'</w:t>
      </w:r>
      <w:r w:rsidR="001425FE" w:rsidRPr="00884D1A">
        <w:rPr>
          <w:b/>
        </w:rPr>
        <w:t>Iran</w:t>
      </w:r>
      <w:r w:rsidR="00727C93" w:rsidRPr="00884D1A">
        <w:t>, de </w:t>
      </w:r>
      <w:r w:rsidR="001425FE" w:rsidRPr="00884D1A">
        <w:t xml:space="preserve">la </w:t>
      </w:r>
      <w:r w:rsidR="001425FE" w:rsidRPr="00884D1A">
        <w:rPr>
          <w:b/>
        </w:rPr>
        <w:t>Roumanie</w:t>
      </w:r>
      <w:r w:rsidR="001425FE" w:rsidRPr="00884D1A">
        <w:t xml:space="preserve">, </w:t>
      </w:r>
      <w:r w:rsidR="000E35B3" w:rsidRPr="00884D1A">
        <w:t>s</w:t>
      </w:r>
      <w:r w:rsidR="00C55F21" w:rsidRPr="00884D1A">
        <w:t>'</w:t>
      </w:r>
      <w:r w:rsidR="000E35B3" w:rsidRPr="00884D1A">
        <w:t xml:space="preserve">exprimant au nom de la CEPT, du </w:t>
      </w:r>
      <w:r w:rsidR="000E35B3" w:rsidRPr="00884D1A">
        <w:rPr>
          <w:b/>
        </w:rPr>
        <w:t>Kenya</w:t>
      </w:r>
      <w:r w:rsidR="000E35B3" w:rsidRPr="00884D1A">
        <w:t>, s</w:t>
      </w:r>
      <w:r w:rsidR="00C55F21" w:rsidRPr="00884D1A">
        <w:t>'</w:t>
      </w:r>
      <w:r w:rsidR="000E35B3" w:rsidRPr="00884D1A">
        <w:t>exprimant également au nom des présidents des groupes ad hoc, de l</w:t>
      </w:r>
      <w:r w:rsidR="00C55F21" w:rsidRPr="00884D1A">
        <w:t>'</w:t>
      </w:r>
      <w:r w:rsidR="000E35B3" w:rsidRPr="00884D1A">
        <w:rPr>
          <w:b/>
        </w:rPr>
        <w:t>Égypte</w:t>
      </w:r>
      <w:r w:rsidR="000E35B3" w:rsidRPr="00884D1A">
        <w:t xml:space="preserve">, de </w:t>
      </w:r>
      <w:r w:rsidR="000E35B3" w:rsidRPr="00884D1A">
        <w:rPr>
          <w:b/>
        </w:rPr>
        <w:t>Trinité-et-T</w:t>
      </w:r>
      <w:r w:rsidR="00B574BB" w:rsidRPr="00884D1A">
        <w:rPr>
          <w:b/>
        </w:rPr>
        <w:t>obago</w:t>
      </w:r>
      <w:r w:rsidR="00B574BB" w:rsidRPr="00884D1A">
        <w:t xml:space="preserve">, de la </w:t>
      </w:r>
      <w:r w:rsidR="00B574BB" w:rsidRPr="00884D1A">
        <w:rPr>
          <w:b/>
        </w:rPr>
        <w:t>République tchèque</w:t>
      </w:r>
      <w:r w:rsidR="00727C93" w:rsidRPr="00884D1A">
        <w:t>, de la </w:t>
      </w:r>
      <w:r w:rsidR="00B574BB" w:rsidRPr="00884D1A">
        <w:rPr>
          <w:b/>
        </w:rPr>
        <w:t>Tunisie</w:t>
      </w:r>
      <w:r w:rsidR="00B574BB" w:rsidRPr="00884D1A">
        <w:t xml:space="preserve">, des </w:t>
      </w:r>
      <w:r w:rsidR="00B574BB" w:rsidRPr="00884D1A">
        <w:rPr>
          <w:b/>
        </w:rPr>
        <w:t>Émirats arabes unis</w:t>
      </w:r>
      <w:r w:rsidR="00B574BB" w:rsidRPr="00884D1A">
        <w:t>, de l</w:t>
      </w:r>
      <w:r w:rsidR="00C55F21" w:rsidRPr="00884D1A">
        <w:t>'</w:t>
      </w:r>
      <w:r w:rsidR="00B574BB" w:rsidRPr="00884D1A">
        <w:rPr>
          <w:b/>
        </w:rPr>
        <w:t>Arabie saoudite</w:t>
      </w:r>
      <w:r w:rsidR="00B574BB" w:rsidRPr="00884D1A">
        <w:t>, de l</w:t>
      </w:r>
      <w:r w:rsidR="00C55F21" w:rsidRPr="00884D1A">
        <w:t>'</w:t>
      </w:r>
      <w:r w:rsidR="00B574BB" w:rsidRPr="00884D1A">
        <w:t>I</w:t>
      </w:r>
      <w:r w:rsidR="00B574BB" w:rsidRPr="00884D1A">
        <w:rPr>
          <w:b/>
        </w:rPr>
        <w:t>nde</w:t>
      </w:r>
      <w:r w:rsidR="00B574BB" w:rsidRPr="00884D1A">
        <w:t xml:space="preserve">, </w:t>
      </w:r>
      <w:r w:rsidR="00727C93" w:rsidRPr="00884D1A">
        <w:t>de la </w:t>
      </w:r>
      <w:r w:rsidR="00727C93" w:rsidRPr="00884D1A">
        <w:rPr>
          <w:b/>
        </w:rPr>
        <w:t>Papouasie</w:t>
      </w:r>
      <w:r w:rsidR="00727C93" w:rsidRPr="00884D1A">
        <w:rPr>
          <w:b/>
        </w:rPr>
        <w:noBreakHyphen/>
        <w:t>Nouvelle</w:t>
      </w:r>
      <w:r w:rsidR="00727C93" w:rsidRPr="00884D1A">
        <w:rPr>
          <w:b/>
        </w:rPr>
        <w:noBreakHyphen/>
      </w:r>
      <w:r w:rsidR="002A45E8" w:rsidRPr="00884D1A">
        <w:rPr>
          <w:b/>
        </w:rPr>
        <w:t>Guinée</w:t>
      </w:r>
      <w:r w:rsidR="002A45E8" w:rsidRPr="00884D1A">
        <w:t xml:space="preserve">, du </w:t>
      </w:r>
      <w:r w:rsidR="002A45E8" w:rsidRPr="00884D1A">
        <w:rPr>
          <w:b/>
        </w:rPr>
        <w:t>Rwanda</w:t>
      </w:r>
      <w:r w:rsidR="002A45E8" w:rsidRPr="00884D1A">
        <w:t xml:space="preserve">, de la </w:t>
      </w:r>
      <w:r w:rsidR="002A45E8" w:rsidRPr="00884D1A">
        <w:rPr>
          <w:b/>
        </w:rPr>
        <w:t>Côte d</w:t>
      </w:r>
      <w:r w:rsidR="00C55F21" w:rsidRPr="00884D1A">
        <w:rPr>
          <w:b/>
        </w:rPr>
        <w:t>'</w:t>
      </w:r>
      <w:r w:rsidR="002A45E8" w:rsidRPr="00884D1A">
        <w:rPr>
          <w:b/>
        </w:rPr>
        <w:t>Ivoire</w:t>
      </w:r>
      <w:r w:rsidR="002A45E8" w:rsidRPr="00884D1A">
        <w:t xml:space="preserve">, </w:t>
      </w:r>
      <w:r w:rsidR="00FD22C2" w:rsidRPr="00884D1A">
        <w:t>de l</w:t>
      </w:r>
      <w:r w:rsidR="00C55F21" w:rsidRPr="00884D1A">
        <w:t>'</w:t>
      </w:r>
      <w:r w:rsidR="00FD22C2" w:rsidRPr="00884D1A">
        <w:rPr>
          <w:b/>
        </w:rPr>
        <w:t>Algérie</w:t>
      </w:r>
      <w:r w:rsidR="00FD22C2" w:rsidRPr="00884D1A">
        <w:t xml:space="preserve">, des </w:t>
      </w:r>
      <w:r w:rsidR="00FD22C2" w:rsidRPr="00884D1A">
        <w:rPr>
          <w:b/>
        </w:rPr>
        <w:t>Bahamas</w:t>
      </w:r>
      <w:r w:rsidR="00FD22C2" w:rsidRPr="00884D1A">
        <w:t xml:space="preserve">, </w:t>
      </w:r>
      <w:r w:rsidR="00322080" w:rsidRPr="00884D1A">
        <w:t xml:space="preserve">de la </w:t>
      </w:r>
      <w:r w:rsidR="00322080" w:rsidRPr="00884D1A">
        <w:rPr>
          <w:b/>
        </w:rPr>
        <w:t>Fédération de Russie</w:t>
      </w:r>
      <w:r w:rsidR="00322080" w:rsidRPr="00884D1A">
        <w:t>, s</w:t>
      </w:r>
      <w:r w:rsidR="00C55F21" w:rsidRPr="00884D1A">
        <w:t>'</w:t>
      </w:r>
      <w:r w:rsidR="00322080" w:rsidRPr="00884D1A">
        <w:t xml:space="preserve">exprimant également en tant que coordonnateur régional de la CEI pour le processus de préparation à la conférence, de la </w:t>
      </w:r>
      <w:r w:rsidR="00322080" w:rsidRPr="00884D1A">
        <w:rPr>
          <w:b/>
        </w:rPr>
        <w:t>Chine</w:t>
      </w:r>
      <w:r w:rsidR="00322080" w:rsidRPr="00884D1A">
        <w:t xml:space="preserve"> et du </w:t>
      </w:r>
      <w:r w:rsidR="00322080" w:rsidRPr="00884D1A">
        <w:rPr>
          <w:b/>
        </w:rPr>
        <w:t>Zimbabwe</w:t>
      </w:r>
      <w:r w:rsidR="00322080" w:rsidRPr="00884D1A">
        <w:t xml:space="preserve">, le </w:t>
      </w:r>
      <w:r w:rsidR="00322080" w:rsidRPr="00884D1A">
        <w:rPr>
          <w:b/>
        </w:rPr>
        <w:t>Président</w:t>
      </w:r>
      <w:r w:rsidR="00322080" w:rsidRPr="00884D1A">
        <w:t xml:space="preserve"> remercie les membres du Groupe de travail de la plénière pour leurs efforts et </w:t>
      </w:r>
      <w:r w:rsidR="006138BF" w:rsidRPr="00884D1A">
        <w:t xml:space="preserve">félicite le Président du GT-PLEN </w:t>
      </w:r>
      <w:r w:rsidR="00943266" w:rsidRPr="00884D1A">
        <w:t>qui a</w:t>
      </w:r>
      <w:r w:rsidR="00206D01" w:rsidRPr="00884D1A">
        <w:t xml:space="preserve"> conduit </w:t>
      </w:r>
      <w:r w:rsidR="00943266" w:rsidRPr="00884D1A">
        <w:t>l</w:t>
      </w:r>
      <w:r w:rsidR="00206D01" w:rsidRPr="00884D1A">
        <w:t>es travaux</w:t>
      </w:r>
      <w:r w:rsidR="00457E84" w:rsidRPr="00884D1A">
        <w:t xml:space="preserve"> </w:t>
      </w:r>
      <w:r w:rsidR="00943266" w:rsidRPr="00884D1A">
        <w:t>d</w:t>
      </w:r>
      <w:r w:rsidR="00C55F21" w:rsidRPr="00884D1A">
        <w:t>'</w:t>
      </w:r>
      <w:r w:rsidR="00943266" w:rsidRPr="00884D1A">
        <w:t xml:space="preserve">une main de maître </w:t>
      </w:r>
      <w:r w:rsidR="00111796" w:rsidRPr="00884D1A">
        <w:t xml:space="preserve">et </w:t>
      </w:r>
      <w:r w:rsidR="00943266" w:rsidRPr="00884D1A">
        <w:t>n</w:t>
      </w:r>
      <w:r w:rsidR="00C55F21" w:rsidRPr="00884D1A">
        <w:t>'</w:t>
      </w:r>
      <w:r w:rsidR="00943266" w:rsidRPr="00884D1A">
        <w:t>a ménagé aucun effort pour</w:t>
      </w:r>
      <w:r w:rsidR="00111796" w:rsidRPr="00884D1A">
        <w:t xml:space="preserve"> trouver des compromis, </w:t>
      </w:r>
      <w:r w:rsidR="00943266" w:rsidRPr="00884D1A">
        <w:t>permettant ainsi</w:t>
      </w:r>
      <w:r w:rsidR="00CE45BC" w:rsidRPr="00884D1A">
        <w:t xml:space="preserve"> de produire des résultats précieux </w:t>
      </w:r>
      <w:r w:rsidR="00943266" w:rsidRPr="00884D1A">
        <w:t>pour</w:t>
      </w:r>
      <w:r w:rsidR="00CE45BC" w:rsidRPr="00884D1A">
        <w:t xml:space="preserve"> la </w:t>
      </w:r>
      <w:r w:rsidR="00943266" w:rsidRPr="00884D1A">
        <w:t>C</w:t>
      </w:r>
      <w:r w:rsidR="00CE45BC" w:rsidRPr="00884D1A">
        <w:t>onférence</w:t>
      </w:r>
      <w:r w:rsidR="00026E3E" w:rsidRPr="00884D1A">
        <w:t>.</w:t>
      </w:r>
    </w:p>
    <w:p w14:paraId="2FF3C2A4" w14:textId="4060DF01" w:rsidR="00EB3612" w:rsidRPr="00884D1A" w:rsidRDefault="00EB3612" w:rsidP="00105640">
      <w:pPr>
        <w:pStyle w:val="Heading1"/>
      </w:pPr>
      <w:r w:rsidRPr="00884D1A">
        <w:lastRenderedPageBreak/>
        <w:t>2</w:t>
      </w:r>
      <w:r w:rsidRPr="00884D1A">
        <w:tab/>
      </w:r>
      <w:r w:rsidR="005A0E42" w:rsidRPr="00884D1A">
        <w:t>Rapport de la Présidente de la Commission 6</w:t>
      </w:r>
      <w:r w:rsidRPr="00884D1A">
        <w:t xml:space="preserve"> (Document </w:t>
      </w:r>
      <w:hyperlink r:id="rId19" w:history="1">
        <w:r w:rsidRPr="00884D1A">
          <w:rPr>
            <w:rStyle w:val="Hyperlink"/>
          </w:rPr>
          <w:t>157</w:t>
        </w:r>
      </w:hyperlink>
      <w:r w:rsidRPr="00884D1A">
        <w:t>)</w:t>
      </w:r>
    </w:p>
    <w:p w14:paraId="1C6527E6" w14:textId="7189F9CD" w:rsidR="005A0E42" w:rsidRPr="00884D1A" w:rsidRDefault="00EB3612" w:rsidP="00105640">
      <w:r w:rsidRPr="00884D1A">
        <w:t>2.1</w:t>
      </w:r>
      <w:r w:rsidRPr="00884D1A">
        <w:tab/>
      </w:r>
      <w:r w:rsidR="005A0E42" w:rsidRPr="00884D1A">
        <w:t xml:space="preserve">La </w:t>
      </w:r>
      <w:r w:rsidR="005A0E42" w:rsidRPr="00884D1A">
        <w:rPr>
          <w:b/>
        </w:rPr>
        <w:t>Présidente de la Commission 6</w:t>
      </w:r>
      <w:r w:rsidR="005A0E42" w:rsidRPr="00884D1A">
        <w:t xml:space="preserve"> présente le Document 157. </w:t>
      </w:r>
      <w:r w:rsidR="00C0403E" w:rsidRPr="00884D1A">
        <w:t xml:space="preserve">Elle rappelle le mandat de la Commission 6 et déclare que la commission a tenu 13 </w:t>
      </w:r>
      <w:r w:rsidR="00C94659" w:rsidRPr="00884D1A">
        <w:t>séances</w:t>
      </w:r>
      <w:r w:rsidR="00C0403E" w:rsidRPr="00884D1A">
        <w:t xml:space="preserve">, et </w:t>
      </w:r>
      <w:r w:rsidR="006F110E" w:rsidRPr="00884D1A">
        <w:t>créé</w:t>
      </w:r>
      <w:r w:rsidR="00C0403E" w:rsidRPr="00884D1A">
        <w:t xml:space="preserve"> cinq groupes ad hoc ainsi que deux groupes de rédaction. </w:t>
      </w:r>
      <w:r w:rsidR="00345C96" w:rsidRPr="00884D1A">
        <w:t xml:space="preserve">La commission a mené à bien son programme de travail et </w:t>
      </w:r>
      <w:r w:rsidR="00EB53EC" w:rsidRPr="00884D1A">
        <w:t xml:space="preserve">a </w:t>
      </w:r>
      <w:r w:rsidR="00686269" w:rsidRPr="00884D1A">
        <w:t xml:space="preserve">traité </w:t>
      </w:r>
      <w:r w:rsidR="00943266" w:rsidRPr="00884D1A">
        <w:t>l</w:t>
      </w:r>
      <w:r w:rsidR="00EB53EC" w:rsidRPr="00884D1A">
        <w:t xml:space="preserve">es </w:t>
      </w:r>
      <w:r w:rsidR="00FE6C84" w:rsidRPr="00884D1A">
        <w:t>modifications qu</w:t>
      </w:r>
      <w:r w:rsidR="00C55F21" w:rsidRPr="00884D1A">
        <w:t>'</w:t>
      </w:r>
      <w:r w:rsidR="00FE6C84" w:rsidRPr="00884D1A">
        <w:t>il était proposé d</w:t>
      </w:r>
      <w:r w:rsidR="00C55F21" w:rsidRPr="00884D1A">
        <w:t>'</w:t>
      </w:r>
      <w:r w:rsidR="00FE6C84" w:rsidRPr="00884D1A">
        <w:t>apporter à</w:t>
      </w:r>
      <w:r w:rsidR="00EB53EC" w:rsidRPr="00884D1A">
        <w:t xml:space="preserve"> 19 résolutions </w:t>
      </w:r>
      <w:r w:rsidR="00BE6BAF" w:rsidRPr="00884D1A">
        <w:t>et deux décisions, ainsi que deux propositions de nouvelles résolutions.</w:t>
      </w:r>
    </w:p>
    <w:p w14:paraId="35564FD0" w14:textId="53C73EBC" w:rsidR="009172FC" w:rsidRPr="00884D1A" w:rsidRDefault="00EB3612" w:rsidP="00105640">
      <w:r w:rsidRPr="00884D1A">
        <w:t>2.2</w:t>
      </w:r>
      <w:r w:rsidRPr="00884D1A">
        <w:tab/>
      </w:r>
      <w:r w:rsidR="00DF5DCF" w:rsidRPr="00884D1A">
        <w:t xml:space="preserve">La commission est parvenue à un consensus </w:t>
      </w:r>
      <w:r w:rsidR="00DF7D4A" w:rsidRPr="00884D1A">
        <w:t>sur le plan stratégique de l</w:t>
      </w:r>
      <w:r w:rsidR="00C55F21" w:rsidRPr="00884D1A">
        <w:t>'</w:t>
      </w:r>
      <w:r w:rsidR="00DF7D4A" w:rsidRPr="00884D1A">
        <w:t xml:space="preserve">Union pour </w:t>
      </w:r>
      <w:r w:rsidR="00C9784A" w:rsidRPr="00884D1A">
        <w:t xml:space="preserve">la période </w:t>
      </w:r>
      <w:r w:rsidR="00DF7D4A" w:rsidRPr="00884D1A">
        <w:t xml:space="preserve">2024-2027 et a approuvé la Décision 5 sur les </w:t>
      </w:r>
      <w:r w:rsidR="00D11564" w:rsidRPr="00884D1A">
        <w:t>produits et les charges de l</w:t>
      </w:r>
      <w:r w:rsidR="00C55F21" w:rsidRPr="00884D1A">
        <w:t>'</w:t>
      </w:r>
      <w:r w:rsidR="00D11564" w:rsidRPr="00884D1A">
        <w:t>Union pour la période 2024-2027.</w:t>
      </w:r>
    </w:p>
    <w:p w14:paraId="1BE725DA" w14:textId="33ADF9E5" w:rsidR="004F00B2" w:rsidRPr="00884D1A" w:rsidRDefault="00EB3612" w:rsidP="00105640">
      <w:r w:rsidRPr="00884D1A">
        <w:t>2.3</w:t>
      </w:r>
      <w:r w:rsidRPr="00884D1A">
        <w:tab/>
      </w:r>
      <w:r w:rsidR="004F00B2" w:rsidRPr="00884D1A">
        <w:t xml:space="preserve">La commission a décidé de </w:t>
      </w:r>
      <w:r w:rsidR="00386239" w:rsidRPr="00884D1A">
        <w:t>recommander de supprimer la Résolution 11 (</w:t>
      </w:r>
      <w:proofErr w:type="spellStart"/>
      <w:r w:rsidR="00386239" w:rsidRPr="00884D1A">
        <w:t>Rév</w:t>
      </w:r>
      <w:proofErr w:type="spellEnd"/>
      <w:r w:rsidR="00386239" w:rsidRPr="00884D1A">
        <w:t>. Dubaï, 2018)</w:t>
      </w:r>
      <w:r w:rsidR="00DB3C23" w:rsidRPr="00884D1A">
        <w:t xml:space="preserve"> de la Conférence de plénipotentiaires</w:t>
      </w:r>
      <w:r w:rsidR="00386239" w:rsidRPr="00884D1A">
        <w:t xml:space="preserve"> sur </w:t>
      </w:r>
      <w:r w:rsidR="00B1226B" w:rsidRPr="00884D1A">
        <w:t>les manifestations ITU Telecom</w:t>
      </w:r>
      <w:r w:rsidR="005624D4" w:rsidRPr="00884D1A">
        <w:t xml:space="preserve"> et, en co</w:t>
      </w:r>
      <w:r w:rsidR="00727C93" w:rsidRPr="00884D1A">
        <w:t>nséquence, de recommander à la p</w:t>
      </w:r>
      <w:r w:rsidR="005624D4" w:rsidRPr="00884D1A">
        <w:t xml:space="preserve">lénière de charger le Conseil, à sa session ordinaire, de transférer le solde disponible du Fonds de roulement des expositions vers le Fonds </w:t>
      </w:r>
      <w:r w:rsidR="00A93820" w:rsidRPr="00884D1A">
        <w:t xml:space="preserve">pour le développement des TIC, et de charger le Secrétaire général et les Directeurs des Bureaux de continuer de prendre des initiatives pour encourager, renforcer et favoriser la participation </w:t>
      </w:r>
      <w:r w:rsidR="00343CF5" w:rsidRPr="00884D1A">
        <w:t>des PME et de toutes les autres parties prenantes aux grandes manifestations et aux principaux forums de l</w:t>
      </w:r>
      <w:r w:rsidR="00C55F21" w:rsidRPr="00884D1A">
        <w:t>'</w:t>
      </w:r>
      <w:r w:rsidR="00343CF5" w:rsidRPr="00884D1A">
        <w:t>UIT.</w:t>
      </w:r>
    </w:p>
    <w:p w14:paraId="5CF0A545" w14:textId="6996C507" w:rsidR="008860B8" w:rsidRPr="00884D1A" w:rsidRDefault="00EB3612" w:rsidP="00105640">
      <w:r w:rsidRPr="00884D1A">
        <w:t>2.4</w:t>
      </w:r>
      <w:r w:rsidRPr="00884D1A">
        <w:tab/>
      </w:r>
      <w:r w:rsidR="008860B8" w:rsidRPr="00884D1A">
        <w:t xml:space="preserve">En ce qui concerne la stratégie </w:t>
      </w:r>
      <w:r w:rsidR="00535096" w:rsidRPr="00884D1A">
        <w:t>de coordination des efforts entre les trois Secteurs de l</w:t>
      </w:r>
      <w:r w:rsidR="00C55F21" w:rsidRPr="00884D1A">
        <w:t>'</w:t>
      </w:r>
      <w:r w:rsidR="00535096" w:rsidRPr="00884D1A">
        <w:t>Union (révision de la Résolution 191 (</w:t>
      </w:r>
      <w:proofErr w:type="spellStart"/>
      <w:r w:rsidR="00535096" w:rsidRPr="00884D1A">
        <w:t>Rév</w:t>
      </w:r>
      <w:proofErr w:type="spellEnd"/>
      <w:r w:rsidR="00535096" w:rsidRPr="00884D1A">
        <w:t xml:space="preserve">. Dubaï, 2018)), il est </w:t>
      </w:r>
      <w:r w:rsidR="00686C1F" w:rsidRPr="00884D1A">
        <w:t>décidé</w:t>
      </w:r>
      <w:r w:rsidR="00727C93" w:rsidRPr="00884D1A">
        <w:t xml:space="preserve"> d</w:t>
      </w:r>
      <w:r w:rsidR="00C55F21" w:rsidRPr="00884D1A">
        <w:t>'</w:t>
      </w:r>
      <w:r w:rsidR="00727C93" w:rsidRPr="00884D1A">
        <w:t>inclure la recommandation ci</w:t>
      </w:r>
      <w:r w:rsidR="00727C93" w:rsidRPr="00884D1A">
        <w:noBreakHyphen/>
      </w:r>
      <w:r w:rsidR="00686C1F" w:rsidRPr="00884D1A">
        <w:t>après dans le procès-verbal de la plénière:</w:t>
      </w:r>
    </w:p>
    <w:p w14:paraId="65A32030" w14:textId="3A9EF6D8" w:rsidR="00EB3612" w:rsidRPr="00884D1A" w:rsidRDefault="00727C93" w:rsidP="00105640">
      <w:pPr>
        <w:ind w:left="567"/>
      </w:pPr>
      <w:r w:rsidRPr="00884D1A">
        <w:t>"</w:t>
      </w:r>
      <w:r w:rsidR="00041896" w:rsidRPr="00884D1A">
        <w:t>L</w:t>
      </w:r>
      <w:r w:rsidR="004D3B9D" w:rsidRPr="00884D1A">
        <w:t>a Commission 6 recommande à la p</w:t>
      </w:r>
      <w:r w:rsidR="00041896" w:rsidRPr="00884D1A">
        <w:t>lénière de charger le Secrétaire général de travailler en coordination avec les Directeurs des Bureaux, afin de soumettre un rapport sur la mise en œuvre du concept d</w:t>
      </w:r>
      <w:r w:rsidR="00C55F21" w:rsidRPr="00884D1A">
        <w:t>'</w:t>
      </w:r>
      <w:r w:rsidR="00041896" w:rsidRPr="00884D1A">
        <w:t>une UIT unie dans l</w:t>
      </w:r>
      <w:r w:rsidR="00C55F21" w:rsidRPr="00884D1A">
        <w:t>'</w:t>
      </w:r>
      <w:r w:rsidR="00041896" w:rsidRPr="00884D1A">
        <w:t>action au Conseil à sa session de 2024</w:t>
      </w:r>
      <w:r w:rsidR="00C92CF9" w:rsidRPr="00884D1A">
        <w:t>, et de charger</w:t>
      </w:r>
      <w:r w:rsidR="00041896" w:rsidRPr="00884D1A">
        <w:t xml:space="preserve"> </w:t>
      </w:r>
      <w:r w:rsidR="00C92CF9" w:rsidRPr="00884D1A">
        <w:t xml:space="preserve">le </w:t>
      </w:r>
      <w:r w:rsidR="00041896" w:rsidRPr="00884D1A">
        <w:t>Conseil d</w:t>
      </w:r>
      <w:r w:rsidR="00C55F21" w:rsidRPr="00884D1A">
        <w:t>'</w:t>
      </w:r>
      <w:r w:rsidR="00041896" w:rsidRPr="00884D1A">
        <w:t>évaluer le rapport du Secrétaire général et de soumettre un rapport à la prochaine Conférence de plénipotentiaires sur la mise en œuvre du concept d</w:t>
      </w:r>
      <w:r w:rsidR="00C55F21" w:rsidRPr="00884D1A">
        <w:t>'</w:t>
      </w:r>
      <w:r w:rsidR="00041896" w:rsidRPr="00884D1A">
        <w:t>une UIT unie dans l</w:t>
      </w:r>
      <w:r w:rsidR="00C55F21" w:rsidRPr="00884D1A">
        <w:t>'</w:t>
      </w:r>
      <w:r w:rsidR="00041896" w:rsidRPr="00884D1A">
        <w:t>action, notamment en ce qui concerne les activités des bureaux régionaux et des bureaux de zone</w:t>
      </w:r>
      <w:r w:rsidRPr="00884D1A">
        <w:t>."</w:t>
      </w:r>
    </w:p>
    <w:p w14:paraId="724E3DC1" w14:textId="135E0152" w:rsidR="00C92CF9" w:rsidRPr="00884D1A" w:rsidRDefault="00EB3612" w:rsidP="00105640">
      <w:r w:rsidRPr="00884D1A">
        <w:t>2.5</w:t>
      </w:r>
      <w:r w:rsidRPr="00884D1A">
        <w:tab/>
      </w:r>
      <w:r w:rsidR="00355BB6" w:rsidRPr="00884D1A">
        <w:t xml:space="preserve">La commission </w:t>
      </w:r>
      <w:r w:rsidR="00E40FCC" w:rsidRPr="00884D1A">
        <w:t>n</w:t>
      </w:r>
      <w:r w:rsidR="00C55F21" w:rsidRPr="00884D1A">
        <w:t>'</w:t>
      </w:r>
      <w:r w:rsidR="00E40FCC" w:rsidRPr="00884D1A">
        <w:t>a pas été en mesure de parvenir à un consensus sur une nouvelle résolution</w:t>
      </w:r>
      <w:r w:rsidR="00277C70" w:rsidRPr="00884D1A">
        <w:t xml:space="preserve"> relative à l</w:t>
      </w:r>
      <w:r w:rsidR="00C55F21" w:rsidRPr="00884D1A">
        <w:t>'</w:t>
      </w:r>
      <w:r w:rsidR="00277C70" w:rsidRPr="00884D1A">
        <w:t xml:space="preserve">organisation de manifestations parallèles </w:t>
      </w:r>
      <w:r w:rsidR="00DB3C23" w:rsidRPr="00884D1A">
        <w:t>lors</w:t>
      </w:r>
      <w:r w:rsidR="00056DAA" w:rsidRPr="00884D1A">
        <w:t xml:space="preserve"> des grandes conférences ou </w:t>
      </w:r>
      <w:r w:rsidR="00277C70" w:rsidRPr="00884D1A">
        <w:t>assemblées de l</w:t>
      </w:r>
      <w:r w:rsidR="00C55F21" w:rsidRPr="00884D1A">
        <w:t>'</w:t>
      </w:r>
      <w:r w:rsidR="00277C70" w:rsidRPr="00884D1A">
        <w:t xml:space="preserve">UIT. </w:t>
      </w:r>
      <w:r w:rsidR="009959A6" w:rsidRPr="00884D1A">
        <w:t>Il</w:t>
      </w:r>
      <w:r w:rsidR="004D3B9D" w:rsidRPr="00884D1A">
        <w:t xml:space="preserve"> est recommandé à la p</w:t>
      </w:r>
      <w:r w:rsidR="00383D7F" w:rsidRPr="00884D1A">
        <w:t>lénière d</w:t>
      </w:r>
      <w:r w:rsidR="00C55F21" w:rsidRPr="00884D1A">
        <w:t>'</w:t>
      </w:r>
      <w:r w:rsidR="00383D7F" w:rsidRPr="00884D1A">
        <w:t xml:space="preserve">adopter </w:t>
      </w:r>
      <w:r w:rsidR="00F558EA" w:rsidRPr="00884D1A">
        <w:t xml:space="preserve">le texte ci-après, qui a été </w:t>
      </w:r>
      <w:r w:rsidR="00C678BF" w:rsidRPr="00884D1A">
        <w:t xml:space="preserve">rédigé </w:t>
      </w:r>
      <w:r w:rsidR="00F558EA" w:rsidRPr="00884D1A">
        <w:t>avec soin:</w:t>
      </w:r>
    </w:p>
    <w:p w14:paraId="0861E133" w14:textId="03ABDF6C" w:rsidR="00EB3612" w:rsidRPr="00884D1A" w:rsidRDefault="00EC1D53" w:rsidP="00105640">
      <w:pPr>
        <w:ind w:left="567"/>
      </w:pPr>
      <w:r w:rsidRPr="00884D1A">
        <w:t>"</w:t>
      </w:r>
      <w:r w:rsidR="00011D68" w:rsidRPr="00884D1A">
        <w:t>Le renvoi éventuel à un document issu d</w:t>
      </w:r>
      <w:r w:rsidR="00C55F21" w:rsidRPr="00884D1A">
        <w:t>'</w:t>
      </w:r>
      <w:r w:rsidR="00011D68" w:rsidRPr="00884D1A">
        <w:t>une manifestation parallèle, le cas échéant, dans un document des conférences, assemblées ou réunions de l</w:t>
      </w:r>
      <w:r w:rsidR="00C55F21" w:rsidRPr="00884D1A">
        <w:t>'</w:t>
      </w:r>
      <w:r w:rsidR="00011D68" w:rsidRPr="00884D1A">
        <w:t>UIT, sera soumis à l</w:t>
      </w:r>
      <w:r w:rsidR="00C55F21" w:rsidRPr="00884D1A">
        <w:t>'</w:t>
      </w:r>
      <w:r w:rsidR="00011D68" w:rsidRPr="00884D1A">
        <w:t>accord ou à l</w:t>
      </w:r>
      <w:r w:rsidR="00C55F21" w:rsidRPr="00884D1A">
        <w:t>'</w:t>
      </w:r>
      <w:r w:rsidR="00011D68" w:rsidRPr="00884D1A">
        <w:t>adoption des États Membres participant à ces conférences, assemblées ou réunions.</w:t>
      </w:r>
      <w:r w:rsidRPr="00884D1A">
        <w:t>"</w:t>
      </w:r>
    </w:p>
    <w:p w14:paraId="1EC9509B" w14:textId="62910244" w:rsidR="00095C7F" w:rsidRPr="00884D1A" w:rsidRDefault="00EB3612" w:rsidP="00105640">
      <w:r w:rsidRPr="00884D1A">
        <w:t>2.6</w:t>
      </w:r>
      <w:r w:rsidRPr="00884D1A">
        <w:tab/>
      </w:r>
      <w:r w:rsidR="00095C7F" w:rsidRPr="00884D1A">
        <w:t>La commission n</w:t>
      </w:r>
      <w:r w:rsidR="00C55F21" w:rsidRPr="00884D1A">
        <w:t>'</w:t>
      </w:r>
      <w:r w:rsidR="00095C7F" w:rsidRPr="00884D1A">
        <w:t xml:space="preserve">ayant pas été en mesure de parvenir à un accord </w:t>
      </w:r>
      <w:r w:rsidR="00C21773" w:rsidRPr="00884D1A">
        <w:t>sur la révision de</w:t>
      </w:r>
      <w:r w:rsidR="00934BB2" w:rsidRPr="00884D1A">
        <w:t xml:space="preserve"> la</w:t>
      </w:r>
      <w:r w:rsidR="000D77D0" w:rsidRPr="00884D1A">
        <w:t xml:space="preserve"> formulation utilisée dans les Résolutions 2 (</w:t>
      </w:r>
      <w:proofErr w:type="spellStart"/>
      <w:r w:rsidR="000D77D0" w:rsidRPr="00884D1A">
        <w:t>Rév</w:t>
      </w:r>
      <w:proofErr w:type="spellEnd"/>
      <w:r w:rsidR="000D77D0" w:rsidRPr="00884D1A">
        <w:t>. Dubaï, 2018) et 77 (</w:t>
      </w:r>
      <w:proofErr w:type="spellStart"/>
      <w:r w:rsidR="000D77D0" w:rsidRPr="00884D1A">
        <w:t>Rév</w:t>
      </w:r>
      <w:proofErr w:type="spellEnd"/>
      <w:r w:rsidR="000D77D0" w:rsidRPr="00884D1A">
        <w:t xml:space="preserve">. Dubaï, 2018) de la Conférence de plénipotentiaires, en raison des vues divergentes sur </w:t>
      </w:r>
      <w:r w:rsidR="00B05221" w:rsidRPr="00884D1A">
        <w:t>la planification du FMPT,</w:t>
      </w:r>
      <w:r w:rsidR="004D3B9D" w:rsidRPr="00884D1A">
        <w:t xml:space="preserve"> ces textes seront soumis à la p</w:t>
      </w:r>
      <w:r w:rsidR="00B05221" w:rsidRPr="00884D1A">
        <w:t xml:space="preserve">lénière </w:t>
      </w:r>
      <w:r w:rsidR="00F72CD9" w:rsidRPr="00884D1A">
        <w:t>entre crochets.</w:t>
      </w:r>
    </w:p>
    <w:p w14:paraId="55B92DBF" w14:textId="67746EE7" w:rsidR="004055A5" w:rsidRPr="00884D1A" w:rsidRDefault="00EB3612" w:rsidP="00105640">
      <w:r w:rsidRPr="00884D1A">
        <w:t>2.7</w:t>
      </w:r>
      <w:r w:rsidRPr="00884D1A">
        <w:tab/>
      </w:r>
      <w:r w:rsidR="004055A5" w:rsidRPr="00884D1A">
        <w:t xml:space="preserve">La Présidente de la Commission 6 </w:t>
      </w:r>
      <w:r w:rsidR="007940F5" w:rsidRPr="00884D1A">
        <w:t xml:space="preserve">remercie les vice-présidents et les présidents des groupes ad hoc et des groupes de rédaction, ainsi que toutes les personnes </w:t>
      </w:r>
      <w:r w:rsidR="00F86577" w:rsidRPr="00884D1A">
        <w:t xml:space="preserve">ayant </w:t>
      </w:r>
      <w:r w:rsidR="00EA04A0" w:rsidRPr="00884D1A">
        <w:t>facilité les</w:t>
      </w:r>
      <w:r w:rsidR="00F86577" w:rsidRPr="00884D1A">
        <w:t xml:space="preserve"> travaux de la commission.</w:t>
      </w:r>
    </w:p>
    <w:p w14:paraId="20D86B8D" w14:textId="7BBAA309" w:rsidR="00EA04A0" w:rsidRPr="00884D1A" w:rsidRDefault="00EB3612" w:rsidP="00105640">
      <w:r w:rsidRPr="00884D1A">
        <w:t>2.8</w:t>
      </w:r>
      <w:r w:rsidRPr="00884D1A">
        <w:tab/>
      </w:r>
      <w:r w:rsidR="00A93785" w:rsidRPr="00884D1A">
        <w:t xml:space="preserve">Il </w:t>
      </w:r>
      <w:r w:rsidR="005031ED" w:rsidRPr="00884D1A">
        <w:t>est</w:t>
      </w:r>
      <w:r w:rsidR="00A93785" w:rsidRPr="00884D1A">
        <w:t xml:space="preserve"> </w:t>
      </w:r>
      <w:r w:rsidR="00A93785" w:rsidRPr="00884D1A">
        <w:rPr>
          <w:b/>
        </w:rPr>
        <w:t>pris note</w:t>
      </w:r>
      <w:r w:rsidR="00A93785" w:rsidRPr="00884D1A">
        <w:t xml:space="preserve"> du</w:t>
      </w:r>
      <w:r w:rsidR="00563173" w:rsidRPr="00884D1A">
        <w:t xml:space="preserve"> rapport de la Présidente de</w:t>
      </w:r>
      <w:r w:rsidR="00A93785" w:rsidRPr="00884D1A">
        <w:t xml:space="preserve"> la Commission 6 (Document 157).</w:t>
      </w:r>
      <w:r w:rsidR="000E2852" w:rsidRPr="00884D1A">
        <w:t xml:space="preserve"> Les cinq recommandations figurant dans le rapport et les recommandations </w:t>
      </w:r>
      <w:r w:rsidR="00D87DE8" w:rsidRPr="00884D1A">
        <w:t>mentionnées dans le procès</w:t>
      </w:r>
      <w:r w:rsidR="00D87DE8" w:rsidRPr="00884D1A">
        <w:noBreakHyphen/>
      </w:r>
      <w:r w:rsidR="00FB2F31" w:rsidRPr="00884D1A">
        <w:t xml:space="preserve">verbal de la </w:t>
      </w:r>
      <w:r w:rsidR="001F5695" w:rsidRPr="00884D1A">
        <w:t xml:space="preserve">séance </w:t>
      </w:r>
      <w:r w:rsidR="00FB2F31" w:rsidRPr="00884D1A">
        <w:t xml:space="preserve">plénière sont </w:t>
      </w:r>
      <w:r w:rsidR="00FB2F31" w:rsidRPr="00884D1A">
        <w:rPr>
          <w:b/>
        </w:rPr>
        <w:t>approuvées</w:t>
      </w:r>
      <w:r w:rsidR="00FB2F31" w:rsidRPr="00884D1A">
        <w:t>.</w:t>
      </w:r>
    </w:p>
    <w:p w14:paraId="4818A50C" w14:textId="4F311014" w:rsidR="0072113B" w:rsidRPr="00884D1A" w:rsidRDefault="00EB3612" w:rsidP="00105640">
      <w:r w:rsidRPr="00884D1A">
        <w:lastRenderedPageBreak/>
        <w:t>2.9</w:t>
      </w:r>
      <w:r w:rsidRPr="00884D1A">
        <w:tab/>
      </w:r>
      <w:r w:rsidR="0072113B" w:rsidRPr="00884D1A">
        <w:t xml:space="preserve">Le </w:t>
      </w:r>
      <w:r w:rsidR="0072113B" w:rsidRPr="00884D1A">
        <w:rPr>
          <w:b/>
        </w:rPr>
        <w:t>délégué de la Fédération de Russie</w:t>
      </w:r>
      <w:r w:rsidR="0072113B" w:rsidRPr="00884D1A">
        <w:t xml:space="preserve"> remercie la Présidente de la Commission 6 pour ses efforts, et déclare qu</w:t>
      </w:r>
      <w:r w:rsidR="00C55F21" w:rsidRPr="00884D1A">
        <w:t>'</w:t>
      </w:r>
      <w:r w:rsidR="0072113B" w:rsidRPr="00884D1A">
        <w:t xml:space="preserve">il serait </w:t>
      </w:r>
      <w:r w:rsidR="00D56646" w:rsidRPr="00884D1A">
        <w:t>utile de faire référence aux contributions examinées par la commission dans le rapport.</w:t>
      </w:r>
    </w:p>
    <w:p w14:paraId="7A92977A" w14:textId="1DA77F9C" w:rsidR="00E63F91" w:rsidRPr="00884D1A" w:rsidRDefault="00EB3612" w:rsidP="00105640">
      <w:r w:rsidRPr="00884D1A">
        <w:t>2.10</w:t>
      </w:r>
      <w:r w:rsidRPr="00884D1A">
        <w:tab/>
      </w:r>
      <w:r w:rsidR="00E63F91" w:rsidRPr="00884D1A">
        <w:t xml:space="preserve">Il est </w:t>
      </w:r>
      <w:r w:rsidR="00E63F91" w:rsidRPr="00884D1A">
        <w:rPr>
          <w:b/>
        </w:rPr>
        <w:t>pris note</w:t>
      </w:r>
      <w:r w:rsidR="00E63F91" w:rsidRPr="00884D1A">
        <w:t xml:space="preserve"> de cette demande.</w:t>
      </w:r>
    </w:p>
    <w:p w14:paraId="760AF252" w14:textId="113A9DC6" w:rsidR="007F61EC" w:rsidRPr="00884D1A" w:rsidRDefault="00EB3612" w:rsidP="00105640">
      <w:r w:rsidRPr="00884D1A">
        <w:t>2.11</w:t>
      </w:r>
      <w:r w:rsidRPr="00884D1A">
        <w:tab/>
      </w:r>
      <w:r w:rsidR="007F61EC" w:rsidRPr="00884D1A">
        <w:t xml:space="preserve">Reprenant à son compte les remerciements exprimés à la Présidente de la Commission 6 pour </w:t>
      </w:r>
      <w:r w:rsidR="00DD3673" w:rsidRPr="00884D1A">
        <w:t>sa conduite exceptionnelle des travaux</w:t>
      </w:r>
      <w:r w:rsidR="007F61EC" w:rsidRPr="00884D1A">
        <w:t xml:space="preserve">, son engagement et </w:t>
      </w:r>
      <w:r w:rsidR="0093258B" w:rsidRPr="00884D1A">
        <w:t xml:space="preserve">ses conseils, par les délégués de la </w:t>
      </w:r>
      <w:r w:rsidR="0093258B" w:rsidRPr="00884D1A">
        <w:rPr>
          <w:b/>
        </w:rPr>
        <w:t>Papouasie-Nouvelle-Guinée</w:t>
      </w:r>
      <w:r w:rsidR="0093258B" w:rsidRPr="00884D1A">
        <w:t xml:space="preserve">, </w:t>
      </w:r>
      <w:r w:rsidR="00E57706" w:rsidRPr="00884D1A">
        <w:t xml:space="preserve">de </w:t>
      </w:r>
      <w:r w:rsidR="0093258B" w:rsidRPr="00884D1A">
        <w:t xml:space="preserve">la </w:t>
      </w:r>
      <w:r w:rsidR="0093258B" w:rsidRPr="00884D1A">
        <w:rPr>
          <w:b/>
        </w:rPr>
        <w:t>République islamique d</w:t>
      </w:r>
      <w:r w:rsidR="00C55F21" w:rsidRPr="00884D1A">
        <w:rPr>
          <w:b/>
        </w:rPr>
        <w:t>'</w:t>
      </w:r>
      <w:r w:rsidR="0093258B" w:rsidRPr="00884D1A">
        <w:rPr>
          <w:b/>
        </w:rPr>
        <w:t>Iran</w:t>
      </w:r>
      <w:r w:rsidR="0093258B" w:rsidRPr="00884D1A">
        <w:t xml:space="preserve">, </w:t>
      </w:r>
      <w:r w:rsidR="00E57706" w:rsidRPr="00884D1A">
        <w:t>d</w:t>
      </w:r>
      <w:r w:rsidR="0093258B" w:rsidRPr="00884D1A">
        <w:t xml:space="preserve">es </w:t>
      </w:r>
      <w:r w:rsidR="0093258B" w:rsidRPr="00884D1A">
        <w:rPr>
          <w:b/>
        </w:rPr>
        <w:t>États-Unis</w:t>
      </w:r>
      <w:r w:rsidR="0093258B" w:rsidRPr="00884D1A">
        <w:t xml:space="preserve">, </w:t>
      </w:r>
      <w:r w:rsidR="00E57706" w:rsidRPr="00884D1A">
        <w:t xml:space="preserve">de </w:t>
      </w:r>
      <w:r w:rsidR="0093258B" w:rsidRPr="00884D1A">
        <w:t>l</w:t>
      </w:r>
      <w:r w:rsidR="00C55F21" w:rsidRPr="00884D1A">
        <w:t>'</w:t>
      </w:r>
      <w:r w:rsidR="0093258B" w:rsidRPr="00884D1A">
        <w:rPr>
          <w:b/>
        </w:rPr>
        <w:t>Arabie saoudite</w:t>
      </w:r>
      <w:r w:rsidR="00C33754" w:rsidRPr="00884D1A">
        <w:t>, d</w:t>
      </w:r>
      <w:r w:rsidR="0093258B" w:rsidRPr="00884D1A">
        <w:t xml:space="preserve">es </w:t>
      </w:r>
      <w:r w:rsidR="0093258B" w:rsidRPr="00884D1A">
        <w:rPr>
          <w:b/>
        </w:rPr>
        <w:t>Émirats arabes unis</w:t>
      </w:r>
      <w:r w:rsidR="0093258B" w:rsidRPr="00884D1A">
        <w:t>, s</w:t>
      </w:r>
      <w:r w:rsidR="00C55F21" w:rsidRPr="00884D1A">
        <w:t>'</w:t>
      </w:r>
      <w:r w:rsidR="0093258B" w:rsidRPr="00884D1A">
        <w:t xml:space="preserve">exprimant au nom du Groupe </w:t>
      </w:r>
      <w:r w:rsidR="000D6A39" w:rsidRPr="00884D1A">
        <w:t>des États arabes</w:t>
      </w:r>
      <w:r w:rsidR="0093258B" w:rsidRPr="00884D1A">
        <w:t xml:space="preserve">, </w:t>
      </w:r>
      <w:r w:rsidR="007F1B01" w:rsidRPr="00884D1A">
        <w:t>d</w:t>
      </w:r>
      <w:r w:rsidR="00C55F21" w:rsidRPr="00884D1A">
        <w:t>'</w:t>
      </w:r>
      <w:r w:rsidR="007F1B01" w:rsidRPr="00884D1A">
        <w:rPr>
          <w:b/>
        </w:rPr>
        <w:t>Israël</w:t>
      </w:r>
      <w:r w:rsidR="007F1B01" w:rsidRPr="00884D1A">
        <w:t xml:space="preserve">, du </w:t>
      </w:r>
      <w:r w:rsidR="007F1B01" w:rsidRPr="00884D1A">
        <w:rPr>
          <w:b/>
        </w:rPr>
        <w:t>Brésil</w:t>
      </w:r>
      <w:r w:rsidR="007F1B01" w:rsidRPr="00884D1A">
        <w:t xml:space="preserve">, de la </w:t>
      </w:r>
      <w:r w:rsidR="007F1B01" w:rsidRPr="00884D1A">
        <w:rPr>
          <w:b/>
        </w:rPr>
        <w:t>République de Corée</w:t>
      </w:r>
      <w:r w:rsidR="00B4444D" w:rsidRPr="00884D1A">
        <w:t xml:space="preserve">, de la </w:t>
      </w:r>
      <w:r w:rsidR="00CA51F5" w:rsidRPr="00884D1A">
        <w:rPr>
          <w:b/>
        </w:rPr>
        <w:t>République</w:t>
      </w:r>
      <w:r w:rsidR="00B4444D" w:rsidRPr="00884D1A">
        <w:rPr>
          <w:b/>
        </w:rPr>
        <w:t xml:space="preserve"> </w:t>
      </w:r>
      <w:proofErr w:type="spellStart"/>
      <w:r w:rsidR="00B4444D" w:rsidRPr="00884D1A">
        <w:rPr>
          <w:b/>
        </w:rPr>
        <w:t>sudafricaine</w:t>
      </w:r>
      <w:proofErr w:type="spellEnd"/>
      <w:r w:rsidR="00B4444D" w:rsidRPr="00884D1A">
        <w:t xml:space="preserve">, des </w:t>
      </w:r>
      <w:r w:rsidR="00B4444D" w:rsidRPr="00884D1A">
        <w:rPr>
          <w:b/>
        </w:rPr>
        <w:t>Bahamas</w:t>
      </w:r>
      <w:r w:rsidR="00B4444D" w:rsidRPr="00884D1A">
        <w:t xml:space="preserve">, du </w:t>
      </w:r>
      <w:r w:rsidR="00B4444D" w:rsidRPr="00884D1A">
        <w:rPr>
          <w:b/>
        </w:rPr>
        <w:t>Zimbabwe</w:t>
      </w:r>
      <w:r w:rsidR="00B4444D" w:rsidRPr="00884D1A">
        <w:t xml:space="preserve">, du </w:t>
      </w:r>
      <w:r w:rsidR="00B4444D" w:rsidRPr="00884D1A">
        <w:rPr>
          <w:b/>
        </w:rPr>
        <w:t>Royaume-Uni</w:t>
      </w:r>
      <w:r w:rsidR="00B4444D" w:rsidRPr="00884D1A">
        <w:t xml:space="preserve">, de la </w:t>
      </w:r>
      <w:r w:rsidR="00B4444D" w:rsidRPr="00884D1A">
        <w:rPr>
          <w:b/>
        </w:rPr>
        <w:t>Côte d</w:t>
      </w:r>
      <w:r w:rsidR="00C55F21" w:rsidRPr="00884D1A">
        <w:rPr>
          <w:b/>
        </w:rPr>
        <w:t>'</w:t>
      </w:r>
      <w:r w:rsidR="00B4444D" w:rsidRPr="00884D1A">
        <w:rPr>
          <w:b/>
        </w:rPr>
        <w:t>Ivoire</w:t>
      </w:r>
      <w:r w:rsidR="00B4444D" w:rsidRPr="00884D1A">
        <w:t xml:space="preserve">, du </w:t>
      </w:r>
      <w:r w:rsidR="00B4444D" w:rsidRPr="00884D1A">
        <w:rPr>
          <w:b/>
        </w:rPr>
        <w:t>Burkina Faso</w:t>
      </w:r>
      <w:r w:rsidR="00B4444D" w:rsidRPr="00884D1A">
        <w:t xml:space="preserve">, de la </w:t>
      </w:r>
      <w:r w:rsidR="00B4444D" w:rsidRPr="00884D1A">
        <w:rPr>
          <w:b/>
        </w:rPr>
        <w:t>Tunisie</w:t>
      </w:r>
      <w:r w:rsidR="00B4444D" w:rsidRPr="00884D1A">
        <w:t xml:space="preserve">, de la </w:t>
      </w:r>
      <w:r w:rsidR="00B4444D" w:rsidRPr="00884D1A">
        <w:rPr>
          <w:b/>
        </w:rPr>
        <w:t>Chine</w:t>
      </w:r>
      <w:r w:rsidR="00B4444D" w:rsidRPr="00884D1A">
        <w:t xml:space="preserve"> et de l</w:t>
      </w:r>
      <w:r w:rsidR="00C55F21" w:rsidRPr="00884D1A">
        <w:t>'</w:t>
      </w:r>
      <w:r w:rsidR="00B4444D" w:rsidRPr="00884D1A">
        <w:rPr>
          <w:b/>
        </w:rPr>
        <w:t>Algérie</w:t>
      </w:r>
      <w:r w:rsidR="00B4444D" w:rsidRPr="00884D1A">
        <w:t>, s</w:t>
      </w:r>
      <w:r w:rsidR="00C55F21" w:rsidRPr="00884D1A">
        <w:t>'</w:t>
      </w:r>
      <w:r w:rsidR="00B4444D" w:rsidRPr="00884D1A">
        <w:t xml:space="preserve">exprimant au nom du Groupe </w:t>
      </w:r>
      <w:r w:rsidR="00CA51F5" w:rsidRPr="00884D1A">
        <w:t xml:space="preserve">africain, le </w:t>
      </w:r>
      <w:r w:rsidR="00CA51F5" w:rsidRPr="00884D1A">
        <w:rPr>
          <w:b/>
        </w:rPr>
        <w:t>Président</w:t>
      </w:r>
      <w:r w:rsidR="00CA51F5" w:rsidRPr="00884D1A">
        <w:t xml:space="preserve"> </w:t>
      </w:r>
      <w:r w:rsidR="00094F78" w:rsidRPr="00884D1A">
        <w:t>remercie</w:t>
      </w:r>
      <w:r w:rsidR="00CA51F5" w:rsidRPr="00884D1A">
        <w:t xml:space="preserve"> les membres de la Commission 6, ainsi que sa Présidente, pour leurs travaux remarquables sur des questions importantes et délicates.</w:t>
      </w:r>
    </w:p>
    <w:p w14:paraId="5BD78DD8" w14:textId="0E8BBB23" w:rsidR="00EB3612" w:rsidRPr="00884D1A" w:rsidRDefault="00EB3612" w:rsidP="00105640">
      <w:pPr>
        <w:pStyle w:val="Heading1"/>
      </w:pPr>
      <w:r w:rsidRPr="00884D1A">
        <w:t>3</w:t>
      </w:r>
      <w:r w:rsidRPr="00884D1A">
        <w:tab/>
      </w:r>
      <w:r w:rsidR="00164DC2" w:rsidRPr="00884D1A">
        <w:t>Rapport de la Présidente de la Commission</w:t>
      </w:r>
      <w:r w:rsidRPr="00884D1A">
        <w:t xml:space="preserve"> 5 (Document </w:t>
      </w:r>
      <w:hyperlink r:id="rId20" w:history="1">
        <w:r w:rsidRPr="00884D1A">
          <w:rPr>
            <w:rStyle w:val="Hyperlink"/>
          </w:rPr>
          <w:t>189</w:t>
        </w:r>
      </w:hyperlink>
      <w:r w:rsidRPr="00884D1A">
        <w:t>)</w:t>
      </w:r>
    </w:p>
    <w:p w14:paraId="3C5375EB" w14:textId="3497634C" w:rsidR="0027759B" w:rsidRPr="00884D1A" w:rsidRDefault="00EB3612" w:rsidP="00105640">
      <w:r w:rsidRPr="00884D1A">
        <w:t>3.1</w:t>
      </w:r>
      <w:r w:rsidRPr="00884D1A">
        <w:tab/>
      </w:r>
      <w:r w:rsidR="0027759B" w:rsidRPr="00884D1A">
        <w:t xml:space="preserve">La </w:t>
      </w:r>
      <w:r w:rsidR="0027759B" w:rsidRPr="00884D1A">
        <w:rPr>
          <w:b/>
        </w:rPr>
        <w:t>Présidente de la Commission 5</w:t>
      </w:r>
      <w:r w:rsidR="0027759B" w:rsidRPr="00884D1A">
        <w:t xml:space="preserve"> présente le rapport figurant dans le Document 189 et déclare que la Commission 5 a tenu neuf séances, </w:t>
      </w:r>
      <w:r w:rsidR="009A44D8" w:rsidRPr="00884D1A">
        <w:t>guidée dans ses travaux par le mandat figurant dans le Document DT/8.</w:t>
      </w:r>
      <w:r w:rsidR="00983681" w:rsidRPr="00884D1A">
        <w:t xml:space="preserve"> </w:t>
      </w:r>
      <w:r w:rsidR="00D024DE" w:rsidRPr="00884D1A">
        <w:t xml:space="preserve">La commission </w:t>
      </w:r>
      <w:r w:rsidR="007B5D5A" w:rsidRPr="00884D1A">
        <w:t xml:space="preserve">a examiné les propositions </w:t>
      </w:r>
      <w:r w:rsidR="0059018D" w:rsidRPr="00884D1A">
        <w:t xml:space="preserve">que la </w:t>
      </w:r>
      <w:r w:rsidR="004D3B9D" w:rsidRPr="00884D1A">
        <w:t>p</w:t>
      </w:r>
      <w:r w:rsidR="0079415D" w:rsidRPr="00884D1A">
        <w:t xml:space="preserve">lénière lui a attribuées </w:t>
      </w:r>
      <w:r w:rsidR="008E2159" w:rsidRPr="00884D1A">
        <w:t xml:space="preserve">et recommande </w:t>
      </w:r>
      <w:r w:rsidR="000F6B83" w:rsidRPr="00884D1A">
        <w:t>l</w:t>
      </w:r>
      <w:r w:rsidR="00C55F21" w:rsidRPr="00884D1A">
        <w:t>'</w:t>
      </w:r>
      <w:r w:rsidR="000F6B83" w:rsidRPr="00884D1A">
        <w:t>adoption de quatre nouvelles résolutions et de 17 résolutions révisées.</w:t>
      </w:r>
    </w:p>
    <w:p w14:paraId="376A3F08" w14:textId="774CF8B0" w:rsidR="007C3492" w:rsidRPr="00884D1A" w:rsidRDefault="00EB3612" w:rsidP="00105640">
      <w:r w:rsidRPr="00884D1A">
        <w:t>3.2</w:t>
      </w:r>
      <w:r w:rsidRPr="00884D1A">
        <w:tab/>
      </w:r>
      <w:r w:rsidR="00864371" w:rsidRPr="00884D1A">
        <w:t>Elle</w:t>
      </w:r>
      <w:r w:rsidR="007C3492" w:rsidRPr="00884D1A">
        <w:t xml:space="preserve"> attire l</w:t>
      </w:r>
      <w:r w:rsidR="00C55F21" w:rsidRPr="00884D1A">
        <w:t>'</w:t>
      </w:r>
      <w:r w:rsidR="007C3492" w:rsidRPr="00884D1A">
        <w:t>att</w:t>
      </w:r>
      <w:r w:rsidR="00AE4A8A" w:rsidRPr="00884D1A">
        <w:t xml:space="preserve">ention sur la recommandation 1, </w:t>
      </w:r>
      <w:r w:rsidR="00D46278" w:rsidRPr="00884D1A">
        <w:t xml:space="preserve">formulée pour adoption, </w:t>
      </w:r>
      <w:r w:rsidR="00AE4A8A" w:rsidRPr="00884D1A">
        <w:t xml:space="preserve">relative à </w:t>
      </w:r>
      <w:r w:rsidR="00D46278" w:rsidRPr="00884D1A">
        <w:t xml:space="preserve">la révision </w:t>
      </w:r>
      <w:r w:rsidR="00AE4A8A" w:rsidRPr="00884D1A">
        <w:t>de la Résolution 119 (</w:t>
      </w:r>
      <w:proofErr w:type="spellStart"/>
      <w:r w:rsidR="00AE4A8A" w:rsidRPr="00884D1A">
        <w:t>Rév</w:t>
      </w:r>
      <w:proofErr w:type="spellEnd"/>
      <w:r w:rsidR="00AE4A8A" w:rsidRPr="00884D1A">
        <w:t>. Antalya, 2006)</w:t>
      </w:r>
      <w:r w:rsidR="00DB3C23" w:rsidRPr="00884D1A">
        <w:t xml:space="preserve"> de la Conférence de plénipotentiaires</w:t>
      </w:r>
      <w:r w:rsidR="00AE4A8A" w:rsidRPr="00884D1A">
        <w:t xml:space="preserve">, et sur la recommandation 2, </w:t>
      </w:r>
      <w:r w:rsidR="00D46278" w:rsidRPr="00884D1A">
        <w:t xml:space="preserve">formulée pour adoption, </w:t>
      </w:r>
      <w:r w:rsidR="00AE4A8A" w:rsidRPr="00884D1A">
        <w:t xml:space="preserve">relative </w:t>
      </w:r>
      <w:r w:rsidR="0038610F" w:rsidRPr="00884D1A">
        <w:t xml:space="preserve">à </w:t>
      </w:r>
      <w:r w:rsidR="00D46278" w:rsidRPr="00884D1A">
        <w:t>la révision</w:t>
      </w:r>
      <w:r w:rsidR="004D3B9D" w:rsidRPr="00884D1A">
        <w:t xml:space="preserve"> de la Résolution 167 (</w:t>
      </w:r>
      <w:proofErr w:type="spellStart"/>
      <w:r w:rsidR="004D3B9D" w:rsidRPr="00884D1A">
        <w:t>Rév</w:t>
      </w:r>
      <w:proofErr w:type="spellEnd"/>
      <w:r w:rsidR="004D3B9D" w:rsidRPr="00884D1A">
        <w:t>. </w:t>
      </w:r>
      <w:r w:rsidR="0038610F" w:rsidRPr="00884D1A">
        <w:t>Antalya, 2006)</w:t>
      </w:r>
      <w:r w:rsidR="00DB3C23" w:rsidRPr="00884D1A">
        <w:t xml:space="preserve"> de la Conférence de plénipotentiaires</w:t>
      </w:r>
      <w:r w:rsidR="0038610F" w:rsidRPr="00884D1A">
        <w:t xml:space="preserve">; </w:t>
      </w:r>
      <w:r w:rsidR="00A526E5" w:rsidRPr="00884D1A">
        <w:t xml:space="preserve">ainsi que sur la nécessité de </w:t>
      </w:r>
      <w:r w:rsidR="00BE457E" w:rsidRPr="00884D1A">
        <w:t>poursuivre la rationalisation du</w:t>
      </w:r>
      <w:r w:rsidR="00A526E5" w:rsidRPr="00884D1A">
        <w:t xml:space="preserve"> texte </w:t>
      </w:r>
      <w:r w:rsidR="003E1DE0" w:rsidRPr="00884D1A">
        <w:t>révisé de la Résolution 182 (</w:t>
      </w:r>
      <w:proofErr w:type="spellStart"/>
      <w:r w:rsidR="003E1DE0" w:rsidRPr="00884D1A">
        <w:t>Rév</w:t>
      </w:r>
      <w:proofErr w:type="spellEnd"/>
      <w:r w:rsidR="003E1DE0" w:rsidRPr="00884D1A">
        <w:t>. Busan, 2014) à la Conférence de plénipotentiaires de 2026</w:t>
      </w:r>
      <w:r w:rsidR="00E21AD3" w:rsidRPr="00884D1A">
        <w:t xml:space="preserve">, afin de </w:t>
      </w:r>
      <w:r w:rsidR="008356E6" w:rsidRPr="00884D1A">
        <w:t xml:space="preserve">réduire les </w:t>
      </w:r>
      <w:r w:rsidR="00DB3C23" w:rsidRPr="00884D1A">
        <w:t>redondances</w:t>
      </w:r>
      <w:r w:rsidR="00853766" w:rsidRPr="00884D1A">
        <w:t xml:space="preserve">; sur </w:t>
      </w:r>
      <w:r w:rsidR="00E34C54" w:rsidRPr="00884D1A">
        <w:t>la modification apportée au titre de la Résolution 188 (</w:t>
      </w:r>
      <w:proofErr w:type="spellStart"/>
      <w:r w:rsidR="00E34C54" w:rsidRPr="00884D1A">
        <w:t>Rév</w:t>
      </w:r>
      <w:proofErr w:type="spellEnd"/>
      <w:r w:rsidR="00E34C54" w:rsidRPr="00884D1A">
        <w:t>. Duba</w:t>
      </w:r>
      <w:r w:rsidR="00AC334B" w:rsidRPr="00884D1A">
        <w:t xml:space="preserve">ï, 2018) </w:t>
      </w:r>
      <w:r w:rsidR="00DB3C23" w:rsidRPr="00884D1A">
        <w:t xml:space="preserve">de la Conférence de plénipotentiaires </w:t>
      </w:r>
      <w:r w:rsidR="00AC334B" w:rsidRPr="00884D1A">
        <w:t xml:space="preserve">révisée; et sur </w:t>
      </w:r>
      <w:r w:rsidR="00D262F4" w:rsidRPr="00884D1A">
        <w:t>la décision de ne pas modifier la Résolution 100 (Minneapolis, 1998)</w:t>
      </w:r>
      <w:r w:rsidR="00DB3C23" w:rsidRPr="00884D1A">
        <w:t xml:space="preserve"> de la Conférence de plénipotentiaires</w:t>
      </w:r>
      <w:r w:rsidR="00D262F4" w:rsidRPr="00884D1A">
        <w:t>.</w:t>
      </w:r>
    </w:p>
    <w:p w14:paraId="35126BEA" w14:textId="6137BE99" w:rsidR="00BF3E15" w:rsidRPr="00884D1A" w:rsidRDefault="00EB3612" w:rsidP="00105640">
      <w:r w:rsidRPr="00884D1A">
        <w:t>3.3</w:t>
      </w:r>
      <w:r w:rsidRPr="00884D1A">
        <w:tab/>
      </w:r>
      <w:r w:rsidR="00AF7262" w:rsidRPr="00884D1A">
        <w:t xml:space="preserve">Les quatre nouvelles résolutions adoptées </w:t>
      </w:r>
      <w:r w:rsidR="004C00FF" w:rsidRPr="00884D1A">
        <w:t>concernent</w:t>
      </w:r>
      <w:r w:rsidR="005F7082" w:rsidRPr="00884D1A">
        <w:t xml:space="preserve"> l</w:t>
      </w:r>
      <w:r w:rsidR="00C55F21" w:rsidRPr="00884D1A">
        <w:t>'</w:t>
      </w:r>
      <w:r w:rsidR="005F7082" w:rsidRPr="00884D1A">
        <w:t xml:space="preserve">utilisation des assignations de fréquence </w:t>
      </w:r>
      <w:r w:rsidR="00D72EEA" w:rsidRPr="00884D1A">
        <w:t xml:space="preserve">par les installations radioélectriques militaires pour les services de défense nationale; la continuité des activités; </w:t>
      </w:r>
      <w:r w:rsidR="008C686B" w:rsidRPr="00884D1A">
        <w:t xml:space="preserve">le programme "Espace 2030"; et la </w:t>
      </w:r>
      <w:r w:rsidR="002070ED" w:rsidRPr="00884D1A">
        <w:t xml:space="preserve">viabilité </w:t>
      </w:r>
      <w:r w:rsidR="00E31FB4" w:rsidRPr="00884D1A">
        <w:t xml:space="preserve">des ressources </w:t>
      </w:r>
      <w:r w:rsidR="00DF6A65" w:rsidRPr="00884D1A">
        <w:t>spectre/orbites</w:t>
      </w:r>
      <w:r w:rsidR="00E31FB4" w:rsidRPr="00884D1A">
        <w:t>.</w:t>
      </w:r>
      <w:r w:rsidR="009D3014" w:rsidRPr="00884D1A">
        <w:t xml:space="preserve"> </w:t>
      </w:r>
      <w:r w:rsidR="0023239B" w:rsidRPr="00884D1A">
        <w:t>Concernant le texte de la dernière résolution (Résolut</w:t>
      </w:r>
      <w:r w:rsidR="00C55F21" w:rsidRPr="00884D1A">
        <w:t>ion COM5/4 (Bucarest, </w:t>
      </w:r>
      <w:r w:rsidR="0023239B" w:rsidRPr="00884D1A">
        <w:t>2022)), les États Membres de la région des États arabes</w:t>
      </w:r>
      <w:r w:rsidR="0087016B" w:rsidRPr="00884D1A">
        <w:t xml:space="preserve"> ont com</w:t>
      </w:r>
      <w:r w:rsidR="00C93029" w:rsidRPr="00884D1A">
        <w:t>muniqué la déclaration ci-après, afin qu</w:t>
      </w:r>
      <w:r w:rsidR="00C55F21" w:rsidRPr="00884D1A">
        <w:t>'</w:t>
      </w:r>
      <w:r w:rsidR="00C93029" w:rsidRPr="00884D1A">
        <w:t>elle soit incluse dans le procès-verbal de la séance plénière:</w:t>
      </w:r>
    </w:p>
    <w:p w14:paraId="272E5A38" w14:textId="52B23E5C" w:rsidR="00EB3612" w:rsidRPr="00884D1A" w:rsidRDefault="00C55F21" w:rsidP="00105640">
      <w:pPr>
        <w:ind w:left="567"/>
      </w:pPr>
      <w:r w:rsidRPr="00884D1A">
        <w:t>"</w:t>
      </w:r>
      <w:r w:rsidR="004135BE" w:rsidRPr="00884D1A">
        <w:t>Lors de l</w:t>
      </w:r>
      <w:r w:rsidRPr="00884D1A">
        <w:t>'</w:t>
      </w:r>
      <w:r w:rsidR="004135BE" w:rsidRPr="00884D1A">
        <w:t>examen de la nouvelle Résolution intitulée "Viabilité des ressources que constituent le spectre des fréquences radioélectriques et les orbites de satellites associées utilisées par les services spatiaux", le Directeur du Bureau des radiocommunications est invité à prendre en considération la viabilité de l</w:t>
      </w:r>
      <w:r w:rsidRPr="00884D1A">
        <w:t>'</w:t>
      </w:r>
      <w:r w:rsidR="004135BE" w:rsidRPr="00884D1A">
        <w:t>espace extra-atmosphérique dans la mise en œuvre des pratiques du Bureau.</w:t>
      </w:r>
      <w:r w:rsidRPr="00884D1A">
        <w:t>"</w:t>
      </w:r>
    </w:p>
    <w:p w14:paraId="67C50AD1" w14:textId="3007DD01" w:rsidR="00D869D7" w:rsidRPr="00884D1A" w:rsidRDefault="00EB3612" w:rsidP="00105640">
      <w:r w:rsidRPr="00884D1A">
        <w:t>3.4</w:t>
      </w:r>
      <w:r w:rsidRPr="00884D1A">
        <w:tab/>
      </w:r>
      <w:r w:rsidR="00D869D7" w:rsidRPr="00884D1A">
        <w:t>La commission n</w:t>
      </w:r>
      <w:r w:rsidR="00C55F21" w:rsidRPr="00884D1A">
        <w:t>'</w:t>
      </w:r>
      <w:r w:rsidR="00D869D7" w:rsidRPr="00884D1A">
        <w:t>est pas parvenue à un consensus sur les propositions relatives à la révision de la Résolution 146 (</w:t>
      </w:r>
      <w:proofErr w:type="spellStart"/>
      <w:r w:rsidR="00D869D7" w:rsidRPr="00884D1A">
        <w:t>Rév</w:t>
      </w:r>
      <w:proofErr w:type="spellEnd"/>
      <w:r w:rsidR="00D869D7" w:rsidRPr="00884D1A">
        <w:t>. Dubaï, 2018)</w:t>
      </w:r>
      <w:r w:rsidR="00C712DD" w:rsidRPr="00884D1A">
        <w:t xml:space="preserve"> de la Conférence de plénipotentiaires</w:t>
      </w:r>
      <w:r w:rsidR="00D869D7" w:rsidRPr="00884D1A">
        <w:t>.</w:t>
      </w:r>
    </w:p>
    <w:p w14:paraId="19422059" w14:textId="77777777" w:rsidR="00C55F21" w:rsidRPr="00884D1A" w:rsidRDefault="00C55F21" w:rsidP="00105640">
      <w:r w:rsidRPr="00884D1A">
        <w:br w:type="page"/>
      </w:r>
    </w:p>
    <w:p w14:paraId="2FD85D22" w14:textId="33502D85" w:rsidR="00002E66" w:rsidRPr="00884D1A" w:rsidRDefault="00EB3612" w:rsidP="00105640">
      <w:r w:rsidRPr="00884D1A">
        <w:lastRenderedPageBreak/>
        <w:t>3.5</w:t>
      </w:r>
      <w:r w:rsidRPr="00884D1A">
        <w:tab/>
      </w:r>
      <w:r w:rsidR="00002E66" w:rsidRPr="00884D1A">
        <w:t>En outre, elle a décidé de ne pas adopter la proposition de résolution sur la participation de l</w:t>
      </w:r>
      <w:r w:rsidR="00C55F21" w:rsidRPr="00884D1A">
        <w:t>'</w:t>
      </w:r>
      <w:r w:rsidR="00002E66" w:rsidRPr="00884D1A">
        <w:t xml:space="preserve">UIT </w:t>
      </w:r>
      <w:r w:rsidR="00CA5ECF" w:rsidRPr="00884D1A">
        <w:t>à des</w:t>
      </w:r>
      <w:r w:rsidR="00136629" w:rsidRPr="00884D1A">
        <w:t xml:space="preserve"> mémorandums d</w:t>
      </w:r>
      <w:r w:rsidR="00C55F21" w:rsidRPr="00884D1A">
        <w:t>'</w:t>
      </w:r>
      <w:r w:rsidR="00136629" w:rsidRPr="00884D1A">
        <w:t xml:space="preserve">accord, </w:t>
      </w:r>
      <w:r w:rsidR="003D6DEE" w:rsidRPr="00884D1A">
        <w:t xml:space="preserve">étant donné que </w:t>
      </w:r>
      <w:r w:rsidR="00432DDE" w:rsidRPr="00884D1A">
        <w:t>cette question est traitée</w:t>
      </w:r>
      <w:r w:rsidR="003D6DEE" w:rsidRPr="00884D1A">
        <w:t xml:space="preserve"> dans sa recommandation 3</w:t>
      </w:r>
      <w:r w:rsidR="00DB34E3" w:rsidRPr="00884D1A">
        <w:t xml:space="preserve">; </w:t>
      </w:r>
      <w:r w:rsidR="00700911" w:rsidRPr="00884D1A">
        <w:t xml:space="preserve">la proposition de résolution sur </w:t>
      </w:r>
      <w:r w:rsidR="007578B7" w:rsidRPr="00884D1A">
        <w:t>le mandat des fonctionnaires élus de l</w:t>
      </w:r>
      <w:r w:rsidR="00C55F21" w:rsidRPr="00884D1A">
        <w:t>'</w:t>
      </w:r>
      <w:r w:rsidR="007578B7" w:rsidRPr="00884D1A">
        <w:t xml:space="preserve">Union; la proposition de décision sur </w:t>
      </w:r>
      <w:r w:rsidR="00AE2D13" w:rsidRPr="00884D1A">
        <w:t xml:space="preserve">la conduite des campagnes électorales, </w:t>
      </w:r>
      <w:r w:rsidR="00432DDE" w:rsidRPr="00884D1A">
        <w:t xml:space="preserve">étant donné que cette question est traitée </w:t>
      </w:r>
      <w:r w:rsidR="00E55418" w:rsidRPr="00884D1A">
        <w:t>dans sa recommandation</w:t>
      </w:r>
      <w:r w:rsidR="00E55418" w:rsidRPr="00884D1A">
        <w:rPr>
          <w:b/>
        </w:rPr>
        <w:t xml:space="preserve"> </w:t>
      </w:r>
      <w:r w:rsidR="00AE2D13" w:rsidRPr="00884D1A">
        <w:t>4</w:t>
      </w:r>
      <w:r w:rsidR="00850583" w:rsidRPr="00884D1A">
        <w:t xml:space="preserve">; ou la proposition de résolution sur </w:t>
      </w:r>
      <w:r w:rsidR="006575F1" w:rsidRPr="00884D1A">
        <w:t xml:space="preserve">la participation du secteur privé, </w:t>
      </w:r>
      <w:r w:rsidR="00432DDE" w:rsidRPr="00884D1A">
        <w:t xml:space="preserve">étant donné que cette question est traitée </w:t>
      </w:r>
      <w:r w:rsidR="00A14BCE" w:rsidRPr="00884D1A">
        <w:t>dans sa recommandation 5</w:t>
      </w:r>
      <w:r w:rsidR="006575F1" w:rsidRPr="00884D1A">
        <w:t>.</w:t>
      </w:r>
    </w:p>
    <w:p w14:paraId="58B0BA04" w14:textId="37922BDF" w:rsidR="003941BC" w:rsidRPr="00884D1A" w:rsidRDefault="00EB3612" w:rsidP="00105640">
      <w:r w:rsidRPr="00884D1A">
        <w:t>3.6</w:t>
      </w:r>
      <w:r w:rsidRPr="00884D1A">
        <w:tab/>
      </w:r>
      <w:r w:rsidR="003941BC" w:rsidRPr="00884D1A">
        <w:t xml:space="preserve">La proposition de résolution </w:t>
      </w:r>
      <w:r w:rsidR="00CD662C" w:rsidRPr="00884D1A">
        <w:t xml:space="preserve">sur </w:t>
      </w:r>
      <w:r w:rsidR="007147F8" w:rsidRPr="00884D1A">
        <w:t>le respect des</w:t>
      </w:r>
      <w:r w:rsidR="00CD662C" w:rsidRPr="00884D1A">
        <w:t xml:space="preserve"> droits des États Membres et des Membres de Secteur </w:t>
      </w:r>
      <w:r w:rsidR="007147F8" w:rsidRPr="00884D1A">
        <w:t>au sein de l</w:t>
      </w:r>
      <w:r w:rsidR="00C55F21" w:rsidRPr="00884D1A">
        <w:t>'</w:t>
      </w:r>
      <w:r w:rsidR="007147F8" w:rsidRPr="00884D1A">
        <w:t>UIT (proposition RUS/88/1) n</w:t>
      </w:r>
      <w:r w:rsidR="00C55F21" w:rsidRPr="00884D1A">
        <w:t>'</w:t>
      </w:r>
      <w:r w:rsidR="007147F8" w:rsidRPr="00884D1A">
        <w:t xml:space="preserve">a pas été adoptée, et la déclaration de la Fédération de Russie sur ce sujet </w:t>
      </w:r>
      <w:r w:rsidR="00977CDF" w:rsidRPr="00884D1A">
        <w:t xml:space="preserve">figure au </w:t>
      </w:r>
      <w:r w:rsidR="00F024E3" w:rsidRPr="00884D1A">
        <w:t xml:space="preserve">§ </w:t>
      </w:r>
      <w:r w:rsidR="00977CDF" w:rsidRPr="00884D1A">
        <w:t>2.6.5 du rapport.</w:t>
      </w:r>
    </w:p>
    <w:p w14:paraId="7EDDCE69" w14:textId="3C18EA5C" w:rsidR="001C31C1" w:rsidRPr="00884D1A" w:rsidRDefault="00EB3612" w:rsidP="00105640">
      <w:r w:rsidRPr="00884D1A">
        <w:t>3.7</w:t>
      </w:r>
      <w:r w:rsidRPr="00884D1A">
        <w:tab/>
      </w:r>
      <w:r w:rsidR="001C31C1" w:rsidRPr="00884D1A">
        <w:t xml:space="preserve">Le </w:t>
      </w:r>
      <w:r w:rsidR="001C31C1" w:rsidRPr="00884D1A">
        <w:rPr>
          <w:b/>
        </w:rPr>
        <w:t>délégué de la République tchèque</w:t>
      </w:r>
      <w:r w:rsidR="001C31C1" w:rsidRPr="00884D1A">
        <w:t xml:space="preserve"> </w:t>
      </w:r>
      <w:r w:rsidR="009C30AB" w:rsidRPr="00884D1A">
        <w:t>fait la déclaration suivante:</w:t>
      </w:r>
    </w:p>
    <w:p w14:paraId="293C184E" w14:textId="35B7CE76" w:rsidR="00183B94" w:rsidRPr="00884D1A" w:rsidRDefault="00C55F21" w:rsidP="00105640">
      <w:pPr>
        <w:ind w:left="567"/>
      </w:pPr>
      <w:r w:rsidRPr="00884D1A">
        <w:t>"</w:t>
      </w:r>
      <w:r w:rsidR="00183B94" w:rsidRPr="00884D1A">
        <w:t>Nous souhaitons intervenir</w:t>
      </w:r>
      <w:r w:rsidR="00B52DD3" w:rsidRPr="00884D1A">
        <w:t>,</w:t>
      </w:r>
      <w:r w:rsidR="00183B94" w:rsidRPr="00884D1A">
        <w:t xml:space="preserve"> </w:t>
      </w:r>
      <w:r w:rsidR="00BF6E46" w:rsidRPr="00884D1A">
        <w:t>en cette tribune</w:t>
      </w:r>
      <w:r w:rsidR="00B52DD3" w:rsidRPr="00884D1A">
        <w:t>,</w:t>
      </w:r>
      <w:r w:rsidR="00BF6E46" w:rsidRPr="00884D1A">
        <w:t xml:space="preserve"> </w:t>
      </w:r>
      <w:r w:rsidR="00183B94" w:rsidRPr="00884D1A">
        <w:t xml:space="preserve">au nom des 27 </w:t>
      </w:r>
      <w:r w:rsidR="004A0FB7" w:rsidRPr="00884D1A">
        <w:t>États membres de l</w:t>
      </w:r>
      <w:r w:rsidRPr="00884D1A">
        <w:t>'</w:t>
      </w:r>
      <w:r w:rsidR="004A0FB7" w:rsidRPr="00884D1A">
        <w:t>Union européenne, de l</w:t>
      </w:r>
      <w:r w:rsidRPr="00884D1A">
        <w:t>'</w:t>
      </w:r>
      <w:r w:rsidR="004A0FB7" w:rsidRPr="00884D1A">
        <w:t>Ukraine, de l</w:t>
      </w:r>
      <w:r w:rsidRPr="00884D1A">
        <w:t>'</w:t>
      </w:r>
      <w:r w:rsidR="004A0FB7" w:rsidRPr="00884D1A">
        <w:t>Australie, du Canada, du Royaume-Uni et des États-Unis.</w:t>
      </w:r>
    </w:p>
    <w:p w14:paraId="0B0F8D3C" w14:textId="21FF0DEC" w:rsidR="0055511B" w:rsidRPr="00884D1A" w:rsidRDefault="003371B9" w:rsidP="00105640">
      <w:pPr>
        <w:ind w:left="567"/>
      </w:pPr>
      <w:r w:rsidRPr="00884D1A">
        <w:t xml:space="preserve">Cette intervention </w:t>
      </w:r>
      <w:r w:rsidR="00A136B4" w:rsidRPr="00884D1A">
        <w:t xml:space="preserve">concerne la déclaration de la Russie, qui a été incluse dans le rapport de la Commission 5 et </w:t>
      </w:r>
      <w:r w:rsidR="00415CC4" w:rsidRPr="00884D1A">
        <w:t xml:space="preserve">qui </w:t>
      </w:r>
      <w:r w:rsidR="00A136B4" w:rsidRPr="00884D1A">
        <w:t xml:space="preserve">porte sur la contribution </w:t>
      </w:r>
      <w:r w:rsidR="000435C5" w:rsidRPr="00884D1A">
        <w:t>figurant dans le</w:t>
      </w:r>
      <w:r w:rsidR="00A136B4" w:rsidRPr="00884D1A">
        <w:t xml:space="preserve"> Document 88</w:t>
      </w:r>
      <w:r w:rsidR="000435C5" w:rsidRPr="00884D1A">
        <w:t>, à présent retirée</w:t>
      </w:r>
      <w:r w:rsidR="00A136B4" w:rsidRPr="00884D1A">
        <w:t xml:space="preserve">. </w:t>
      </w:r>
      <w:r w:rsidR="00C66C71" w:rsidRPr="00884D1A">
        <w:t xml:space="preserve">Nous </w:t>
      </w:r>
      <w:r w:rsidR="00DF1116" w:rsidRPr="00884D1A">
        <w:t xml:space="preserve">demandons que cette intervention soit </w:t>
      </w:r>
      <w:r w:rsidR="00C712DD" w:rsidRPr="00884D1A">
        <w:t>consignée au</w:t>
      </w:r>
      <w:r w:rsidR="00DF1116" w:rsidRPr="00884D1A">
        <w:t xml:space="preserve"> procès-verbal de la séance plénière.</w:t>
      </w:r>
    </w:p>
    <w:p w14:paraId="616B7C6D" w14:textId="30C34FB8" w:rsidR="00C2482B" w:rsidRPr="00884D1A" w:rsidRDefault="00C2482B" w:rsidP="00105640">
      <w:pPr>
        <w:ind w:left="567"/>
      </w:pPr>
      <w:r w:rsidRPr="00884D1A">
        <w:t xml:space="preserve">La contribution 88, </w:t>
      </w:r>
      <w:r w:rsidR="00D1026F" w:rsidRPr="00884D1A">
        <w:t>qui aspire selon ses auteurs à</w:t>
      </w:r>
      <w:r w:rsidR="005F04D1" w:rsidRPr="00884D1A">
        <w:t xml:space="preserve"> protéger les droits des États Membres, </w:t>
      </w:r>
      <w:r w:rsidR="00C62256" w:rsidRPr="00884D1A">
        <w:t>porterait</w:t>
      </w:r>
      <w:r w:rsidR="004A1025" w:rsidRPr="00884D1A">
        <w:t xml:space="preserve"> en réalité atteinte aux droits des États Membres</w:t>
      </w:r>
      <w:r w:rsidR="00C360B3" w:rsidRPr="00884D1A">
        <w:t>,</w:t>
      </w:r>
      <w:r w:rsidR="004A1025" w:rsidRPr="00884D1A">
        <w:t xml:space="preserve"> et à leur </w:t>
      </w:r>
      <w:r w:rsidR="001B093A" w:rsidRPr="00884D1A">
        <w:t>c</w:t>
      </w:r>
      <w:r w:rsidR="00C360B3" w:rsidRPr="00884D1A">
        <w:t xml:space="preserve">apacité </w:t>
      </w:r>
      <w:r w:rsidR="00C712DD" w:rsidRPr="00884D1A">
        <w:t xml:space="preserve">de </w:t>
      </w:r>
      <w:r w:rsidR="00C360B3" w:rsidRPr="00884D1A">
        <w:t>prendre des décisions</w:t>
      </w:r>
      <w:r w:rsidR="001B093A" w:rsidRPr="00884D1A">
        <w:t xml:space="preserve"> aux confére</w:t>
      </w:r>
      <w:r w:rsidR="00C360B3" w:rsidRPr="00884D1A">
        <w:t>nces et assemblées des Secteurs</w:t>
      </w:r>
      <w:r w:rsidR="001B093A" w:rsidRPr="00884D1A">
        <w:t xml:space="preserve"> sur la présidence et la vice-présidence des commissions d</w:t>
      </w:r>
      <w:r w:rsidR="00C55F21" w:rsidRPr="00884D1A">
        <w:t>'</w:t>
      </w:r>
      <w:r w:rsidR="001B093A" w:rsidRPr="00884D1A">
        <w:t>études et des groupes consultatifs des Secteurs</w:t>
      </w:r>
      <w:r w:rsidR="00471C98" w:rsidRPr="00884D1A">
        <w:t xml:space="preserve">. </w:t>
      </w:r>
      <w:r w:rsidR="00733C8E" w:rsidRPr="00884D1A">
        <w:t>Par conséquent, l</w:t>
      </w:r>
      <w:r w:rsidR="00C55F21" w:rsidRPr="00884D1A">
        <w:t>'</w:t>
      </w:r>
      <w:r w:rsidR="00733C8E" w:rsidRPr="00884D1A">
        <w:t>approbation du</w:t>
      </w:r>
      <w:r w:rsidR="008404C3" w:rsidRPr="00884D1A">
        <w:t xml:space="preserve"> Document 88 </w:t>
      </w:r>
      <w:r w:rsidR="00733C8E" w:rsidRPr="00884D1A">
        <w:t>irait non seulement à l</w:t>
      </w:r>
      <w:r w:rsidR="00C55F21" w:rsidRPr="00884D1A">
        <w:t>'</w:t>
      </w:r>
      <w:r w:rsidR="00733C8E" w:rsidRPr="00884D1A">
        <w:t>encontre de la Constitution de l</w:t>
      </w:r>
      <w:r w:rsidR="00C55F21" w:rsidRPr="00884D1A">
        <w:t>'</w:t>
      </w:r>
      <w:r w:rsidR="00733C8E" w:rsidRPr="00884D1A">
        <w:t xml:space="preserve">UIT, mais </w:t>
      </w:r>
      <w:r w:rsidR="0047679D" w:rsidRPr="00884D1A">
        <w:t>elle créerait é</w:t>
      </w:r>
      <w:r w:rsidR="000D7083" w:rsidRPr="00884D1A">
        <w:t>galement un dangereux précédent</w:t>
      </w:r>
      <w:r w:rsidR="00D66A79" w:rsidRPr="00884D1A">
        <w:t xml:space="preserve"> susceptible de saper les décisions prises par les États Membres </w:t>
      </w:r>
      <w:r w:rsidR="00EB45DC" w:rsidRPr="00884D1A">
        <w:t xml:space="preserve">conformément </w:t>
      </w:r>
      <w:r w:rsidR="007F2585" w:rsidRPr="00884D1A">
        <w:t xml:space="preserve">aux règles et aux procédures </w:t>
      </w:r>
      <w:r w:rsidR="00835C1F" w:rsidRPr="00884D1A">
        <w:t>établies</w:t>
      </w:r>
      <w:r w:rsidR="00EB45DC" w:rsidRPr="00884D1A">
        <w:t>.</w:t>
      </w:r>
    </w:p>
    <w:p w14:paraId="4EC4F435" w14:textId="71F80B63" w:rsidR="00EB3612" w:rsidRPr="00884D1A" w:rsidRDefault="00155662" w:rsidP="00105640">
      <w:pPr>
        <w:ind w:left="567"/>
      </w:pPr>
      <w:r w:rsidRPr="00884D1A">
        <w:t xml:space="preserve">De plus, le Document 88 </w:t>
      </w:r>
      <w:r w:rsidR="00C8553D" w:rsidRPr="00884D1A">
        <w:t xml:space="preserve">repose sur la prémisse erronée </w:t>
      </w:r>
      <w:r w:rsidR="008E75C9" w:rsidRPr="00884D1A">
        <w:t>selon laquelle les droits humains des candidats aux postes de présidents et vice-présidents des commissions d</w:t>
      </w:r>
      <w:r w:rsidR="00C55F21" w:rsidRPr="00884D1A">
        <w:t>'</w:t>
      </w:r>
      <w:r w:rsidR="008E75C9" w:rsidRPr="00884D1A">
        <w:t>études et des groupes consultatifs de l</w:t>
      </w:r>
      <w:r w:rsidR="00C55F21" w:rsidRPr="00884D1A">
        <w:t>'</w:t>
      </w:r>
      <w:r w:rsidR="008E75C9" w:rsidRPr="00884D1A">
        <w:t xml:space="preserve">UIT ont été </w:t>
      </w:r>
      <w:r w:rsidR="005475CE" w:rsidRPr="00884D1A">
        <w:t>bafoués</w:t>
      </w:r>
      <w:r w:rsidR="008E75C9" w:rsidRPr="00884D1A">
        <w:t xml:space="preserve">. </w:t>
      </w:r>
      <w:r w:rsidR="006E44D3" w:rsidRPr="00884D1A">
        <w:t>Il n</w:t>
      </w:r>
      <w:r w:rsidR="00C55F21" w:rsidRPr="00884D1A">
        <w:t>'</w:t>
      </w:r>
      <w:r w:rsidR="006E44D3" w:rsidRPr="00884D1A">
        <w:t>en est rien</w:t>
      </w:r>
      <w:r w:rsidR="000D04F5" w:rsidRPr="00884D1A">
        <w:t xml:space="preserve">. </w:t>
      </w:r>
      <w:r w:rsidR="00701785" w:rsidRPr="00884D1A">
        <w:t xml:space="preserve">Être </w:t>
      </w:r>
      <w:r w:rsidR="00C712DD" w:rsidRPr="00884D1A">
        <w:t>nommé</w:t>
      </w:r>
      <w:r w:rsidR="00701785" w:rsidRPr="00884D1A">
        <w:t xml:space="preserve"> ou élu à un poste de président ou de vice-président n</w:t>
      </w:r>
      <w:r w:rsidR="00C55F21" w:rsidRPr="00884D1A">
        <w:t>'</w:t>
      </w:r>
      <w:r w:rsidR="00701785" w:rsidRPr="00884D1A">
        <w:t xml:space="preserve">est pas un droit humain. </w:t>
      </w:r>
      <w:r w:rsidR="005C0D95" w:rsidRPr="00884D1A">
        <w:t>Les États Membres de l</w:t>
      </w:r>
      <w:r w:rsidR="00C55F21" w:rsidRPr="00884D1A">
        <w:t>'</w:t>
      </w:r>
      <w:r w:rsidR="005C0D95" w:rsidRPr="00884D1A">
        <w:t xml:space="preserve">UIT ont le droit souverain de </w:t>
      </w:r>
      <w:r w:rsidR="005543DA" w:rsidRPr="00884D1A">
        <w:t>décider quels candidats sont les plus à même de mener les travaux des commissions d</w:t>
      </w:r>
      <w:r w:rsidR="00C55F21" w:rsidRPr="00884D1A">
        <w:t>'</w:t>
      </w:r>
      <w:r w:rsidR="005543DA" w:rsidRPr="00884D1A">
        <w:t>études efficacement, dans un esprit de confiance et de consensus.</w:t>
      </w:r>
    </w:p>
    <w:p w14:paraId="2A0E6123" w14:textId="509BEF71" w:rsidR="00A563B3" w:rsidRPr="00884D1A" w:rsidRDefault="006A1DD7" w:rsidP="00105640">
      <w:pPr>
        <w:ind w:left="567"/>
      </w:pPr>
      <w:r w:rsidRPr="00884D1A">
        <w:t>C</w:t>
      </w:r>
      <w:r w:rsidR="00C55F21" w:rsidRPr="00884D1A">
        <w:t>'</w:t>
      </w:r>
      <w:r w:rsidRPr="00884D1A">
        <w:t>est pour</w:t>
      </w:r>
      <w:r w:rsidR="00D64031" w:rsidRPr="00884D1A">
        <w:t xml:space="preserve"> ces raisons, qui </w:t>
      </w:r>
      <w:r w:rsidRPr="00884D1A">
        <w:t xml:space="preserve">remettent en question </w:t>
      </w:r>
      <w:r w:rsidR="00A11706" w:rsidRPr="00884D1A">
        <w:t>le</w:t>
      </w:r>
      <w:r w:rsidR="00D81468" w:rsidRPr="00884D1A">
        <w:t xml:space="preserve"> bien-fondé et </w:t>
      </w:r>
      <w:r w:rsidR="00A11706" w:rsidRPr="00884D1A">
        <w:t>le</w:t>
      </w:r>
      <w:r w:rsidR="00D81468" w:rsidRPr="00884D1A">
        <w:t xml:space="preserve"> fondement juridique </w:t>
      </w:r>
      <w:r w:rsidR="00A11706" w:rsidRPr="00884D1A">
        <w:t xml:space="preserve">du Document 88, que ce document </w:t>
      </w:r>
      <w:r w:rsidR="00CC4C8B" w:rsidRPr="00884D1A">
        <w:t>a été</w:t>
      </w:r>
      <w:r w:rsidR="00A11706" w:rsidRPr="00884D1A">
        <w:t xml:space="preserve"> </w:t>
      </w:r>
      <w:r w:rsidR="00E07320" w:rsidRPr="00884D1A">
        <w:t>fermement rejeté par la majorité des délégations</w:t>
      </w:r>
      <w:r w:rsidR="00CC4C8B" w:rsidRPr="00884D1A">
        <w:t xml:space="preserve"> et q</w:t>
      </w:r>
      <w:r w:rsidR="008F663A" w:rsidRPr="00884D1A">
        <w:t>u</w:t>
      </w:r>
      <w:r w:rsidR="00C55F21" w:rsidRPr="00884D1A">
        <w:t>'</w:t>
      </w:r>
      <w:r w:rsidR="008F663A" w:rsidRPr="00884D1A">
        <w:t>aucune suite ne lui a été donnée.</w:t>
      </w:r>
    </w:p>
    <w:p w14:paraId="02537F81" w14:textId="1B672D71" w:rsidR="00EA5F47" w:rsidRPr="00884D1A" w:rsidRDefault="00EA5F47" w:rsidP="00105640">
      <w:pPr>
        <w:ind w:left="567"/>
      </w:pPr>
      <w:r w:rsidRPr="00884D1A">
        <w:t xml:space="preserve">Enfin, nous tenons à remercier la Présidente de la Commission 5 pour sa </w:t>
      </w:r>
      <w:r w:rsidR="005C2D30" w:rsidRPr="00884D1A">
        <w:t>conduite</w:t>
      </w:r>
      <w:r w:rsidRPr="00884D1A">
        <w:t xml:space="preserve"> remarquable des travaux</w:t>
      </w:r>
      <w:r w:rsidR="00EE5A35" w:rsidRPr="00884D1A">
        <w:t>,</w:t>
      </w:r>
      <w:r w:rsidRPr="00884D1A">
        <w:t xml:space="preserve"> et son esprit de transparence et </w:t>
      </w:r>
      <w:r w:rsidR="00F43AAC" w:rsidRPr="00884D1A">
        <w:t>d</w:t>
      </w:r>
      <w:r w:rsidR="00C55F21" w:rsidRPr="00884D1A">
        <w:t>'</w:t>
      </w:r>
      <w:r w:rsidR="00F43AAC" w:rsidRPr="00884D1A">
        <w:t>inclusion</w:t>
      </w:r>
      <w:r w:rsidRPr="00884D1A">
        <w:t>."</w:t>
      </w:r>
    </w:p>
    <w:p w14:paraId="0BE300A2" w14:textId="219EB404" w:rsidR="007B640E" w:rsidRPr="00884D1A" w:rsidRDefault="00EB3612" w:rsidP="00105640">
      <w:r w:rsidRPr="00884D1A">
        <w:t>3.8</w:t>
      </w:r>
      <w:r w:rsidRPr="00884D1A">
        <w:tab/>
      </w:r>
      <w:r w:rsidR="007B640E" w:rsidRPr="00884D1A">
        <w:t xml:space="preserve">Le </w:t>
      </w:r>
      <w:r w:rsidR="007B640E" w:rsidRPr="00884D1A">
        <w:rPr>
          <w:b/>
        </w:rPr>
        <w:t>délégué de la Fédération de Russie</w:t>
      </w:r>
      <w:r w:rsidR="007B640E" w:rsidRPr="00884D1A">
        <w:t xml:space="preserve">, </w:t>
      </w:r>
      <w:r w:rsidR="004B5B33" w:rsidRPr="00884D1A">
        <w:t>en réponse à la déclaration de la République tchèque,</w:t>
      </w:r>
      <w:r w:rsidR="003C1E2B" w:rsidRPr="00884D1A">
        <w:t xml:space="preserve"> souhaite dissiper </w:t>
      </w:r>
      <w:r w:rsidR="00951970" w:rsidRPr="00884D1A">
        <w:t>tout doute</w:t>
      </w:r>
      <w:r w:rsidR="003C1E2B" w:rsidRPr="00884D1A">
        <w:t xml:space="preserve"> en ce qui concerne le fondement juridique de la proposition de la Fédération de Russie et rappelle </w:t>
      </w:r>
      <w:r w:rsidR="005673B2" w:rsidRPr="00884D1A">
        <w:t xml:space="preserve">que </w:t>
      </w:r>
      <w:r w:rsidR="00C712DD" w:rsidRPr="00884D1A">
        <w:t xml:space="preserve">cette </w:t>
      </w:r>
      <w:r w:rsidR="005673B2" w:rsidRPr="00884D1A">
        <w:t xml:space="preserve">proposition a été appuyée par plusieurs États Membres des différentes régions, et </w:t>
      </w:r>
      <w:r w:rsidR="00822E8F" w:rsidRPr="00884D1A">
        <w:t xml:space="preserve">que ceux qui </w:t>
      </w:r>
      <w:r w:rsidR="0022442E" w:rsidRPr="00884D1A">
        <w:t>formulent</w:t>
      </w:r>
      <w:r w:rsidR="00822E8F" w:rsidRPr="00884D1A">
        <w:t xml:space="preserve"> désormais des réserves </w:t>
      </w:r>
      <w:r w:rsidR="00202AF2" w:rsidRPr="00884D1A">
        <w:t>ont catégoriquement refusé tout examen de cette proposition.</w:t>
      </w:r>
      <w:r w:rsidR="007A489D" w:rsidRPr="00884D1A">
        <w:t xml:space="preserve"> La Fédération de Russie </w:t>
      </w:r>
      <w:r w:rsidR="00D2468F" w:rsidRPr="00884D1A">
        <w:t>va soumettre</w:t>
      </w:r>
      <w:r w:rsidR="007A489D" w:rsidRPr="00884D1A">
        <w:t xml:space="preserve"> une contre-déclaration</w:t>
      </w:r>
      <w:r w:rsidR="00D2468F" w:rsidRPr="00884D1A">
        <w:t>, reproduite dans l</w:t>
      </w:r>
      <w:r w:rsidR="00C55F21" w:rsidRPr="00884D1A">
        <w:t>'</w:t>
      </w:r>
      <w:r w:rsidR="00D2468F" w:rsidRPr="00884D1A">
        <w:rPr>
          <w:b/>
        </w:rPr>
        <w:t>Annexe A</w:t>
      </w:r>
      <w:r w:rsidR="00D2468F" w:rsidRPr="00884D1A">
        <w:t>,</w:t>
      </w:r>
      <w:r w:rsidR="007A489D" w:rsidRPr="00884D1A">
        <w:t xml:space="preserve"> </w:t>
      </w:r>
      <w:r w:rsidR="00D2468F" w:rsidRPr="00884D1A">
        <w:t>pour inclusion dans le procès-verbal.</w:t>
      </w:r>
    </w:p>
    <w:p w14:paraId="41598F3F" w14:textId="77777777" w:rsidR="00C55F21" w:rsidRPr="00884D1A" w:rsidRDefault="00C55F21" w:rsidP="00105640">
      <w:r w:rsidRPr="00884D1A">
        <w:br w:type="page"/>
      </w:r>
    </w:p>
    <w:p w14:paraId="74E6198B" w14:textId="759673CA" w:rsidR="001E4901" w:rsidRPr="00884D1A" w:rsidRDefault="00EB3612" w:rsidP="00105640">
      <w:pPr>
        <w:rPr>
          <w:b/>
          <w:bCs/>
        </w:rPr>
      </w:pPr>
      <w:r w:rsidRPr="00884D1A">
        <w:lastRenderedPageBreak/>
        <w:t>3.9</w:t>
      </w:r>
      <w:r w:rsidRPr="00884D1A">
        <w:tab/>
      </w:r>
      <w:r w:rsidR="005A74CA" w:rsidRPr="00884D1A">
        <w:rPr>
          <w:bCs/>
        </w:rPr>
        <w:t>Il est</w:t>
      </w:r>
      <w:r w:rsidR="00C55F21" w:rsidRPr="00884D1A">
        <w:rPr>
          <w:b/>
          <w:bCs/>
        </w:rPr>
        <w:t xml:space="preserve"> pris</w:t>
      </w:r>
      <w:r w:rsidR="001E4901" w:rsidRPr="00884D1A">
        <w:rPr>
          <w:b/>
          <w:bCs/>
        </w:rPr>
        <w:t xml:space="preserve"> note</w:t>
      </w:r>
      <w:r w:rsidR="001E4901" w:rsidRPr="00884D1A">
        <w:rPr>
          <w:bCs/>
        </w:rPr>
        <w:t xml:space="preserve"> du rapport de la Présidente de la Commission 5 (Document 189), ainsi que des déclarations reproduites dans le rapport et faites à la séance plénière. </w:t>
      </w:r>
      <w:r w:rsidR="00F37DCB" w:rsidRPr="00884D1A">
        <w:rPr>
          <w:bCs/>
        </w:rPr>
        <w:t>Les cinq recommandations figurant dans le</w:t>
      </w:r>
      <w:r w:rsidR="004B7238" w:rsidRPr="00884D1A">
        <w:rPr>
          <w:bCs/>
        </w:rPr>
        <w:t xml:space="preserve"> rapport et les recommandations </w:t>
      </w:r>
      <w:r w:rsidR="00C712DD" w:rsidRPr="00884D1A">
        <w:rPr>
          <w:bCs/>
        </w:rPr>
        <w:t xml:space="preserve">contenues </w:t>
      </w:r>
      <w:r w:rsidR="00E73581" w:rsidRPr="00884D1A">
        <w:rPr>
          <w:bCs/>
        </w:rPr>
        <w:t xml:space="preserve">dans le procès-verbal de la séance plénière sont </w:t>
      </w:r>
      <w:r w:rsidR="00E73581" w:rsidRPr="00884D1A">
        <w:rPr>
          <w:b/>
          <w:bCs/>
        </w:rPr>
        <w:t>approuvées</w:t>
      </w:r>
      <w:r w:rsidR="00E73581" w:rsidRPr="00884D1A">
        <w:rPr>
          <w:bCs/>
        </w:rPr>
        <w:t>.</w:t>
      </w:r>
    </w:p>
    <w:p w14:paraId="7CA5F28E" w14:textId="70203E72" w:rsidR="000534EE" w:rsidRPr="00884D1A" w:rsidRDefault="00EB3612" w:rsidP="00105640">
      <w:r w:rsidRPr="00884D1A">
        <w:t>3.10</w:t>
      </w:r>
      <w:r w:rsidRPr="00884D1A">
        <w:tab/>
      </w:r>
      <w:r w:rsidR="000534EE" w:rsidRPr="00884D1A">
        <w:t>Reprenant à son compte les remerciements exprimés</w:t>
      </w:r>
      <w:r w:rsidR="000768FC" w:rsidRPr="00884D1A">
        <w:t xml:space="preserve">, par les </w:t>
      </w:r>
      <w:r w:rsidR="00C55F21" w:rsidRPr="00884D1A">
        <w:rPr>
          <w:b/>
        </w:rPr>
        <w:t>délégués de la République </w:t>
      </w:r>
      <w:r w:rsidR="000768FC" w:rsidRPr="00884D1A">
        <w:rPr>
          <w:b/>
        </w:rPr>
        <w:t>islamique d</w:t>
      </w:r>
      <w:r w:rsidR="00C55F21" w:rsidRPr="00884D1A">
        <w:rPr>
          <w:b/>
        </w:rPr>
        <w:t>'</w:t>
      </w:r>
      <w:r w:rsidR="000768FC" w:rsidRPr="00884D1A">
        <w:rPr>
          <w:b/>
        </w:rPr>
        <w:t>Iran</w:t>
      </w:r>
      <w:r w:rsidR="000768FC" w:rsidRPr="00884D1A">
        <w:t xml:space="preserve">, </w:t>
      </w:r>
      <w:r w:rsidR="00A73DDD" w:rsidRPr="00884D1A">
        <w:t xml:space="preserve">de </w:t>
      </w:r>
      <w:r w:rsidR="000768FC" w:rsidRPr="00884D1A">
        <w:t xml:space="preserve">la </w:t>
      </w:r>
      <w:r w:rsidR="000768FC" w:rsidRPr="00884D1A">
        <w:rPr>
          <w:b/>
        </w:rPr>
        <w:t>République de Corée</w:t>
      </w:r>
      <w:r w:rsidR="000768FC" w:rsidRPr="00884D1A">
        <w:t xml:space="preserve">, </w:t>
      </w:r>
      <w:r w:rsidR="00A73DDD" w:rsidRPr="00884D1A">
        <w:t>du</w:t>
      </w:r>
      <w:r w:rsidR="000768FC" w:rsidRPr="00884D1A">
        <w:t xml:space="preserve"> </w:t>
      </w:r>
      <w:r w:rsidR="00A73DDD" w:rsidRPr="00884D1A">
        <w:rPr>
          <w:b/>
        </w:rPr>
        <w:t>Brésil</w:t>
      </w:r>
      <w:r w:rsidR="00A73DDD" w:rsidRPr="00884D1A">
        <w:t xml:space="preserve">, des </w:t>
      </w:r>
      <w:r w:rsidR="00A73DDD" w:rsidRPr="00884D1A">
        <w:rPr>
          <w:b/>
        </w:rPr>
        <w:t>États-Unis</w:t>
      </w:r>
      <w:r w:rsidR="00C55F21" w:rsidRPr="00884D1A">
        <w:t>, de la </w:t>
      </w:r>
      <w:r w:rsidR="00A73DDD" w:rsidRPr="00884D1A">
        <w:rPr>
          <w:b/>
        </w:rPr>
        <w:t>Roumanie</w:t>
      </w:r>
      <w:r w:rsidR="00A73DDD" w:rsidRPr="00884D1A">
        <w:t>, s</w:t>
      </w:r>
      <w:r w:rsidR="00C55F21" w:rsidRPr="00884D1A">
        <w:t>'</w:t>
      </w:r>
      <w:r w:rsidR="00A73DDD" w:rsidRPr="00884D1A">
        <w:t xml:space="preserve">exprimant également au nom de la CEPT, de la </w:t>
      </w:r>
      <w:r w:rsidR="00A73DDD" w:rsidRPr="00884D1A">
        <w:rPr>
          <w:b/>
        </w:rPr>
        <w:t>Thaïlande</w:t>
      </w:r>
      <w:r w:rsidR="00A73DDD" w:rsidRPr="00884D1A">
        <w:t xml:space="preserve">, du </w:t>
      </w:r>
      <w:r w:rsidR="00A73DDD" w:rsidRPr="00884D1A">
        <w:rPr>
          <w:b/>
        </w:rPr>
        <w:t>Nigéria</w:t>
      </w:r>
      <w:r w:rsidR="00C55F21" w:rsidRPr="00884D1A">
        <w:t>, de la </w:t>
      </w:r>
      <w:r w:rsidR="00A73DDD" w:rsidRPr="00884D1A">
        <w:rPr>
          <w:b/>
        </w:rPr>
        <w:t>Papouasie-Nouvelle-Guinée</w:t>
      </w:r>
      <w:r w:rsidR="00A73DDD" w:rsidRPr="00884D1A">
        <w:t xml:space="preserve">, des </w:t>
      </w:r>
      <w:r w:rsidR="00A73DDD" w:rsidRPr="00884D1A">
        <w:rPr>
          <w:b/>
        </w:rPr>
        <w:t>Émirats arabes unis</w:t>
      </w:r>
      <w:r w:rsidR="00A73DDD" w:rsidRPr="00884D1A">
        <w:t xml:space="preserve">, du </w:t>
      </w:r>
      <w:r w:rsidR="00A73DDD" w:rsidRPr="00884D1A">
        <w:rPr>
          <w:b/>
        </w:rPr>
        <w:t>Japon</w:t>
      </w:r>
      <w:r w:rsidR="00A73DDD" w:rsidRPr="00884D1A">
        <w:t>, de l</w:t>
      </w:r>
      <w:r w:rsidR="00C55F21" w:rsidRPr="00884D1A">
        <w:t>'</w:t>
      </w:r>
      <w:r w:rsidR="00A73DDD" w:rsidRPr="00884D1A">
        <w:rPr>
          <w:b/>
        </w:rPr>
        <w:t>Arabie saoudite</w:t>
      </w:r>
      <w:r w:rsidR="00A73DDD" w:rsidRPr="00884D1A">
        <w:t>, de l</w:t>
      </w:r>
      <w:r w:rsidR="00C55F21" w:rsidRPr="00884D1A">
        <w:t>'</w:t>
      </w:r>
      <w:r w:rsidR="00A73DDD" w:rsidRPr="00884D1A">
        <w:rPr>
          <w:b/>
        </w:rPr>
        <w:t>Inde</w:t>
      </w:r>
      <w:r w:rsidR="00A73DDD" w:rsidRPr="00884D1A">
        <w:t xml:space="preserve">, de la </w:t>
      </w:r>
      <w:r w:rsidR="00A73DDD" w:rsidRPr="00884D1A">
        <w:rPr>
          <w:b/>
        </w:rPr>
        <w:t>Fédération de Russie</w:t>
      </w:r>
      <w:r w:rsidR="00A73DDD" w:rsidRPr="00884D1A">
        <w:t xml:space="preserve"> et de la </w:t>
      </w:r>
      <w:r w:rsidR="00A73DDD" w:rsidRPr="00884D1A">
        <w:rPr>
          <w:b/>
        </w:rPr>
        <w:t>Tunisie</w:t>
      </w:r>
      <w:r w:rsidR="00DC5B2B" w:rsidRPr="00884D1A">
        <w:rPr>
          <w:b/>
        </w:rPr>
        <w:t xml:space="preserve">, </w:t>
      </w:r>
      <w:r w:rsidR="00DC5B2B" w:rsidRPr="00884D1A">
        <w:t>à la Présidente de la Commission 5 pour son dévouement, sa direction avisée, et la souplesse et la patience dont elle a fait preuve pour examiner un ordre du jour complexe, avec intégrité et impartialité, et dans un esprit de compromis et d</w:t>
      </w:r>
      <w:r w:rsidR="00C55F21" w:rsidRPr="00884D1A">
        <w:t>'</w:t>
      </w:r>
      <w:r w:rsidR="00DC5B2B" w:rsidRPr="00884D1A">
        <w:t>inclusion</w:t>
      </w:r>
      <w:r w:rsidR="00A73DDD" w:rsidRPr="00884D1A">
        <w:t xml:space="preserve">, le </w:t>
      </w:r>
      <w:r w:rsidR="00A73DDD" w:rsidRPr="00884D1A">
        <w:rPr>
          <w:b/>
        </w:rPr>
        <w:t>Président</w:t>
      </w:r>
      <w:r w:rsidR="00A73DDD" w:rsidRPr="00884D1A">
        <w:t xml:space="preserve"> remercie la Présidente de la Commission 5 et la félicite pour </w:t>
      </w:r>
      <w:r w:rsidR="00E767BF" w:rsidRPr="00884D1A">
        <w:t>le travail qu</w:t>
      </w:r>
      <w:r w:rsidR="00C55F21" w:rsidRPr="00884D1A">
        <w:t>'</w:t>
      </w:r>
      <w:r w:rsidR="00E767BF" w:rsidRPr="00884D1A">
        <w:t>elle a accompli</w:t>
      </w:r>
      <w:r w:rsidR="00A73DDD" w:rsidRPr="00884D1A">
        <w:t xml:space="preserve">. </w:t>
      </w:r>
      <w:r w:rsidR="00283396" w:rsidRPr="00884D1A">
        <w:t xml:space="preserve">Le fait que deux des trois commissions </w:t>
      </w:r>
      <w:r w:rsidR="00247712" w:rsidRPr="00884D1A">
        <w:t xml:space="preserve">chargées des questions de fond </w:t>
      </w:r>
      <w:r w:rsidR="00283396" w:rsidRPr="00884D1A">
        <w:t>sont dirigées par des femmes est un message fort de l</w:t>
      </w:r>
      <w:r w:rsidR="00C55F21" w:rsidRPr="00884D1A">
        <w:t>'</w:t>
      </w:r>
      <w:r w:rsidR="00283396" w:rsidRPr="00884D1A">
        <w:t>Union.</w:t>
      </w:r>
    </w:p>
    <w:p w14:paraId="22337961" w14:textId="7CCA3C10" w:rsidR="00EB3612" w:rsidRPr="00884D1A" w:rsidRDefault="00EB3612" w:rsidP="00105640">
      <w:pPr>
        <w:pStyle w:val="Heading1"/>
      </w:pPr>
      <w:r w:rsidRPr="00884D1A">
        <w:t>4</w:t>
      </w:r>
      <w:r w:rsidRPr="00884D1A">
        <w:tab/>
      </w:r>
      <w:r w:rsidR="00DC5B2B" w:rsidRPr="00884D1A">
        <w:t>Remise de certificats aux</w:t>
      </w:r>
      <w:r w:rsidR="005955DD" w:rsidRPr="00884D1A">
        <w:t xml:space="preserve"> présidents des commissions</w:t>
      </w:r>
    </w:p>
    <w:p w14:paraId="35CF778F" w14:textId="03E25E30" w:rsidR="005955DD" w:rsidRPr="00884D1A" w:rsidRDefault="00EB3612" w:rsidP="00105640">
      <w:r w:rsidRPr="00884D1A">
        <w:t>4.1</w:t>
      </w:r>
      <w:r w:rsidRPr="00884D1A">
        <w:tab/>
      </w:r>
      <w:r w:rsidR="005955DD" w:rsidRPr="00884D1A">
        <w:t xml:space="preserve">Le </w:t>
      </w:r>
      <w:r w:rsidR="005955DD" w:rsidRPr="00884D1A">
        <w:rPr>
          <w:b/>
        </w:rPr>
        <w:t>Secrétaire général</w:t>
      </w:r>
      <w:r w:rsidR="005955DD" w:rsidRPr="00884D1A">
        <w:t xml:space="preserve"> </w:t>
      </w:r>
      <w:r w:rsidR="00F01E36" w:rsidRPr="00884D1A">
        <w:t xml:space="preserve">remet aux présidents des commissions des certificats en remerciement </w:t>
      </w:r>
      <w:r w:rsidR="00DC5B2B" w:rsidRPr="00884D1A">
        <w:t>de l</w:t>
      </w:r>
      <w:r w:rsidR="00C55F21" w:rsidRPr="00884D1A">
        <w:t>'</w:t>
      </w:r>
      <w:r w:rsidR="00DC5B2B" w:rsidRPr="00884D1A">
        <w:t>immense travail accompli</w:t>
      </w:r>
      <w:r w:rsidR="00033E7F" w:rsidRPr="00884D1A">
        <w:t xml:space="preserve"> pendant la conférence.</w:t>
      </w:r>
    </w:p>
    <w:p w14:paraId="22FB90E7" w14:textId="6BEC8039" w:rsidR="00EB3612" w:rsidRPr="00884D1A" w:rsidRDefault="00EB3612" w:rsidP="00105640">
      <w:pPr>
        <w:pStyle w:val="Heading1"/>
        <w:rPr>
          <w:u w:val="single"/>
        </w:rPr>
      </w:pPr>
      <w:r w:rsidRPr="00884D1A">
        <w:t>5</w:t>
      </w:r>
      <w:r w:rsidRPr="00884D1A">
        <w:tab/>
      </w:r>
      <w:r w:rsidR="00467825" w:rsidRPr="00884D1A">
        <w:rPr>
          <w:rFonts w:cstheme="minorHAnsi"/>
          <w:spacing w:val="-2"/>
          <w:szCs w:val="24"/>
        </w:rPr>
        <w:t>Vingt-troisième série de textes soumis par la Commission de rédaction en première lecture</w:t>
      </w:r>
      <w:r w:rsidRPr="00884D1A">
        <w:t xml:space="preserve"> (B23) (Document </w:t>
      </w:r>
      <w:hyperlink r:id="rId21" w:history="1">
        <w:r w:rsidRPr="00884D1A">
          <w:rPr>
            <w:rStyle w:val="Hyperlink"/>
            <w:bCs/>
          </w:rPr>
          <w:t>193</w:t>
        </w:r>
      </w:hyperlink>
      <w:r w:rsidRPr="00884D1A">
        <w:t>)</w:t>
      </w:r>
    </w:p>
    <w:p w14:paraId="27F2A85D" w14:textId="3075466F" w:rsidR="00EB3612" w:rsidRPr="00884D1A" w:rsidRDefault="00467825" w:rsidP="00105640">
      <w:pPr>
        <w:pStyle w:val="Headingb"/>
        <w:tabs>
          <w:tab w:val="clear" w:pos="567"/>
        </w:tabs>
        <w:ind w:left="0" w:firstLine="0"/>
      </w:pPr>
      <w:r w:rsidRPr="00884D1A">
        <w:t>Projet de Décision 5 (</w:t>
      </w:r>
      <w:proofErr w:type="spellStart"/>
      <w:r w:rsidRPr="00884D1A">
        <w:t>Rév</w:t>
      </w:r>
      <w:proofErr w:type="spellEnd"/>
      <w:r w:rsidRPr="00884D1A">
        <w:t>. Buc</w:t>
      </w:r>
      <w:r w:rsidR="00EB3612" w:rsidRPr="00884D1A">
        <w:t xml:space="preserve">arest, 2022) – </w:t>
      </w:r>
      <w:r w:rsidRPr="00884D1A">
        <w:t>Produits et charges de l</w:t>
      </w:r>
      <w:r w:rsidR="00C55F21" w:rsidRPr="00884D1A">
        <w:t>'Union pour la période 2024</w:t>
      </w:r>
      <w:r w:rsidR="00C55F21" w:rsidRPr="00884D1A">
        <w:noBreakHyphen/>
      </w:r>
      <w:r w:rsidRPr="00884D1A">
        <w:t>2027</w:t>
      </w:r>
    </w:p>
    <w:p w14:paraId="2331C557" w14:textId="0777292D" w:rsidR="00EB3612" w:rsidRPr="00884D1A" w:rsidRDefault="00EB3612" w:rsidP="00105640">
      <w:pPr>
        <w:rPr>
          <w:b/>
          <w:bCs/>
        </w:rPr>
      </w:pPr>
      <w:r w:rsidRPr="00884D1A">
        <w:rPr>
          <w:bCs/>
        </w:rPr>
        <w:t>5.1</w:t>
      </w:r>
      <w:r w:rsidRPr="00884D1A">
        <w:rPr>
          <w:bCs/>
        </w:rPr>
        <w:tab/>
      </w:r>
      <w:r w:rsidR="00467825" w:rsidRPr="00884D1A">
        <w:rPr>
          <w:b/>
          <w:bCs/>
        </w:rPr>
        <w:t>Adopté</w:t>
      </w:r>
      <w:r w:rsidRPr="00884D1A">
        <w:t>.</w:t>
      </w:r>
    </w:p>
    <w:p w14:paraId="476C4E02" w14:textId="5DE05A79" w:rsidR="00EB3612" w:rsidRPr="00884D1A" w:rsidRDefault="006631F9" w:rsidP="00105640">
      <w:pPr>
        <w:pStyle w:val="Headingb"/>
      </w:pPr>
      <w:r w:rsidRPr="00884D1A">
        <w:t>SUP Résolution 11 (</w:t>
      </w:r>
      <w:proofErr w:type="spellStart"/>
      <w:r w:rsidRPr="00884D1A">
        <w:t>Rév</w:t>
      </w:r>
      <w:proofErr w:type="spellEnd"/>
      <w:r w:rsidRPr="00884D1A">
        <w:t>. Dubaï</w:t>
      </w:r>
      <w:r w:rsidR="00EB3612" w:rsidRPr="00884D1A">
        <w:t xml:space="preserve">, 2018) – </w:t>
      </w:r>
      <w:r w:rsidRPr="00884D1A">
        <w:t>Manifestations ITU Telecom</w:t>
      </w:r>
    </w:p>
    <w:p w14:paraId="20F96D6F" w14:textId="047BD31D" w:rsidR="00EB3612" w:rsidRPr="00884D1A" w:rsidRDefault="00EB3612" w:rsidP="00105640">
      <w:pPr>
        <w:rPr>
          <w:b/>
          <w:bCs/>
        </w:rPr>
      </w:pPr>
      <w:r w:rsidRPr="00884D1A">
        <w:rPr>
          <w:bCs/>
        </w:rPr>
        <w:t>5.2</w:t>
      </w:r>
      <w:r w:rsidRPr="00884D1A">
        <w:rPr>
          <w:bCs/>
        </w:rPr>
        <w:tab/>
      </w:r>
      <w:r w:rsidR="000F615B" w:rsidRPr="00884D1A">
        <w:rPr>
          <w:b/>
          <w:bCs/>
        </w:rPr>
        <w:t>Approuvé</w:t>
      </w:r>
      <w:r w:rsidR="00DC5B2B" w:rsidRPr="00884D1A">
        <w:rPr>
          <w:b/>
          <w:bCs/>
        </w:rPr>
        <w:t>e</w:t>
      </w:r>
      <w:r w:rsidRPr="00884D1A">
        <w:t>.</w:t>
      </w:r>
    </w:p>
    <w:p w14:paraId="1BE7F279" w14:textId="6F0B3F83" w:rsidR="00EB3612" w:rsidRPr="00884D1A" w:rsidRDefault="00EB3612" w:rsidP="00105640">
      <w:r w:rsidRPr="00884D1A">
        <w:t>5.3</w:t>
      </w:r>
      <w:r w:rsidRPr="00884D1A">
        <w:tab/>
      </w:r>
      <w:r w:rsidR="004D2A50" w:rsidRPr="00884D1A">
        <w:rPr>
          <w:rFonts w:cstheme="minorHAnsi"/>
          <w:szCs w:val="24"/>
        </w:rPr>
        <w:t>La vingt-troisième série de textes soumis par la Commission de rédaction en première lecture</w:t>
      </w:r>
      <w:r w:rsidR="004D2A50" w:rsidRPr="00884D1A">
        <w:t xml:space="preserve"> </w:t>
      </w:r>
      <w:r w:rsidRPr="00884D1A">
        <w:t xml:space="preserve">(B23) (Document 193) </w:t>
      </w:r>
      <w:r w:rsidR="004D2A50" w:rsidRPr="00884D1A">
        <w:t>est</w:t>
      </w:r>
      <w:r w:rsidRPr="00884D1A">
        <w:t xml:space="preserve"> </w:t>
      </w:r>
      <w:r w:rsidR="004D2A50" w:rsidRPr="00884D1A">
        <w:rPr>
          <w:b/>
        </w:rPr>
        <w:t>approuvée</w:t>
      </w:r>
      <w:r w:rsidRPr="00884D1A">
        <w:t>.</w:t>
      </w:r>
    </w:p>
    <w:p w14:paraId="2C4DD9CF" w14:textId="4A3E7068" w:rsidR="00EB3612" w:rsidRPr="00884D1A" w:rsidRDefault="00EB3612" w:rsidP="00105640">
      <w:pPr>
        <w:pStyle w:val="Heading1"/>
      </w:pPr>
      <w:r w:rsidRPr="00884D1A">
        <w:t>6</w:t>
      </w:r>
      <w:r w:rsidRPr="00884D1A">
        <w:tab/>
      </w:r>
      <w:r w:rsidR="00436CE0" w:rsidRPr="00884D1A">
        <w:rPr>
          <w:rFonts w:cstheme="minorHAnsi"/>
          <w:spacing w:val="-2"/>
          <w:szCs w:val="24"/>
        </w:rPr>
        <w:t>Vingt-troisième série de textes soumis par la Commission de rédaction – seconde lecture</w:t>
      </w:r>
      <w:r w:rsidRPr="00884D1A">
        <w:t xml:space="preserve"> (Document </w:t>
      </w:r>
      <w:hyperlink r:id="rId22" w:history="1">
        <w:r w:rsidRPr="00884D1A">
          <w:rPr>
            <w:rStyle w:val="Hyperlink"/>
            <w:bCs/>
          </w:rPr>
          <w:t>193</w:t>
        </w:r>
      </w:hyperlink>
      <w:r w:rsidRPr="00884D1A">
        <w:t>)</w:t>
      </w:r>
    </w:p>
    <w:p w14:paraId="65AB9886" w14:textId="7FA70F04" w:rsidR="00436CE0" w:rsidRPr="00884D1A" w:rsidRDefault="00EB3612" w:rsidP="00105640">
      <w:pPr>
        <w:rPr>
          <w:bCs/>
        </w:rPr>
      </w:pPr>
      <w:r w:rsidRPr="00884D1A">
        <w:t>6.1</w:t>
      </w:r>
      <w:r w:rsidRPr="00884D1A">
        <w:tab/>
      </w:r>
      <w:r w:rsidR="00436CE0" w:rsidRPr="00884D1A">
        <w:rPr>
          <w:rFonts w:cstheme="minorHAnsi"/>
          <w:szCs w:val="24"/>
        </w:rPr>
        <w:t xml:space="preserve">La vingt-troisième série de textes soumis par la Commission de rédaction (Document 193) est </w:t>
      </w:r>
      <w:r w:rsidR="00436CE0" w:rsidRPr="00884D1A">
        <w:rPr>
          <w:rFonts w:cstheme="minorHAnsi"/>
          <w:b/>
          <w:szCs w:val="24"/>
        </w:rPr>
        <w:t>approuvée</w:t>
      </w:r>
      <w:r w:rsidR="00436CE0" w:rsidRPr="00884D1A">
        <w:rPr>
          <w:rFonts w:cstheme="minorHAnsi"/>
          <w:szCs w:val="24"/>
        </w:rPr>
        <w:t xml:space="preserve"> en seconde lecture.</w:t>
      </w:r>
    </w:p>
    <w:p w14:paraId="24D7678B" w14:textId="0E34C8DB" w:rsidR="00EB3612" w:rsidRPr="00884D1A" w:rsidRDefault="00EB3612" w:rsidP="00C55F21">
      <w:pPr>
        <w:pStyle w:val="Heading1"/>
        <w:keepNext w:val="0"/>
        <w:keepLines w:val="0"/>
      </w:pPr>
      <w:r w:rsidRPr="00884D1A">
        <w:t>7</w:t>
      </w:r>
      <w:r w:rsidRPr="00884D1A">
        <w:tab/>
      </w:r>
      <w:r w:rsidR="00D2332D" w:rsidRPr="00884D1A">
        <w:rPr>
          <w:rFonts w:cstheme="minorHAnsi"/>
          <w:spacing w:val="-2"/>
          <w:szCs w:val="24"/>
        </w:rPr>
        <w:t>Vingt-quatrième série de textes soumis par la Commission de rédaction en première lecture</w:t>
      </w:r>
      <w:r w:rsidRPr="00884D1A">
        <w:t xml:space="preserve"> (B24) (Document </w:t>
      </w:r>
      <w:hyperlink r:id="rId23" w:history="1">
        <w:r w:rsidRPr="00884D1A">
          <w:rPr>
            <w:rStyle w:val="Hyperlink"/>
            <w:bCs/>
          </w:rPr>
          <w:t>194</w:t>
        </w:r>
      </w:hyperlink>
      <w:r w:rsidRPr="00884D1A">
        <w:t>)</w:t>
      </w:r>
    </w:p>
    <w:p w14:paraId="76ABF824" w14:textId="018906A8" w:rsidR="00EB3612" w:rsidRPr="00884D1A" w:rsidRDefault="00D2332D" w:rsidP="00C55F21">
      <w:pPr>
        <w:pStyle w:val="Headingb"/>
        <w:keepNext w:val="0"/>
        <w:keepLines w:val="0"/>
        <w:tabs>
          <w:tab w:val="clear" w:pos="567"/>
        </w:tabs>
        <w:ind w:left="0" w:firstLine="0"/>
      </w:pPr>
      <w:r w:rsidRPr="00884D1A">
        <w:t>Projet de Résolution</w:t>
      </w:r>
      <w:r w:rsidR="00074D94" w:rsidRPr="00884D1A">
        <w:t xml:space="preserve"> 102 (</w:t>
      </w:r>
      <w:proofErr w:type="spellStart"/>
      <w:r w:rsidR="00074D94" w:rsidRPr="00884D1A">
        <w:t>Rév</w:t>
      </w:r>
      <w:proofErr w:type="spellEnd"/>
      <w:r w:rsidR="00074D94" w:rsidRPr="00884D1A">
        <w:t>. Buc</w:t>
      </w:r>
      <w:r w:rsidR="00EB3612" w:rsidRPr="00884D1A">
        <w:t xml:space="preserve">arest, 2022) – </w:t>
      </w:r>
      <w:bookmarkStart w:id="11" w:name="_Toc407016217"/>
      <w:bookmarkStart w:id="12" w:name="_Toc536017952"/>
      <w:r w:rsidR="003B7A3C" w:rsidRPr="00884D1A">
        <w:t>Rôle de l</w:t>
      </w:r>
      <w:r w:rsidR="00C55F21" w:rsidRPr="00884D1A">
        <w:t>'</w:t>
      </w:r>
      <w:r w:rsidR="003B7A3C" w:rsidRPr="00884D1A">
        <w:t>UIT concernant les questions de politiques publiques internationales ayant trait à l</w:t>
      </w:r>
      <w:r w:rsidR="00C55F21" w:rsidRPr="00884D1A">
        <w:t>'</w:t>
      </w:r>
      <w:r w:rsidR="003B7A3C" w:rsidRPr="00884D1A">
        <w:t>Internet et à la gestion des ressources de l</w:t>
      </w:r>
      <w:r w:rsidR="00C55F21" w:rsidRPr="00884D1A">
        <w:t>'</w:t>
      </w:r>
      <w:r w:rsidR="003B7A3C" w:rsidRPr="00884D1A">
        <w:t>Internet, y compris les noms de domaine et les adresses</w:t>
      </w:r>
      <w:bookmarkEnd w:id="11"/>
      <w:bookmarkEnd w:id="12"/>
    </w:p>
    <w:p w14:paraId="3E5B6335" w14:textId="4B21F1C8" w:rsidR="00EB3612" w:rsidRPr="00884D1A" w:rsidRDefault="00074D94" w:rsidP="00C55F21">
      <w:pPr>
        <w:pStyle w:val="Headingb"/>
        <w:keepNext w:val="0"/>
        <w:keepLines w:val="0"/>
        <w:tabs>
          <w:tab w:val="clear" w:pos="567"/>
        </w:tabs>
        <w:ind w:left="0" w:firstLine="0"/>
      </w:pPr>
      <w:r w:rsidRPr="00884D1A">
        <w:lastRenderedPageBreak/>
        <w:t>Projet de Résolution</w:t>
      </w:r>
      <w:r w:rsidR="00EB3612" w:rsidRPr="00884D1A">
        <w:t xml:space="preserve"> 205 (</w:t>
      </w:r>
      <w:proofErr w:type="spellStart"/>
      <w:r w:rsidR="000E2E48" w:rsidRPr="00884D1A">
        <w:t>Rév</w:t>
      </w:r>
      <w:proofErr w:type="spellEnd"/>
      <w:r w:rsidR="000E2E48" w:rsidRPr="00884D1A">
        <w:t>. Bucarest, 2022</w:t>
      </w:r>
      <w:r w:rsidR="00EB3612" w:rsidRPr="00884D1A">
        <w:t xml:space="preserve">) – </w:t>
      </w:r>
      <w:r w:rsidR="003B7A3C" w:rsidRPr="00884D1A">
        <w:t>Rôle de l</w:t>
      </w:r>
      <w:r w:rsidR="00C55F21" w:rsidRPr="00884D1A">
        <w:t>'</w:t>
      </w:r>
      <w:r w:rsidR="003B7A3C" w:rsidRPr="00884D1A">
        <w:t>UIT dans la promotion d</w:t>
      </w:r>
      <w:r w:rsidR="00C55F21" w:rsidRPr="00884D1A">
        <w:t>'</w:t>
      </w:r>
      <w:r w:rsidR="003B7A3C" w:rsidRPr="00884D1A">
        <w:t>une innovation centrée sur les télécommunications/technologies de l</w:t>
      </w:r>
      <w:r w:rsidR="00C55F21" w:rsidRPr="00884D1A">
        <w:t>'</w:t>
      </w:r>
      <w:r w:rsidR="003B7A3C" w:rsidRPr="00884D1A">
        <w:t>information et de la communication pour appuyer l</w:t>
      </w:r>
      <w:r w:rsidR="00C55F21" w:rsidRPr="00884D1A">
        <w:t>'</w:t>
      </w:r>
      <w:r w:rsidR="003B7A3C" w:rsidRPr="00884D1A">
        <w:t>économie et la société numériques</w:t>
      </w:r>
    </w:p>
    <w:p w14:paraId="52F9B1E8" w14:textId="26A9368F" w:rsidR="00EB3612" w:rsidRPr="00884D1A" w:rsidRDefault="00EB3612" w:rsidP="00105640">
      <w:r w:rsidRPr="00884D1A">
        <w:rPr>
          <w:bCs/>
        </w:rPr>
        <w:t>7.1</w:t>
      </w:r>
      <w:r w:rsidRPr="00884D1A">
        <w:rPr>
          <w:bCs/>
        </w:rPr>
        <w:tab/>
      </w:r>
      <w:r w:rsidR="003B7A3C" w:rsidRPr="00884D1A">
        <w:rPr>
          <w:b/>
          <w:bCs/>
        </w:rPr>
        <w:t>Adoptés</w:t>
      </w:r>
      <w:r w:rsidRPr="00884D1A">
        <w:t>.</w:t>
      </w:r>
    </w:p>
    <w:p w14:paraId="313EB75D" w14:textId="46A8EC5B" w:rsidR="00CD163F" w:rsidRPr="00884D1A" w:rsidRDefault="00EB3612" w:rsidP="00105640">
      <w:pPr>
        <w:rPr>
          <w:bCs/>
        </w:rPr>
      </w:pPr>
      <w:r w:rsidRPr="00884D1A">
        <w:t>7.2</w:t>
      </w:r>
      <w:r w:rsidRPr="00884D1A">
        <w:tab/>
      </w:r>
      <w:r w:rsidR="00CD163F" w:rsidRPr="00884D1A">
        <w:rPr>
          <w:rFonts w:cstheme="minorHAnsi"/>
          <w:szCs w:val="24"/>
        </w:rPr>
        <w:t xml:space="preserve">La vingt-quatrième série de textes soumis par la Commission de rédaction en première lecture </w:t>
      </w:r>
      <w:r w:rsidR="00CD163F" w:rsidRPr="00884D1A">
        <w:t xml:space="preserve">(B24) (Document 194) est </w:t>
      </w:r>
      <w:r w:rsidR="00CD163F" w:rsidRPr="00884D1A">
        <w:rPr>
          <w:b/>
        </w:rPr>
        <w:t>approuvée</w:t>
      </w:r>
      <w:r w:rsidR="00CD163F" w:rsidRPr="00884D1A">
        <w:rPr>
          <w:bCs/>
        </w:rPr>
        <w:t>.</w:t>
      </w:r>
    </w:p>
    <w:p w14:paraId="1CB85156" w14:textId="4DE2D974" w:rsidR="00EB3612" w:rsidRPr="00884D1A" w:rsidRDefault="00EB3612" w:rsidP="00105640">
      <w:pPr>
        <w:pStyle w:val="Heading1"/>
      </w:pPr>
      <w:r w:rsidRPr="00884D1A">
        <w:t>8</w:t>
      </w:r>
      <w:r w:rsidRPr="00884D1A">
        <w:tab/>
      </w:r>
      <w:r w:rsidR="004733B4" w:rsidRPr="00884D1A">
        <w:t>Vingt-quatrième série de textes soumis par la Commission de rédaction – seconde lecture</w:t>
      </w:r>
      <w:r w:rsidRPr="00884D1A">
        <w:t xml:space="preserve"> (Document </w:t>
      </w:r>
      <w:hyperlink r:id="rId24" w:history="1">
        <w:r w:rsidRPr="00884D1A">
          <w:rPr>
            <w:rStyle w:val="Hyperlink"/>
            <w:bCs/>
          </w:rPr>
          <w:t>194</w:t>
        </w:r>
      </w:hyperlink>
      <w:r w:rsidRPr="00884D1A">
        <w:t>)</w:t>
      </w:r>
    </w:p>
    <w:p w14:paraId="4F0AAB11" w14:textId="77A68D88" w:rsidR="004733B4" w:rsidRPr="00884D1A" w:rsidRDefault="00EB3612" w:rsidP="00105640">
      <w:pPr>
        <w:rPr>
          <w:bCs/>
        </w:rPr>
      </w:pPr>
      <w:r w:rsidRPr="00884D1A">
        <w:t>8.1</w:t>
      </w:r>
      <w:r w:rsidRPr="00884D1A">
        <w:tab/>
      </w:r>
      <w:r w:rsidR="00031F43" w:rsidRPr="00884D1A">
        <w:rPr>
          <w:rFonts w:cstheme="minorHAnsi"/>
          <w:szCs w:val="24"/>
        </w:rPr>
        <w:t xml:space="preserve">La vingt-quatrième série de textes soumis par la Commission de rédaction </w:t>
      </w:r>
      <w:r w:rsidR="00031F43" w:rsidRPr="00884D1A">
        <w:t xml:space="preserve">(Document 194) est </w:t>
      </w:r>
      <w:r w:rsidR="00411758" w:rsidRPr="00884D1A">
        <w:rPr>
          <w:b/>
        </w:rPr>
        <w:t>approuvée</w:t>
      </w:r>
      <w:r w:rsidR="00031F43" w:rsidRPr="00884D1A">
        <w:rPr>
          <w:bCs/>
        </w:rPr>
        <w:t xml:space="preserve"> </w:t>
      </w:r>
      <w:r w:rsidR="00411758" w:rsidRPr="00884D1A">
        <w:rPr>
          <w:bCs/>
        </w:rPr>
        <w:t>en seconde lecture</w:t>
      </w:r>
      <w:r w:rsidR="00031F43" w:rsidRPr="00884D1A">
        <w:rPr>
          <w:bCs/>
        </w:rPr>
        <w:t>.</w:t>
      </w:r>
    </w:p>
    <w:p w14:paraId="529DB496" w14:textId="131C6925" w:rsidR="00EB3612" w:rsidRPr="00884D1A" w:rsidRDefault="00EB3612" w:rsidP="00105640">
      <w:pPr>
        <w:pStyle w:val="Heading1"/>
      </w:pPr>
      <w:r w:rsidRPr="00884D1A">
        <w:t>9</w:t>
      </w:r>
      <w:r w:rsidRPr="00884D1A">
        <w:tab/>
      </w:r>
      <w:r w:rsidR="00FD79E5" w:rsidRPr="00884D1A">
        <w:rPr>
          <w:rFonts w:cstheme="minorHAnsi"/>
          <w:spacing w:val="-2"/>
          <w:szCs w:val="24"/>
        </w:rPr>
        <w:t>Vingt-sixième série de textes soumis par la Commission de rédaction en première lecture</w:t>
      </w:r>
      <w:r w:rsidR="00FD79E5" w:rsidRPr="00884D1A">
        <w:t xml:space="preserve"> </w:t>
      </w:r>
      <w:r w:rsidRPr="00884D1A">
        <w:t xml:space="preserve">(B26) (Document </w:t>
      </w:r>
      <w:hyperlink r:id="rId25" w:history="1">
        <w:r w:rsidRPr="00884D1A">
          <w:rPr>
            <w:rStyle w:val="Hyperlink"/>
            <w:bCs/>
          </w:rPr>
          <w:t>196</w:t>
        </w:r>
      </w:hyperlink>
      <w:r w:rsidRPr="00884D1A">
        <w:t>)</w:t>
      </w:r>
    </w:p>
    <w:p w14:paraId="0725D170" w14:textId="30BDD930" w:rsidR="00EB3612" w:rsidRPr="00884D1A" w:rsidRDefault="00CB24C2" w:rsidP="00105640">
      <w:pPr>
        <w:pStyle w:val="Headingb"/>
      </w:pPr>
      <w:r w:rsidRPr="00884D1A">
        <w:t>Résolution</w:t>
      </w:r>
      <w:r w:rsidR="00507C6E" w:rsidRPr="00884D1A">
        <w:t xml:space="preserve"> 71 (</w:t>
      </w:r>
      <w:proofErr w:type="spellStart"/>
      <w:r w:rsidR="00507C6E" w:rsidRPr="00884D1A">
        <w:t>Rév</w:t>
      </w:r>
      <w:proofErr w:type="spellEnd"/>
      <w:r w:rsidR="00507C6E" w:rsidRPr="00884D1A">
        <w:t>. Buc</w:t>
      </w:r>
      <w:r w:rsidR="00EB3612" w:rsidRPr="00884D1A">
        <w:t xml:space="preserve">arest, 2022) – </w:t>
      </w:r>
      <w:r w:rsidR="00507C6E" w:rsidRPr="00884D1A">
        <w:t>Plan stratégique de l</w:t>
      </w:r>
      <w:r w:rsidR="00C55F21" w:rsidRPr="00884D1A">
        <w:t>'</w:t>
      </w:r>
      <w:r w:rsidR="00507C6E" w:rsidRPr="00884D1A">
        <w:t>Union pour la période 2024-2027</w:t>
      </w:r>
    </w:p>
    <w:p w14:paraId="50E05B3A" w14:textId="3FEB01DA" w:rsidR="00EB3612" w:rsidRPr="00884D1A" w:rsidRDefault="00EB3612" w:rsidP="00105640">
      <w:r w:rsidRPr="00884D1A">
        <w:rPr>
          <w:bCs/>
        </w:rPr>
        <w:t>9.1</w:t>
      </w:r>
      <w:r w:rsidRPr="00884D1A">
        <w:rPr>
          <w:bCs/>
        </w:rPr>
        <w:tab/>
      </w:r>
      <w:r w:rsidR="00507C6E" w:rsidRPr="00884D1A">
        <w:rPr>
          <w:b/>
          <w:bCs/>
        </w:rPr>
        <w:t>Adoptée</w:t>
      </w:r>
      <w:r w:rsidRPr="00884D1A">
        <w:t>.</w:t>
      </w:r>
    </w:p>
    <w:p w14:paraId="3882BC0E" w14:textId="579E46F5" w:rsidR="00F552D9" w:rsidRPr="00884D1A" w:rsidRDefault="00EB3612" w:rsidP="00105640">
      <w:pPr>
        <w:rPr>
          <w:bCs/>
        </w:rPr>
      </w:pPr>
      <w:r w:rsidRPr="00884D1A">
        <w:t>9.2</w:t>
      </w:r>
      <w:r w:rsidRPr="00884D1A">
        <w:tab/>
      </w:r>
      <w:r w:rsidR="00F552D9" w:rsidRPr="00884D1A">
        <w:rPr>
          <w:rFonts w:cstheme="minorHAnsi"/>
          <w:szCs w:val="24"/>
        </w:rPr>
        <w:t>La vingt-sixième série de textes soumis par la Commission de rédaction en première lecture</w:t>
      </w:r>
      <w:r w:rsidR="00C55F21" w:rsidRPr="00884D1A">
        <w:t> </w:t>
      </w:r>
      <w:r w:rsidRPr="00884D1A">
        <w:t xml:space="preserve">(B26) (Document 196) </w:t>
      </w:r>
      <w:r w:rsidR="00F552D9" w:rsidRPr="00884D1A">
        <w:t>est</w:t>
      </w:r>
      <w:r w:rsidRPr="00884D1A">
        <w:t xml:space="preserve"> </w:t>
      </w:r>
      <w:r w:rsidR="00F552D9" w:rsidRPr="00884D1A">
        <w:rPr>
          <w:b/>
        </w:rPr>
        <w:t>approuvée</w:t>
      </w:r>
      <w:r w:rsidRPr="00884D1A">
        <w:rPr>
          <w:bCs/>
        </w:rPr>
        <w:t>.</w:t>
      </w:r>
    </w:p>
    <w:p w14:paraId="2CD83130" w14:textId="324C3D41" w:rsidR="00EB3612" w:rsidRPr="00884D1A" w:rsidRDefault="00EB3612" w:rsidP="00105640">
      <w:pPr>
        <w:pStyle w:val="Heading1"/>
      </w:pPr>
      <w:r w:rsidRPr="00884D1A">
        <w:t>10</w:t>
      </w:r>
      <w:r w:rsidRPr="00884D1A">
        <w:tab/>
      </w:r>
      <w:r w:rsidR="008E64D6" w:rsidRPr="00884D1A">
        <w:rPr>
          <w:rFonts w:cstheme="minorHAnsi"/>
          <w:spacing w:val="-2"/>
          <w:szCs w:val="24"/>
        </w:rPr>
        <w:t>Vingt-sixième série de textes soumis par la Commission de rédaction – seconde lecture</w:t>
      </w:r>
      <w:r w:rsidRPr="00884D1A">
        <w:t xml:space="preserve"> (Document </w:t>
      </w:r>
      <w:hyperlink r:id="rId26" w:history="1">
        <w:r w:rsidRPr="00884D1A">
          <w:rPr>
            <w:rStyle w:val="Hyperlink"/>
            <w:bCs/>
          </w:rPr>
          <w:t>196</w:t>
        </w:r>
      </w:hyperlink>
      <w:r w:rsidRPr="00884D1A">
        <w:t>)</w:t>
      </w:r>
    </w:p>
    <w:p w14:paraId="7CE3D3B4" w14:textId="4DB1DD21" w:rsidR="00EB3612" w:rsidRPr="00884D1A" w:rsidRDefault="00EB3612" w:rsidP="00105640">
      <w:pPr>
        <w:rPr>
          <w:bCs/>
        </w:rPr>
      </w:pPr>
      <w:r w:rsidRPr="00884D1A">
        <w:t>10.1</w:t>
      </w:r>
      <w:r w:rsidRPr="00884D1A">
        <w:tab/>
      </w:r>
      <w:r w:rsidR="008E64D6" w:rsidRPr="00884D1A">
        <w:rPr>
          <w:rFonts w:cstheme="minorHAnsi"/>
          <w:szCs w:val="24"/>
        </w:rPr>
        <w:t xml:space="preserve">La vingt-sixième série de textes soumis par la Commission de rédaction </w:t>
      </w:r>
      <w:r w:rsidR="008F3486" w:rsidRPr="00884D1A">
        <w:t>(Document 196</w:t>
      </w:r>
      <w:r w:rsidR="008E64D6" w:rsidRPr="00884D1A">
        <w:t xml:space="preserve">) est </w:t>
      </w:r>
      <w:r w:rsidR="008E64D6" w:rsidRPr="00884D1A">
        <w:rPr>
          <w:b/>
        </w:rPr>
        <w:t>approuvée</w:t>
      </w:r>
      <w:r w:rsidR="008E64D6" w:rsidRPr="00884D1A">
        <w:rPr>
          <w:bCs/>
        </w:rPr>
        <w:t xml:space="preserve"> en seconde lecture</w:t>
      </w:r>
      <w:r w:rsidRPr="00884D1A">
        <w:rPr>
          <w:bCs/>
        </w:rPr>
        <w:t>.</w:t>
      </w:r>
    </w:p>
    <w:p w14:paraId="4B3D955A" w14:textId="4777C00B" w:rsidR="00EB3612" w:rsidRPr="00884D1A" w:rsidRDefault="00EB3612" w:rsidP="00105640">
      <w:pPr>
        <w:pStyle w:val="Heading1"/>
      </w:pPr>
      <w:r w:rsidRPr="00884D1A">
        <w:t>11</w:t>
      </w:r>
      <w:r w:rsidRPr="00884D1A">
        <w:tab/>
      </w:r>
      <w:r w:rsidR="00D26CD3" w:rsidRPr="00884D1A">
        <w:rPr>
          <w:rFonts w:cstheme="minorHAnsi"/>
          <w:spacing w:val="-2"/>
          <w:szCs w:val="24"/>
        </w:rPr>
        <w:t>Quinzième série de textes soumis par la Commission de rédaction en première lecture</w:t>
      </w:r>
      <w:r w:rsidR="00D26CD3" w:rsidRPr="00884D1A">
        <w:rPr>
          <w:rFonts w:cstheme="minorHAnsi"/>
          <w:bCs/>
          <w:szCs w:val="24"/>
        </w:rPr>
        <w:t xml:space="preserve"> </w:t>
      </w:r>
      <w:r w:rsidRPr="00884D1A">
        <w:t xml:space="preserve">(B15) (Document </w:t>
      </w:r>
      <w:hyperlink r:id="rId27" w:history="1">
        <w:r w:rsidRPr="00884D1A">
          <w:rPr>
            <w:rStyle w:val="Hyperlink"/>
            <w:bCs/>
          </w:rPr>
          <w:t>166</w:t>
        </w:r>
      </w:hyperlink>
      <w:r w:rsidRPr="00884D1A">
        <w:t>)</w:t>
      </w:r>
    </w:p>
    <w:p w14:paraId="14978C5E" w14:textId="6AA2026F" w:rsidR="00EB3612" w:rsidRPr="00884D1A" w:rsidRDefault="00D26CD3" w:rsidP="00105640">
      <w:pPr>
        <w:pStyle w:val="Headingb"/>
        <w:tabs>
          <w:tab w:val="clear" w:pos="567"/>
        </w:tabs>
        <w:ind w:left="0" w:firstLine="0"/>
      </w:pPr>
      <w:r w:rsidRPr="00884D1A">
        <w:t>Projet de Résolution</w:t>
      </w:r>
      <w:r w:rsidR="00630BA8" w:rsidRPr="00884D1A">
        <w:t xml:space="preserve"> 137 (</w:t>
      </w:r>
      <w:proofErr w:type="spellStart"/>
      <w:r w:rsidR="00630BA8" w:rsidRPr="00884D1A">
        <w:t>Rév</w:t>
      </w:r>
      <w:proofErr w:type="spellEnd"/>
      <w:r w:rsidR="00630BA8" w:rsidRPr="00884D1A">
        <w:t>. Buc</w:t>
      </w:r>
      <w:r w:rsidR="00EB3612" w:rsidRPr="00884D1A">
        <w:t xml:space="preserve">arest, 2022) – </w:t>
      </w:r>
      <w:r w:rsidR="00A545A4" w:rsidRPr="00884D1A">
        <w:t>Déploiement de réseaux futurs dans les pays en développement</w:t>
      </w:r>
    </w:p>
    <w:p w14:paraId="14F0B07E" w14:textId="068EA67D" w:rsidR="00EB3612" w:rsidRPr="00884D1A" w:rsidRDefault="00A545A4" w:rsidP="00105640">
      <w:pPr>
        <w:pStyle w:val="Headingb"/>
      </w:pPr>
      <w:r w:rsidRPr="00884D1A">
        <w:t>Projet de Résolution</w:t>
      </w:r>
      <w:r w:rsidR="00EB3612" w:rsidRPr="00884D1A">
        <w:t xml:space="preserve"> 203 (</w:t>
      </w:r>
      <w:proofErr w:type="spellStart"/>
      <w:r w:rsidR="00880A23" w:rsidRPr="00884D1A">
        <w:t>Rév</w:t>
      </w:r>
      <w:proofErr w:type="spellEnd"/>
      <w:r w:rsidR="00880A23" w:rsidRPr="00884D1A">
        <w:t>. Bucarest, 2022</w:t>
      </w:r>
      <w:r w:rsidR="00EB3612" w:rsidRPr="00884D1A">
        <w:t xml:space="preserve">) – </w:t>
      </w:r>
      <w:bookmarkStart w:id="13" w:name="_Toc407016319"/>
      <w:r w:rsidR="00880A23" w:rsidRPr="00884D1A">
        <w:t>Connectivité aux réseaux large bande</w:t>
      </w:r>
      <w:bookmarkEnd w:id="13"/>
    </w:p>
    <w:p w14:paraId="70AF8A0B" w14:textId="3B907C54" w:rsidR="00EB3612" w:rsidRPr="00884D1A" w:rsidRDefault="00EB3612" w:rsidP="00105640">
      <w:pPr>
        <w:rPr>
          <w:b/>
          <w:bCs/>
        </w:rPr>
      </w:pPr>
      <w:r w:rsidRPr="00884D1A">
        <w:rPr>
          <w:bCs/>
        </w:rPr>
        <w:t>11.1</w:t>
      </w:r>
      <w:r w:rsidRPr="00884D1A">
        <w:rPr>
          <w:bCs/>
        </w:rPr>
        <w:tab/>
      </w:r>
      <w:r w:rsidR="004627F5" w:rsidRPr="00884D1A">
        <w:rPr>
          <w:b/>
          <w:bCs/>
        </w:rPr>
        <w:t>Adoptés</w:t>
      </w:r>
      <w:r w:rsidRPr="00884D1A">
        <w:t>.</w:t>
      </w:r>
    </w:p>
    <w:p w14:paraId="29014A30" w14:textId="24E4C190" w:rsidR="008358D8" w:rsidRPr="00884D1A" w:rsidRDefault="00EB3612" w:rsidP="00105640">
      <w:r w:rsidRPr="00884D1A">
        <w:t>11.2</w:t>
      </w:r>
      <w:r w:rsidRPr="00884D1A">
        <w:tab/>
      </w:r>
      <w:r w:rsidR="008358D8" w:rsidRPr="00884D1A">
        <w:rPr>
          <w:rFonts w:cstheme="minorHAnsi"/>
          <w:szCs w:val="24"/>
        </w:rPr>
        <w:t>La quinzième série de textes soumis par la Commission de rédaction en première lecture</w:t>
      </w:r>
      <w:r w:rsidR="00C55F21" w:rsidRPr="00884D1A">
        <w:t> </w:t>
      </w:r>
      <w:r w:rsidR="008358D8" w:rsidRPr="00884D1A">
        <w:t xml:space="preserve">(B15) (Document 166) est </w:t>
      </w:r>
      <w:r w:rsidR="008358D8" w:rsidRPr="00884D1A">
        <w:rPr>
          <w:b/>
        </w:rPr>
        <w:t>approuvée</w:t>
      </w:r>
      <w:r w:rsidR="008358D8" w:rsidRPr="00884D1A">
        <w:t>.</w:t>
      </w:r>
    </w:p>
    <w:p w14:paraId="215EE547" w14:textId="5E5B248A" w:rsidR="00EB3612" w:rsidRPr="00884D1A" w:rsidRDefault="00EB3612" w:rsidP="00105640">
      <w:pPr>
        <w:pStyle w:val="Heading1"/>
      </w:pPr>
      <w:r w:rsidRPr="00884D1A">
        <w:t>12</w:t>
      </w:r>
      <w:r w:rsidRPr="00884D1A">
        <w:tab/>
      </w:r>
      <w:r w:rsidR="00D67793" w:rsidRPr="00884D1A">
        <w:rPr>
          <w:rFonts w:cstheme="minorHAnsi"/>
          <w:spacing w:val="-2"/>
          <w:szCs w:val="24"/>
        </w:rPr>
        <w:t>Quinzième série de textes soumis par la Commission de rédaction – seconde lecture</w:t>
      </w:r>
      <w:r w:rsidRPr="00884D1A">
        <w:t xml:space="preserve"> (Document </w:t>
      </w:r>
      <w:hyperlink r:id="rId28" w:history="1">
        <w:r w:rsidRPr="00884D1A">
          <w:rPr>
            <w:rStyle w:val="Hyperlink"/>
            <w:bCs/>
          </w:rPr>
          <w:t>166</w:t>
        </w:r>
      </w:hyperlink>
      <w:r w:rsidRPr="00884D1A">
        <w:t>)</w:t>
      </w:r>
    </w:p>
    <w:p w14:paraId="6D8835C2" w14:textId="3BEA205D" w:rsidR="00D67793" w:rsidRPr="00884D1A" w:rsidRDefault="00EB3612" w:rsidP="00105640">
      <w:pPr>
        <w:rPr>
          <w:bCs/>
        </w:rPr>
      </w:pPr>
      <w:r w:rsidRPr="00884D1A">
        <w:t>12.1</w:t>
      </w:r>
      <w:r w:rsidRPr="00884D1A">
        <w:tab/>
      </w:r>
      <w:r w:rsidR="00DA3DF4" w:rsidRPr="00884D1A">
        <w:rPr>
          <w:rFonts w:cstheme="minorHAnsi"/>
          <w:szCs w:val="24"/>
        </w:rPr>
        <w:t xml:space="preserve">La quinzième série de textes soumis par la Commission de rédaction </w:t>
      </w:r>
      <w:r w:rsidR="00DA3DF4" w:rsidRPr="00884D1A">
        <w:t>(Document </w:t>
      </w:r>
      <w:r w:rsidR="00B42CE4" w:rsidRPr="00884D1A">
        <w:t>166</w:t>
      </w:r>
      <w:r w:rsidR="00DA3DF4" w:rsidRPr="00884D1A">
        <w:t xml:space="preserve">) est </w:t>
      </w:r>
      <w:r w:rsidR="00DA3DF4" w:rsidRPr="00884D1A">
        <w:rPr>
          <w:b/>
        </w:rPr>
        <w:t>approuvée</w:t>
      </w:r>
      <w:r w:rsidR="00DA3DF4" w:rsidRPr="00884D1A">
        <w:rPr>
          <w:bCs/>
        </w:rPr>
        <w:t xml:space="preserve"> en seconde lecture.</w:t>
      </w:r>
    </w:p>
    <w:p w14:paraId="0AFF8359" w14:textId="2EE66CB5" w:rsidR="00EB3612" w:rsidRPr="00884D1A" w:rsidRDefault="00EB3612" w:rsidP="00105640">
      <w:pPr>
        <w:pStyle w:val="Heading1"/>
      </w:pPr>
      <w:r w:rsidRPr="00884D1A">
        <w:lastRenderedPageBreak/>
        <w:t>13</w:t>
      </w:r>
      <w:r w:rsidRPr="00884D1A">
        <w:tab/>
      </w:r>
      <w:r w:rsidR="008F2C04" w:rsidRPr="00884D1A">
        <w:rPr>
          <w:rFonts w:cstheme="minorHAnsi"/>
          <w:spacing w:val="-2"/>
          <w:szCs w:val="24"/>
        </w:rPr>
        <w:t>Vingt-huitième série de textes soumis par la Commission de rédaction en première lecture</w:t>
      </w:r>
      <w:r w:rsidRPr="00884D1A">
        <w:t xml:space="preserve"> (B28) (Document </w:t>
      </w:r>
      <w:hyperlink r:id="rId29" w:history="1">
        <w:r w:rsidRPr="00884D1A">
          <w:rPr>
            <w:rStyle w:val="Hyperlink"/>
            <w:bCs/>
          </w:rPr>
          <w:t>198</w:t>
        </w:r>
      </w:hyperlink>
      <w:r w:rsidRPr="00884D1A">
        <w:t>)</w:t>
      </w:r>
    </w:p>
    <w:p w14:paraId="075EABAD" w14:textId="58D6531B" w:rsidR="00EB3612" w:rsidRPr="00884D1A" w:rsidRDefault="008F2C04" w:rsidP="00105640">
      <w:pPr>
        <w:pStyle w:val="Headingb"/>
        <w:tabs>
          <w:tab w:val="clear" w:pos="567"/>
        </w:tabs>
        <w:ind w:left="0" w:firstLine="0"/>
      </w:pPr>
      <w:r w:rsidRPr="00884D1A">
        <w:t>Projet de Résolution</w:t>
      </w:r>
      <w:r w:rsidR="00EB3612" w:rsidRPr="00884D1A">
        <w:t xml:space="preserve"> 167 (</w:t>
      </w:r>
      <w:proofErr w:type="spellStart"/>
      <w:r w:rsidR="009C4B2E" w:rsidRPr="00884D1A">
        <w:t>Rév</w:t>
      </w:r>
      <w:proofErr w:type="spellEnd"/>
      <w:r w:rsidR="009C4B2E" w:rsidRPr="00884D1A">
        <w:t>. Bucarest, 2022</w:t>
      </w:r>
      <w:r w:rsidR="00EB3612" w:rsidRPr="00884D1A">
        <w:t xml:space="preserve">) – </w:t>
      </w:r>
      <w:bookmarkStart w:id="14" w:name="_Toc407016263"/>
      <w:bookmarkStart w:id="15" w:name="_Toc536017988"/>
      <w:r w:rsidR="00F20CD2" w:rsidRPr="00884D1A">
        <w:t>Renforcement et développement des capacités de l</w:t>
      </w:r>
      <w:r w:rsidR="00C55F21" w:rsidRPr="00884D1A">
        <w:t>'</w:t>
      </w:r>
      <w:r w:rsidR="00F20CD2" w:rsidRPr="00884D1A">
        <w:t>UIT pour les réunions entièrement virtuelles et les réunions physiques avec participation à distance, et des moyens électroniques permettant de faire avancer les travaux de l</w:t>
      </w:r>
      <w:r w:rsidR="00C55F21" w:rsidRPr="00884D1A">
        <w:t>'</w:t>
      </w:r>
      <w:r w:rsidR="00F20CD2" w:rsidRPr="00884D1A">
        <w:t>Union</w:t>
      </w:r>
      <w:bookmarkEnd w:id="14"/>
      <w:bookmarkEnd w:id="15"/>
    </w:p>
    <w:p w14:paraId="55ECC41E" w14:textId="280EAA7C" w:rsidR="00EB3612" w:rsidRPr="00884D1A" w:rsidRDefault="00EB3612" w:rsidP="00105640">
      <w:r w:rsidRPr="00884D1A">
        <w:rPr>
          <w:bCs/>
        </w:rPr>
        <w:t>13.1</w:t>
      </w:r>
      <w:r w:rsidRPr="00884D1A">
        <w:rPr>
          <w:bCs/>
        </w:rPr>
        <w:tab/>
      </w:r>
      <w:r w:rsidR="00F20CD2" w:rsidRPr="00884D1A">
        <w:rPr>
          <w:b/>
          <w:bCs/>
        </w:rPr>
        <w:t>Adopté</w:t>
      </w:r>
      <w:r w:rsidRPr="00884D1A">
        <w:t>.</w:t>
      </w:r>
    </w:p>
    <w:p w14:paraId="600F3F71" w14:textId="2BD1641F" w:rsidR="00AA1DE5" w:rsidRPr="00884D1A" w:rsidRDefault="00EB3612" w:rsidP="00105640">
      <w:r w:rsidRPr="00884D1A">
        <w:t>13.2</w:t>
      </w:r>
      <w:r w:rsidRPr="00884D1A">
        <w:tab/>
      </w:r>
      <w:r w:rsidR="00AA1DE5" w:rsidRPr="00884D1A">
        <w:rPr>
          <w:rFonts w:cstheme="minorHAnsi"/>
          <w:szCs w:val="24"/>
        </w:rPr>
        <w:t>La vingt-huitième série de textes soumis par la Commission de rédaction en première lecture</w:t>
      </w:r>
      <w:r w:rsidR="00E22B91" w:rsidRPr="00884D1A">
        <w:t> </w:t>
      </w:r>
      <w:r w:rsidR="00AA1DE5" w:rsidRPr="00884D1A">
        <w:t xml:space="preserve">(B28) (Document 198) est </w:t>
      </w:r>
      <w:r w:rsidR="00AA1DE5" w:rsidRPr="00884D1A">
        <w:rPr>
          <w:b/>
        </w:rPr>
        <w:t>approuvée</w:t>
      </w:r>
      <w:r w:rsidR="00AA1DE5" w:rsidRPr="00884D1A">
        <w:t>.</w:t>
      </w:r>
    </w:p>
    <w:p w14:paraId="057E850C" w14:textId="4FBB98DA" w:rsidR="00EB3612" w:rsidRPr="00884D1A" w:rsidRDefault="00EB3612" w:rsidP="00105640">
      <w:pPr>
        <w:pStyle w:val="Heading1"/>
      </w:pPr>
      <w:r w:rsidRPr="00884D1A">
        <w:t>14</w:t>
      </w:r>
      <w:r w:rsidRPr="00884D1A">
        <w:tab/>
      </w:r>
      <w:r w:rsidR="00942A5E" w:rsidRPr="00884D1A">
        <w:rPr>
          <w:rFonts w:cstheme="minorHAnsi"/>
          <w:spacing w:val="-2"/>
          <w:szCs w:val="24"/>
        </w:rPr>
        <w:t>Vingt-huitième série de textes soumis par la Commission de rédaction – seconde lecture</w:t>
      </w:r>
      <w:r w:rsidRPr="00884D1A">
        <w:t xml:space="preserve"> (Document </w:t>
      </w:r>
      <w:hyperlink r:id="rId30" w:history="1">
        <w:r w:rsidRPr="00884D1A">
          <w:rPr>
            <w:rStyle w:val="Hyperlink"/>
            <w:bCs/>
          </w:rPr>
          <w:t>198</w:t>
        </w:r>
      </w:hyperlink>
      <w:r w:rsidRPr="00884D1A">
        <w:t>)</w:t>
      </w:r>
    </w:p>
    <w:p w14:paraId="52FA818A" w14:textId="5142816B" w:rsidR="003A7891" w:rsidRPr="00884D1A" w:rsidRDefault="00EB3612" w:rsidP="00105640">
      <w:pPr>
        <w:rPr>
          <w:bCs/>
        </w:rPr>
      </w:pPr>
      <w:r w:rsidRPr="00884D1A">
        <w:t>14.1</w:t>
      </w:r>
      <w:r w:rsidRPr="00884D1A">
        <w:tab/>
      </w:r>
      <w:r w:rsidR="003A7891" w:rsidRPr="00884D1A">
        <w:rPr>
          <w:rFonts w:cstheme="minorHAnsi"/>
          <w:szCs w:val="24"/>
        </w:rPr>
        <w:t xml:space="preserve">La vingt-huitième série de textes soumis par la Commission de rédaction </w:t>
      </w:r>
      <w:r w:rsidR="003A7891" w:rsidRPr="00884D1A">
        <w:t>(Document </w:t>
      </w:r>
      <w:r w:rsidR="00CC4F8E" w:rsidRPr="00884D1A">
        <w:t>198</w:t>
      </w:r>
      <w:r w:rsidR="003A7891" w:rsidRPr="00884D1A">
        <w:t xml:space="preserve">) est </w:t>
      </w:r>
      <w:r w:rsidR="003A7891" w:rsidRPr="00884D1A">
        <w:rPr>
          <w:b/>
        </w:rPr>
        <w:t>approuvée</w:t>
      </w:r>
      <w:r w:rsidR="003A7891" w:rsidRPr="00884D1A">
        <w:rPr>
          <w:bCs/>
        </w:rPr>
        <w:t xml:space="preserve"> en seconde lecture.</w:t>
      </w:r>
    </w:p>
    <w:p w14:paraId="0BAF9DF3" w14:textId="12762753" w:rsidR="00EB3612" w:rsidRPr="00884D1A" w:rsidRDefault="00EB3612" w:rsidP="00105640">
      <w:pPr>
        <w:pStyle w:val="Heading1"/>
      </w:pPr>
      <w:bookmarkStart w:id="16" w:name="_Hlk116656777"/>
      <w:r w:rsidRPr="00884D1A">
        <w:t>15</w:t>
      </w:r>
      <w:r w:rsidRPr="00884D1A">
        <w:tab/>
      </w:r>
      <w:r w:rsidR="00972F0C" w:rsidRPr="00884D1A">
        <w:rPr>
          <w:rFonts w:cstheme="minorHAnsi"/>
          <w:spacing w:val="-2"/>
          <w:szCs w:val="24"/>
        </w:rPr>
        <w:t>Vingt-septième série de textes soumis par la Commission de rédaction en première lecture</w:t>
      </w:r>
      <w:r w:rsidRPr="00884D1A">
        <w:t xml:space="preserve"> (B27) (Document </w:t>
      </w:r>
      <w:hyperlink r:id="rId31" w:history="1">
        <w:r w:rsidRPr="00884D1A">
          <w:rPr>
            <w:rStyle w:val="Hyperlink"/>
            <w:bCs/>
          </w:rPr>
          <w:t>197</w:t>
        </w:r>
      </w:hyperlink>
      <w:r w:rsidRPr="00884D1A">
        <w:t>)</w:t>
      </w:r>
    </w:p>
    <w:p w14:paraId="6B4B2CBF" w14:textId="15ABE018" w:rsidR="00EB3612" w:rsidRPr="00884D1A" w:rsidRDefault="00972F0C" w:rsidP="00105640">
      <w:pPr>
        <w:pStyle w:val="Headingb"/>
        <w:ind w:left="0" w:firstLine="0"/>
        <w:rPr>
          <w:bCs/>
        </w:rPr>
      </w:pPr>
      <w:r w:rsidRPr="00884D1A">
        <w:rPr>
          <w:bCs/>
        </w:rPr>
        <w:t>Projet de Résolution</w:t>
      </w:r>
      <w:r w:rsidR="00EB3612" w:rsidRPr="00884D1A">
        <w:rPr>
          <w:bCs/>
        </w:rPr>
        <w:t xml:space="preserve"> 130 (</w:t>
      </w:r>
      <w:proofErr w:type="spellStart"/>
      <w:r w:rsidR="007B579E" w:rsidRPr="00884D1A">
        <w:t>Rév</w:t>
      </w:r>
      <w:proofErr w:type="spellEnd"/>
      <w:r w:rsidR="007B579E" w:rsidRPr="00884D1A">
        <w:t>. Bucarest, 2022</w:t>
      </w:r>
      <w:r w:rsidR="00EB3612" w:rsidRPr="00884D1A">
        <w:rPr>
          <w:bCs/>
        </w:rPr>
        <w:t xml:space="preserve">) – </w:t>
      </w:r>
      <w:bookmarkStart w:id="17" w:name="_Toc165351506"/>
      <w:bookmarkStart w:id="18" w:name="_Toc407016225"/>
      <w:r w:rsidR="007B579E" w:rsidRPr="00884D1A">
        <w:t>Renforcement du rôle de l</w:t>
      </w:r>
      <w:r w:rsidR="00C55F21" w:rsidRPr="00884D1A">
        <w:t>'</w:t>
      </w:r>
      <w:r w:rsidR="007B579E" w:rsidRPr="00884D1A">
        <w:t>UIT dans l</w:t>
      </w:r>
      <w:r w:rsidR="00C55F21" w:rsidRPr="00884D1A">
        <w:t>'</w:t>
      </w:r>
      <w:r w:rsidR="007B579E" w:rsidRPr="00884D1A">
        <w:t>instauration de la confiance et de la sécurité dans l</w:t>
      </w:r>
      <w:r w:rsidR="00C55F21" w:rsidRPr="00884D1A">
        <w:t>'</w:t>
      </w:r>
      <w:r w:rsidR="007B579E" w:rsidRPr="00884D1A">
        <w:t>utilisation des technologies de l</w:t>
      </w:r>
      <w:r w:rsidR="00C55F21" w:rsidRPr="00884D1A">
        <w:t>'</w:t>
      </w:r>
      <w:r w:rsidR="007B579E" w:rsidRPr="00884D1A">
        <w:t>information et de la communication</w:t>
      </w:r>
      <w:bookmarkEnd w:id="17"/>
      <w:bookmarkEnd w:id="18"/>
    </w:p>
    <w:p w14:paraId="5EBA0571" w14:textId="63898C9C" w:rsidR="0045610D" w:rsidRPr="00884D1A" w:rsidRDefault="00EB3612" w:rsidP="00105640">
      <w:pPr>
        <w:rPr>
          <w:bCs/>
        </w:rPr>
      </w:pPr>
      <w:r w:rsidRPr="00884D1A">
        <w:rPr>
          <w:bCs/>
        </w:rPr>
        <w:t>15.1</w:t>
      </w:r>
      <w:r w:rsidRPr="00884D1A">
        <w:rPr>
          <w:bCs/>
        </w:rPr>
        <w:tab/>
      </w:r>
      <w:r w:rsidR="0045610D" w:rsidRPr="00884D1A">
        <w:rPr>
          <w:bCs/>
        </w:rPr>
        <w:t xml:space="preserve">Le </w:t>
      </w:r>
      <w:r w:rsidR="0045610D" w:rsidRPr="00884D1A">
        <w:rPr>
          <w:b/>
          <w:bCs/>
        </w:rPr>
        <w:t>Président de la Commission de rédaction</w:t>
      </w:r>
      <w:r w:rsidR="0045610D" w:rsidRPr="00884D1A">
        <w:rPr>
          <w:bCs/>
        </w:rPr>
        <w:t xml:space="preserve"> </w:t>
      </w:r>
      <w:r w:rsidR="00EA74B7" w:rsidRPr="00884D1A">
        <w:rPr>
          <w:bCs/>
        </w:rPr>
        <w:t>indique</w:t>
      </w:r>
      <w:r w:rsidR="0045610D" w:rsidRPr="00884D1A">
        <w:rPr>
          <w:bCs/>
        </w:rPr>
        <w:t xml:space="preserve"> que les crochets</w:t>
      </w:r>
      <w:r w:rsidR="007F2EFC" w:rsidRPr="00884D1A">
        <w:rPr>
          <w:bCs/>
        </w:rPr>
        <w:t xml:space="preserve"> qui figurent dans le point </w:t>
      </w:r>
      <w:r w:rsidR="007F2EFC" w:rsidRPr="00884D1A">
        <w:rPr>
          <w:bCs/>
          <w:i/>
        </w:rPr>
        <w:t>h)</w:t>
      </w:r>
      <w:r w:rsidR="007F2EFC" w:rsidRPr="00884D1A">
        <w:rPr>
          <w:bCs/>
        </w:rPr>
        <w:t xml:space="preserve"> du </w:t>
      </w:r>
      <w:r w:rsidR="007F2EFC" w:rsidRPr="00884D1A">
        <w:rPr>
          <w:bCs/>
          <w:i/>
        </w:rPr>
        <w:t>rappelant</w:t>
      </w:r>
      <w:r w:rsidR="007F2EFC" w:rsidRPr="00884D1A">
        <w:rPr>
          <w:bCs/>
        </w:rPr>
        <w:t xml:space="preserve"> ont été inclus par erreur dans la version anglaise, et qu</w:t>
      </w:r>
      <w:r w:rsidR="00C55F21" w:rsidRPr="00884D1A">
        <w:rPr>
          <w:bCs/>
        </w:rPr>
        <w:t>'</w:t>
      </w:r>
      <w:r w:rsidR="007F2EFC" w:rsidRPr="00884D1A">
        <w:rPr>
          <w:bCs/>
        </w:rPr>
        <w:t xml:space="preserve">ils seront </w:t>
      </w:r>
      <w:r w:rsidR="006A3A0E" w:rsidRPr="00884D1A">
        <w:rPr>
          <w:bCs/>
        </w:rPr>
        <w:t>retirés</w:t>
      </w:r>
      <w:r w:rsidR="007F2EFC" w:rsidRPr="00884D1A">
        <w:rPr>
          <w:bCs/>
        </w:rPr>
        <w:t>.</w:t>
      </w:r>
    </w:p>
    <w:p w14:paraId="34728ED0" w14:textId="7BF90622" w:rsidR="00EB3612" w:rsidRPr="00884D1A" w:rsidRDefault="00096A4B" w:rsidP="00105640">
      <w:pPr>
        <w:pStyle w:val="Headingb"/>
        <w:ind w:left="0" w:firstLine="0"/>
        <w:rPr>
          <w:bCs/>
        </w:rPr>
      </w:pPr>
      <w:r w:rsidRPr="00884D1A">
        <w:rPr>
          <w:bCs/>
        </w:rPr>
        <w:t>Projet de Résolution</w:t>
      </w:r>
      <w:r w:rsidR="00EB3612" w:rsidRPr="00884D1A">
        <w:rPr>
          <w:bCs/>
        </w:rPr>
        <w:t xml:space="preserve"> 131 (</w:t>
      </w:r>
      <w:proofErr w:type="spellStart"/>
      <w:r w:rsidR="009D3403" w:rsidRPr="00884D1A">
        <w:t>Rév</w:t>
      </w:r>
      <w:proofErr w:type="spellEnd"/>
      <w:r w:rsidR="009D3403" w:rsidRPr="00884D1A">
        <w:t>. Bucarest, 2022</w:t>
      </w:r>
      <w:r w:rsidR="00EB3612" w:rsidRPr="00884D1A">
        <w:rPr>
          <w:bCs/>
        </w:rPr>
        <w:t xml:space="preserve">) – </w:t>
      </w:r>
      <w:bookmarkStart w:id="19" w:name="_Toc407016227"/>
      <w:r w:rsidR="00230F73" w:rsidRPr="00884D1A">
        <w:t>Mesurer les technologies de l</w:t>
      </w:r>
      <w:r w:rsidR="00C55F21" w:rsidRPr="00884D1A">
        <w:t>'</w:t>
      </w:r>
      <w:r w:rsidR="00230F73" w:rsidRPr="00884D1A">
        <w:t>information et de la communication pour édifier une société de l</w:t>
      </w:r>
      <w:r w:rsidR="00C55F21" w:rsidRPr="00884D1A">
        <w:t>'</w:t>
      </w:r>
      <w:r w:rsidR="00230F73" w:rsidRPr="00884D1A">
        <w:t>information inclusive et qui facilite l</w:t>
      </w:r>
      <w:r w:rsidR="00C55F21" w:rsidRPr="00884D1A">
        <w:t>'</w:t>
      </w:r>
      <w:r w:rsidR="00230F73" w:rsidRPr="00884D1A">
        <w:t>intégration</w:t>
      </w:r>
      <w:bookmarkEnd w:id="19"/>
    </w:p>
    <w:p w14:paraId="29DD9556" w14:textId="77D26E27" w:rsidR="00EB3612" w:rsidRPr="00884D1A" w:rsidRDefault="00230F73" w:rsidP="00105640">
      <w:pPr>
        <w:pStyle w:val="Headingb"/>
        <w:ind w:left="0" w:firstLine="0"/>
        <w:rPr>
          <w:bCs/>
        </w:rPr>
      </w:pPr>
      <w:r w:rsidRPr="00884D1A">
        <w:rPr>
          <w:bCs/>
        </w:rPr>
        <w:t>Projet de Résolution</w:t>
      </w:r>
      <w:r w:rsidR="00EB3612" w:rsidRPr="00884D1A">
        <w:rPr>
          <w:bCs/>
        </w:rPr>
        <w:t xml:space="preserve"> 139 (</w:t>
      </w:r>
      <w:proofErr w:type="spellStart"/>
      <w:r w:rsidR="00CE6735" w:rsidRPr="00884D1A">
        <w:t>Rév</w:t>
      </w:r>
      <w:proofErr w:type="spellEnd"/>
      <w:r w:rsidR="00CE6735" w:rsidRPr="00884D1A">
        <w:t>. Bucarest, 2022</w:t>
      </w:r>
      <w:r w:rsidR="00EB3612" w:rsidRPr="00884D1A">
        <w:rPr>
          <w:bCs/>
        </w:rPr>
        <w:t xml:space="preserve">) – </w:t>
      </w:r>
      <w:bookmarkStart w:id="20" w:name="_Toc407016237"/>
      <w:r w:rsidR="004E5479" w:rsidRPr="00884D1A">
        <w:t>Utilisation des télécommunications et des technologies de l</w:t>
      </w:r>
      <w:r w:rsidR="00C55F21" w:rsidRPr="00884D1A">
        <w:t>'</w:t>
      </w:r>
      <w:r w:rsidR="004E5479" w:rsidRPr="00884D1A">
        <w:t>information et de la communication pour réduire la fracture numérique et édifier une société de l</w:t>
      </w:r>
      <w:r w:rsidR="00C55F21" w:rsidRPr="00884D1A">
        <w:t>'</w:t>
      </w:r>
      <w:r w:rsidR="004E5479" w:rsidRPr="00884D1A">
        <w:t>information inclusive</w:t>
      </w:r>
      <w:bookmarkEnd w:id="20"/>
    </w:p>
    <w:p w14:paraId="34B6BA91" w14:textId="413B2459" w:rsidR="00EB3612" w:rsidRPr="00884D1A" w:rsidRDefault="00EB3612" w:rsidP="00105640">
      <w:pPr>
        <w:rPr>
          <w:b/>
          <w:bCs/>
        </w:rPr>
      </w:pPr>
      <w:r w:rsidRPr="00884D1A">
        <w:rPr>
          <w:bCs/>
        </w:rPr>
        <w:t>15.2</w:t>
      </w:r>
      <w:r w:rsidRPr="00884D1A">
        <w:rPr>
          <w:bCs/>
        </w:rPr>
        <w:tab/>
      </w:r>
      <w:r w:rsidR="001E799A" w:rsidRPr="00884D1A">
        <w:rPr>
          <w:b/>
          <w:bCs/>
        </w:rPr>
        <w:t>Adoptés</w:t>
      </w:r>
      <w:r w:rsidRPr="00884D1A">
        <w:t>.</w:t>
      </w:r>
    </w:p>
    <w:p w14:paraId="363B9F24" w14:textId="33CF0BF9" w:rsidR="001E4EFC" w:rsidRPr="00884D1A" w:rsidRDefault="00EB3612" w:rsidP="00105640">
      <w:pPr>
        <w:rPr>
          <w:bCs/>
        </w:rPr>
      </w:pPr>
      <w:r w:rsidRPr="00884D1A">
        <w:t>15.3</w:t>
      </w:r>
      <w:r w:rsidRPr="00884D1A">
        <w:tab/>
      </w:r>
      <w:r w:rsidR="00AD4044" w:rsidRPr="00884D1A">
        <w:rPr>
          <w:rFonts w:cstheme="minorHAnsi"/>
          <w:szCs w:val="24"/>
        </w:rPr>
        <w:t>La vingt-septième série de textes soumis par la Commission de rédaction en première lecture</w:t>
      </w:r>
      <w:r w:rsidR="00E22B91" w:rsidRPr="00884D1A">
        <w:t> </w:t>
      </w:r>
      <w:r w:rsidR="00AD4044" w:rsidRPr="00884D1A">
        <w:t xml:space="preserve">(B27) (Document 197) est </w:t>
      </w:r>
      <w:r w:rsidR="00AD4044" w:rsidRPr="00884D1A">
        <w:rPr>
          <w:b/>
        </w:rPr>
        <w:t>approuvée</w:t>
      </w:r>
      <w:r w:rsidR="00AD4044" w:rsidRPr="00884D1A">
        <w:rPr>
          <w:bCs/>
        </w:rPr>
        <w:t>.</w:t>
      </w:r>
    </w:p>
    <w:p w14:paraId="27A95C31" w14:textId="64F7056D" w:rsidR="00EB3612" w:rsidRPr="00884D1A" w:rsidRDefault="00EB3612" w:rsidP="00105640">
      <w:pPr>
        <w:pStyle w:val="Heading1"/>
      </w:pPr>
      <w:r w:rsidRPr="00884D1A">
        <w:t>16</w:t>
      </w:r>
      <w:r w:rsidRPr="00884D1A">
        <w:tab/>
      </w:r>
      <w:r w:rsidR="00CA61D9" w:rsidRPr="00884D1A">
        <w:rPr>
          <w:rFonts w:cstheme="minorHAnsi"/>
          <w:spacing w:val="-2"/>
          <w:szCs w:val="24"/>
        </w:rPr>
        <w:t>Vingt-septième série de textes soumis par la Commission de rédaction – seconde lecture</w:t>
      </w:r>
      <w:r w:rsidRPr="00884D1A">
        <w:t xml:space="preserve"> (Document </w:t>
      </w:r>
      <w:hyperlink r:id="rId32" w:history="1">
        <w:r w:rsidRPr="00884D1A">
          <w:rPr>
            <w:rStyle w:val="Hyperlink"/>
            <w:bCs/>
          </w:rPr>
          <w:t>197</w:t>
        </w:r>
      </w:hyperlink>
      <w:r w:rsidRPr="00884D1A">
        <w:t>)</w:t>
      </w:r>
    </w:p>
    <w:p w14:paraId="49213A95" w14:textId="379B8318" w:rsidR="00CA61D9" w:rsidRPr="00884D1A" w:rsidRDefault="00EB3612" w:rsidP="001A6BE2">
      <w:pPr>
        <w:rPr>
          <w:bCs/>
        </w:rPr>
      </w:pPr>
      <w:r w:rsidRPr="00884D1A">
        <w:t>16.1</w:t>
      </w:r>
      <w:r w:rsidRPr="00884D1A">
        <w:tab/>
      </w:r>
      <w:r w:rsidR="008A035A" w:rsidRPr="00884D1A">
        <w:t xml:space="preserve">La vingt-septième série de textes soumis par la Commission de rédaction (Document 197) est </w:t>
      </w:r>
      <w:r w:rsidR="008A035A" w:rsidRPr="00884D1A">
        <w:rPr>
          <w:b/>
        </w:rPr>
        <w:t>approuvée</w:t>
      </w:r>
      <w:r w:rsidR="008A035A" w:rsidRPr="00884D1A">
        <w:rPr>
          <w:bCs/>
        </w:rPr>
        <w:t xml:space="preserve"> en seconde lecture.</w:t>
      </w:r>
    </w:p>
    <w:p w14:paraId="1F14DB68" w14:textId="0B0B72FE" w:rsidR="00413D1A" w:rsidRPr="00884D1A" w:rsidRDefault="00EB3612" w:rsidP="00105640">
      <w:r w:rsidRPr="00884D1A">
        <w:t>16.2</w:t>
      </w:r>
      <w:r w:rsidRPr="00884D1A">
        <w:tab/>
      </w:r>
      <w:r w:rsidR="00413D1A" w:rsidRPr="00884D1A">
        <w:t xml:space="preserve">Le </w:t>
      </w:r>
      <w:r w:rsidR="00413D1A" w:rsidRPr="00884D1A">
        <w:rPr>
          <w:b/>
        </w:rPr>
        <w:t>délégué des États-Unis</w:t>
      </w:r>
      <w:r w:rsidR="00413D1A" w:rsidRPr="00884D1A">
        <w:t xml:space="preserve"> fait la déclaration suivante:</w:t>
      </w:r>
    </w:p>
    <w:p w14:paraId="73C09FFE" w14:textId="7F7F10D3" w:rsidR="001661D1" w:rsidRPr="00884D1A" w:rsidRDefault="00EB2631" w:rsidP="00105640">
      <w:pPr>
        <w:ind w:left="567"/>
      </w:pPr>
      <w:r w:rsidRPr="00884D1A">
        <w:t>"</w:t>
      </w:r>
      <w:r w:rsidR="001661D1" w:rsidRPr="00884D1A">
        <w:t xml:space="preserve">Les États-Unis </w:t>
      </w:r>
      <w:r w:rsidR="007F7A8D" w:rsidRPr="00884D1A">
        <w:t xml:space="preserve">sont véritablement consternés par le fait que </w:t>
      </w:r>
      <w:r w:rsidR="00B04288" w:rsidRPr="00884D1A">
        <w:t>la présente</w:t>
      </w:r>
      <w:r w:rsidR="00391B0F" w:rsidRPr="00884D1A">
        <w:t xml:space="preserve"> </w:t>
      </w:r>
      <w:r w:rsidR="00B04288" w:rsidRPr="00884D1A">
        <w:t>C</w:t>
      </w:r>
      <w:r w:rsidR="00391B0F" w:rsidRPr="00884D1A">
        <w:t>onférence de plénipotentiaires n</w:t>
      </w:r>
      <w:r w:rsidR="00C55F21" w:rsidRPr="00884D1A">
        <w:t>'</w:t>
      </w:r>
      <w:r w:rsidR="00391B0F" w:rsidRPr="00884D1A">
        <w:t>a</w:t>
      </w:r>
      <w:r w:rsidR="00FA3878" w:rsidRPr="00884D1A">
        <w:t>it</w:t>
      </w:r>
      <w:r w:rsidR="00391B0F" w:rsidRPr="00884D1A">
        <w:t xml:space="preserve"> pas été en mesure d</w:t>
      </w:r>
      <w:r w:rsidR="00C55F21" w:rsidRPr="00884D1A">
        <w:t>'</w:t>
      </w:r>
      <w:r w:rsidR="00391B0F" w:rsidRPr="00884D1A">
        <w:t>inclure des instruct</w:t>
      </w:r>
      <w:r w:rsidR="00E22B91" w:rsidRPr="00884D1A">
        <w:t>ions claires dans la Résolution </w:t>
      </w:r>
      <w:r w:rsidR="00391B0F" w:rsidRPr="00884D1A">
        <w:t>139 pour continuer d</w:t>
      </w:r>
      <w:r w:rsidR="00C55F21" w:rsidRPr="00884D1A">
        <w:t>'</w:t>
      </w:r>
      <w:r w:rsidR="00391B0F" w:rsidRPr="00884D1A">
        <w:t xml:space="preserve">appuyer et de coordonner les efforts visant à connecter les </w:t>
      </w:r>
      <w:r w:rsidR="00391B0F" w:rsidRPr="00884D1A">
        <w:lastRenderedPageBreak/>
        <w:t>femmes et les jeunes fille</w:t>
      </w:r>
      <w:r w:rsidR="001700CA" w:rsidRPr="00884D1A">
        <w:t xml:space="preserve">s, dans toute leur diversité, ainsi que les jeunes, les groupes vulnérables, les </w:t>
      </w:r>
      <w:r w:rsidR="00A86311" w:rsidRPr="00884D1A">
        <w:t>populations</w:t>
      </w:r>
      <w:r w:rsidR="001700CA" w:rsidRPr="00884D1A">
        <w:t xml:space="preserve"> autochtones, les personnes âgées, les personnes </w:t>
      </w:r>
      <w:r w:rsidR="00BD086C" w:rsidRPr="00884D1A">
        <w:t>handicapées</w:t>
      </w:r>
      <w:r w:rsidR="001700CA" w:rsidRPr="00884D1A">
        <w:t xml:space="preserve"> et les personnes ayant des besoins particuliers, </w:t>
      </w:r>
      <w:r w:rsidR="004656D3" w:rsidRPr="00884D1A">
        <w:t xml:space="preserve">malgré </w:t>
      </w:r>
      <w:r w:rsidR="00BD086C" w:rsidRPr="00884D1A">
        <w:t>une large adhésion à cette idée.</w:t>
      </w:r>
    </w:p>
    <w:p w14:paraId="2561C9FB" w14:textId="6BAAFAC3" w:rsidR="00DE1526" w:rsidRPr="00884D1A" w:rsidRDefault="00DF134C" w:rsidP="00105640">
      <w:pPr>
        <w:ind w:left="567"/>
      </w:pPr>
      <w:r w:rsidRPr="00884D1A">
        <w:t xml:space="preserve">Nous le déplorons tout particulièrement, au regard du caractère historique de </w:t>
      </w:r>
      <w:r w:rsidR="00B04288" w:rsidRPr="00884D1A">
        <w:t xml:space="preserve">la présente </w:t>
      </w:r>
      <w:r w:rsidR="00DC5B2B" w:rsidRPr="00884D1A">
        <w:t>C</w:t>
      </w:r>
      <w:r w:rsidRPr="00884D1A">
        <w:t xml:space="preserve">onférence, </w:t>
      </w:r>
      <w:r w:rsidR="00EB1A2B" w:rsidRPr="00884D1A">
        <w:t xml:space="preserve">durant laquelle nous avons élu Doreen Bogdan-Martin </w:t>
      </w:r>
      <w:r w:rsidR="00AE71B6" w:rsidRPr="00884D1A">
        <w:t>Secrétaire général</w:t>
      </w:r>
      <w:r w:rsidR="003D024C" w:rsidRPr="00884D1A">
        <w:t>e</w:t>
      </w:r>
      <w:r w:rsidR="00AE71B6" w:rsidRPr="00884D1A">
        <w:t xml:space="preserve"> de l</w:t>
      </w:r>
      <w:r w:rsidR="00C55F21" w:rsidRPr="00884D1A">
        <w:t>'</w:t>
      </w:r>
      <w:r w:rsidR="00AE71B6" w:rsidRPr="00884D1A">
        <w:t xml:space="preserve">UIT, </w:t>
      </w:r>
      <w:r w:rsidR="003D024C" w:rsidRPr="00884D1A">
        <w:t>poste occupé par la première fois par une femme depuis la création de l</w:t>
      </w:r>
      <w:r w:rsidR="00C55F21" w:rsidRPr="00884D1A">
        <w:t>'</w:t>
      </w:r>
      <w:r w:rsidR="003D024C" w:rsidRPr="00884D1A">
        <w:t>Union il</w:t>
      </w:r>
      <w:r w:rsidR="00E22B91" w:rsidRPr="00884D1A">
        <w:t xml:space="preserve"> y a </w:t>
      </w:r>
      <w:r w:rsidR="003D024C" w:rsidRPr="00884D1A">
        <w:t>157 ans.</w:t>
      </w:r>
    </w:p>
    <w:p w14:paraId="55A09A5A" w14:textId="1D9D3C47" w:rsidR="007723DF" w:rsidRPr="00884D1A" w:rsidRDefault="003E4932" w:rsidP="00105640">
      <w:pPr>
        <w:ind w:left="567"/>
      </w:pPr>
      <w:r w:rsidRPr="00884D1A">
        <w:t xml:space="preserve">Dans la déclaration de politique générale faite par les États-Unis au début de </w:t>
      </w:r>
      <w:r w:rsidR="00630AA8" w:rsidRPr="00884D1A">
        <w:t xml:space="preserve">la présente </w:t>
      </w:r>
      <w:r w:rsidR="00DC5B2B" w:rsidRPr="00884D1A">
        <w:t>C</w:t>
      </w:r>
      <w:r w:rsidRPr="00884D1A">
        <w:t xml:space="preserve">onférence, nous avons </w:t>
      </w:r>
      <w:r w:rsidR="00017F91" w:rsidRPr="00884D1A">
        <w:t xml:space="preserve">affirmé notre engagement à œuvrer avec </w:t>
      </w:r>
      <w:r w:rsidR="00116D3C" w:rsidRPr="00884D1A">
        <w:t xml:space="preserve">la communauté internationale </w:t>
      </w:r>
      <w:r w:rsidR="00C7064D" w:rsidRPr="00884D1A">
        <w:t xml:space="preserve">en faveur de la réduction des fractures numériques, y compris la fracture numérique entre les hommes et les femmes, </w:t>
      </w:r>
      <w:r w:rsidR="006A71C0" w:rsidRPr="00884D1A">
        <w:t>qui a de lourdes conséquences économiques pour toutes les femmes et les jeunes filles.</w:t>
      </w:r>
      <w:r w:rsidR="009D2AAC" w:rsidRPr="00884D1A">
        <w:t xml:space="preserve"> </w:t>
      </w:r>
      <w:r w:rsidR="00447D8B" w:rsidRPr="00884D1A">
        <w:t>Selon l</w:t>
      </w:r>
      <w:r w:rsidR="00C55F21" w:rsidRPr="00884D1A">
        <w:t>'</w:t>
      </w:r>
      <w:r w:rsidR="00447D8B" w:rsidRPr="00884D1A">
        <w:t xml:space="preserve">UNICEF, </w:t>
      </w:r>
      <w:r w:rsidR="004F6293" w:rsidRPr="00884D1A">
        <w:t>"</w:t>
      </w:r>
      <w:r w:rsidR="007212DF" w:rsidRPr="00884D1A">
        <w:t xml:space="preserve">à mesure que </w:t>
      </w:r>
      <w:r w:rsidR="004F6293" w:rsidRPr="00884D1A">
        <w:t xml:space="preserve">les économies passeront au numérique, la croissance économique et sociale </w:t>
      </w:r>
      <w:r w:rsidR="009314DD" w:rsidRPr="00884D1A">
        <w:t>dépendra</w:t>
      </w:r>
      <w:r w:rsidR="004F6293" w:rsidRPr="00884D1A">
        <w:t xml:space="preserve"> de plus en plus de </w:t>
      </w:r>
      <w:r w:rsidR="00F6076E" w:rsidRPr="00884D1A">
        <w:t>la capacité des person</w:t>
      </w:r>
      <w:r w:rsidR="00E22B91" w:rsidRPr="00884D1A">
        <w:t>nes à utiliser les technologies</w:t>
      </w:r>
      <w:r w:rsidR="00F6076E" w:rsidRPr="00884D1A">
        <w:t>"</w:t>
      </w:r>
      <w:r w:rsidR="00E22B91" w:rsidRPr="00884D1A">
        <w:t>.</w:t>
      </w:r>
      <w:r w:rsidR="00F6076E" w:rsidRPr="00884D1A">
        <w:t xml:space="preserve"> Toutefois, les femmes et les jeunes filles </w:t>
      </w:r>
      <w:r w:rsidR="001B10F5" w:rsidRPr="00884D1A">
        <w:t xml:space="preserve">sont </w:t>
      </w:r>
      <w:r w:rsidR="005E60B6" w:rsidRPr="00884D1A">
        <w:t>à la traîne</w:t>
      </w:r>
      <w:r w:rsidR="001B10F5" w:rsidRPr="00884D1A">
        <w:t xml:space="preserve"> par rapport aux hommes et aux jeunes garçons en ce qui concerne l</w:t>
      </w:r>
      <w:r w:rsidR="00C55F21" w:rsidRPr="00884D1A">
        <w:t>'</w:t>
      </w:r>
      <w:r w:rsidR="001B10F5" w:rsidRPr="00884D1A">
        <w:t xml:space="preserve">adoption </w:t>
      </w:r>
      <w:r w:rsidR="006B2716" w:rsidRPr="00884D1A">
        <w:t>et l</w:t>
      </w:r>
      <w:r w:rsidR="00C55F21" w:rsidRPr="00884D1A">
        <w:t>'</w:t>
      </w:r>
      <w:r w:rsidR="006B2716" w:rsidRPr="00884D1A">
        <w:t xml:space="preserve">utilisation </w:t>
      </w:r>
      <w:r w:rsidR="001B10F5" w:rsidRPr="00884D1A">
        <w:t xml:space="preserve">du numérique, </w:t>
      </w:r>
      <w:r w:rsidR="006B2716" w:rsidRPr="00884D1A">
        <w:t>l</w:t>
      </w:r>
      <w:r w:rsidR="00C55F21" w:rsidRPr="00884D1A">
        <w:t>'</w:t>
      </w:r>
      <w:r w:rsidR="006B2716" w:rsidRPr="00884D1A">
        <w:t xml:space="preserve">accès au numérique et </w:t>
      </w:r>
      <w:r w:rsidR="006F69B6" w:rsidRPr="00884D1A">
        <w:t>la maîtrise des outils numériques</w:t>
      </w:r>
      <w:r w:rsidR="006B2716" w:rsidRPr="00884D1A">
        <w:t>.</w:t>
      </w:r>
    </w:p>
    <w:p w14:paraId="2E33644B" w14:textId="54E83ACA" w:rsidR="00415264" w:rsidRPr="00884D1A" w:rsidRDefault="00415264" w:rsidP="00105640">
      <w:pPr>
        <w:ind w:left="567"/>
      </w:pPr>
      <w:r w:rsidRPr="00884D1A">
        <w:t xml:space="preserve">De nombreux États Membres issus de toutes les régions ont </w:t>
      </w:r>
      <w:r w:rsidR="000372BC" w:rsidRPr="00884D1A">
        <w:t xml:space="preserve">exprimé des vues similaires dans leurs propres déclarations de politique générale, </w:t>
      </w:r>
      <w:r w:rsidR="00803B05" w:rsidRPr="00884D1A">
        <w:t xml:space="preserve">et ont souligné à juste titre des initiatives nationales </w:t>
      </w:r>
      <w:r w:rsidR="00786684" w:rsidRPr="00884D1A">
        <w:t xml:space="preserve">ciblant explicitement les femmes et les jeunes filles, </w:t>
      </w:r>
      <w:r w:rsidR="00BE0DED" w:rsidRPr="00884D1A">
        <w:t xml:space="preserve">les jeunes, les personnes handicapées et les personnes ayant des besoins particuliers. </w:t>
      </w:r>
      <w:r w:rsidR="00D34AD6" w:rsidRPr="00884D1A">
        <w:t xml:space="preserve">À notre grand regret, certains </w:t>
      </w:r>
      <w:r w:rsidR="00D96251" w:rsidRPr="00884D1A">
        <w:t>des</w:t>
      </w:r>
      <w:r w:rsidR="00D34AD6" w:rsidRPr="00884D1A">
        <w:t xml:space="preserve"> États Membres </w:t>
      </w:r>
      <w:r w:rsidR="00D96251" w:rsidRPr="00884D1A">
        <w:t>concernés n</w:t>
      </w:r>
      <w:r w:rsidR="00C55F21" w:rsidRPr="00884D1A">
        <w:t>'</w:t>
      </w:r>
      <w:r w:rsidR="00D96251" w:rsidRPr="00884D1A">
        <w:t xml:space="preserve">ont </w:t>
      </w:r>
      <w:r w:rsidR="003E2602" w:rsidRPr="00884D1A">
        <w:t xml:space="preserve">pas traduit leurs </w:t>
      </w:r>
      <w:r w:rsidR="00606609" w:rsidRPr="00884D1A">
        <w:t>déclarations</w:t>
      </w:r>
      <w:r w:rsidR="00BC30F4" w:rsidRPr="00884D1A">
        <w:t xml:space="preserve"> en actes concrets </w:t>
      </w:r>
      <w:r w:rsidR="00DC5B2B" w:rsidRPr="00884D1A">
        <w:t>au moment de réviser</w:t>
      </w:r>
      <w:r w:rsidR="00BC30F4" w:rsidRPr="00884D1A">
        <w:t xml:space="preserve"> la Résolution 139, </w:t>
      </w:r>
      <w:r w:rsidR="006A6465" w:rsidRPr="00884D1A">
        <w:t xml:space="preserve">et ont exprimé des vues </w:t>
      </w:r>
      <w:r w:rsidR="009C1542" w:rsidRPr="00884D1A">
        <w:t xml:space="preserve">en contradiction directe avec les priorités </w:t>
      </w:r>
      <w:r w:rsidR="002D5E80" w:rsidRPr="00884D1A">
        <w:t>qu</w:t>
      </w:r>
      <w:r w:rsidR="00C55F21" w:rsidRPr="00884D1A">
        <w:t>'</w:t>
      </w:r>
      <w:r w:rsidR="002D5E80" w:rsidRPr="00884D1A">
        <w:t xml:space="preserve">ils avaient </w:t>
      </w:r>
      <w:r w:rsidR="00FD150F" w:rsidRPr="00884D1A">
        <w:t>annoncées</w:t>
      </w:r>
      <w:r w:rsidR="002D5E80" w:rsidRPr="00884D1A">
        <w:t>.</w:t>
      </w:r>
    </w:p>
    <w:p w14:paraId="60C90671" w14:textId="231E6DD0" w:rsidR="00585FF4" w:rsidRPr="00884D1A" w:rsidRDefault="008B5785" w:rsidP="00105640">
      <w:pPr>
        <w:ind w:left="567"/>
      </w:pPr>
      <w:r w:rsidRPr="00884D1A">
        <w:t>Toutefois, M. le Président, les faits sont incontestables:</w:t>
      </w:r>
    </w:p>
    <w:p w14:paraId="3737FA43" w14:textId="690A3C4F" w:rsidR="000B1127" w:rsidRPr="00884D1A" w:rsidRDefault="00B64D74" w:rsidP="00105640">
      <w:pPr>
        <w:pStyle w:val="enumlev1"/>
        <w:ind w:left="1134"/>
      </w:pPr>
      <w:r w:rsidRPr="00884D1A">
        <w:t>•</w:t>
      </w:r>
      <w:r w:rsidRPr="00884D1A">
        <w:tab/>
      </w:r>
      <w:r w:rsidR="00296695" w:rsidRPr="00884D1A">
        <w:t>Dans le</w:t>
      </w:r>
      <w:r w:rsidR="000B1127" w:rsidRPr="00884D1A">
        <w:t xml:space="preserve"> rapport de l</w:t>
      </w:r>
      <w:r w:rsidR="00C55F21" w:rsidRPr="00884D1A">
        <w:t>'</w:t>
      </w:r>
      <w:r w:rsidR="000B1127" w:rsidRPr="00884D1A">
        <w:t>UIT-D intitulé "</w:t>
      </w:r>
      <w:r w:rsidR="005F17FF" w:rsidRPr="00884D1A">
        <w:t>Mesurer le développement numérique: faits et chiffres 2021"</w:t>
      </w:r>
      <w:r w:rsidR="00C81CB9" w:rsidRPr="00884D1A">
        <w:t xml:space="preserve">, il est conclu que, bien que </w:t>
      </w:r>
      <w:r w:rsidR="00DC5B2B" w:rsidRPr="00884D1A">
        <w:t>l</w:t>
      </w:r>
      <w:r w:rsidR="00C55F21" w:rsidRPr="00884D1A">
        <w:t>'</w:t>
      </w:r>
      <w:r w:rsidR="00DC5B2B" w:rsidRPr="00884D1A">
        <w:t>égalité entre les</w:t>
      </w:r>
      <w:r w:rsidR="00C81CB9" w:rsidRPr="00884D1A">
        <w:t xml:space="preserve"> hommes</w:t>
      </w:r>
      <w:r w:rsidR="00DC5B2B" w:rsidRPr="00884D1A">
        <w:t xml:space="preserve"> et les </w:t>
      </w:r>
      <w:r w:rsidR="00C81CB9" w:rsidRPr="00884D1A">
        <w:t xml:space="preserve">femmes ait été atteinte dans certaines régions, la fracture numérique entre les hommes et les femmes </w:t>
      </w:r>
      <w:r w:rsidR="000665E4" w:rsidRPr="00884D1A">
        <w:t xml:space="preserve">demeure importante dans de nombreuses régions, y compris dans les pays les moins avancés, les </w:t>
      </w:r>
      <w:r w:rsidR="008C69F3" w:rsidRPr="00884D1A">
        <w:t xml:space="preserve">pays en développement sans littoral, les pays </w:t>
      </w:r>
      <w:r w:rsidR="00DD3EA3" w:rsidRPr="00884D1A">
        <w:t>africains</w:t>
      </w:r>
      <w:r w:rsidR="008C69F3" w:rsidRPr="00884D1A">
        <w:t xml:space="preserve"> et les États arabes.</w:t>
      </w:r>
    </w:p>
    <w:p w14:paraId="029E55A6" w14:textId="5DC241DB" w:rsidR="00F260C9" w:rsidRPr="00884D1A" w:rsidRDefault="00B64D74" w:rsidP="00105640">
      <w:pPr>
        <w:pStyle w:val="enumlev1"/>
        <w:ind w:left="1134"/>
      </w:pPr>
      <w:r w:rsidRPr="00884D1A">
        <w:t>•</w:t>
      </w:r>
      <w:r w:rsidRPr="00884D1A">
        <w:tab/>
      </w:r>
      <w:r w:rsidR="00F260C9" w:rsidRPr="00884D1A">
        <w:t xml:space="preserve">Concernant les jeunes, </w:t>
      </w:r>
      <w:r w:rsidR="00DC5B2B" w:rsidRPr="00884D1A">
        <w:t xml:space="preserve">des travaux de </w:t>
      </w:r>
      <w:r w:rsidR="00F260C9" w:rsidRPr="00884D1A">
        <w:t>recherche conjoint</w:t>
      </w:r>
      <w:r w:rsidR="00DC5B2B" w:rsidRPr="00884D1A">
        <w:t>s</w:t>
      </w:r>
      <w:r w:rsidR="00F260C9" w:rsidRPr="00884D1A">
        <w:t xml:space="preserve"> UIT/UNICEF </w:t>
      </w:r>
      <w:r w:rsidR="00DC5B2B" w:rsidRPr="00884D1A">
        <w:t xml:space="preserve">ont </w:t>
      </w:r>
      <w:r w:rsidR="00023C5D" w:rsidRPr="00884D1A">
        <w:t>montré</w:t>
      </w:r>
      <w:r w:rsidR="00F260C9" w:rsidRPr="00884D1A">
        <w:t xml:space="preserve"> </w:t>
      </w:r>
      <w:r w:rsidR="00E22B91" w:rsidRPr="00884D1A">
        <w:t>que </w:t>
      </w:r>
      <w:r w:rsidR="00CD06F7" w:rsidRPr="00884D1A">
        <w:t>plus des deux tiers des enfants en âge d</w:t>
      </w:r>
      <w:r w:rsidR="00C55F21" w:rsidRPr="00884D1A">
        <w:t>'</w:t>
      </w:r>
      <w:r w:rsidR="00CD06F7" w:rsidRPr="00884D1A">
        <w:t>être scolarisés</w:t>
      </w:r>
      <w:r w:rsidR="000E4F7E" w:rsidRPr="00884D1A">
        <w:t xml:space="preserve"> dans le mon</w:t>
      </w:r>
      <w:r w:rsidR="00E22B91" w:rsidRPr="00884D1A">
        <w:t>de, soit plus de </w:t>
      </w:r>
      <w:r w:rsidR="000E4F7E" w:rsidRPr="00884D1A">
        <w:t>1,3 milliard d</w:t>
      </w:r>
      <w:r w:rsidR="00C55F21" w:rsidRPr="00884D1A">
        <w:t>'</w:t>
      </w:r>
      <w:r w:rsidR="000E4F7E" w:rsidRPr="00884D1A">
        <w:t>enfants, n</w:t>
      </w:r>
      <w:r w:rsidR="00C55F21" w:rsidRPr="00884D1A">
        <w:t>'</w:t>
      </w:r>
      <w:r w:rsidR="000E4F7E" w:rsidRPr="00884D1A">
        <w:t>ont toujours pas accès à l</w:t>
      </w:r>
      <w:r w:rsidR="00C55F21" w:rsidRPr="00884D1A">
        <w:t>'</w:t>
      </w:r>
      <w:r w:rsidR="000E4F7E" w:rsidRPr="00884D1A">
        <w:t xml:space="preserve">Internet </w:t>
      </w:r>
      <w:r w:rsidR="00C07EFA" w:rsidRPr="00884D1A">
        <w:t>à</w:t>
      </w:r>
      <w:r w:rsidR="000E4F7E" w:rsidRPr="00884D1A">
        <w:t xml:space="preserve"> leur domicile.</w:t>
      </w:r>
    </w:p>
    <w:p w14:paraId="11FB4AD6" w14:textId="3B988D2A" w:rsidR="0015699F" w:rsidRPr="00884D1A" w:rsidRDefault="00B64D74" w:rsidP="00105640">
      <w:pPr>
        <w:pStyle w:val="enumlev1"/>
        <w:ind w:left="1134"/>
      </w:pPr>
      <w:r w:rsidRPr="00884D1A">
        <w:t>•</w:t>
      </w:r>
      <w:r w:rsidRPr="00884D1A">
        <w:tab/>
      </w:r>
      <w:r w:rsidR="00F97C15" w:rsidRPr="00884D1A">
        <w:t xml:space="preserve">Dans le même temps, </w:t>
      </w:r>
      <w:r w:rsidR="002C290A" w:rsidRPr="00884D1A">
        <w:t xml:space="preserve">selon des données </w:t>
      </w:r>
      <w:r w:rsidR="00AC1A7C" w:rsidRPr="00884D1A">
        <w:t>recueillies</w:t>
      </w:r>
      <w:r w:rsidR="00B25B1B" w:rsidRPr="00884D1A">
        <w:t xml:space="preserve"> par le </w:t>
      </w:r>
      <w:r w:rsidR="00AC1A7C" w:rsidRPr="00884D1A">
        <w:t xml:space="preserve">Programme des Nations Unies pour le développement, </w:t>
      </w:r>
      <w:r w:rsidR="000245F6" w:rsidRPr="00884D1A">
        <w:t>on compte plus de 476 millions d</w:t>
      </w:r>
      <w:r w:rsidR="00C55F21" w:rsidRPr="00884D1A">
        <w:t>'</w:t>
      </w:r>
      <w:r w:rsidR="000245F6" w:rsidRPr="00884D1A">
        <w:t>autochtones à travers le monde</w:t>
      </w:r>
      <w:r w:rsidR="0057793A" w:rsidRPr="00884D1A">
        <w:t>. C</w:t>
      </w:r>
      <w:r w:rsidR="00E02E0B" w:rsidRPr="00884D1A">
        <w:t xml:space="preserve">es communautés autochtones </w:t>
      </w:r>
      <w:r w:rsidR="00E221CE" w:rsidRPr="00884D1A">
        <w:t>demeurent mal desservie</w:t>
      </w:r>
      <w:r w:rsidR="0057793A" w:rsidRPr="00884D1A">
        <w:t>s</w:t>
      </w:r>
      <w:r w:rsidR="00C034CB" w:rsidRPr="00884D1A">
        <w:t xml:space="preserve"> et sont parmi les moins susceptibles d</w:t>
      </w:r>
      <w:r w:rsidR="00C55F21" w:rsidRPr="00884D1A">
        <w:t>'</w:t>
      </w:r>
      <w:r w:rsidR="00C034CB" w:rsidRPr="00884D1A">
        <w:t>être connectées à l</w:t>
      </w:r>
      <w:r w:rsidR="00C55F21" w:rsidRPr="00884D1A">
        <w:t>'</w:t>
      </w:r>
      <w:r w:rsidR="00C034CB" w:rsidRPr="00884D1A">
        <w:t>Internet.</w:t>
      </w:r>
    </w:p>
    <w:p w14:paraId="57CE4C0F" w14:textId="4260DFC1" w:rsidR="0070246F" w:rsidRPr="00884D1A" w:rsidRDefault="00B64D74" w:rsidP="00105640">
      <w:pPr>
        <w:pStyle w:val="enumlev1"/>
        <w:ind w:left="1134"/>
      </w:pPr>
      <w:r w:rsidRPr="00884D1A">
        <w:t>•</w:t>
      </w:r>
      <w:r w:rsidRPr="00884D1A">
        <w:tab/>
      </w:r>
      <w:r w:rsidR="0070246F" w:rsidRPr="00884D1A">
        <w:t xml:space="preserve">Le rapport </w:t>
      </w:r>
      <w:r w:rsidR="00F73613" w:rsidRPr="00884D1A">
        <w:t>de l</w:t>
      </w:r>
      <w:r w:rsidR="00C55F21" w:rsidRPr="00884D1A">
        <w:t>'</w:t>
      </w:r>
      <w:r w:rsidR="00F73613" w:rsidRPr="00884D1A">
        <w:t>UIT-D intitulé "</w:t>
      </w:r>
      <w:r w:rsidR="00F83F9D" w:rsidRPr="00884D1A">
        <w:t xml:space="preserve">Vieillir dans un monde numérique" </w:t>
      </w:r>
      <w:r w:rsidR="00B35ADC" w:rsidRPr="00884D1A">
        <w:t>souligne que, d</w:t>
      </w:r>
      <w:r w:rsidR="00C55F21" w:rsidRPr="00884D1A">
        <w:t>'</w:t>
      </w:r>
      <w:r w:rsidR="00B35ADC" w:rsidRPr="00884D1A">
        <w:t xml:space="preserve">ici </w:t>
      </w:r>
      <w:r w:rsidR="00E22B91" w:rsidRPr="00884D1A">
        <w:t>à </w:t>
      </w:r>
      <w:r w:rsidR="00B35ADC" w:rsidRPr="00884D1A">
        <w:t xml:space="preserve">2050, </w:t>
      </w:r>
      <w:r w:rsidR="00582E46" w:rsidRPr="00884D1A">
        <w:t xml:space="preserve">une personne sur six dans le monde aura plus de 65 ans, </w:t>
      </w:r>
      <w:r w:rsidR="0097254D" w:rsidRPr="00884D1A">
        <w:t>et il est de ce fait de plus en plus importa</w:t>
      </w:r>
      <w:r w:rsidR="009F3273" w:rsidRPr="00884D1A">
        <w:t>nt de connecter les populations, pour leur permettre de tirer parti des possibilités offertes par le numérique.</w:t>
      </w:r>
    </w:p>
    <w:p w14:paraId="5069B382" w14:textId="77777777" w:rsidR="00E22B91" w:rsidRPr="00884D1A" w:rsidRDefault="00E22B91" w:rsidP="00105640">
      <w:pPr>
        <w:pStyle w:val="enumlev1"/>
        <w:ind w:left="1134"/>
      </w:pPr>
      <w:r w:rsidRPr="00884D1A">
        <w:br w:type="page"/>
      </w:r>
    </w:p>
    <w:p w14:paraId="3F19521B" w14:textId="2B82B515" w:rsidR="00A0068B" w:rsidRPr="00884D1A" w:rsidRDefault="00B64D74" w:rsidP="00105640">
      <w:pPr>
        <w:pStyle w:val="enumlev1"/>
        <w:ind w:left="1134"/>
      </w:pPr>
      <w:r w:rsidRPr="00884D1A">
        <w:lastRenderedPageBreak/>
        <w:t>•</w:t>
      </w:r>
      <w:r w:rsidRPr="00884D1A">
        <w:tab/>
      </w:r>
      <w:r w:rsidR="00554D7F" w:rsidRPr="00884D1A">
        <w:t>Enfin</w:t>
      </w:r>
      <w:r w:rsidR="00A0068B" w:rsidRPr="00884D1A">
        <w:t xml:space="preserve"> et surtout, selon le rapport </w:t>
      </w:r>
      <w:r w:rsidR="008835F5" w:rsidRPr="00884D1A">
        <w:t>de la GSMA sur le fossé qui sépare les personnes handicapées des technologies mobiles</w:t>
      </w:r>
      <w:r w:rsidR="00CF4F0C" w:rsidRPr="00884D1A">
        <w:t xml:space="preserve"> publié en 2021</w:t>
      </w:r>
      <w:r w:rsidR="008835F5" w:rsidRPr="00884D1A">
        <w:t xml:space="preserve">, </w:t>
      </w:r>
      <w:r w:rsidR="00D73B7B" w:rsidRPr="00884D1A">
        <w:t xml:space="preserve">on estime que 15 pour cent de la population mondiale vit avec une forme de handicap et, pourtant, </w:t>
      </w:r>
      <w:r w:rsidR="002460B6" w:rsidRPr="00884D1A">
        <w:t>le niveau d</w:t>
      </w:r>
      <w:r w:rsidR="00C55F21" w:rsidRPr="00884D1A">
        <w:t>'</w:t>
      </w:r>
      <w:r w:rsidR="002460B6" w:rsidRPr="00884D1A">
        <w:t>utilisation de l</w:t>
      </w:r>
      <w:r w:rsidR="00C55F21" w:rsidRPr="00884D1A">
        <w:t>'</w:t>
      </w:r>
      <w:r w:rsidR="002460B6" w:rsidRPr="00884D1A">
        <w:t>Internet mobile chez les</w:t>
      </w:r>
      <w:r w:rsidR="00D73B7B" w:rsidRPr="00884D1A">
        <w:t xml:space="preserve"> personnes handicapées </w:t>
      </w:r>
      <w:r w:rsidR="002460B6" w:rsidRPr="00884D1A">
        <w:t>est anormalement bas</w:t>
      </w:r>
      <w:r w:rsidR="00D95C2C" w:rsidRPr="00884D1A">
        <w:t xml:space="preserve"> par rapport au reste de la population</w:t>
      </w:r>
      <w:r w:rsidR="002460B6" w:rsidRPr="00884D1A">
        <w:t>.</w:t>
      </w:r>
    </w:p>
    <w:p w14:paraId="263118F4" w14:textId="7086CB8F" w:rsidR="00FF28E3" w:rsidRPr="00884D1A" w:rsidRDefault="00DC5B2B" w:rsidP="00105640">
      <w:pPr>
        <w:ind w:left="567"/>
      </w:pPr>
      <w:r w:rsidRPr="00884D1A">
        <w:t>Aucune négociation ne changera la réalité</w:t>
      </w:r>
      <w:r w:rsidR="00BB14A5" w:rsidRPr="00884D1A">
        <w:t>, M. le</w:t>
      </w:r>
      <w:r w:rsidR="001D793F" w:rsidRPr="00884D1A">
        <w:t xml:space="preserve"> Président, et il est selon nous inconcevable que </w:t>
      </w:r>
      <w:r w:rsidR="00D2724F" w:rsidRPr="00884D1A">
        <w:t>la présente Conférence</w:t>
      </w:r>
      <w:r w:rsidR="001D793F" w:rsidRPr="00884D1A">
        <w:t xml:space="preserve"> de plénipotentiaires n</w:t>
      </w:r>
      <w:r w:rsidR="00C55F21" w:rsidRPr="00884D1A">
        <w:t>'</w:t>
      </w:r>
      <w:r w:rsidR="001D793F" w:rsidRPr="00884D1A">
        <w:t>ait pas été en mesure d</w:t>
      </w:r>
      <w:r w:rsidR="00C55F21" w:rsidRPr="00884D1A">
        <w:t>'</w:t>
      </w:r>
      <w:r w:rsidR="001D793F" w:rsidRPr="00884D1A">
        <w:t xml:space="preserve">inclure </w:t>
      </w:r>
      <w:r w:rsidR="002F05F6" w:rsidRPr="00884D1A">
        <w:t>des éléments d</w:t>
      </w:r>
      <w:r w:rsidR="00C55F21" w:rsidRPr="00884D1A">
        <w:t>'</w:t>
      </w:r>
      <w:r w:rsidR="002F05F6" w:rsidRPr="00884D1A">
        <w:t>une importance capitale</w:t>
      </w:r>
      <w:r w:rsidR="00C84E00" w:rsidRPr="00884D1A">
        <w:t xml:space="preserve"> dans la Résolution 139, </w:t>
      </w:r>
      <w:r w:rsidR="00BE0170" w:rsidRPr="00884D1A">
        <w:t>uniquement parce qu</w:t>
      </w:r>
      <w:r w:rsidR="00C55F21" w:rsidRPr="00884D1A">
        <w:t>'</w:t>
      </w:r>
      <w:r w:rsidR="00BE0170" w:rsidRPr="00884D1A">
        <w:t>une petite minorité d</w:t>
      </w:r>
      <w:r w:rsidR="00C55F21" w:rsidRPr="00884D1A">
        <w:t>'</w:t>
      </w:r>
      <w:r w:rsidR="00BE0170" w:rsidRPr="00884D1A">
        <w:t>États Membres ont soulevé des</w:t>
      </w:r>
      <w:r w:rsidR="00464145" w:rsidRPr="00884D1A">
        <w:t xml:space="preserve"> préoccupations infondées et </w:t>
      </w:r>
      <w:r w:rsidR="0086194F" w:rsidRPr="00884D1A">
        <w:t>non étayées.</w:t>
      </w:r>
    </w:p>
    <w:p w14:paraId="07642AC5" w14:textId="6F21C1EC" w:rsidR="00790CCA" w:rsidRPr="00884D1A" w:rsidRDefault="00790CCA" w:rsidP="00105640">
      <w:pPr>
        <w:ind w:left="567"/>
      </w:pPr>
      <w:r w:rsidRPr="00884D1A">
        <w:t xml:space="preserve">Malgré </w:t>
      </w:r>
      <w:r w:rsidR="009F2FA8" w:rsidRPr="00884D1A">
        <w:t>ce résultat décevant</w:t>
      </w:r>
      <w:r w:rsidR="00680704" w:rsidRPr="00884D1A">
        <w:t xml:space="preserve">, les États-Unis </w:t>
      </w:r>
      <w:r w:rsidR="009209C0" w:rsidRPr="00884D1A">
        <w:t>demeurent résolus à faire progresser les travaux de l</w:t>
      </w:r>
      <w:r w:rsidR="00C55F21" w:rsidRPr="00884D1A">
        <w:t>'</w:t>
      </w:r>
      <w:r w:rsidR="009209C0" w:rsidRPr="00884D1A">
        <w:t xml:space="preserve">UIT, en vue de connecter ceux qui ne le sont pas encore, en </w:t>
      </w:r>
      <w:r w:rsidR="00A86311" w:rsidRPr="00884D1A">
        <w:t>accordant toute l</w:t>
      </w:r>
      <w:r w:rsidR="00C55F21" w:rsidRPr="00884D1A">
        <w:t>'</w:t>
      </w:r>
      <w:r w:rsidR="00A86311" w:rsidRPr="00884D1A">
        <w:t>importance nécessaire aux femmes et aux jeunes filles, aux jeunes et aux groupes vulnérables, aux populations autochtones, aux personnes âgées, aux personnes handicapées et aux personnes ayant des besoins particuliers.</w:t>
      </w:r>
    </w:p>
    <w:p w14:paraId="09060045" w14:textId="31217817" w:rsidR="00EB3612" w:rsidRPr="00884D1A" w:rsidRDefault="00911FDB" w:rsidP="00105640">
      <w:pPr>
        <w:ind w:left="567"/>
      </w:pPr>
      <w:r w:rsidRPr="00884D1A">
        <w:t xml:space="preserve">Nous </w:t>
      </w:r>
      <w:r w:rsidR="00211C2E" w:rsidRPr="00884D1A">
        <w:t xml:space="preserve">appelons tous les États Membres à </w:t>
      </w:r>
      <w:r w:rsidR="007A16F6" w:rsidRPr="00884D1A">
        <w:t>se joindre à nous pour faire en sorte que "nul ne soit laissé pour compte", conformément à la mission fondamentale de l</w:t>
      </w:r>
      <w:r w:rsidR="00C55F21" w:rsidRPr="00884D1A">
        <w:t>'</w:t>
      </w:r>
      <w:r w:rsidR="007A16F6" w:rsidRPr="00884D1A">
        <w:t>UIT et aux principes moraux qu</w:t>
      </w:r>
      <w:r w:rsidR="00C55F21" w:rsidRPr="00884D1A">
        <w:t>'</w:t>
      </w:r>
      <w:r w:rsidR="007A16F6" w:rsidRPr="00884D1A">
        <w:t>elle prône</w:t>
      </w:r>
      <w:r w:rsidR="00EB3612" w:rsidRPr="00884D1A">
        <w:t>.</w:t>
      </w:r>
      <w:r w:rsidR="00E22B91" w:rsidRPr="00884D1A">
        <w:t>"</w:t>
      </w:r>
    </w:p>
    <w:p w14:paraId="715428D7" w14:textId="1BF0D041" w:rsidR="00147BC8" w:rsidRPr="00884D1A" w:rsidRDefault="00EB3612" w:rsidP="001A6BE2">
      <w:r w:rsidRPr="00884D1A">
        <w:t>16.3</w:t>
      </w:r>
      <w:r w:rsidRPr="00884D1A">
        <w:tab/>
      </w:r>
      <w:r w:rsidR="00147BC8" w:rsidRPr="00884D1A">
        <w:t xml:space="preserve">Le </w:t>
      </w:r>
      <w:r w:rsidR="00147BC8" w:rsidRPr="00884D1A">
        <w:rPr>
          <w:b/>
        </w:rPr>
        <w:t>délégué du Danemark</w:t>
      </w:r>
      <w:r w:rsidR="00147BC8" w:rsidRPr="00884D1A">
        <w:t xml:space="preserve"> fait la déclaration ci-après au nom de l</w:t>
      </w:r>
      <w:r w:rsidR="00C55F21" w:rsidRPr="00884D1A">
        <w:t>'</w:t>
      </w:r>
      <w:r w:rsidR="00147BC8" w:rsidRPr="00884D1A">
        <w:t>Argentine, de l</w:t>
      </w:r>
      <w:r w:rsidR="00C55F21" w:rsidRPr="00884D1A">
        <w:t>'</w:t>
      </w:r>
      <w:r w:rsidR="00147BC8" w:rsidRPr="00884D1A">
        <w:t>Australie, de l</w:t>
      </w:r>
      <w:r w:rsidR="00C55F21" w:rsidRPr="00884D1A">
        <w:t>'</w:t>
      </w:r>
      <w:r w:rsidR="00147BC8" w:rsidRPr="00884D1A">
        <w:t xml:space="preserve">Autriche, des Bahamas, de la Belgique, du Brésil, de la Bulgarie, du Canada, de la Croatie, de Chypre, </w:t>
      </w:r>
      <w:r w:rsidR="00F717B6" w:rsidRPr="00884D1A">
        <w:t>de la République tchèque</w:t>
      </w:r>
      <w:r w:rsidR="00147BC8" w:rsidRPr="00884D1A">
        <w:t xml:space="preserve">, </w:t>
      </w:r>
      <w:r w:rsidR="00F717B6" w:rsidRPr="00884D1A">
        <w:t>du Dane</w:t>
      </w:r>
      <w:r w:rsidR="00147BC8" w:rsidRPr="00884D1A">
        <w:t xml:space="preserve">mark, </w:t>
      </w:r>
      <w:r w:rsidR="00F717B6" w:rsidRPr="00884D1A">
        <w:t>de la République dominicaine</w:t>
      </w:r>
      <w:r w:rsidR="00147BC8" w:rsidRPr="00884D1A">
        <w:t xml:space="preserve">, </w:t>
      </w:r>
      <w:r w:rsidR="00F717B6" w:rsidRPr="00884D1A">
        <w:t>de l</w:t>
      </w:r>
      <w:r w:rsidR="00C55F21" w:rsidRPr="00884D1A">
        <w:t>'</w:t>
      </w:r>
      <w:r w:rsidR="00F717B6" w:rsidRPr="00884D1A">
        <w:t>Estonie</w:t>
      </w:r>
      <w:r w:rsidR="00147BC8" w:rsidRPr="00884D1A">
        <w:t xml:space="preserve">, </w:t>
      </w:r>
      <w:r w:rsidR="00F717B6" w:rsidRPr="00884D1A">
        <w:t xml:space="preserve">de la </w:t>
      </w:r>
      <w:r w:rsidR="00147BC8" w:rsidRPr="00884D1A">
        <w:t xml:space="preserve">France, </w:t>
      </w:r>
      <w:r w:rsidR="00F717B6" w:rsidRPr="00884D1A">
        <w:t>de l</w:t>
      </w:r>
      <w:r w:rsidR="00C55F21" w:rsidRPr="00884D1A">
        <w:t>'</w:t>
      </w:r>
      <w:r w:rsidR="00F717B6" w:rsidRPr="00884D1A">
        <w:t>Allemagne</w:t>
      </w:r>
      <w:r w:rsidR="00147BC8" w:rsidRPr="00884D1A">
        <w:t xml:space="preserve">, </w:t>
      </w:r>
      <w:r w:rsidR="00F717B6" w:rsidRPr="00884D1A">
        <w:t>de la Grèce</w:t>
      </w:r>
      <w:r w:rsidR="00147BC8" w:rsidRPr="00884D1A">
        <w:t xml:space="preserve">, </w:t>
      </w:r>
      <w:r w:rsidR="00F717B6" w:rsidRPr="00884D1A">
        <w:t xml:space="preserve">du </w:t>
      </w:r>
      <w:r w:rsidR="00147BC8" w:rsidRPr="00884D1A">
        <w:t xml:space="preserve">Guatemala, </w:t>
      </w:r>
      <w:r w:rsidR="005E42FB" w:rsidRPr="00884D1A">
        <w:t>de la Hongrie</w:t>
      </w:r>
      <w:r w:rsidR="00147BC8" w:rsidRPr="00884D1A">
        <w:t xml:space="preserve">, </w:t>
      </w:r>
      <w:r w:rsidR="005E42FB" w:rsidRPr="00884D1A">
        <w:t>de l</w:t>
      </w:r>
      <w:r w:rsidR="00C55F21" w:rsidRPr="00884D1A">
        <w:t>'</w:t>
      </w:r>
      <w:r w:rsidR="005E42FB" w:rsidRPr="00884D1A">
        <w:t>Islande, de l</w:t>
      </w:r>
      <w:r w:rsidR="00C55F21" w:rsidRPr="00884D1A">
        <w:t>'</w:t>
      </w:r>
      <w:r w:rsidR="005E42FB" w:rsidRPr="00884D1A">
        <w:t>Irlande</w:t>
      </w:r>
      <w:r w:rsidR="00147BC8" w:rsidRPr="00884D1A">
        <w:t xml:space="preserve">, </w:t>
      </w:r>
      <w:r w:rsidR="005E42FB" w:rsidRPr="00884D1A">
        <w:t>d</w:t>
      </w:r>
      <w:r w:rsidR="00C55F21" w:rsidRPr="00884D1A">
        <w:t>'</w:t>
      </w:r>
      <w:r w:rsidR="005E42FB" w:rsidRPr="00884D1A">
        <w:t>Israël</w:t>
      </w:r>
      <w:r w:rsidR="00147BC8" w:rsidRPr="00884D1A">
        <w:t xml:space="preserve">, </w:t>
      </w:r>
      <w:r w:rsidR="005E42FB" w:rsidRPr="00884D1A">
        <w:t>de l</w:t>
      </w:r>
      <w:r w:rsidR="00C55F21" w:rsidRPr="00884D1A">
        <w:t>'</w:t>
      </w:r>
      <w:r w:rsidR="005E42FB" w:rsidRPr="00884D1A">
        <w:t>Italie</w:t>
      </w:r>
      <w:r w:rsidR="00147BC8" w:rsidRPr="00884D1A">
        <w:t xml:space="preserve">, </w:t>
      </w:r>
      <w:r w:rsidR="005E42FB" w:rsidRPr="00884D1A">
        <w:t>du Japon</w:t>
      </w:r>
      <w:r w:rsidR="00147BC8" w:rsidRPr="00884D1A">
        <w:t xml:space="preserve">, </w:t>
      </w:r>
      <w:r w:rsidR="005E42FB" w:rsidRPr="00884D1A">
        <w:t xml:space="preserve">du </w:t>
      </w:r>
      <w:r w:rsidR="00147BC8" w:rsidRPr="00884D1A">
        <w:t xml:space="preserve">Kenya, </w:t>
      </w:r>
      <w:r w:rsidR="001E6294" w:rsidRPr="00884D1A">
        <w:t xml:space="preserve">du Liechtenstein, </w:t>
      </w:r>
      <w:r w:rsidR="00297D36" w:rsidRPr="00884D1A">
        <w:t>des Pays-Bas</w:t>
      </w:r>
      <w:r w:rsidR="00147BC8" w:rsidRPr="00884D1A">
        <w:t xml:space="preserve">, </w:t>
      </w:r>
      <w:r w:rsidR="00B47705" w:rsidRPr="00884D1A">
        <w:t>de la Lettonie</w:t>
      </w:r>
      <w:r w:rsidR="00147BC8" w:rsidRPr="00884D1A">
        <w:t xml:space="preserve">, </w:t>
      </w:r>
      <w:r w:rsidR="00B47705" w:rsidRPr="00884D1A">
        <w:t>de la Lituanie</w:t>
      </w:r>
      <w:r w:rsidR="00147BC8" w:rsidRPr="00884D1A">
        <w:t xml:space="preserve">, </w:t>
      </w:r>
      <w:r w:rsidR="00B47705" w:rsidRPr="00884D1A">
        <w:t xml:space="preserve">du </w:t>
      </w:r>
      <w:r w:rsidR="00147BC8" w:rsidRPr="00884D1A">
        <w:t xml:space="preserve">Luxembourg, </w:t>
      </w:r>
      <w:r w:rsidR="00B47705" w:rsidRPr="00884D1A">
        <w:t>de Malte</w:t>
      </w:r>
      <w:r w:rsidR="00147BC8" w:rsidRPr="00884D1A">
        <w:t xml:space="preserve">, </w:t>
      </w:r>
      <w:r w:rsidR="00B47705" w:rsidRPr="00884D1A">
        <w:t>du Mexique</w:t>
      </w:r>
      <w:r w:rsidR="00147BC8" w:rsidRPr="00884D1A">
        <w:t xml:space="preserve">, </w:t>
      </w:r>
      <w:r w:rsidR="00BF3BD9" w:rsidRPr="00884D1A">
        <w:t>de la Nouvelle-Zélande</w:t>
      </w:r>
      <w:r w:rsidR="00147BC8" w:rsidRPr="00884D1A">
        <w:t xml:space="preserve">, </w:t>
      </w:r>
      <w:r w:rsidR="00BF3BD9" w:rsidRPr="00884D1A">
        <w:t>de la Norvège</w:t>
      </w:r>
      <w:r w:rsidR="00147BC8" w:rsidRPr="00884D1A">
        <w:t xml:space="preserve">, </w:t>
      </w:r>
      <w:r w:rsidR="00BF3BD9" w:rsidRPr="00884D1A">
        <w:t>de la Papouasie-Nouvelle-Guinée</w:t>
      </w:r>
      <w:r w:rsidR="00147BC8" w:rsidRPr="00884D1A">
        <w:t xml:space="preserve">, </w:t>
      </w:r>
      <w:r w:rsidR="00BF3BD9" w:rsidRPr="00884D1A">
        <w:t xml:space="preserve">du </w:t>
      </w:r>
      <w:r w:rsidR="00147BC8" w:rsidRPr="00884D1A">
        <w:t xml:space="preserve">Paraguay, </w:t>
      </w:r>
      <w:r w:rsidR="00BF3BD9" w:rsidRPr="00884D1A">
        <w:t>des</w:t>
      </w:r>
      <w:r w:rsidR="00147BC8" w:rsidRPr="00884D1A">
        <w:t xml:space="preserve"> Philippines, </w:t>
      </w:r>
      <w:r w:rsidR="00BF3BD9" w:rsidRPr="00884D1A">
        <w:t>de la Pologne</w:t>
      </w:r>
      <w:r w:rsidR="00147BC8" w:rsidRPr="00884D1A">
        <w:t xml:space="preserve">, </w:t>
      </w:r>
      <w:r w:rsidR="00E162B0" w:rsidRPr="00884D1A">
        <w:t xml:space="preserve">du </w:t>
      </w:r>
      <w:r w:rsidR="00147BC8" w:rsidRPr="00884D1A">
        <w:t xml:space="preserve">Portugal, </w:t>
      </w:r>
      <w:r w:rsidR="00E162B0" w:rsidRPr="00884D1A">
        <w:t xml:space="preserve">de </w:t>
      </w:r>
      <w:r w:rsidR="00147BC8" w:rsidRPr="00884D1A">
        <w:t xml:space="preserve">Monaco, </w:t>
      </w:r>
      <w:r w:rsidR="00E162B0" w:rsidRPr="00884D1A">
        <w:t xml:space="preserve">de la </w:t>
      </w:r>
      <w:r w:rsidR="00147BC8" w:rsidRPr="00884D1A">
        <w:t>Finland</w:t>
      </w:r>
      <w:r w:rsidR="00E162B0" w:rsidRPr="00884D1A">
        <w:t>e</w:t>
      </w:r>
      <w:r w:rsidR="00147BC8" w:rsidRPr="00884D1A">
        <w:t xml:space="preserve">, </w:t>
      </w:r>
      <w:r w:rsidR="00E162B0" w:rsidRPr="00884D1A">
        <w:t>de la République de Corée</w:t>
      </w:r>
      <w:r w:rsidR="00147BC8" w:rsidRPr="00884D1A">
        <w:t xml:space="preserve">, </w:t>
      </w:r>
      <w:r w:rsidR="00E162B0" w:rsidRPr="00884D1A">
        <w:t>de la Slovénie</w:t>
      </w:r>
      <w:r w:rsidR="00147BC8" w:rsidRPr="00884D1A">
        <w:t xml:space="preserve">, </w:t>
      </w:r>
      <w:r w:rsidR="00E162B0" w:rsidRPr="00884D1A">
        <w:t>de la Roumanie</w:t>
      </w:r>
      <w:r w:rsidR="00147BC8" w:rsidRPr="00884D1A">
        <w:t xml:space="preserve">, </w:t>
      </w:r>
      <w:r w:rsidR="005F3E8D" w:rsidRPr="00884D1A">
        <w:t xml:space="preserve">du </w:t>
      </w:r>
      <w:r w:rsidR="00147BC8" w:rsidRPr="00884D1A">
        <w:t xml:space="preserve">Rwanda, </w:t>
      </w:r>
      <w:r w:rsidR="005F3E8D" w:rsidRPr="00884D1A">
        <w:t>de la Slovaquie</w:t>
      </w:r>
      <w:r w:rsidR="00147BC8" w:rsidRPr="00884D1A">
        <w:t xml:space="preserve">, </w:t>
      </w:r>
      <w:r w:rsidR="005F3E8D" w:rsidRPr="00884D1A">
        <w:t>de l</w:t>
      </w:r>
      <w:r w:rsidR="00C55F21" w:rsidRPr="00884D1A">
        <w:t>'</w:t>
      </w:r>
      <w:r w:rsidR="005F3E8D" w:rsidRPr="00884D1A">
        <w:t>Espagne</w:t>
      </w:r>
      <w:r w:rsidR="00147BC8" w:rsidRPr="00884D1A">
        <w:t xml:space="preserve">, </w:t>
      </w:r>
      <w:r w:rsidR="005F3E8D" w:rsidRPr="00884D1A">
        <w:t>de la Suède</w:t>
      </w:r>
      <w:r w:rsidR="00147BC8" w:rsidRPr="00884D1A">
        <w:t xml:space="preserve">, </w:t>
      </w:r>
      <w:r w:rsidR="003357A5" w:rsidRPr="00884D1A">
        <w:t>de la Suisse</w:t>
      </w:r>
      <w:r w:rsidR="00147BC8" w:rsidRPr="00884D1A">
        <w:t xml:space="preserve">, </w:t>
      </w:r>
      <w:r w:rsidR="003357A5" w:rsidRPr="00884D1A">
        <w:t>de la Thaïlande</w:t>
      </w:r>
      <w:r w:rsidR="00147BC8" w:rsidRPr="00884D1A">
        <w:t xml:space="preserve">, </w:t>
      </w:r>
      <w:r w:rsidR="003357A5" w:rsidRPr="00884D1A">
        <w:t>de l</w:t>
      </w:r>
      <w:r w:rsidR="00C55F21" w:rsidRPr="00884D1A">
        <w:t>'</w:t>
      </w:r>
      <w:r w:rsidR="00147BC8" w:rsidRPr="00884D1A">
        <w:t xml:space="preserve">Ukraine, </w:t>
      </w:r>
      <w:r w:rsidR="00EA4942" w:rsidRPr="00884D1A">
        <w:t>du Royaume-Uni</w:t>
      </w:r>
      <w:r w:rsidR="00147BC8" w:rsidRPr="00884D1A">
        <w:t xml:space="preserve">, </w:t>
      </w:r>
      <w:r w:rsidR="001A6BE2" w:rsidRPr="00884D1A">
        <w:t>des États</w:t>
      </w:r>
      <w:r w:rsidR="001A6BE2" w:rsidRPr="00884D1A">
        <w:noBreakHyphen/>
      </w:r>
      <w:r w:rsidR="00EA4942" w:rsidRPr="00884D1A">
        <w:t>Unis</w:t>
      </w:r>
      <w:r w:rsidR="00147BC8" w:rsidRPr="00884D1A">
        <w:t xml:space="preserve">, </w:t>
      </w:r>
      <w:r w:rsidR="00EA4942" w:rsidRPr="00884D1A">
        <w:t>de l</w:t>
      </w:r>
      <w:r w:rsidR="00C55F21" w:rsidRPr="00884D1A">
        <w:t>'</w:t>
      </w:r>
      <w:r w:rsidR="00147BC8" w:rsidRPr="00884D1A">
        <w:t xml:space="preserve">Uruguay </w:t>
      </w:r>
      <w:r w:rsidR="00EA4942" w:rsidRPr="00884D1A">
        <w:t xml:space="preserve">et du </w:t>
      </w:r>
      <w:r w:rsidR="00147BC8" w:rsidRPr="00884D1A">
        <w:t>Vanuatu:</w:t>
      </w:r>
    </w:p>
    <w:p w14:paraId="23F67153" w14:textId="1B6CD6D2" w:rsidR="002741E4" w:rsidRPr="00884D1A" w:rsidRDefault="003231CE" w:rsidP="00105640">
      <w:pPr>
        <w:ind w:left="567"/>
      </w:pPr>
      <w:r w:rsidRPr="00884D1A">
        <w:t xml:space="preserve">"Lorsque nous regardons autour de nous, </w:t>
      </w:r>
      <w:r w:rsidR="007B5055" w:rsidRPr="00884D1A">
        <w:t xml:space="preserve">il apparaît </w:t>
      </w:r>
      <w:r w:rsidR="00A94BB5" w:rsidRPr="00884D1A">
        <w:t>que partout dans</w:t>
      </w:r>
      <w:r w:rsidR="007B5055" w:rsidRPr="00884D1A">
        <w:t xml:space="preserve"> le monde, de </w:t>
      </w:r>
      <w:proofErr w:type="gramStart"/>
      <w:r w:rsidR="007B5055" w:rsidRPr="00884D1A">
        <w:t>nombreuses</w:t>
      </w:r>
      <w:proofErr w:type="gramEnd"/>
      <w:r w:rsidR="007B5055" w:rsidRPr="00884D1A">
        <w:t xml:space="preserve"> personnes </w:t>
      </w:r>
      <w:r w:rsidR="00177A78" w:rsidRPr="00884D1A">
        <w:t>s</w:t>
      </w:r>
      <w:r w:rsidR="00C55F21" w:rsidRPr="00884D1A">
        <w:t>'</w:t>
      </w:r>
      <w:r w:rsidR="00177A78" w:rsidRPr="00884D1A">
        <w:t xml:space="preserve">efforcent de progresser sur la voie </w:t>
      </w:r>
      <w:r w:rsidR="003A3469" w:rsidRPr="00884D1A">
        <w:t>de l</w:t>
      </w:r>
      <w:r w:rsidR="00C55F21" w:rsidRPr="00884D1A">
        <w:t>'</w:t>
      </w:r>
      <w:r w:rsidR="003A3469" w:rsidRPr="00884D1A">
        <w:t>égalité homme</w:t>
      </w:r>
      <w:r w:rsidR="00E22B91" w:rsidRPr="00884D1A">
        <w:t>s-femmes. En </w:t>
      </w:r>
      <w:r w:rsidR="003A3469" w:rsidRPr="00884D1A">
        <w:t xml:space="preserve">2019, </w:t>
      </w:r>
      <w:r w:rsidR="003906A4" w:rsidRPr="00884D1A">
        <w:t>nous avons assisté à la première sortie dans l</w:t>
      </w:r>
      <w:r w:rsidR="00C55F21" w:rsidRPr="00884D1A">
        <w:t>'</w:t>
      </w:r>
      <w:r w:rsidR="003906A4" w:rsidRPr="00884D1A">
        <w:t>espace entièrement féminine de l</w:t>
      </w:r>
      <w:r w:rsidR="00C55F21" w:rsidRPr="00884D1A">
        <w:t>'</w:t>
      </w:r>
      <w:r w:rsidR="003906A4" w:rsidRPr="00884D1A">
        <w:t>histoire, à l</w:t>
      </w:r>
      <w:r w:rsidR="00C55F21" w:rsidRPr="00884D1A">
        <w:t>'</w:t>
      </w:r>
      <w:r w:rsidR="003906A4" w:rsidRPr="00884D1A">
        <w:t xml:space="preserve">extérieur de la Station spatiale internationale. </w:t>
      </w:r>
      <w:r w:rsidR="007C76B3" w:rsidRPr="00884D1A">
        <w:t xml:space="preserve">En 2020, </w:t>
      </w:r>
      <w:r w:rsidR="001F520A" w:rsidRPr="00884D1A">
        <w:t xml:space="preserve">25 </w:t>
      </w:r>
      <w:r w:rsidR="002E5A47" w:rsidRPr="00884D1A">
        <w:t xml:space="preserve">pour cent des parlementaires </w:t>
      </w:r>
      <w:r w:rsidR="001F520A" w:rsidRPr="00884D1A">
        <w:t>dans le monde</w:t>
      </w:r>
      <w:r w:rsidR="00A94BB5" w:rsidRPr="00884D1A">
        <w:t xml:space="preserve"> étaient des femmes</w:t>
      </w:r>
      <w:r w:rsidR="001F520A" w:rsidRPr="00884D1A">
        <w:t xml:space="preserve">. </w:t>
      </w:r>
      <w:r w:rsidR="003B58D5" w:rsidRPr="00884D1A">
        <w:t>La présente</w:t>
      </w:r>
      <w:r w:rsidR="004E111C" w:rsidRPr="00884D1A">
        <w:t xml:space="preserve"> Conférence de plénipotentiaires a été la première conférence de l</w:t>
      </w:r>
      <w:r w:rsidR="00C55F21" w:rsidRPr="00884D1A">
        <w:t>'</w:t>
      </w:r>
      <w:r w:rsidR="004E111C" w:rsidRPr="00884D1A">
        <w:t>histoire de l</w:t>
      </w:r>
      <w:r w:rsidR="00C55F21" w:rsidRPr="00884D1A">
        <w:t>'</w:t>
      </w:r>
      <w:r w:rsidR="004E111C" w:rsidRPr="00884D1A">
        <w:t>UIT à intégrer le principe de l</w:t>
      </w:r>
      <w:r w:rsidR="00C55F21" w:rsidRPr="00884D1A">
        <w:t>'</w:t>
      </w:r>
      <w:r w:rsidR="004E111C" w:rsidRPr="00884D1A">
        <w:t>égalité hommes-femmes, et nous avons élu une femme à la tête de l</w:t>
      </w:r>
      <w:r w:rsidR="00C55F21" w:rsidRPr="00884D1A">
        <w:t>'</w:t>
      </w:r>
      <w:r w:rsidR="004E111C" w:rsidRPr="00884D1A">
        <w:t>U</w:t>
      </w:r>
      <w:r w:rsidR="00A94BB5" w:rsidRPr="00884D1A">
        <w:t>nion</w:t>
      </w:r>
      <w:r w:rsidR="004E111C" w:rsidRPr="00884D1A">
        <w:t>, pour la première fois depuis la création de l</w:t>
      </w:r>
      <w:r w:rsidR="00C55F21" w:rsidRPr="00884D1A">
        <w:t>'</w:t>
      </w:r>
      <w:r w:rsidR="004E111C" w:rsidRPr="00884D1A">
        <w:t xml:space="preserve">organisation il y a 157 ans. </w:t>
      </w:r>
      <w:r w:rsidR="00346BA5" w:rsidRPr="00884D1A">
        <w:t>Mais il reste encore beaucoup à faire.</w:t>
      </w:r>
    </w:p>
    <w:p w14:paraId="1944B8AF" w14:textId="77777777" w:rsidR="00E22B91" w:rsidRPr="00884D1A" w:rsidRDefault="00AB7C07" w:rsidP="00105640">
      <w:pPr>
        <w:ind w:left="567"/>
        <w:rPr>
          <w:bCs/>
        </w:rPr>
      </w:pPr>
      <w:r w:rsidRPr="00884D1A">
        <w:rPr>
          <w:bCs/>
        </w:rPr>
        <w:t xml:space="preserve">Nous </w:t>
      </w:r>
      <w:r w:rsidR="00A94BB5" w:rsidRPr="00884D1A">
        <w:rPr>
          <w:bCs/>
        </w:rPr>
        <w:t xml:space="preserve">sommes convaincus </w:t>
      </w:r>
      <w:r w:rsidR="00CB6A3E" w:rsidRPr="00884D1A">
        <w:rPr>
          <w:bCs/>
        </w:rPr>
        <w:t>que l</w:t>
      </w:r>
      <w:r w:rsidR="00C55F21" w:rsidRPr="00884D1A">
        <w:rPr>
          <w:bCs/>
        </w:rPr>
        <w:t>'</w:t>
      </w:r>
      <w:r w:rsidR="00CB6A3E" w:rsidRPr="00884D1A">
        <w:rPr>
          <w:bCs/>
        </w:rPr>
        <w:t xml:space="preserve">égalité hommes-femmes </w:t>
      </w:r>
      <w:r w:rsidR="00E524E4" w:rsidRPr="00884D1A">
        <w:rPr>
          <w:bCs/>
        </w:rPr>
        <w:t>demeure une question transversale prioritaire pour l</w:t>
      </w:r>
      <w:r w:rsidR="00C55F21" w:rsidRPr="00884D1A">
        <w:rPr>
          <w:bCs/>
        </w:rPr>
        <w:t>'</w:t>
      </w:r>
      <w:r w:rsidR="00E524E4" w:rsidRPr="00884D1A">
        <w:rPr>
          <w:bCs/>
        </w:rPr>
        <w:t xml:space="preserve">UIT. </w:t>
      </w:r>
      <w:r w:rsidR="00030ACF" w:rsidRPr="00884D1A">
        <w:rPr>
          <w:bCs/>
        </w:rPr>
        <w:t xml:space="preserve">Nous </w:t>
      </w:r>
      <w:r w:rsidR="000A7B11" w:rsidRPr="00884D1A">
        <w:rPr>
          <w:bCs/>
        </w:rPr>
        <w:t>encourageons l</w:t>
      </w:r>
      <w:r w:rsidR="00C55F21" w:rsidRPr="00884D1A">
        <w:rPr>
          <w:bCs/>
        </w:rPr>
        <w:t>'</w:t>
      </w:r>
      <w:r w:rsidR="000A7B11" w:rsidRPr="00884D1A">
        <w:rPr>
          <w:bCs/>
        </w:rPr>
        <w:t>UIT à remanier ses méthodes de travail pour améliorer l</w:t>
      </w:r>
      <w:r w:rsidR="00C55F21" w:rsidRPr="00884D1A">
        <w:rPr>
          <w:bCs/>
        </w:rPr>
        <w:t>'</w:t>
      </w:r>
      <w:r w:rsidR="001A4344" w:rsidRPr="00884D1A">
        <w:rPr>
          <w:bCs/>
        </w:rPr>
        <w:t>équité hommes-femmes</w:t>
      </w:r>
      <w:r w:rsidR="00914F22" w:rsidRPr="00884D1A">
        <w:rPr>
          <w:bCs/>
        </w:rPr>
        <w:t>, en mettant véritablement l</w:t>
      </w:r>
      <w:r w:rsidR="00C55F21" w:rsidRPr="00884D1A">
        <w:rPr>
          <w:bCs/>
        </w:rPr>
        <w:t>'</w:t>
      </w:r>
      <w:r w:rsidR="00914F22" w:rsidRPr="00884D1A">
        <w:rPr>
          <w:bCs/>
        </w:rPr>
        <w:t xml:space="preserve">accent sur </w:t>
      </w:r>
      <w:r w:rsidR="00F2188B" w:rsidRPr="00884D1A">
        <w:rPr>
          <w:bCs/>
        </w:rPr>
        <w:t>l</w:t>
      </w:r>
      <w:r w:rsidR="00C55F21" w:rsidRPr="00884D1A">
        <w:rPr>
          <w:bCs/>
        </w:rPr>
        <w:t>'</w:t>
      </w:r>
      <w:r w:rsidR="00F2188B" w:rsidRPr="00884D1A">
        <w:rPr>
          <w:bCs/>
        </w:rPr>
        <w:t xml:space="preserve">inclusion et la diversité. </w:t>
      </w:r>
      <w:r w:rsidR="00557024" w:rsidRPr="00884D1A">
        <w:rPr>
          <w:bCs/>
        </w:rPr>
        <w:t xml:space="preserve">Selon nous, </w:t>
      </w:r>
      <w:r w:rsidR="00E4324D" w:rsidRPr="00884D1A">
        <w:rPr>
          <w:bCs/>
        </w:rPr>
        <w:t>pour que les travaux de l</w:t>
      </w:r>
      <w:r w:rsidR="00C55F21" w:rsidRPr="00884D1A">
        <w:rPr>
          <w:bCs/>
        </w:rPr>
        <w:t>'</w:t>
      </w:r>
      <w:r w:rsidR="00E4324D" w:rsidRPr="00884D1A">
        <w:rPr>
          <w:bCs/>
        </w:rPr>
        <w:t xml:space="preserve">UIT permettent de réduire les fractures numériques et </w:t>
      </w:r>
      <w:r w:rsidR="00A94BB5" w:rsidRPr="00884D1A">
        <w:rPr>
          <w:bCs/>
        </w:rPr>
        <w:t>d</w:t>
      </w:r>
      <w:r w:rsidR="00C55F21" w:rsidRPr="00884D1A">
        <w:rPr>
          <w:bCs/>
        </w:rPr>
        <w:t>'</w:t>
      </w:r>
      <w:r w:rsidR="00A94BB5" w:rsidRPr="00884D1A">
        <w:rPr>
          <w:bCs/>
        </w:rPr>
        <w:t>atteindre</w:t>
      </w:r>
      <w:r w:rsidR="00E4324D" w:rsidRPr="00884D1A">
        <w:rPr>
          <w:bCs/>
        </w:rPr>
        <w:t xml:space="preserve"> les ODD, il </w:t>
      </w:r>
      <w:r w:rsidR="00F92677" w:rsidRPr="00884D1A">
        <w:rPr>
          <w:bCs/>
        </w:rPr>
        <w:t>faut impérativement c</w:t>
      </w:r>
      <w:r w:rsidR="00993B5C" w:rsidRPr="00884D1A">
        <w:rPr>
          <w:bCs/>
        </w:rPr>
        <w:t>ontinuer à s</w:t>
      </w:r>
      <w:r w:rsidR="00C55F21" w:rsidRPr="00884D1A">
        <w:rPr>
          <w:bCs/>
        </w:rPr>
        <w:t>'</w:t>
      </w:r>
      <w:r w:rsidR="00993B5C" w:rsidRPr="00884D1A">
        <w:rPr>
          <w:bCs/>
        </w:rPr>
        <w:t xml:space="preserve">efforcer de </w:t>
      </w:r>
      <w:r w:rsidR="00B75456" w:rsidRPr="00884D1A">
        <w:rPr>
          <w:bCs/>
        </w:rPr>
        <w:t xml:space="preserve">comprendre </w:t>
      </w:r>
      <w:r w:rsidR="008261FB" w:rsidRPr="00884D1A">
        <w:rPr>
          <w:bCs/>
        </w:rPr>
        <w:t xml:space="preserve">les incidences </w:t>
      </w:r>
      <w:r w:rsidR="00A94BB5" w:rsidRPr="00884D1A">
        <w:rPr>
          <w:bCs/>
        </w:rPr>
        <w:t>selon que l</w:t>
      </w:r>
      <w:r w:rsidR="00C55F21" w:rsidRPr="00884D1A">
        <w:rPr>
          <w:bCs/>
        </w:rPr>
        <w:t>'</w:t>
      </w:r>
      <w:r w:rsidR="00A94BB5" w:rsidRPr="00884D1A">
        <w:rPr>
          <w:bCs/>
        </w:rPr>
        <w:t>on est un homme ou une femme</w:t>
      </w:r>
      <w:r w:rsidR="008261FB" w:rsidRPr="00884D1A">
        <w:rPr>
          <w:b/>
          <w:bCs/>
        </w:rPr>
        <w:t xml:space="preserve"> </w:t>
      </w:r>
      <w:r w:rsidR="008261FB" w:rsidRPr="00884D1A">
        <w:rPr>
          <w:bCs/>
        </w:rPr>
        <w:t>et de promouvoir l</w:t>
      </w:r>
      <w:r w:rsidR="00C55F21" w:rsidRPr="00884D1A">
        <w:rPr>
          <w:bCs/>
        </w:rPr>
        <w:t>'</w:t>
      </w:r>
      <w:r w:rsidR="008261FB" w:rsidRPr="00884D1A">
        <w:rPr>
          <w:bCs/>
        </w:rPr>
        <w:t>égalité hommes-femmes.</w:t>
      </w:r>
      <w:r w:rsidR="00A94458" w:rsidRPr="00884D1A">
        <w:rPr>
          <w:bCs/>
        </w:rPr>
        <w:t xml:space="preserve"> </w:t>
      </w:r>
      <w:r w:rsidR="00A94BB5" w:rsidRPr="00884D1A">
        <w:rPr>
          <w:bCs/>
        </w:rPr>
        <w:t>L</w:t>
      </w:r>
      <w:r w:rsidR="00A94458" w:rsidRPr="00884D1A">
        <w:rPr>
          <w:bCs/>
        </w:rPr>
        <w:t>es don</w:t>
      </w:r>
      <w:r w:rsidR="00602B5B" w:rsidRPr="00884D1A">
        <w:rPr>
          <w:bCs/>
        </w:rPr>
        <w:t>nées de l</w:t>
      </w:r>
      <w:r w:rsidR="00C55F21" w:rsidRPr="00884D1A">
        <w:rPr>
          <w:bCs/>
        </w:rPr>
        <w:t>'</w:t>
      </w:r>
      <w:r w:rsidR="00602B5B" w:rsidRPr="00884D1A">
        <w:rPr>
          <w:bCs/>
        </w:rPr>
        <w:t>UIT</w:t>
      </w:r>
      <w:r w:rsidR="00A94BB5" w:rsidRPr="00884D1A">
        <w:rPr>
          <w:bCs/>
        </w:rPr>
        <w:t xml:space="preserve"> montrent que</w:t>
      </w:r>
      <w:r w:rsidR="00602B5B" w:rsidRPr="00884D1A">
        <w:rPr>
          <w:bCs/>
        </w:rPr>
        <w:t xml:space="preserve"> la propor</w:t>
      </w:r>
      <w:r w:rsidR="00A94458" w:rsidRPr="00884D1A">
        <w:rPr>
          <w:bCs/>
        </w:rPr>
        <w:t>tion de femmes utilisant l</w:t>
      </w:r>
      <w:r w:rsidR="00C55F21" w:rsidRPr="00884D1A">
        <w:rPr>
          <w:bCs/>
        </w:rPr>
        <w:t>'</w:t>
      </w:r>
      <w:r w:rsidR="00A94458" w:rsidRPr="00884D1A">
        <w:rPr>
          <w:bCs/>
        </w:rPr>
        <w:t xml:space="preserve">Internet dans le monde est de 48 pour cent, contre 58 pour cent des hommes. </w:t>
      </w:r>
      <w:r w:rsidR="00E22B91" w:rsidRPr="00884D1A">
        <w:rPr>
          <w:bCs/>
        </w:rPr>
        <w:br w:type="page"/>
      </w:r>
    </w:p>
    <w:p w14:paraId="526F80F3" w14:textId="685829B3" w:rsidR="00906D9F" w:rsidRPr="00884D1A" w:rsidRDefault="00E22B91" w:rsidP="00105640">
      <w:pPr>
        <w:ind w:left="567"/>
      </w:pPr>
      <w:r w:rsidRPr="00884D1A">
        <w:rPr>
          <w:bCs/>
        </w:rPr>
        <w:lastRenderedPageBreak/>
        <w:t>De </w:t>
      </w:r>
      <w:r w:rsidR="00182261" w:rsidRPr="00884D1A">
        <w:rPr>
          <w:bCs/>
        </w:rPr>
        <w:t xml:space="preserve">plus, </w:t>
      </w:r>
      <w:r w:rsidR="001C2E82" w:rsidRPr="00884D1A">
        <w:rPr>
          <w:bCs/>
        </w:rPr>
        <w:t>les femmes représentent se</w:t>
      </w:r>
      <w:r w:rsidR="00196712" w:rsidRPr="00884D1A">
        <w:rPr>
          <w:bCs/>
        </w:rPr>
        <w:t>ulement 27 pour cent de</w:t>
      </w:r>
      <w:r w:rsidR="00A94BB5" w:rsidRPr="00884D1A">
        <w:rPr>
          <w:bCs/>
        </w:rPr>
        <w:t>s</w:t>
      </w:r>
      <w:r w:rsidR="00196712" w:rsidRPr="00884D1A">
        <w:rPr>
          <w:bCs/>
        </w:rPr>
        <w:t xml:space="preserve"> </w:t>
      </w:r>
      <w:r w:rsidR="00A94BB5" w:rsidRPr="00884D1A">
        <w:rPr>
          <w:bCs/>
        </w:rPr>
        <w:t>professionnels</w:t>
      </w:r>
      <w:r w:rsidR="001C2E82" w:rsidRPr="00884D1A">
        <w:rPr>
          <w:bCs/>
        </w:rPr>
        <w:t xml:space="preserve"> </w:t>
      </w:r>
      <w:r w:rsidR="00196712" w:rsidRPr="00884D1A">
        <w:rPr>
          <w:bCs/>
        </w:rPr>
        <w:t xml:space="preserve">dans le domaine de la </w:t>
      </w:r>
      <w:proofErr w:type="spellStart"/>
      <w:r w:rsidR="00196712" w:rsidRPr="00884D1A">
        <w:rPr>
          <w:bCs/>
        </w:rPr>
        <w:t>cybersécurité</w:t>
      </w:r>
      <w:proofErr w:type="spellEnd"/>
      <w:r w:rsidR="0097520D" w:rsidRPr="00884D1A">
        <w:rPr>
          <w:bCs/>
        </w:rPr>
        <w:t>. Il ne s</w:t>
      </w:r>
      <w:r w:rsidR="00C55F21" w:rsidRPr="00884D1A">
        <w:rPr>
          <w:bCs/>
        </w:rPr>
        <w:t>'</w:t>
      </w:r>
      <w:r w:rsidR="0097520D" w:rsidRPr="00884D1A">
        <w:rPr>
          <w:bCs/>
        </w:rPr>
        <w:t>agit là que de deux exemples des fractures numériques entre les hommes et les femmes, qui sont bien réelles.</w:t>
      </w:r>
    </w:p>
    <w:p w14:paraId="3765EE0A" w14:textId="0D0B193C" w:rsidR="00001E96" w:rsidRPr="00884D1A" w:rsidRDefault="00D31EF8" w:rsidP="00105640">
      <w:pPr>
        <w:ind w:left="567"/>
      </w:pPr>
      <w:r w:rsidRPr="00884D1A">
        <w:t xml:space="preserve">Dans ce contexte, nous déplorons que </w:t>
      </w:r>
      <w:r w:rsidR="00921452" w:rsidRPr="00884D1A">
        <w:t>la présente</w:t>
      </w:r>
      <w:r w:rsidRPr="00884D1A">
        <w:t xml:space="preserve"> </w:t>
      </w:r>
      <w:r w:rsidR="00A94BB5" w:rsidRPr="00884D1A">
        <w:t>C</w:t>
      </w:r>
      <w:r w:rsidRPr="00884D1A">
        <w:t>onférence n</w:t>
      </w:r>
      <w:r w:rsidR="00C55F21" w:rsidRPr="00884D1A">
        <w:t>'</w:t>
      </w:r>
      <w:r w:rsidRPr="00884D1A">
        <w:t xml:space="preserve">ait pas été en mesure de parvenir à un consensus pour </w:t>
      </w:r>
      <w:r w:rsidR="00B14CA8" w:rsidRPr="00884D1A">
        <w:t>inclure</w:t>
      </w:r>
      <w:r w:rsidRPr="00884D1A">
        <w:t xml:space="preserve"> un texte important sur </w:t>
      </w:r>
      <w:r w:rsidR="00B14CA8" w:rsidRPr="00884D1A">
        <w:t>la promotion de l</w:t>
      </w:r>
      <w:r w:rsidR="00C55F21" w:rsidRPr="00884D1A">
        <w:t>'</w:t>
      </w:r>
      <w:r w:rsidR="00B14CA8" w:rsidRPr="00884D1A">
        <w:t xml:space="preserve">égalité hommes-femmes dans un certain nombre de Résolutions. </w:t>
      </w:r>
      <w:r w:rsidR="0096485F" w:rsidRPr="00884D1A">
        <w:t>Ce résultat n</w:t>
      </w:r>
      <w:r w:rsidR="00C55F21" w:rsidRPr="00884D1A">
        <w:t>'</w:t>
      </w:r>
      <w:r w:rsidR="0096485F" w:rsidRPr="00884D1A">
        <w:t>est pas en phase avec l</w:t>
      </w:r>
      <w:r w:rsidR="00C55F21" w:rsidRPr="00884D1A">
        <w:t>'</w:t>
      </w:r>
      <w:r w:rsidR="0096485F" w:rsidRPr="00884D1A">
        <w:t>Obje</w:t>
      </w:r>
      <w:r w:rsidR="00152C2F" w:rsidRPr="00884D1A">
        <w:t xml:space="preserve">ctif de développement durable </w:t>
      </w:r>
      <w:r w:rsidR="0096485F" w:rsidRPr="00884D1A">
        <w:t>5 et avec le système des Nations Unis dans son ensemble. Nous devons faire mieux.</w:t>
      </w:r>
    </w:p>
    <w:p w14:paraId="0244CF73" w14:textId="4A8144FB" w:rsidR="00EB3612" w:rsidRPr="00884D1A" w:rsidRDefault="00FD655A" w:rsidP="00105640">
      <w:pPr>
        <w:ind w:left="567"/>
      </w:pPr>
      <w:r w:rsidRPr="00884D1A">
        <w:t xml:space="preserve">Il </w:t>
      </w:r>
      <w:r w:rsidR="00821E1C" w:rsidRPr="00884D1A">
        <w:t>est plus important que jamais de</w:t>
      </w:r>
      <w:r w:rsidRPr="00884D1A">
        <w:t xml:space="preserve"> connecter </w:t>
      </w:r>
      <w:r w:rsidR="003F7D5B" w:rsidRPr="00884D1A">
        <w:t xml:space="preserve">ceux qui ne le sont pas encore. Cependant, </w:t>
      </w:r>
      <w:r w:rsidR="002C7192" w:rsidRPr="00884D1A">
        <w:t>pour ce faire, nous n</w:t>
      </w:r>
      <w:r w:rsidR="00C55F21" w:rsidRPr="00884D1A">
        <w:t>'</w:t>
      </w:r>
      <w:r w:rsidR="002C7192" w:rsidRPr="00884D1A">
        <w:t>avons d</w:t>
      </w:r>
      <w:r w:rsidR="00C55F21" w:rsidRPr="00884D1A">
        <w:t>'</w:t>
      </w:r>
      <w:r w:rsidR="002C7192" w:rsidRPr="00884D1A">
        <w:t xml:space="preserve">autre choix que de travailler ensemble pour réduire la fracture numérique entre les hommes et les femmes. </w:t>
      </w:r>
      <w:r w:rsidR="00FA048B" w:rsidRPr="00884D1A">
        <w:t xml:space="preserve">Nous appelons tous les pays à reconnaître </w:t>
      </w:r>
      <w:r w:rsidR="00DA1D6A" w:rsidRPr="00884D1A">
        <w:t>qu</w:t>
      </w:r>
      <w:r w:rsidR="00C55F21" w:rsidRPr="00884D1A">
        <w:t>'</w:t>
      </w:r>
      <w:r w:rsidR="00DA1D6A" w:rsidRPr="00884D1A">
        <w:t>il est important de parvenir à</w:t>
      </w:r>
      <w:r w:rsidR="00D57965" w:rsidRPr="00884D1A">
        <w:t xml:space="preserve"> l</w:t>
      </w:r>
      <w:r w:rsidR="00C55F21" w:rsidRPr="00884D1A">
        <w:t>'</w:t>
      </w:r>
      <w:r w:rsidR="00D57965" w:rsidRPr="00884D1A">
        <w:t>égalité hommes-femmes</w:t>
      </w:r>
      <w:r w:rsidR="000E524F" w:rsidRPr="00884D1A">
        <w:t>, afin que nul ne soit laissé pour compte.</w:t>
      </w:r>
      <w:r w:rsidR="00E22B91" w:rsidRPr="00884D1A">
        <w:t>"</w:t>
      </w:r>
    </w:p>
    <w:p w14:paraId="24D7313E" w14:textId="27FF9C98" w:rsidR="00EB3612" w:rsidRPr="00884D1A" w:rsidRDefault="00EB3612" w:rsidP="00105640">
      <w:r w:rsidRPr="00884D1A">
        <w:t>16.4</w:t>
      </w:r>
      <w:r w:rsidRPr="00884D1A">
        <w:tab/>
      </w:r>
      <w:r w:rsidR="00EF520C" w:rsidRPr="00884D1A">
        <w:t xml:space="preserve">Le </w:t>
      </w:r>
      <w:r w:rsidR="00EF520C" w:rsidRPr="00884D1A">
        <w:rPr>
          <w:b/>
        </w:rPr>
        <w:t>délégué du Canada</w:t>
      </w:r>
      <w:r w:rsidR="00EF520C" w:rsidRPr="00884D1A">
        <w:t xml:space="preserve"> fait la déclaration suivante:</w:t>
      </w:r>
    </w:p>
    <w:p w14:paraId="6E88CF6B" w14:textId="737CB264" w:rsidR="00EB3612" w:rsidRPr="00884D1A" w:rsidRDefault="00E22B91" w:rsidP="00105640">
      <w:pPr>
        <w:ind w:left="567"/>
      </w:pPr>
      <w:r w:rsidRPr="00884D1A">
        <w:t>"</w:t>
      </w:r>
      <w:r w:rsidR="00EF520C" w:rsidRPr="00884D1A">
        <w:t>Permettez-moi de commencer par une citation</w:t>
      </w:r>
      <w:r w:rsidR="00EB3612" w:rsidRPr="00884D1A">
        <w:t>:</w:t>
      </w:r>
    </w:p>
    <w:p w14:paraId="28433622" w14:textId="4CA872B6" w:rsidR="004652C3" w:rsidRPr="00884D1A" w:rsidRDefault="006F7D1B" w:rsidP="00105640">
      <w:pPr>
        <w:ind w:left="567"/>
      </w:pPr>
      <w:r w:rsidRPr="00884D1A">
        <w:t>"</w:t>
      </w:r>
      <w:r w:rsidR="004652C3" w:rsidRPr="00884D1A">
        <w:t>J</w:t>
      </w:r>
      <w:r w:rsidR="00C55F21" w:rsidRPr="00884D1A">
        <w:t>'</w:t>
      </w:r>
      <w:r w:rsidR="004652C3" w:rsidRPr="00884D1A">
        <w:t xml:space="preserve">élève ma voix, non </w:t>
      </w:r>
      <w:r w:rsidR="00DD2A69" w:rsidRPr="00884D1A">
        <w:t xml:space="preserve">pas </w:t>
      </w:r>
      <w:r w:rsidR="004652C3" w:rsidRPr="00884D1A">
        <w:t>pour crier, mais pour que ceux qui n</w:t>
      </w:r>
      <w:r w:rsidR="00C55F21" w:rsidRPr="00884D1A">
        <w:t>'</w:t>
      </w:r>
      <w:r w:rsidR="004652C3" w:rsidRPr="00884D1A">
        <w:t xml:space="preserve">ont pas de voix puissent être entendus. </w:t>
      </w:r>
      <w:r w:rsidRPr="00884D1A">
        <w:t>Nous ne pourrons pas réussir si la moitié de l</w:t>
      </w:r>
      <w:r w:rsidR="00C55F21" w:rsidRPr="00884D1A">
        <w:t>'</w:t>
      </w:r>
      <w:r w:rsidRPr="00884D1A">
        <w:t>humanité est tenue à l</w:t>
      </w:r>
      <w:r w:rsidR="00C55F21" w:rsidRPr="00884D1A">
        <w:t>'</w:t>
      </w:r>
      <w:r w:rsidRPr="00884D1A">
        <w:t>écart"</w:t>
      </w:r>
      <w:r w:rsidR="00741443" w:rsidRPr="00884D1A">
        <w:t xml:space="preserve">, a déclaré </w:t>
      </w:r>
      <w:proofErr w:type="spellStart"/>
      <w:r w:rsidR="00741443" w:rsidRPr="00884D1A">
        <w:t>Malala</w:t>
      </w:r>
      <w:proofErr w:type="spellEnd"/>
      <w:r w:rsidRPr="00884D1A">
        <w:t xml:space="preserve"> </w:t>
      </w:r>
      <w:proofErr w:type="spellStart"/>
      <w:r w:rsidRPr="00884D1A">
        <w:t>Yousafzai</w:t>
      </w:r>
      <w:proofErr w:type="spellEnd"/>
      <w:r w:rsidRPr="00884D1A">
        <w:t>, lauréat</w:t>
      </w:r>
      <w:r w:rsidR="0019597D" w:rsidRPr="00884D1A">
        <w:t>e</w:t>
      </w:r>
      <w:r w:rsidR="00DD2A69" w:rsidRPr="00884D1A">
        <w:t xml:space="preserve"> du p</w:t>
      </w:r>
      <w:r w:rsidRPr="00884D1A">
        <w:t>rix Nobel de la paix en 2014.</w:t>
      </w:r>
    </w:p>
    <w:p w14:paraId="2D6D7A5B" w14:textId="27BF0FE8" w:rsidR="00741443" w:rsidRPr="00884D1A" w:rsidRDefault="00CF4C26" w:rsidP="00105640">
      <w:pPr>
        <w:ind w:left="567"/>
      </w:pPr>
      <w:r w:rsidRPr="00884D1A">
        <w:t xml:space="preserve">Le 9 octobre 2012, </w:t>
      </w:r>
      <w:r w:rsidR="00741443" w:rsidRPr="00884D1A">
        <w:t xml:space="preserve">un homme a tiré sur </w:t>
      </w:r>
      <w:proofErr w:type="spellStart"/>
      <w:r w:rsidR="00741443" w:rsidRPr="00884D1A">
        <w:t>Malala</w:t>
      </w:r>
      <w:proofErr w:type="spellEnd"/>
      <w:r w:rsidR="00741443" w:rsidRPr="00884D1A">
        <w:t xml:space="preserve"> </w:t>
      </w:r>
      <w:proofErr w:type="spellStart"/>
      <w:r w:rsidR="00741443" w:rsidRPr="00884D1A">
        <w:t>Yousafzai</w:t>
      </w:r>
      <w:proofErr w:type="spellEnd"/>
      <w:r w:rsidR="00741443" w:rsidRPr="00884D1A">
        <w:t xml:space="preserve">, âgée de 15 ans, et sur deux autres jeunes filles </w:t>
      </w:r>
      <w:r w:rsidR="00BA7A5F" w:rsidRPr="00884D1A">
        <w:t>alors qu</w:t>
      </w:r>
      <w:r w:rsidR="00C55F21" w:rsidRPr="00884D1A">
        <w:t>'</w:t>
      </w:r>
      <w:r w:rsidR="00BA7A5F" w:rsidRPr="00884D1A">
        <w:t>elles se trouvaient dans un bus après un examen, dans une tentative d</w:t>
      </w:r>
      <w:r w:rsidR="00C55F21" w:rsidRPr="00884D1A">
        <w:t>'</w:t>
      </w:r>
      <w:r w:rsidR="00BA7A5F" w:rsidRPr="00884D1A">
        <w:t>assassinat en représailles de l</w:t>
      </w:r>
      <w:r w:rsidR="00C55F21" w:rsidRPr="00884D1A">
        <w:t>'</w:t>
      </w:r>
      <w:r w:rsidR="00BA7A5F" w:rsidRPr="00884D1A">
        <w:t xml:space="preserve">activisme de </w:t>
      </w:r>
      <w:proofErr w:type="spellStart"/>
      <w:r w:rsidR="00BA7A5F" w:rsidRPr="00884D1A">
        <w:t>Malala</w:t>
      </w:r>
      <w:proofErr w:type="spellEnd"/>
      <w:r w:rsidR="00BA7A5F" w:rsidRPr="00884D1A">
        <w:t xml:space="preserve">. </w:t>
      </w:r>
      <w:proofErr w:type="spellStart"/>
      <w:r w:rsidR="0043374F" w:rsidRPr="00884D1A">
        <w:t>Malala</w:t>
      </w:r>
      <w:proofErr w:type="spellEnd"/>
      <w:r w:rsidR="00BA7A5F" w:rsidRPr="00884D1A">
        <w:t xml:space="preserve"> a survécu.</w:t>
      </w:r>
      <w:r w:rsidR="0043374F" w:rsidRPr="00884D1A">
        <w:t xml:space="preserve"> </w:t>
      </w:r>
      <w:r w:rsidR="00C36128" w:rsidRPr="00884D1A">
        <w:t xml:space="preserve">Elle a été visée en raison de son activisme </w:t>
      </w:r>
      <w:r w:rsidR="00DD3825" w:rsidRPr="00884D1A">
        <w:t>dans le domaine de la défense et de la promotion des</w:t>
      </w:r>
      <w:r w:rsidR="00664894" w:rsidRPr="00884D1A">
        <w:t xml:space="preserve"> femmes et </w:t>
      </w:r>
      <w:r w:rsidR="00DD3825" w:rsidRPr="00884D1A">
        <w:t xml:space="preserve">de </w:t>
      </w:r>
      <w:r w:rsidR="00664894" w:rsidRPr="00884D1A">
        <w:t xml:space="preserve">leurs droits: </w:t>
      </w:r>
      <w:r w:rsidR="004530DA" w:rsidRPr="00884D1A">
        <w:t xml:space="preserve">le droit </w:t>
      </w:r>
      <w:r w:rsidR="00EE2B2F" w:rsidRPr="00884D1A">
        <w:t xml:space="preserve">à la liberté </w:t>
      </w:r>
      <w:r w:rsidR="004530DA" w:rsidRPr="00884D1A">
        <w:t>d</w:t>
      </w:r>
      <w:r w:rsidR="00C55F21" w:rsidRPr="00884D1A">
        <w:t>'</w:t>
      </w:r>
      <w:r w:rsidR="004530DA" w:rsidRPr="00884D1A">
        <w:t>expression, le droit à l</w:t>
      </w:r>
      <w:r w:rsidR="00C55F21" w:rsidRPr="00884D1A">
        <w:t>'</w:t>
      </w:r>
      <w:r w:rsidR="004530DA" w:rsidRPr="00884D1A">
        <w:t xml:space="preserve">éducation, </w:t>
      </w:r>
      <w:r w:rsidR="00A40273" w:rsidRPr="00884D1A">
        <w:t xml:space="preserve">le droit de voyager, </w:t>
      </w:r>
      <w:r w:rsidR="0091455E" w:rsidRPr="00884D1A">
        <w:t xml:space="preserve">le droit aux soins de santé, </w:t>
      </w:r>
      <w:r w:rsidR="005C6B3B" w:rsidRPr="00884D1A">
        <w:t xml:space="preserve">le droit de se déplacer librement, </w:t>
      </w:r>
      <w:r w:rsidR="00495EFE" w:rsidRPr="00884D1A">
        <w:t xml:space="preserve">en paix et sans crainte, le droit </w:t>
      </w:r>
      <w:r w:rsidR="00114444" w:rsidRPr="00884D1A">
        <w:t>à la dissidence et le droit d</w:t>
      </w:r>
      <w:r w:rsidR="00C55F21" w:rsidRPr="00884D1A">
        <w:t>'</w:t>
      </w:r>
      <w:r w:rsidR="00114444" w:rsidRPr="00884D1A">
        <w:t>utiliser l</w:t>
      </w:r>
      <w:r w:rsidR="00C55F21" w:rsidRPr="00884D1A">
        <w:t>'</w:t>
      </w:r>
      <w:r w:rsidR="00114444" w:rsidRPr="00884D1A">
        <w:t>Internet et d</w:t>
      </w:r>
      <w:r w:rsidR="00C55F21" w:rsidRPr="00884D1A">
        <w:t>'</w:t>
      </w:r>
      <w:r w:rsidR="00114444" w:rsidRPr="00884D1A">
        <w:t xml:space="preserve">y </w:t>
      </w:r>
      <w:r w:rsidR="00907656" w:rsidRPr="00884D1A">
        <w:t>avoir accès</w:t>
      </w:r>
      <w:r w:rsidR="00114444" w:rsidRPr="00884D1A">
        <w:t>.</w:t>
      </w:r>
      <w:r w:rsidR="007901FF" w:rsidRPr="00884D1A">
        <w:t xml:space="preserve"> Ce sont des droits humains fondamentaux.</w:t>
      </w:r>
    </w:p>
    <w:p w14:paraId="1843CC3A" w14:textId="72EE2282" w:rsidR="00E54ABC" w:rsidRPr="00884D1A" w:rsidRDefault="00E54ABC" w:rsidP="00105640">
      <w:pPr>
        <w:ind w:left="567"/>
      </w:pPr>
      <w:r w:rsidRPr="00884D1A">
        <w:t xml:space="preserve">Si </w:t>
      </w:r>
      <w:proofErr w:type="spellStart"/>
      <w:r w:rsidRPr="00884D1A">
        <w:t>Malala</w:t>
      </w:r>
      <w:proofErr w:type="spellEnd"/>
      <w:r w:rsidRPr="00884D1A">
        <w:t xml:space="preserve"> avait assisté aux discussions </w:t>
      </w:r>
      <w:r w:rsidR="005C69CC" w:rsidRPr="00884D1A">
        <w:t>d</w:t>
      </w:r>
      <w:r w:rsidR="00C55F21" w:rsidRPr="00884D1A">
        <w:t>'</w:t>
      </w:r>
      <w:r w:rsidR="005C69CC" w:rsidRPr="00884D1A">
        <w:t xml:space="preserve">hier </w:t>
      </w:r>
      <w:r w:rsidR="007119C9" w:rsidRPr="00884D1A">
        <w:t xml:space="preserve">sur la Résolution 139 et </w:t>
      </w:r>
      <w:r w:rsidR="0090318B" w:rsidRPr="00884D1A">
        <w:t>qu</w:t>
      </w:r>
      <w:r w:rsidR="00C55F21" w:rsidRPr="00884D1A">
        <w:t>'</w:t>
      </w:r>
      <w:r w:rsidR="0090318B" w:rsidRPr="00884D1A">
        <w:t>elle avait entendu certaines des interventions condescendantes</w:t>
      </w:r>
      <w:r w:rsidR="00DD3825" w:rsidRPr="00884D1A">
        <w:t xml:space="preserve"> et méprisantes</w:t>
      </w:r>
      <w:r w:rsidR="0090318B" w:rsidRPr="00884D1A">
        <w:t>, elle aurait probablement demandé ceci: "</w:t>
      </w:r>
      <w:r w:rsidR="006D412C" w:rsidRPr="00884D1A">
        <w:t xml:space="preserve">quel mal y </w:t>
      </w:r>
      <w:proofErr w:type="spellStart"/>
      <w:r w:rsidR="006D412C" w:rsidRPr="00884D1A">
        <w:t>a-t-il</w:t>
      </w:r>
      <w:proofErr w:type="spellEnd"/>
      <w:r w:rsidR="00ED4F53" w:rsidRPr="00884D1A">
        <w:t xml:space="preserve"> à demander à l</w:t>
      </w:r>
      <w:r w:rsidR="00C55F21" w:rsidRPr="00884D1A">
        <w:t>'</w:t>
      </w:r>
      <w:r w:rsidR="00ED4F53" w:rsidRPr="00884D1A">
        <w:t>UIT de continuer de promouvoir l</w:t>
      </w:r>
      <w:r w:rsidR="00C55F21" w:rsidRPr="00884D1A">
        <w:t>'</w:t>
      </w:r>
      <w:r w:rsidR="00ED4F53" w:rsidRPr="00884D1A">
        <w:t xml:space="preserve">inclusion de toutes les femmes et les jeunes filles? </w:t>
      </w:r>
      <w:r w:rsidR="006D412C" w:rsidRPr="00884D1A">
        <w:t xml:space="preserve">Quel mal y </w:t>
      </w:r>
      <w:proofErr w:type="spellStart"/>
      <w:r w:rsidR="006D412C" w:rsidRPr="00884D1A">
        <w:t>a-t-il</w:t>
      </w:r>
      <w:proofErr w:type="spellEnd"/>
      <w:r w:rsidR="006D412C" w:rsidRPr="00884D1A">
        <w:t xml:space="preserve"> </w:t>
      </w:r>
      <w:r w:rsidR="00ED4F53" w:rsidRPr="00884D1A">
        <w:t xml:space="preserve">à </w:t>
      </w:r>
      <w:r w:rsidR="00D62BE1" w:rsidRPr="00884D1A">
        <w:t xml:space="preserve">soutenir les groupes vulnérables et marginalisés, les personnes âgées et les personnes handicapées, et </w:t>
      </w:r>
      <w:r w:rsidR="00A82F7B" w:rsidRPr="00884D1A">
        <w:t>à promouvoir la réduction de la fracture numérique entre les hommes et les femmes?".</w:t>
      </w:r>
    </w:p>
    <w:p w14:paraId="4344DADE" w14:textId="405EB5C4" w:rsidR="00EB3612" w:rsidRPr="00884D1A" w:rsidRDefault="003A37E8" w:rsidP="00105640">
      <w:pPr>
        <w:ind w:left="567"/>
      </w:pPr>
      <w:r w:rsidRPr="00884D1A">
        <w:t xml:space="preserve">Elle dirait probablement ceci: "Messieurs, nous sommes en 2022. De quoi avez-vous peur? </w:t>
      </w:r>
      <w:r w:rsidR="007042A8" w:rsidRPr="00884D1A">
        <w:t>Que vous arrive-t-il</w:t>
      </w:r>
      <w:r w:rsidR="00211528" w:rsidRPr="00884D1A">
        <w:t>?</w:t>
      </w:r>
      <w:r w:rsidR="00CD5285" w:rsidRPr="00884D1A">
        <w:t>"</w:t>
      </w:r>
      <w:r w:rsidR="00211528" w:rsidRPr="00884D1A">
        <w:t>.</w:t>
      </w:r>
    </w:p>
    <w:p w14:paraId="72254683" w14:textId="1E802789" w:rsidR="00135D53" w:rsidRPr="00884D1A" w:rsidRDefault="00EB3612" w:rsidP="00105640">
      <w:r w:rsidRPr="00884D1A">
        <w:t>16.5</w:t>
      </w:r>
      <w:r w:rsidRPr="00884D1A">
        <w:tab/>
      </w:r>
      <w:r w:rsidR="00135D53" w:rsidRPr="00884D1A">
        <w:t xml:space="preserve">Le </w:t>
      </w:r>
      <w:r w:rsidR="00135D53" w:rsidRPr="00884D1A">
        <w:rPr>
          <w:b/>
        </w:rPr>
        <w:t>délégué du Royaume-Uni</w:t>
      </w:r>
      <w:r w:rsidR="00135D53" w:rsidRPr="00884D1A">
        <w:t xml:space="preserve"> fait la déclaration suivante:</w:t>
      </w:r>
    </w:p>
    <w:p w14:paraId="2D5B8DC3" w14:textId="1EB53EC1" w:rsidR="00643228" w:rsidRPr="00884D1A" w:rsidRDefault="00643228" w:rsidP="00105640">
      <w:pPr>
        <w:ind w:left="567"/>
        <w:rPr>
          <w:iCs/>
        </w:rPr>
      </w:pPr>
      <w:r w:rsidRPr="00884D1A">
        <w:rPr>
          <w:iCs/>
        </w:rPr>
        <w:t xml:space="preserve">"Au nom du Royaume-Uni, </w:t>
      </w:r>
      <w:r w:rsidR="00435E69" w:rsidRPr="00884D1A">
        <w:rPr>
          <w:iCs/>
        </w:rPr>
        <w:t xml:space="preserve">je tiens comme de nombreux autres pays à exprimer notre </w:t>
      </w:r>
      <w:r w:rsidR="004E614D" w:rsidRPr="00884D1A">
        <w:rPr>
          <w:iCs/>
        </w:rPr>
        <w:t xml:space="preserve">immense </w:t>
      </w:r>
      <w:r w:rsidR="00435E69" w:rsidRPr="00884D1A">
        <w:rPr>
          <w:iCs/>
        </w:rPr>
        <w:t>déception</w:t>
      </w:r>
      <w:r w:rsidR="00A57F28" w:rsidRPr="00884D1A">
        <w:rPr>
          <w:iCs/>
        </w:rPr>
        <w:t>, face à l</w:t>
      </w:r>
      <w:r w:rsidR="00C55F21" w:rsidRPr="00884D1A">
        <w:rPr>
          <w:iCs/>
        </w:rPr>
        <w:t>'</w:t>
      </w:r>
      <w:r w:rsidR="00A57F28" w:rsidRPr="00884D1A">
        <w:rPr>
          <w:iCs/>
        </w:rPr>
        <w:t xml:space="preserve">incapacité de </w:t>
      </w:r>
      <w:r w:rsidR="00BA0E68" w:rsidRPr="00884D1A">
        <w:rPr>
          <w:iCs/>
        </w:rPr>
        <w:t>la présente</w:t>
      </w:r>
      <w:r w:rsidR="00A57F28" w:rsidRPr="00884D1A">
        <w:rPr>
          <w:iCs/>
        </w:rPr>
        <w:t xml:space="preserve"> </w:t>
      </w:r>
      <w:r w:rsidR="00DD3825" w:rsidRPr="00884D1A">
        <w:rPr>
          <w:iCs/>
        </w:rPr>
        <w:t>C</w:t>
      </w:r>
      <w:r w:rsidR="00A57F28" w:rsidRPr="00884D1A">
        <w:rPr>
          <w:iCs/>
        </w:rPr>
        <w:t xml:space="preserve">onférence </w:t>
      </w:r>
      <w:r w:rsidR="00532FF5" w:rsidRPr="00884D1A">
        <w:rPr>
          <w:iCs/>
        </w:rPr>
        <w:t>de reconnaître que les femmes et les jeunes filles, ainsi que d</w:t>
      </w:r>
      <w:r w:rsidR="00C55F21" w:rsidRPr="00884D1A">
        <w:rPr>
          <w:iCs/>
        </w:rPr>
        <w:t>'</w:t>
      </w:r>
      <w:r w:rsidR="00532FF5" w:rsidRPr="00884D1A">
        <w:rPr>
          <w:iCs/>
        </w:rPr>
        <w:t xml:space="preserve">autres groupes </w:t>
      </w:r>
      <w:r w:rsidR="00550A6D" w:rsidRPr="00884D1A">
        <w:rPr>
          <w:iCs/>
        </w:rPr>
        <w:t xml:space="preserve">de population clés, </w:t>
      </w:r>
      <w:r w:rsidR="005E2D48" w:rsidRPr="00884D1A">
        <w:rPr>
          <w:iCs/>
        </w:rPr>
        <w:t xml:space="preserve">sont particulièrement affectés par la fracture numérique. </w:t>
      </w:r>
      <w:r w:rsidR="00AE7694" w:rsidRPr="00884D1A">
        <w:rPr>
          <w:iCs/>
        </w:rPr>
        <w:t xml:space="preserve">Nous souhaitons nous aussi que cette déclaration soit </w:t>
      </w:r>
      <w:r w:rsidR="00DD3825" w:rsidRPr="00884D1A">
        <w:rPr>
          <w:iCs/>
        </w:rPr>
        <w:t>consignée au</w:t>
      </w:r>
      <w:r w:rsidR="00AE7694" w:rsidRPr="00884D1A">
        <w:rPr>
          <w:iCs/>
        </w:rPr>
        <w:t xml:space="preserve"> procès-verbal de la séance plénière.</w:t>
      </w:r>
    </w:p>
    <w:p w14:paraId="5CC30E88" w14:textId="77777777" w:rsidR="00CD5285" w:rsidRPr="00884D1A" w:rsidRDefault="00CD5285" w:rsidP="00105640">
      <w:pPr>
        <w:ind w:left="567"/>
        <w:rPr>
          <w:iCs/>
        </w:rPr>
      </w:pPr>
      <w:r w:rsidRPr="00884D1A">
        <w:rPr>
          <w:iCs/>
        </w:rPr>
        <w:br w:type="page"/>
      </w:r>
    </w:p>
    <w:p w14:paraId="0EE5BEB2" w14:textId="6F7CC8A2" w:rsidR="00EB3612" w:rsidRPr="00884D1A" w:rsidRDefault="0040761D" w:rsidP="00105640">
      <w:pPr>
        <w:ind w:left="567"/>
      </w:pPr>
      <w:r w:rsidRPr="00884D1A">
        <w:rPr>
          <w:iCs/>
        </w:rPr>
        <w:lastRenderedPageBreak/>
        <w:t xml:space="preserve">Nous </w:t>
      </w:r>
      <w:r w:rsidR="0040312D" w:rsidRPr="00884D1A">
        <w:rPr>
          <w:iCs/>
        </w:rPr>
        <w:t xml:space="preserve">nous félicitons des </w:t>
      </w:r>
      <w:r w:rsidR="00892109" w:rsidRPr="00884D1A">
        <w:rPr>
          <w:iCs/>
        </w:rPr>
        <w:t>progrès</w:t>
      </w:r>
      <w:r w:rsidR="0040312D" w:rsidRPr="00884D1A">
        <w:rPr>
          <w:iCs/>
        </w:rPr>
        <w:t xml:space="preserve"> </w:t>
      </w:r>
      <w:r w:rsidR="004A21F2" w:rsidRPr="00884D1A">
        <w:rPr>
          <w:iCs/>
        </w:rPr>
        <w:t xml:space="preserve">importants qui ont été </w:t>
      </w:r>
      <w:r w:rsidR="00892109" w:rsidRPr="00884D1A">
        <w:rPr>
          <w:iCs/>
        </w:rPr>
        <w:t>accomplis</w:t>
      </w:r>
      <w:r w:rsidR="004A21F2" w:rsidRPr="00884D1A">
        <w:rPr>
          <w:iCs/>
        </w:rPr>
        <w:t xml:space="preserve"> concernant cette Résolution mais, sur cette question, nous avons malheureusement échoué. </w:t>
      </w:r>
      <w:r w:rsidR="00343AB8" w:rsidRPr="00884D1A">
        <w:rPr>
          <w:iCs/>
        </w:rPr>
        <w:t>Cependant, vouloir c</w:t>
      </w:r>
      <w:r w:rsidR="00C55F21" w:rsidRPr="00884D1A">
        <w:rPr>
          <w:iCs/>
        </w:rPr>
        <w:t>'</w:t>
      </w:r>
      <w:r w:rsidR="00343AB8" w:rsidRPr="00884D1A">
        <w:rPr>
          <w:iCs/>
        </w:rPr>
        <w:t xml:space="preserve">est pouvoir. </w:t>
      </w:r>
      <w:r w:rsidR="003861CA" w:rsidRPr="00884D1A">
        <w:rPr>
          <w:iCs/>
        </w:rPr>
        <w:t>J</w:t>
      </w:r>
      <w:r w:rsidR="00C55F21" w:rsidRPr="00884D1A">
        <w:rPr>
          <w:iCs/>
        </w:rPr>
        <w:t>'</w:t>
      </w:r>
      <w:r w:rsidR="003861CA" w:rsidRPr="00884D1A">
        <w:rPr>
          <w:iCs/>
        </w:rPr>
        <w:t xml:space="preserve">ai la conviction que </w:t>
      </w:r>
      <w:r w:rsidR="00D3304A" w:rsidRPr="00884D1A">
        <w:rPr>
          <w:iCs/>
        </w:rPr>
        <w:t xml:space="preserve">si les délégués présents dans cette salle unissent leurs efforts, </w:t>
      </w:r>
      <w:r w:rsidR="00E56717" w:rsidRPr="00884D1A">
        <w:rPr>
          <w:iCs/>
        </w:rPr>
        <w:t>d</w:t>
      </w:r>
      <w:r w:rsidR="00C55F21" w:rsidRPr="00884D1A">
        <w:rPr>
          <w:iCs/>
        </w:rPr>
        <w:t>'</w:t>
      </w:r>
      <w:r w:rsidR="00E56717" w:rsidRPr="00884D1A">
        <w:rPr>
          <w:iCs/>
        </w:rPr>
        <w:t>importants progrès pourront être accomplis avant la prochaine Conférence de plénipotentiaires.</w:t>
      </w:r>
      <w:r w:rsidR="00CD5285" w:rsidRPr="00884D1A">
        <w:rPr>
          <w:iCs/>
        </w:rPr>
        <w:t>"</w:t>
      </w:r>
    </w:p>
    <w:p w14:paraId="433C7B44" w14:textId="358D3D65" w:rsidR="009A647E" w:rsidRPr="00884D1A" w:rsidRDefault="00EB3612" w:rsidP="00105640">
      <w:r w:rsidRPr="00884D1A">
        <w:t>16.6</w:t>
      </w:r>
      <w:r w:rsidRPr="00884D1A">
        <w:tab/>
      </w:r>
      <w:r w:rsidR="009A647E" w:rsidRPr="00884D1A">
        <w:t xml:space="preserve">La </w:t>
      </w:r>
      <w:r w:rsidR="009A647E" w:rsidRPr="00884D1A">
        <w:rPr>
          <w:b/>
        </w:rPr>
        <w:t>déléguée de la Roumanie</w:t>
      </w:r>
      <w:r w:rsidR="009A647E" w:rsidRPr="00884D1A">
        <w:t>, s</w:t>
      </w:r>
      <w:r w:rsidR="00C55F21" w:rsidRPr="00884D1A">
        <w:t>'</w:t>
      </w:r>
      <w:r w:rsidR="009A647E" w:rsidRPr="00884D1A">
        <w:t xml:space="preserve">exprimant au nom du pays hôte, </w:t>
      </w:r>
      <w:r w:rsidR="00234FB7" w:rsidRPr="00884D1A">
        <w:t xml:space="preserve">déclare que les </w:t>
      </w:r>
      <w:r w:rsidR="00FF7BB4" w:rsidRPr="00884D1A">
        <w:t>commentaires désobligeants à l</w:t>
      </w:r>
      <w:r w:rsidR="00C55F21" w:rsidRPr="00884D1A">
        <w:t>'</w:t>
      </w:r>
      <w:r w:rsidR="00FF7BB4" w:rsidRPr="00884D1A">
        <w:t>égard des femmes n</w:t>
      </w:r>
      <w:r w:rsidR="00C55F21" w:rsidRPr="00884D1A">
        <w:t>'</w:t>
      </w:r>
      <w:r w:rsidR="00FF7BB4" w:rsidRPr="00884D1A">
        <w:t>ont pas leur place à l</w:t>
      </w:r>
      <w:r w:rsidR="00C55F21" w:rsidRPr="00884D1A">
        <w:t>'</w:t>
      </w:r>
      <w:r w:rsidR="00FF7BB4" w:rsidRPr="00884D1A">
        <w:t xml:space="preserve">UIT. </w:t>
      </w:r>
      <w:r w:rsidR="00D546B4" w:rsidRPr="00884D1A">
        <w:t xml:space="preserve">Les efforts inlassables des délégués, </w:t>
      </w:r>
      <w:r w:rsidR="00DD3825" w:rsidRPr="00884D1A">
        <w:t>hommes et femmes</w:t>
      </w:r>
      <w:r w:rsidR="00D546B4" w:rsidRPr="00884D1A">
        <w:t xml:space="preserve">, </w:t>
      </w:r>
      <w:r w:rsidR="00BF3DBA" w:rsidRPr="00884D1A">
        <w:t>sont appréciés</w:t>
      </w:r>
      <w:r w:rsidR="00D546B4" w:rsidRPr="00884D1A">
        <w:t xml:space="preserve">, et le respect mutuel est important. </w:t>
      </w:r>
      <w:r w:rsidR="00DD3825" w:rsidRPr="00884D1A">
        <w:t>Elle</w:t>
      </w:r>
      <w:r w:rsidR="00C57D86" w:rsidRPr="00884D1A">
        <w:t xml:space="preserve"> rappelle aux participants </w:t>
      </w:r>
      <w:r w:rsidR="007B53D9" w:rsidRPr="00884D1A">
        <w:t>le Code de conduite de l</w:t>
      </w:r>
      <w:r w:rsidR="00C55F21" w:rsidRPr="00884D1A">
        <w:t>'</w:t>
      </w:r>
      <w:r w:rsidR="007B53D9" w:rsidRPr="00884D1A">
        <w:t>UIT visant à prévenir le harcèlement sexuel</w:t>
      </w:r>
      <w:r w:rsidR="00AE31F8" w:rsidRPr="00884D1A">
        <w:t xml:space="preserve"> au cours ou dans le cadre des manifestations de l</w:t>
      </w:r>
      <w:r w:rsidR="00C55F21" w:rsidRPr="00884D1A">
        <w:t>'</w:t>
      </w:r>
      <w:r w:rsidR="00AE31F8" w:rsidRPr="00884D1A">
        <w:t>UIT</w:t>
      </w:r>
      <w:r w:rsidR="00927654" w:rsidRPr="00884D1A">
        <w:t xml:space="preserve">. </w:t>
      </w:r>
      <w:r w:rsidR="00D537FC" w:rsidRPr="00884D1A">
        <w:t xml:space="preserve">Pour la première fois, </w:t>
      </w:r>
      <w:r w:rsidR="006B5DC3" w:rsidRPr="00884D1A">
        <w:t xml:space="preserve">plus de 30 pour cent des délégués </w:t>
      </w:r>
      <w:r w:rsidR="00943CCA" w:rsidRPr="00884D1A">
        <w:t>participant</w:t>
      </w:r>
      <w:r w:rsidR="00DD3825" w:rsidRPr="00884D1A">
        <w:t xml:space="preserve"> à une Conférence de plénipotentiaires</w:t>
      </w:r>
      <w:r w:rsidR="00943CCA" w:rsidRPr="00884D1A">
        <w:t xml:space="preserve"> </w:t>
      </w:r>
      <w:r w:rsidR="00472BE2" w:rsidRPr="00884D1A">
        <w:t>sont des femmes</w:t>
      </w:r>
      <w:r w:rsidR="0052412B" w:rsidRPr="00884D1A">
        <w:t>, et si cette proportion continue d</w:t>
      </w:r>
      <w:r w:rsidR="00C55F21" w:rsidRPr="00884D1A">
        <w:t>'</w:t>
      </w:r>
      <w:r w:rsidR="0052412B" w:rsidRPr="00884D1A">
        <w:t xml:space="preserve">augmenter, </w:t>
      </w:r>
      <w:r w:rsidR="004D756D" w:rsidRPr="00884D1A">
        <w:t>l</w:t>
      </w:r>
      <w:r w:rsidR="00C55F21" w:rsidRPr="00884D1A">
        <w:t>'</w:t>
      </w:r>
      <w:r w:rsidR="004D756D" w:rsidRPr="00884D1A">
        <w:t>UIT devra passer de la parole aux actes et d</w:t>
      </w:r>
      <w:r w:rsidR="00300243" w:rsidRPr="00884D1A">
        <w:t>evenir véritablement inclusive.</w:t>
      </w:r>
    </w:p>
    <w:p w14:paraId="039DC947" w14:textId="76D8A3CB" w:rsidR="002D7115" w:rsidRPr="00884D1A" w:rsidRDefault="00EB3612" w:rsidP="00105640">
      <w:r w:rsidRPr="00884D1A">
        <w:t>16.7</w:t>
      </w:r>
      <w:r w:rsidRPr="00884D1A">
        <w:tab/>
      </w:r>
      <w:r w:rsidR="008726A1" w:rsidRPr="00884D1A">
        <w:t>La</w:t>
      </w:r>
      <w:r w:rsidR="002D7115" w:rsidRPr="00884D1A">
        <w:t xml:space="preserve"> </w:t>
      </w:r>
      <w:r w:rsidR="002D7115" w:rsidRPr="00884D1A">
        <w:rPr>
          <w:b/>
        </w:rPr>
        <w:t>délégué</w:t>
      </w:r>
      <w:r w:rsidR="008726A1" w:rsidRPr="00884D1A">
        <w:rPr>
          <w:b/>
        </w:rPr>
        <w:t>e</w:t>
      </w:r>
      <w:r w:rsidR="002D7115" w:rsidRPr="00884D1A">
        <w:rPr>
          <w:b/>
        </w:rPr>
        <w:t xml:space="preserve"> de la République dominicaine</w:t>
      </w:r>
      <w:r w:rsidR="002D7115" w:rsidRPr="00884D1A">
        <w:t xml:space="preserve"> </w:t>
      </w:r>
      <w:r w:rsidR="0041284C" w:rsidRPr="00884D1A">
        <w:t xml:space="preserve">souscrit aux observations </w:t>
      </w:r>
      <w:r w:rsidR="00913E6F" w:rsidRPr="00884D1A">
        <w:t xml:space="preserve">des </w:t>
      </w:r>
      <w:r w:rsidR="00453134" w:rsidRPr="00884D1A">
        <w:t>intervenants précédents</w:t>
      </w:r>
      <w:r w:rsidR="00C27162" w:rsidRPr="00884D1A">
        <w:t>, et fait la déclaration suivante:</w:t>
      </w:r>
    </w:p>
    <w:p w14:paraId="683D2513" w14:textId="678FBCBA" w:rsidR="00680661" w:rsidRPr="00884D1A" w:rsidRDefault="00680661" w:rsidP="00105640">
      <w:pPr>
        <w:ind w:left="567"/>
      </w:pPr>
      <w:r w:rsidRPr="00884D1A">
        <w:t xml:space="preserve">"La République dominicaine </w:t>
      </w:r>
      <w:r w:rsidR="009C3581" w:rsidRPr="00884D1A">
        <w:t xml:space="preserve">réaffirme </w:t>
      </w:r>
      <w:r w:rsidR="00BC6AC8" w:rsidRPr="00884D1A">
        <w:t xml:space="preserve">son appui sans réserve à la déclaration </w:t>
      </w:r>
      <w:r w:rsidR="004B4DD2" w:rsidRPr="00884D1A">
        <w:t>du délégué</w:t>
      </w:r>
      <w:r w:rsidR="00FD4046" w:rsidRPr="00884D1A">
        <w:t xml:space="preserve"> du Danemark. Je fais cette déclaration non seulement en tant que représentante </w:t>
      </w:r>
      <w:r w:rsidR="00610B2A" w:rsidRPr="00884D1A">
        <w:t>de l</w:t>
      </w:r>
      <w:r w:rsidR="00C55F21" w:rsidRPr="00884D1A">
        <w:t>'</w:t>
      </w:r>
      <w:r w:rsidR="00610B2A" w:rsidRPr="00884D1A">
        <w:t xml:space="preserve">État dominicain, mais également </w:t>
      </w:r>
      <w:r w:rsidR="00006BA5" w:rsidRPr="00884D1A">
        <w:t xml:space="preserve">en tant que femme </w:t>
      </w:r>
      <w:r w:rsidR="00891C4A" w:rsidRPr="00884D1A">
        <w:t>et mère d</w:t>
      </w:r>
      <w:r w:rsidR="00C55F21" w:rsidRPr="00884D1A">
        <w:t>'</w:t>
      </w:r>
      <w:r w:rsidR="00891C4A" w:rsidRPr="00884D1A">
        <w:t xml:space="preserve">une petite fille </w:t>
      </w:r>
      <w:r w:rsidR="00604D8E" w:rsidRPr="00884D1A">
        <w:t xml:space="preserve">handicapée. </w:t>
      </w:r>
      <w:r w:rsidR="00B3730B" w:rsidRPr="00884D1A">
        <w:t xml:space="preserve">Nous sommes véritablement attristés </w:t>
      </w:r>
      <w:r w:rsidR="00BB5972" w:rsidRPr="00884D1A">
        <w:t xml:space="preserve">de constater </w:t>
      </w:r>
      <w:r w:rsidR="00FC12B1" w:rsidRPr="00884D1A">
        <w:t>que cette Résoluti</w:t>
      </w:r>
      <w:r w:rsidR="0027495F" w:rsidRPr="00884D1A">
        <w:t xml:space="preserve">on, en cours </w:t>
      </w:r>
      <w:r w:rsidR="00AE467C" w:rsidRPr="00884D1A">
        <w:t>d</w:t>
      </w:r>
      <w:r w:rsidR="00C55F21" w:rsidRPr="00884D1A">
        <w:t>'</w:t>
      </w:r>
      <w:r w:rsidR="00AE467C" w:rsidRPr="00884D1A">
        <w:t>adoption</w:t>
      </w:r>
      <w:r w:rsidR="0027495F" w:rsidRPr="00884D1A">
        <w:t xml:space="preserve"> par l</w:t>
      </w:r>
      <w:r w:rsidR="00C55F21" w:rsidRPr="00884D1A">
        <w:t>'</w:t>
      </w:r>
      <w:r w:rsidR="0027495F" w:rsidRPr="00884D1A">
        <w:t xml:space="preserve">Union internationale des télécommunications, </w:t>
      </w:r>
      <w:r w:rsidR="0038006A" w:rsidRPr="00884D1A">
        <w:t>exclut</w:t>
      </w:r>
      <w:r w:rsidR="00146502" w:rsidRPr="00884D1A">
        <w:t xml:space="preserve"> </w:t>
      </w:r>
      <w:r w:rsidR="00240F38" w:rsidRPr="00884D1A">
        <w:t>l</w:t>
      </w:r>
      <w:r w:rsidR="00270D2D" w:rsidRPr="00884D1A">
        <w:t>es personnes</w:t>
      </w:r>
      <w:r w:rsidR="00240F38" w:rsidRPr="00884D1A">
        <w:t xml:space="preserve"> telles que</w:t>
      </w:r>
      <w:r w:rsidR="00270D2D" w:rsidRPr="00884D1A">
        <w:t xml:space="preserve"> ma fille, et pour cette raison nous </w:t>
      </w:r>
      <w:r w:rsidR="009340AE" w:rsidRPr="00884D1A">
        <w:t>souhaitons qu</w:t>
      </w:r>
      <w:r w:rsidR="00C55F21" w:rsidRPr="00884D1A">
        <w:t>'</w:t>
      </w:r>
      <w:r w:rsidR="009340AE" w:rsidRPr="00884D1A">
        <w:t xml:space="preserve">il soit pris acte </w:t>
      </w:r>
      <w:r w:rsidR="00D54BC1" w:rsidRPr="00884D1A">
        <w:t xml:space="preserve">de notre désaccord et de notre </w:t>
      </w:r>
      <w:r w:rsidR="00240F38" w:rsidRPr="00884D1A">
        <w:t>déception concernant</w:t>
      </w:r>
      <w:r w:rsidR="00D54BC1" w:rsidRPr="00884D1A">
        <w:t xml:space="preserve"> la Résolution approuvée.</w:t>
      </w:r>
      <w:r w:rsidR="00494ABC" w:rsidRPr="00884D1A">
        <w:t>"</w:t>
      </w:r>
    </w:p>
    <w:p w14:paraId="651C7886" w14:textId="27EABB8B" w:rsidR="004A75AB" w:rsidRPr="00884D1A" w:rsidRDefault="00EB3612" w:rsidP="00105640">
      <w:r w:rsidRPr="00884D1A">
        <w:t>16.8</w:t>
      </w:r>
      <w:r w:rsidRPr="00884D1A">
        <w:tab/>
      </w:r>
      <w:r w:rsidR="004A75AB" w:rsidRPr="00884D1A">
        <w:t xml:space="preserve">Le </w:t>
      </w:r>
      <w:r w:rsidR="004A75AB" w:rsidRPr="00884D1A">
        <w:rPr>
          <w:b/>
        </w:rPr>
        <w:t>délégué de Trinité-et-Tobago</w:t>
      </w:r>
      <w:r w:rsidR="004A75AB" w:rsidRPr="00884D1A">
        <w:t xml:space="preserve"> fait la déclaration suivante</w:t>
      </w:r>
      <w:r w:rsidR="00895DC2" w:rsidRPr="00884D1A">
        <w:t>:</w:t>
      </w:r>
    </w:p>
    <w:p w14:paraId="1A30E8F3" w14:textId="206C3E2E" w:rsidR="00D612DA" w:rsidRPr="00884D1A" w:rsidRDefault="00D612DA" w:rsidP="00105640">
      <w:pPr>
        <w:ind w:left="567"/>
      </w:pPr>
      <w:r w:rsidRPr="00884D1A">
        <w:t xml:space="preserve">"Trinité-et-Tobago </w:t>
      </w:r>
      <w:r w:rsidR="00796A0A" w:rsidRPr="00884D1A">
        <w:t xml:space="preserve">souhaite que cette déclaration soit </w:t>
      </w:r>
      <w:r w:rsidR="00240F38" w:rsidRPr="00884D1A">
        <w:t>consignée au</w:t>
      </w:r>
      <w:r w:rsidR="00796A0A" w:rsidRPr="00884D1A">
        <w:t xml:space="preserve"> procès-verbal de la présente séance plénière. </w:t>
      </w:r>
      <w:r w:rsidR="0065371A" w:rsidRPr="00884D1A">
        <w:t>Nous souscrivons à la déclaration faite par le Danemark au nom d</w:t>
      </w:r>
      <w:r w:rsidR="00C55F21" w:rsidRPr="00884D1A">
        <w:t>'</w:t>
      </w:r>
      <w:r w:rsidR="0065371A" w:rsidRPr="00884D1A">
        <w:t xml:space="preserve">un groupe de pays partageant </w:t>
      </w:r>
      <w:r w:rsidR="00AB1F65" w:rsidRPr="00884D1A">
        <w:t xml:space="preserve">ses vues. </w:t>
      </w:r>
      <w:r w:rsidR="00BF6C53" w:rsidRPr="00884D1A">
        <w:t>Nous regrettons</w:t>
      </w:r>
      <w:r w:rsidR="00947525" w:rsidRPr="00884D1A">
        <w:t xml:space="preserve"> qu</w:t>
      </w:r>
      <w:r w:rsidR="00C55F21" w:rsidRPr="00884D1A">
        <w:t>'</w:t>
      </w:r>
      <w:r w:rsidR="00947525" w:rsidRPr="00884D1A">
        <w:t>ensemble, nous n</w:t>
      </w:r>
      <w:r w:rsidR="00C55F21" w:rsidRPr="00884D1A">
        <w:t>'</w:t>
      </w:r>
      <w:r w:rsidR="00947525" w:rsidRPr="00884D1A">
        <w:t>ayons pas été en mesure de parvenir à un consensus sur des questions aussi fondamentales que celles de l</w:t>
      </w:r>
      <w:r w:rsidR="00C55F21" w:rsidRPr="00884D1A">
        <w:t>'</w:t>
      </w:r>
      <w:r w:rsidR="00947525" w:rsidRPr="00884D1A">
        <w:t xml:space="preserve">égalité hommes-femmes, des jeunes et des groupes </w:t>
      </w:r>
      <w:r w:rsidR="00846CA5" w:rsidRPr="00884D1A">
        <w:t>défavorisés</w:t>
      </w:r>
      <w:r w:rsidR="002A7C2F" w:rsidRPr="00884D1A">
        <w:t xml:space="preserve"> </w:t>
      </w:r>
      <w:r w:rsidR="00A92572" w:rsidRPr="00884D1A">
        <w:t>concernant la Résolution 139.</w:t>
      </w:r>
    </w:p>
    <w:p w14:paraId="2D0C1260" w14:textId="06003505" w:rsidR="00D12853" w:rsidRPr="00884D1A" w:rsidRDefault="00D12853" w:rsidP="00105640">
      <w:pPr>
        <w:ind w:left="567"/>
      </w:pPr>
      <w:r w:rsidRPr="00884D1A">
        <w:t xml:space="preserve">Pour Trinité-et-Tobago, </w:t>
      </w:r>
      <w:r w:rsidR="002508AD" w:rsidRPr="00884D1A">
        <w:t xml:space="preserve">il est important de prendre en compte les facteurs de </w:t>
      </w:r>
      <w:r w:rsidR="00CF5C20" w:rsidRPr="00884D1A">
        <w:t>la représentation et</w:t>
      </w:r>
      <w:r w:rsidR="002508AD" w:rsidRPr="00884D1A">
        <w:t xml:space="preserve"> de</w:t>
      </w:r>
      <w:r w:rsidR="00CF5C20" w:rsidRPr="00884D1A">
        <w:t xml:space="preserve"> l</w:t>
      </w:r>
      <w:r w:rsidR="00C55F21" w:rsidRPr="00884D1A">
        <w:t>'</w:t>
      </w:r>
      <w:r w:rsidR="00CF5C20" w:rsidRPr="00884D1A">
        <w:t>inclusi</w:t>
      </w:r>
      <w:r w:rsidR="002508AD" w:rsidRPr="00884D1A">
        <w:t>on, si l</w:t>
      </w:r>
      <w:r w:rsidR="00C55F21" w:rsidRPr="00884D1A">
        <w:t>'</w:t>
      </w:r>
      <w:r w:rsidR="002508AD" w:rsidRPr="00884D1A">
        <w:t xml:space="preserve">on souhaite réduire la fracture numérique et favoriser le </w:t>
      </w:r>
      <w:r w:rsidR="00663FA9" w:rsidRPr="00884D1A">
        <w:t xml:space="preserve">développement mondial, </w:t>
      </w:r>
      <w:r w:rsidR="004F184F" w:rsidRPr="00884D1A">
        <w:t>en ne laissant</w:t>
      </w:r>
      <w:r w:rsidR="00663FA9" w:rsidRPr="00884D1A">
        <w:t xml:space="preserve"> personne pour compte.</w:t>
      </w:r>
      <w:r w:rsidR="00B65E1B" w:rsidRPr="00884D1A">
        <w:t xml:space="preserve"> </w:t>
      </w:r>
      <w:r w:rsidR="00242312" w:rsidRPr="00884D1A">
        <w:t>Nous déplorons l</w:t>
      </w:r>
      <w:r w:rsidR="00C55F21" w:rsidRPr="00884D1A">
        <w:t>'</w:t>
      </w:r>
      <w:r w:rsidR="00B65E1B" w:rsidRPr="00884D1A">
        <w:t>incapacité de l</w:t>
      </w:r>
      <w:r w:rsidR="00C55F21" w:rsidRPr="00884D1A">
        <w:t>'</w:t>
      </w:r>
      <w:r w:rsidR="00B65E1B" w:rsidRPr="00884D1A">
        <w:t xml:space="preserve">Union à </w:t>
      </w:r>
      <w:r w:rsidR="00FE2B96" w:rsidRPr="00884D1A">
        <w:t xml:space="preserve">démontrer à la communauté mondiale </w:t>
      </w:r>
      <w:r w:rsidR="00240F38" w:rsidRPr="00884D1A">
        <w:t xml:space="preserve">que son </w:t>
      </w:r>
      <w:r w:rsidR="00242312" w:rsidRPr="00884D1A">
        <w:t>engagement sur ces questions</w:t>
      </w:r>
      <w:r w:rsidR="00240F38" w:rsidRPr="00884D1A">
        <w:t xml:space="preserve"> est analogue à celui pris dans le cadre</w:t>
      </w:r>
      <w:r w:rsidR="00242312" w:rsidRPr="00884D1A">
        <w:t xml:space="preserve"> des Objectifs de développement durable.</w:t>
      </w:r>
      <w:r w:rsidR="006E3906" w:rsidRPr="00884D1A">
        <w:t xml:space="preserve"> Pour citer l</w:t>
      </w:r>
      <w:r w:rsidR="00C55F21" w:rsidRPr="00884D1A">
        <w:t>'</w:t>
      </w:r>
      <w:r w:rsidR="006E3906" w:rsidRPr="00884D1A">
        <w:t xml:space="preserve">un des </w:t>
      </w:r>
      <w:r w:rsidR="00C42F47" w:rsidRPr="00884D1A">
        <w:t>ambassadeurs pour la jeunesse</w:t>
      </w:r>
      <w:r w:rsidR="006E3906" w:rsidRPr="00884D1A">
        <w:t xml:space="preserve">, </w:t>
      </w:r>
      <w:r w:rsidR="000820DF" w:rsidRPr="00884D1A">
        <w:t>concrétisons notre vision".</w:t>
      </w:r>
    </w:p>
    <w:p w14:paraId="6C0B45D9" w14:textId="57F5604B" w:rsidR="00776E3F" w:rsidRPr="00884D1A" w:rsidRDefault="00EB3612" w:rsidP="00105640">
      <w:r w:rsidRPr="00884D1A">
        <w:t>16.9</w:t>
      </w:r>
      <w:r w:rsidRPr="00884D1A">
        <w:tab/>
      </w:r>
      <w:r w:rsidR="00776E3F" w:rsidRPr="00884D1A">
        <w:t xml:space="preserve">Le </w:t>
      </w:r>
      <w:r w:rsidR="00776E3F" w:rsidRPr="00884D1A">
        <w:rPr>
          <w:b/>
        </w:rPr>
        <w:t>délégué de l</w:t>
      </w:r>
      <w:r w:rsidR="00C55F21" w:rsidRPr="00884D1A">
        <w:rPr>
          <w:b/>
        </w:rPr>
        <w:t>'</w:t>
      </w:r>
      <w:r w:rsidR="00776E3F" w:rsidRPr="00884D1A">
        <w:rPr>
          <w:b/>
        </w:rPr>
        <w:t>Argentine</w:t>
      </w:r>
      <w:r w:rsidR="00776E3F" w:rsidRPr="00884D1A">
        <w:t xml:space="preserve"> fait la déclaration suivante:</w:t>
      </w:r>
    </w:p>
    <w:p w14:paraId="7401AF71" w14:textId="4BA4E9D5" w:rsidR="008B2681" w:rsidRPr="00884D1A" w:rsidRDefault="0045627A" w:rsidP="00105640">
      <w:pPr>
        <w:ind w:left="567"/>
        <w:rPr>
          <w:lang w:val="fr-CH"/>
        </w:rPr>
      </w:pPr>
      <w:r w:rsidRPr="00884D1A">
        <w:rPr>
          <w:lang w:val="fr-CH"/>
        </w:rPr>
        <w:t>"</w:t>
      </w:r>
      <w:r w:rsidR="008B2681" w:rsidRPr="00884D1A">
        <w:rPr>
          <w:lang w:val="fr-CH"/>
        </w:rPr>
        <w:t>L</w:t>
      </w:r>
      <w:r w:rsidR="00C55F21" w:rsidRPr="00884D1A">
        <w:rPr>
          <w:lang w:val="fr-CH"/>
        </w:rPr>
        <w:t>'</w:t>
      </w:r>
      <w:r w:rsidR="008B2681" w:rsidRPr="00884D1A">
        <w:rPr>
          <w:lang w:val="fr-CH"/>
        </w:rPr>
        <w:t>Administration de l</w:t>
      </w:r>
      <w:r w:rsidR="00C55F21" w:rsidRPr="00884D1A">
        <w:rPr>
          <w:lang w:val="fr-CH"/>
        </w:rPr>
        <w:t>'</w:t>
      </w:r>
      <w:r w:rsidR="008B2681" w:rsidRPr="00884D1A">
        <w:rPr>
          <w:lang w:val="fr-CH"/>
        </w:rPr>
        <w:t xml:space="preserve">Argentine </w:t>
      </w:r>
      <w:r w:rsidR="00AA3D56" w:rsidRPr="00884D1A">
        <w:rPr>
          <w:lang w:val="fr-CH"/>
        </w:rPr>
        <w:t xml:space="preserve">est fermement résolue à </w:t>
      </w:r>
      <w:r w:rsidR="0012755B" w:rsidRPr="00884D1A">
        <w:rPr>
          <w:lang w:val="fr-CH"/>
        </w:rPr>
        <w:t>réduire la fracture numérique</w:t>
      </w:r>
      <w:r w:rsidR="00C7218F" w:rsidRPr="00884D1A">
        <w:rPr>
          <w:lang w:val="fr-CH"/>
        </w:rPr>
        <w:t xml:space="preserve"> sous toutes ses formes, </w:t>
      </w:r>
      <w:r w:rsidR="005941F5" w:rsidRPr="00884D1A">
        <w:rPr>
          <w:lang w:val="fr-CH"/>
        </w:rPr>
        <w:t xml:space="preserve">en particulier </w:t>
      </w:r>
      <w:r w:rsidR="00A5330E" w:rsidRPr="00884D1A">
        <w:rPr>
          <w:lang w:val="fr-CH"/>
        </w:rPr>
        <w:t>pour les groupes de population que nous n</w:t>
      </w:r>
      <w:r w:rsidR="00C55F21" w:rsidRPr="00884D1A">
        <w:rPr>
          <w:lang w:val="fr-CH"/>
        </w:rPr>
        <w:t>'</w:t>
      </w:r>
      <w:r w:rsidR="00A5330E" w:rsidRPr="00884D1A">
        <w:rPr>
          <w:lang w:val="fr-CH"/>
        </w:rPr>
        <w:t xml:space="preserve">avons pas su inclure, pour diverses raisons. </w:t>
      </w:r>
      <w:r w:rsidR="002B4DBF" w:rsidRPr="00884D1A">
        <w:rPr>
          <w:lang w:val="fr-CH"/>
        </w:rPr>
        <w:t>La nécessité de reconnaître que la fracture numérique nous touche</w:t>
      </w:r>
      <w:r w:rsidR="00A64946" w:rsidRPr="00884D1A">
        <w:rPr>
          <w:lang w:val="fr-CH"/>
        </w:rPr>
        <w:t xml:space="preserve"> tous</w:t>
      </w:r>
      <w:r w:rsidR="002B4DBF" w:rsidRPr="00884D1A">
        <w:rPr>
          <w:lang w:val="fr-CH"/>
        </w:rPr>
        <w:t xml:space="preserve"> de différentes manières</w:t>
      </w:r>
      <w:r w:rsidR="00E01F3C" w:rsidRPr="00884D1A">
        <w:rPr>
          <w:lang w:val="fr-CH"/>
        </w:rPr>
        <w:t>,</w:t>
      </w:r>
      <w:r w:rsidR="002B4DBF" w:rsidRPr="00884D1A">
        <w:rPr>
          <w:lang w:val="fr-CH"/>
        </w:rPr>
        <w:t xml:space="preserve"> </w:t>
      </w:r>
      <w:r w:rsidR="00E01F3C" w:rsidRPr="00884D1A">
        <w:rPr>
          <w:lang w:val="fr-CH"/>
        </w:rPr>
        <w:t>et qu</w:t>
      </w:r>
      <w:r w:rsidR="00C55F21" w:rsidRPr="00884D1A">
        <w:rPr>
          <w:lang w:val="fr-CH"/>
        </w:rPr>
        <w:t>'</w:t>
      </w:r>
      <w:r w:rsidR="00E01F3C" w:rsidRPr="00884D1A">
        <w:rPr>
          <w:lang w:val="fr-CH"/>
        </w:rPr>
        <w:t xml:space="preserve">elle affecte tout particulièrement les femmes, les enfants, les personnes âgées, les personnes handicapées, les personnes ayant des besoins particuliers, les populations autochtones et les personnes </w:t>
      </w:r>
      <w:r w:rsidR="003C55CF" w:rsidRPr="00884D1A">
        <w:rPr>
          <w:lang w:val="fr-CH"/>
        </w:rPr>
        <w:t xml:space="preserve">vulnérables, </w:t>
      </w:r>
      <w:r w:rsidR="00F47F05" w:rsidRPr="00884D1A">
        <w:rPr>
          <w:lang w:val="fr-CH"/>
        </w:rPr>
        <w:t>en particulier</w:t>
      </w:r>
      <w:r w:rsidR="005C44FE" w:rsidRPr="00884D1A">
        <w:rPr>
          <w:lang w:val="fr-CH"/>
        </w:rPr>
        <w:t xml:space="preserve"> dans les pays en développement</w:t>
      </w:r>
      <w:r w:rsidR="0030741A" w:rsidRPr="00884D1A">
        <w:rPr>
          <w:lang w:val="fr-CH"/>
        </w:rPr>
        <w:t>,</w:t>
      </w:r>
      <w:r w:rsidR="005C44FE" w:rsidRPr="00884D1A">
        <w:rPr>
          <w:lang w:val="fr-CH"/>
        </w:rPr>
        <w:t xml:space="preserve"> nous semble </w:t>
      </w:r>
      <w:r w:rsidR="005B1CED" w:rsidRPr="00884D1A">
        <w:rPr>
          <w:lang w:val="fr-CH"/>
        </w:rPr>
        <w:t>manifeste</w:t>
      </w:r>
      <w:r w:rsidR="005C44FE" w:rsidRPr="00884D1A">
        <w:rPr>
          <w:lang w:val="fr-CH"/>
        </w:rPr>
        <w:t>.</w:t>
      </w:r>
    </w:p>
    <w:p w14:paraId="17614699" w14:textId="2DBA43BA" w:rsidR="0030741A" w:rsidRPr="00884D1A" w:rsidRDefault="0065606F" w:rsidP="00105640">
      <w:pPr>
        <w:ind w:left="567"/>
        <w:rPr>
          <w:lang w:val="fr-CH"/>
        </w:rPr>
      </w:pPr>
      <w:r w:rsidRPr="00884D1A">
        <w:rPr>
          <w:lang w:val="fr-CH"/>
        </w:rPr>
        <w:lastRenderedPageBreak/>
        <w:t xml:space="preserve">Nous sommes convaincus que la présente Conférence </w:t>
      </w:r>
      <w:r w:rsidR="003E2465" w:rsidRPr="00884D1A">
        <w:rPr>
          <w:lang w:val="fr-CH"/>
        </w:rPr>
        <w:t xml:space="preserve">marque un tournant, </w:t>
      </w:r>
      <w:r w:rsidR="00EF015B" w:rsidRPr="00884D1A">
        <w:rPr>
          <w:lang w:val="fr-CH"/>
        </w:rPr>
        <w:t xml:space="preserve">car ses participants ont </w:t>
      </w:r>
      <w:r w:rsidR="00A02EFE" w:rsidRPr="00884D1A">
        <w:rPr>
          <w:lang w:val="fr-CH"/>
        </w:rPr>
        <w:t>élu une femme au poste de Secrétaire général de l</w:t>
      </w:r>
      <w:r w:rsidR="00C55F21" w:rsidRPr="00884D1A">
        <w:rPr>
          <w:lang w:val="fr-CH"/>
        </w:rPr>
        <w:t>'</w:t>
      </w:r>
      <w:r w:rsidR="00A02EFE" w:rsidRPr="00884D1A">
        <w:rPr>
          <w:lang w:val="fr-CH"/>
        </w:rPr>
        <w:t>Union, pour la première fois depuis la création de l</w:t>
      </w:r>
      <w:r w:rsidR="00C55F21" w:rsidRPr="00884D1A">
        <w:rPr>
          <w:lang w:val="fr-CH"/>
        </w:rPr>
        <w:t>'</w:t>
      </w:r>
      <w:r w:rsidR="00A02EFE" w:rsidRPr="00884D1A">
        <w:rPr>
          <w:lang w:val="fr-CH"/>
        </w:rPr>
        <w:t xml:space="preserve">Union il y a plus de 150 ans. </w:t>
      </w:r>
      <w:r w:rsidR="003E29F5" w:rsidRPr="00884D1A">
        <w:rPr>
          <w:lang w:val="fr-CH"/>
        </w:rPr>
        <w:t xml:space="preserve">Néanmoins, le goût amer que nous ont laissé les débats sur la Résolution 139 </w:t>
      </w:r>
      <w:r w:rsidR="00784B49" w:rsidRPr="00884D1A">
        <w:rPr>
          <w:lang w:val="fr-CH"/>
        </w:rPr>
        <w:t>nous amène à réfléchir au fait important que les mots</w:t>
      </w:r>
      <w:r w:rsidR="00A64946" w:rsidRPr="00884D1A">
        <w:rPr>
          <w:lang w:val="fr-CH"/>
        </w:rPr>
        <w:t xml:space="preserve"> seuls</w:t>
      </w:r>
      <w:r w:rsidR="00784B49" w:rsidRPr="00884D1A">
        <w:rPr>
          <w:lang w:val="fr-CH"/>
        </w:rPr>
        <w:t xml:space="preserve"> ne suffisent pas, et que nous devrions laisser nos actes parler d</w:t>
      </w:r>
      <w:r w:rsidR="00C55F21" w:rsidRPr="00884D1A">
        <w:rPr>
          <w:lang w:val="fr-CH"/>
        </w:rPr>
        <w:t>'</w:t>
      </w:r>
      <w:r w:rsidR="00784B49" w:rsidRPr="00884D1A">
        <w:rPr>
          <w:lang w:val="fr-CH"/>
        </w:rPr>
        <w:t>eux-mêmes.</w:t>
      </w:r>
      <w:r w:rsidR="006206F1" w:rsidRPr="00884D1A">
        <w:rPr>
          <w:lang w:val="fr-CH"/>
        </w:rPr>
        <w:t xml:space="preserve"> </w:t>
      </w:r>
      <w:r w:rsidR="0028384F" w:rsidRPr="00884D1A">
        <w:rPr>
          <w:lang w:val="fr-CH"/>
        </w:rPr>
        <w:t xml:space="preserve">En effet, </w:t>
      </w:r>
      <w:r w:rsidR="005264ED" w:rsidRPr="00884D1A">
        <w:rPr>
          <w:lang w:val="fr-CH"/>
        </w:rPr>
        <w:t xml:space="preserve">les conclusions du débat nous donnent le sentiment </w:t>
      </w:r>
      <w:r w:rsidR="00BC3F64" w:rsidRPr="00884D1A">
        <w:rPr>
          <w:lang w:val="fr-CH"/>
        </w:rPr>
        <w:t>que l</w:t>
      </w:r>
      <w:r w:rsidR="00C55F21" w:rsidRPr="00884D1A">
        <w:rPr>
          <w:lang w:val="fr-CH"/>
        </w:rPr>
        <w:t>'</w:t>
      </w:r>
      <w:r w:rsidR="00BC3F64" w:rsidRPr="00884D1A">
        <w:rPr>
          <w:lang w:val="fr-CH"/>
        </w:rPr>
        <w:t>Union dans son ensemble n</w:t>
      </w:r>
      <w:r w:rsidR="00C55F21" w:rsidRPr="00884D1A">
        <w:rPr>
          <w:lang w:val="fr-CH"/>
        </w:rPr>
        <w:t>'</w:t>
      </w:r>
      <w:r w:rsidR="00BC3F64" w:rsidRPr="00884D1A">
        <w:rPr>
          <w:lang w:val="fr-CH"/>
        </w:rPr>
        <w:t xml:space="preserve">a pas été </w:t>
      </w:r>
      <w:r w:rsidR="00A64946" w:rsidRPr="00884D1A">
        <w:rPr>
          <w:lang w:val="fr-CH"/>
        </w:rPr>
        <w:t>capable</w:t>
      </w:r>
      <w:r w:rsidR="00BC3F64" w:rsidRPr="00884D1A">
        <w:rPr>
          <w:lang w:val="fr-CH"/>
        </w:rPr>
        <w:t xml:space="preserve"> de </w:t>
      </w:r>
      <w:r w:rsidR="006A5A9B" w:rsidRPr="00884D1A">
        <w:rPr>
          <w:lang w:val="fr-CH"/>
        </w:rPr>
        <w:t xml:space="preserve">reconnaître </w:t>
      </w:r>
      <w:r w:rsidR="00A64946" w:rsidRPr="00884D1A">
        <w:rPr>
          <w:lang w:val="fr-CH"/>
        </w:rPr>
        <w:t>que</w:t>
      </w:r>
      <w:r w:rsidR="006A5A9B" w:rsidRPr="00884D1A">
        <w:rPr>
          <w:lang w:val="fr-CH"/>
        </w:rPr>
        <w:t xml:space="preserve"> des mesures </w:t>
      </w:r>
      <w:r w:rsidR="00A64946" w:rsidRPr="00884D1A">
        <w:rPr>
          <w:lang w:val="fr-CH"/>
        </w:rPr>
        <w:t xml:space="preserve">doivent être prises </w:t>
      </w:r>
      <w:r w:rsidR="006A5A9B" w:rsidRPr="00884D1A">
        <w:rPr>
          <w:lang w:val="fr-CH"/>
        </w:rPr>
        <w:t>pour parve</w:t>
      </w:r>
      <w:r w:rsidR="00304014" w:rsidRPr="00884D1A">
        <w:rPr>
          <w:lang w:val="fr-CH"/>
        </w:rPr>
        <w:t>nir à une connectivité efficace, en vue de réduire et d</w:t>
      </w:r>
      <w:r w:rsidR="00C55F21" w:rsidRPr="00884D1A">
        <w:rPr>
          <w:lang w:val="fr-CH"/>
        </w:rPr>
        <w:t>'</w:t>
      </w:r>
      <w:r w:rsidR="00304014" w:rsidRPr="00884D1A">
        <w:rPr>
          <w:lang w:val="fr-CH"/>
        </w:rPr>
        <w:t xml:space="preserve">éliminer la fracture numérique, mais sans </w:t>
      </w:r>
      <w:r w:rsidR="000F48FC" w:rsidRPr="00884D1A">
        <w:rPr>
          <w:lang w:val="fr-CH"/>
        </w:rPr>
        <w:t>que personne ne soit laissé pour compte</w:t>
      </w:r>
      <w:r w:rsidR="00304014" w:rsidRPr="00884D1A">
        <w:rPr>
          <w:lang w:val="fr-CH"/>
        </w:rPr>
        <w:t>.</w:t>
      </w:r>
      <w:r w:rsidR="00325EF5" w:rsidRPr="00884D1A">
        <w:rPr>
          <w:lang w:val="fr-CH"/>
        </w:rPr>
        <w:t xml:space="preserve"> </w:t>
      </w:r>
      <w:r w:rsidR="0087553D" w:rsidRPr="00884D1A">
        <w:rPr>
          <w:lang w:val="fr-CH"/>
        </w:rPr>
        <w:t xml:space="preserve">Les valeurs </w:t>
      </w:r>
      <w:r w:rsidR="00525E14" w:rsidRPr="00884D1A">
        <w:rPr>
          <w:lang w:val="fr-CH"/>
        </w:rPr>
        <w:t xml:space="preserve">et les déclarations </w:t>
      </w:r>
      <w:r w:rsidR="00E60DB7" w:rsidRPr="00884D1A">
        <w:rPr>
          <w:lang w:val="fr-CH"/>
        </w:rPr>
        <w:t xml:space="preserve">que nous avons entendues à plusieurs reprises tout au long de la présente Conférence </w:t>
      </w:r>
      <w:r w:rsidR="001A4F9C" w:rsidRPr="00884D1A">
        <w:rPr>
          <w:lang w:val="fr-CH"/>
        </w:rPr>
        <w:t>se sont heurtées à une réalité que nous n</w:t>
      </w:r>
      <w:r w:rsidR="00C55F21" w:rsidRPr="00884D1A">
        <w:rPr>
          <w:lang w:val="fr-CH"/>
        </w:rPr>
        <w:t>'</w:t>
      </w:r>
      <w:r w:rsidR="001A4F9C" w:rsidRPr="00884D1A">
        <w:rPr>
          <w:lang w:val="fr-CH"/>
        </w:rPr>
        <w:t xml:space="preserve">avons pas été en mesure de </w:t>
      </w:r>
      <w:r w:rsidR="0058511B" w:rsidRPr="00884D1A">
        <w:rPr>
          <w:lang w:val="fr-CH"/>
        </w:rPr>
        <w:t>modifier</w:t>
      </w:r>
      <w:r w:rsidR="001A4F9C" w:rsidRPr="00884D1A">
        <w:rPr>
          <w:lang w:val="fr-CH"/>
        </w:rPr>
        <w:t>.</w:t>
      </w:r>
    </w:p>
    <w:p w14:paraId="0A813662" w14:textId="11AC6389" w:rsidR="00D2744D" w:rsidRPr="00884D1A" w:rsidRDefault="00FA2E29" w:rsidP="00105640">
      <w:pPr>
        <w:ind w:left="567"/>
        <w:rPr>
          <w:lang w:val="fr-CH"/>
        </w:rPr>
      </w:pPr>
      <w:r w:rsidRPr="00884D1A">
        <w:rPr>
          <w:lang w:val="fr-CH"/>
        </w:rPr>
        <w:t xml:space="preserve">La contradiction </w:t>
      </w:r>
      <w:r w:rsidR="00E470BA" w:rsidRPr="00884D1A">
        <w:rPr>
          <w:lang w:val="fr-CH"/>
        </w:rPr>
        <w:t xml:space="preserve">face à laquelle nous nous trouvons ne fait que confirmer </w:t>
      </w:r>
      <w:r w:rsidR="00816F67" w:rsidRPr="00884D1A">
        <w:rPr>
          <w:lang w:val="fr-CH"/>
        </w:rPr>
        <w:t>qu</w:t>
      </w:r>
      <w:r w:rsidR="00C55F21" w:rsidRPr="00884D1A">
        <w:rPr>
          <w:lang w:val="fr-CH"/>
        </w:rPr>
        <w:t>'</w:t>
      </w:r>
      <w:r w:rsidR="00816F67" w:rsidRPr="00884D1A">
        <w:rPr>
          <w:lang w:val="fr-CH"/>
        </w:rPr>
        <w:t xml:space="preserve">il nous reste </w:t>
      </w:r>
      <w:r w:rsidR="00D71C74" w:rsidRPr="00884D1A">
        <w:rPr>
          <w:lang w:val="fr-CH"/>
        </w:rPr>
        <w:t>encore un long chemin à parcourir, non seulement pour réaliser l</w:t>
      </w:r>
      <w:r w:rsidR="00C55F21" w:rsidRPr="00884D1A">
        <w:rPr>
          <w:lang w:val="fr-CH"/>
        </w:rPr>
        <w:t>'</w:t>
      </w:r>
      <w:r w:rsidR="001A6BE2" w:rsidRPr="00884D1A">
        <w:rPr>
          <w:lang w:val="fr-CH"/>
        </w:rPr>
        <w:t>Objectif de développement </w:t>
      </w:r>
      <w:r w:rsidR="00D71C74" w:rsidRPr="00884D1A">
        <w:rPr>
          <w:lang w:val="fr-CH"/>
        </w:rPr>
        <w:t>5 concernant l</w:t>
      </w:r>
      <w:r w:rsidR="00C55F21" w:rsidRPr="00884D1A">
        <w:rPr>
          <w:lang w:val="fr-CH"/>
        </w:rPr>
        <w:t>'</w:t>
      </w:r>
      <w:r w:rsidR="00D71C74" w:rsidRPr="00884D1A">
        <w:rPr>
          <w:lang w:val="fr-CH"/>
        </w:rPr>
        <w:t>égalité hommes-femmes et l</w:t>
      </w:r>
      <w:r w:rsidR="00C55F21" w:rsidRPr="00884D1A">
        <w:rPr>
          <w:lang w:val="fr-CH"/>
        </w:rPr>
        <w:t>'</w:t>
      </w:r>
      <w:r w:rsidR="00D71C74" w:rsidRPr="00884D1A">
        <w:rPr>
          <w:lang w:val="fr-CH"/>
        </w:rPr>
        <w:t xml:space="preserve">autonomisation de toutes les femmes et les jeunes filles, mais également pour atteindre le but 2 du plan stratégique </w:t>
      </w:r>
      <w:r w:rsidR="006F1C68" w:rsidRPr="00884D1A">
        <w:rPr>
          <w:lang w:val="fr-CH"/>
        </w:rPr>
        <w:t>qui a été approuvé il y a quelques minutes.</w:t>
      </w:r>
    </w:p>
    <w:p w14:paraId="248383B3" w14:textId="2F62D410" w:rsidR="004A263D" w:rsidRPr="00884D1A" w:rsidRDefault="00331173" w:rsidP="00105640">
      <w:pPr>
        <w:ind w:left="567"/>
        <w:rPr>
          <w:lang w:val="fr-CH"/>
        </w:rPr>
      </w:pPr>
      <w:r w:rsidRPr="00884D1A">
        <w:rPr>
          <w:lang w:val="fr-CH"/>
        </w:rPr>
        <w:t xml:space="preserve">Nous devons </w:t>
      </w:r>
      <w:r w:rsidR="00A64946" w:rsidRPr="00884D1A">
        <w:rPr>
          <w:lang w:val="fr-CH"/>
        </w:rPr>
        <w:t>nous engager à</w:t>
      </w:r>
      <w:r w:rsidRPr="00884D1A">
        <w:rPr>
          <w:lang w:val="fr-CH"/>
        </w:rPr>
        <w:t xml:space="preserve"> parvenir à un consensus et </w:t>
      </w:r>
      <w:r w:rsidR="00A64946" w:rsidRPr="00884D1A">
        <w:rPr>
          <w:lang w:val="fr-CH"/>
        </w:rPr>
        <w:t>à faire en sorte</w:t>
      </w:r>
      <w:r w:rsidRPr="00884D1A">
        <w:rPr>
          <w:lang w:val="fr-CH"/>
        </w:rPr>
        <w:t xml:space="preserve"> que nos </w:t>
      </w:r>
      <w:r w:rsidR="0020547E" w:rsidRPr="00884D1A">
        <w:rPr>
          <w:lang w:val="fr-CH"/>
        </w:rPr>
        <w:t xml:space="preserve">divergences ne se transforment </w:t>
      </w:r>
      <w:r w:rsidR="00A64946" w:rsidRPr="00884D1A">
        <w:rPr>
          <w:lang w:val="fr-CH"/>
        </w:rPr>
        <w:t xml:space="preserve">pas </w:t>
      </w:r>
      <w:r w:rsidR="0020547E" w:rsidRPr="00884D1A">
        <w:rPr>
          <w:lang w:val="fr-CH"/>
        </w:rPr>
        <w:t xml:space="preserve">en obstacles insurmontables </w:t>
      </w:r>
      <w:r w:rsidR="00D9646D" w:rsidRPr="00884D1A">
        <w:rPr>
          <w:lang w:val="fr-CH"/>
        </w:rPr>
        <w:t xml:space="preserve">qui faciliteraient </w:t>
      </w:r>
      <w:r w:rsidR="00532AC7" w:rsidRPr="00884D1A">
        <w:rPr>
          <w:lang w:val="fr-CH"/>
        </w:rPr>
        <w:t>l</w:t>
      </w:r>
      <w:r w:rsidR="00C55F21" w:rsidRPr="00884D1A">
        <w:rPr>
          <w:lang w:val="fr-CH"/>
        </w:rPr>
        <w:t>'</w:t>
      </w:r>
      <w:r w:rsidR="00532AC7" w:rsidRPr="00884D1A">
        <w:rPr>
          <w:lang w:val="fr-CH"/>
        </w:rPr>
        <w:t>imposition de certaines idées.</w:t>
      </w:r>
    </w:p>
    <w:p w14:paraId="373CE933" w14:textId="55B9C43B" w:rsidR="0076283A" w:rsidRPr="00884D1A" w:rsidRDefault="00B45A8D" w:rsidP="00105640">
      <w:pPr>
        <w:tabs>
          <w:tab w:val="clear" w:pos="567"/>
        </w:tabs>
        <w:ind w:left="567"/>
        <w:rPr>
          <w:lang w:val="fr-CH"/>
        </w:rPr>
      </w:pPr>
      <w:r w:rsidRPr="00884D1A">
        <w:rPr>
          <w:lang w:val="fr-CH"/>
        </w:rPr>
        <w:t xml:space="preserve">Il y a des moments où les dirigeants </w:t>
      </w:r>
      <w:r w:rsidR="009625F6" w:rsidRPr="00884D1A">
        <w:rPr>
          <w:lang w:val="fr-CH"/>
        </w:rPr>
        <w:t xml:space="preserve">doivent faire </w:t>
      </w:r>
      <w:r w:rsidR="00931D6C" w:rsidRPr="00884D1A">
        <w:rPr>
          <w:lang w:val="fr-CH"/>
        </w:rPr>
        <w:t>un pas en avant</w:t>
      </w:r>
      <w:r w:rsidR="009625F6" w:rsidRPr="00884D1A">
        <w:rPr>
          <w:lang w:val="fr-CH"/>
        </w:rPr>
        <w:t xml:space="preserve">, pour </w:t>
      </w:r>
      <w:r w:rsidR="001F684A" w:rsidRPr="00884D1A">
        <w:rPr>
          <w:lang w:val="fr-CH"/>
        </w:rPr>
        <w:t xml:space="preserve">dissiper nos doutes et nous </w:t>
      </w:r>
      <w:r w:rsidR="00044AA9" w:rsidRPr="00884D1A">
        <w:rPr>
          <w:lang w:val="fr-CH"/>
        </w:rPr>
        <w:t xml:space="preserve">insuffler la conviction profonde que les </w:t>
      </w:r>
      <w:r w:rsidR="00A64946" w:rsidRPr="00884D1A">
        <w:rPr>
          <w:lang w:val="fr-CH"/>
        </w:rPr>
        <w:t>mesures que nous prenons visent à</w:t>
      </w:r>
      <w:r w:rsidR="00191EDC" w:rsidRPr="00884D1A">
        <w:rPr>
          <w:lang w:val="fr-CH"/>
        </w:rPr>
        <w:t xml:space="preserve"> atteindre un objectif </w:t>
      </w:r>
      <w:r w:rsidR="00777861" w:rsidRPr="00884D1A">
        <w:rPr>
          <w:lang w:val="fr-CH"/>
        </w:rPr>
        <w:t>supérieur</w:t>
      </w:r>
      <w:r w:rsidR="00FD19B4" w:rsidRPr="00884D1A">
        <w:rPr>
          <w:lang w:val="fr-CH"/>
        </w:rPr>
        <w:t xml:space="preserve">, et </w:t>
      </w:r>
      <w:r w:rsidR="002F1852" w:rsidRPr="00884D1A">
        <w:rPr>
          <w:lang w:val="fr-CH"/>
        </w:rPr>
        <w:t>que</w:t>
      </w:r>
      <w:r w:rsidR="001848EB" w:rsidRPr="00884D1A">
        <w:rPr>
          <w:lang w:val="fr-CH"/>
        </w:rPr>
        <w:t xml:space="preserve"> tout</w:t>
      </w:r>
      <w:r w:rsidR="00A64946" w:rsidRPr="00884D1A">
        <w:rPr>
          <w:lang w:val="fr-CH"/>
        </w:rPr>
        <w:t xml:space="preserve"> ce qui est fait</w:t>
      </w:r>
      <w:r w:rsidR="001848EB" w:rsidRPr="00884D1A">
        <w:rPr>
          <w:lang w:val="fr-CH"/>
        </w:rPr>
        <w:t xml:space="preserve"> </w:t>
      </w:r>
      <w:r w:rsidR="002F1852" w:rsidRPr="00884D1A">
        <w:rPr>
          <w:lang w:val="fr-CH"/>
        </w:rPr>
        <w:t xml:space="preserve">dans cette optique </w:t>
      </w:r>
      <w:r w:rsidR="00A64946" w:rsidRPr="00884D1A">
        <w:rPr>
          <w:lang w:val="fr-CH"/>
        </w:rPr>
        <w:t xml:space="preserve">est </w:t>
      </w:r>
      <w:r w:rsidR="002F1852" w:rsidRPr="00884D1A">
        <w:rPr>
          <w:lang w:val="fr-CH"/>
        </w:rPr>
        <w:t xml:space="preserve">en phase avec </w:t>
      </w:r>
      <w:r w:rsidR="001848EB" w:rsidRPr="00884D1A">
        <w:rPr>
          <w:lang w:val="fr-CH"/>
        </w:rPr>
        <w:t>les valeurs fondamentales de l</w:t>
      </w:r>
      <w:r w:rsidR="00C55F21" w:rsidRPr="00884D1A">
        <w:rPr>
          <w:lang w:val="fr-CH"/>
        </w:rPr>
        <w:t>'</w:t>
      </w:r>
      <w:r w:rsidR="001848EB" w:rsidRPr="00884D1A">
        <w:rPr>
          <w:lang w:val="fr-CH"/>
        </w:rPr>
        <w:t>Union, dont nous faisons partie.</w:t>
      </w:r>
      <w:r w:rsidR="00191EDC" w:rsidRPr="00884D1A">
        <w:rPr>
          <w:lang w:val="fr-CH"/>
        </w:rPr>
        <w:t xml:space="preserve"> </w:t>
      </w:r>
      <w:r w:rsidR="007157C2" w:rsidRPr="00884D1A">
        <w:rPr>
          <w:lang w:val="fr-CH"/>
        </w:rPr>
        <w:t>Personne ne s</w:t>
      </w:r>
      <w:r w:rsidR="00C55F21" w:rsidRPr="00884D1A">
        <w:rPr>
          <w:lang w:val="fr-CH"/>
        </w:rPr>
        <w:t>'</w:t>
      </w:r>
      <w:r w:rsidR="007157C2" w:rsidRPr="00884D1A">
        <w:rPr>
          <w:lang w:val="fr-CH"/>
        </w:rPr>
        <w:t>attend à ce que cette tâche soit facile, mais c</w:t>
      </w:r>
      <w:r w:rsidR="00C55F21" w:rsidRPr="00884D1A">
        <w:rPr>
          <w:lang w:val="fr-CH"/>
        </w:rPr>
        <w:t>'</w:t>
      </w:r>
      <w:r w:rsidR="007157C2" w:rsidRPr="00884D1A">
        <w:rPr>
          <w:lang w:val="fr-CH"/>
        </w:rPr>
        <w:t xml:space="preserve">est </w:t>
      </w:r>
      <w:r w:rsidR="00052395" w:rsidRPr="00884D1A">
        <w:rPr>
          <w:lang w:val="fr-CH"/>
        </w:rPr>
        <w:t>en de tels moments</w:t>
      </w:r>
      <w:r w:rsidR="007157C2" w:rsidRPr="00884D1A">
        <w:rPr>
          <w:lang w:val="fr-CH"/>
        </w:rPr>
        <w:t xml:space="preserve"> </w:t>
      </w:r>
      <w:r w:rsidR="001B6BC7" w:rsidRPr="00884D1A">
        <w:rPr>
          <w:lang w:val="fr-CH"/>
        </w:rPr>
        <w:t xml:space="preserve">que les personnes pour lesquelles nous </w:t>
      </w:r>
      <w:r w:rsidR="00C70A6C" w:rsidRPr="00884D1A">
        <w:rPr>
          <w:lang w:val="fr-CH"/>
        </w:rPr>
        <w:t>œuvrons</w:t>
      </w:r>
      <w:r w:rsidR="001B6BC7" w:rsidRPr="00884D1A">
        <w:rPr>
          <w:lang w:val="fr-CH"/>
        </w:rPr>
        <w:t xml:space="preserve"> espèrent que nous </w:t>
      </w:r>
      <w:r w:rsidR="00254F64" w:rsidRPr="00884D1A">
        <w:rPr>
          <w:lang w:val="fr-CH"/>
        </w:rPr>
        <w:t>nous lèverons</w:t>
      </w:r>
      <w:r w:rsidR="000D30BD" w:rsidRPr="00884D1A">
        <w:rPr>
          <w:lang w:val="fr-CH"/>
        </w:rPr>
        <w:t>,</w:t>
      </w:r>
      <w:r w:rsidR="00FD07C0" w:rsidRPr="00884D1A">
        <w:rPr>
          <w:lang w:val="fr-CH"/>
        </w:rPr>
        <w:t xml:space="preserve"> pour faire entendre leur voix, </w:t>
      </w:r>
      <w:r w:rsidR="00576E72" w:rsidRPr="00884D1A">
        <w:rPr>
          <w:lang w:val="fr-CH"/>
        </w:rPr>
        <w:t>exprimer leurs besoins et promouvoir leur vision.</w:t>
      </w:r>
      <w:r w:rsidR="000D30BD" w:rsidRPr="00884D1A">
        <w:rPr>
          <w:lang w:val="fr-CH"/>
        </w:rPr>
        <w:t xml:space="preserve"> </w:t>
      </w:r>
    </w:p>
    <w:p w14:paraId="07952733" w14:textId="57EB2E98" w:rsidR="00EB3612" w:rsidRPr="00884D1A" w:rsidRDefault="00747358" w:rsidP="00105640">
      <w:pPr>
        <w:ind w:left="567"/>
        <w:rPr>
          <w:lang w:val="fr-CH"/>
        </w:rPr>
      </w:pPr>
      <w:r w:rsidRPr="00884D1A">
        <w:rPr>
          <w:lang w:val="fr-CH"/>
        </w:rPr>
        <w:t xml:space="preserve">La République </w:t>
      </w:r>
      <w:r w:rsidR="00B4542E" w:rsidRPr="00884D1A">
        <w:rPr>
          <w:lang w:val="fr-CH"/>
        </w:rPr>
        <w:t xml:space="preserve">argentine </w:t>
      </w:r>
      <w:r w:rsidR="005B1C0B" w:rsidRPr="00884D1A">
        <w:rPr>
          <w:lang w:val="fr-CH"/>
        </w:rPr>
        <w:t>demeure résolue à travailler main dans la main avec l</w:t>
      </w:r>
      <w:r w:rsidR="00C55F21" w:rsidRPr="00884D1A">
        <w:rPr>
          <w:lang w:val="fr-CH"/>
        </w:rPr>
        <w:t>'</w:t>
      </w:r>
      <w:r w:rsidR="005B1C0B" w:rsidRPr="00884D1A">
        <w:rPr>
          <w:lang w:val="fr-CH"/>
        </w:rPr>
        <w:t xml:space="preserve">UIT, pour </w:t>
      </w:r>
      <w:r w:rsidR="00B82DF6" w:rsidRPr="00884D1A">
        <w:rPr>
          <w:lang w:val="fr-CH"/>
        </w:rPr>
        <w:t xml:space="preserve">renforcer la connectivité, en particulier pour les femmes, les enfants, les personnes âgées, les personnes handicapées, les personnes ayant des besoins particuliers, les populations autochtones et les personnes vulnérables, </w:t>
      </w:r>
      <w:r w:rsidR="00600081" w:rsidRPr="00884D1A">
        <w:rPr>
          <w:lang w:val="fr-CH"/>
        </w:rPr>
        <w:t>avec l</w:t>
      </w:r>
      <w:r w:rsidR="00C55F21" w:rsidRPr="00884D1A">
        <w:rPr>
          <w:lang w:val="fr-CH"/>
        </w:rPr>
        <w:t>'</w:t>
      </w:r>
      <w:r w:rsidR="00600081" w:rsidRPr="00884D1A">
        <w:rPr>
          <w:lang w:val="fr-CH"/>
        </w:rPr>
        <w:t xml:space="preserve">assurance que les fruits </w:t>
      </w:r>
      <w:r w:rsidR="00C239A4" w:rsidRPr="00884D1A">
        <w:rPr>
          <w:lang w:val="fr-CH"/>
        </w:rPr>
        <w:t>des mesures prises par l</w:t>
      </w:r>
      <w:r w:rsidR="00C55F21" w:rsidRPr="00884D1A">
        <w:rPr>
          <w:lang w:val="fr-CH"/>
        </w:rPr>
        <w:t>'</w:t>
      </w:r>
      <w:r w:rsidR="00C239A4" w:rsidRPr="00884D1A">
        <w:rPr>
          <w:lang w:val="fr-CH"/>
        </w:rPr>
        <w:t>Union nous rapprocherons d</w:t>
      </w:r>
      <w:r w:rsidR="00C55F21" w:rsidRPr="00884D1A">
        <w:rPr>
          <w:lang w:val="fr-CH"/>
        </w:rPr>
        <w:t>'</w:t>
      </w:r>
      <w:r w:rsidR="00C239A4" w:rsidRPr="00884D1A">
        <w:rPr>
          <w:lang w:val="fr-CH"/>
        </w:rPr>
        <w:t xml:space="preserve">une société </w:t>
      </w:r>
      <w:r w:rsidR="00254A5B" w:rsidRPr="00884D1A">
        <w:rPr>
          <w:lang w:val="fr-CH"/>
        </w:rPr>
        <w:t>de l</w:t>
      </w:r>
      <w:r w:rsidR="00C55F21" w:rsidRPr="00884D1A">
        <w:rPr>
          <w:lang w:val="fr-CH"/>
        </w:rPr>
        <w:t>'</w:t>
      </w:r>
      <w:r w:rsidR="00254A5B" w:rsidRPr="00884D1A">
        <w:rPr>
          <w:lang w:val="fr-CH"/>
        </w:rPr>
        <w:t>information plus inclusive et égalitaire</w:t>
      </w:r>
      <w:r w:rsidR="00EB3612" w:rsidRPr="00884D1A">
        <w:rPr>
          <w:lang w:val="fr-CH"/>
        </w:rPr>
        <w:t>.</w:t>
      </w:r>
      <w:r w:rsidR="00CD5285" w:rsidRPr="00884D1A">
        <w:rPr>
          <w:lang w:val="fr-CH"/>
        </w:rPr>
        <w:t>"</w:t>
      </w:r>
    </w:p>
    <w:p w14:paraId="2B43BF4F" w14:textId="0061353F" w:rsidR="00FC4B8E" w:rsidRPr="00884D1A" w:rsidRDefault="001A6BE2" w:rsidP="001A6BE2">
      <w:pPr>
        <w:tabs>
          <w:tab w:val="clear" w:pos="567"/>
          <w:tab w:val="left" w:pos="709"/>
        </w:tabs>
        <w:rPr>
          <w:lang w:val="fr-CH"/>
        </w:rPr>
      </w:pPr>
      <w:r w:rsidRPr="00884D1A">
        <w:rPr>
          <w:lang w:val="fr-CH"/>
        </w:rPr>
        <w:t>16.10</w:t>
      </w:r>
      <w:r w:rsidRPr="00884D1A">
        <w:rPr>
          <w:lang w:val="fr-CH"/>
        </w:rPr>
        <w:tab/>
      </w:r>
      <w:r w:rsidR="00FC4B8E" w:rsidRPr="00884D1A">
        <w:rPr>
          <w:lang w:val="fr-CH"/>
        </w:rPr>
        <w:t xml:space="preserve">Le </w:t>
      </w:r>
      <w:r w:rsidR="00FC4B8E" w:rsidRPr="00884D1A">
        <w:rPr>
          <w:b/>
          <w:lang w:val="fr-CH"/>
        </w:rPr>
        <w:t>Président</w:t>
      </w:r>
      <w:r w:rsidR="00FC4B8E" w:rsidRPr="00884D1A">
        <w:rPr>
          <w:lang w:val="fr-CH"/>
        </w:rPr>
        <w:t xml:space="preserve"> indique que toutes les déclarations et les interventions faites </w:t>
      </w:r>
      <w:r w:rsidR="00A64946" w:rsidRPr="00884D1A">
        <w:rPr>
          <w:lang w:val="fr-CH"/>
        </w:rPr>
        <w:t xml:space="preserve">apparaîtront </w:t>
      </w:r>
      <w:r w:rsidR="00FC4B8E" w:rsidRPr="00884D1A">
        <w:rPr>
          <w:lang w:val="fr-CH"/>
        </w:rPr>
        <w:t xml:space="preserve">dans le procès-verbal, et que </w:t>
      </w:r>
      <w:r w:rsidR="00AE2E12" w:rsidRPr="00884D1A">
        <w:rPr>
          <w:lang w:val="fr-CH"/>
        </w:rPr>
        <w:t xml:space="preserve">les discussions sur cette question </w:t>
      </w:r>
      <w:r w:rsidR="005841E0" w:rsidRPr="00884D1A">
        <w:rPr>
          <w:lang w:val="fr-CH"/>
        </w:rPr>
        <w:t xml:space="preserve">se poursuivront pendant la </w:t>
      </w:r>
      <w:r w:rsidR="00200A32" w:rsidRPr="00884D1A">
        <w:rPr>
          <w:lang w:val="fr-CH"/>
        </w:rPr>
        <w:t>séance plénière suivante.</w:t>
      </w:r>
    </w:p>
    <w:p w14:paraId="232ADABC" w14:textId="30025D46" w:rsidR="00EB3612" w:rsidRPr="00884D1A" w:rsidRDefault="0067097F" w:rsidP="00105640">
      <w:pPr>
        <w:rPr>
          <w:b/>
          <w:bCs/>
          <w:lang w:val="fr-CH"/>
        </w:rPr>
      </w:pPr>
      <w:r w:rsidRPr="00884D1A">
        <w:rPr>
          <w:b/>
          <w:bCs/>
          <w:lang w:val="fr-CH"/>
        </w:rPr>
        <w:t>La séance est levée à 12 h 55</w:t>
      </w:r>
      <w:r w:rsidR="00EB3612" w:rsidRPr="00884D1A">
        <w:rPr>
          <w:b/>
          <w:bCs/>
          <w:lang w:val="fr-CH"/>
        </w:rPr>
        <w:t>.</w:t>
      </w:r>
    </w:p>
    <w:p w14:paraId="3E16167F" w14:textId="4FBF1660" w:rsidR="00EB3612" w:rsidRPr="00884D1A" w:rsidRDefault="002063A4" w:rsidP="00105640">
      <w:pPr>
        <w:tabs>
          <w:tab w:val="clear" w:pos="567"/>
          <w:tab w:val="clear" w:pos="1134"/>
          <w:tab w:val="clear" w:pos="1701"/>
          <w:tab w:val="clear" w:pos="2268"/>
          <w:tab w:val="clear" w:pos="2835"/>
          <w:tab w:val="left" w:pos="6804"/>
        </w:tabs>
        <w:spacing w:before="840"/>
        <w:rPr>
          <w:lang w:val="fr-CH"/>
        </w:rPr>
      </w:pPr>
      <w:r w:rsidRPr="00884D1A">
        <w:rPr>
          <w:lang w:val="fr-CH"/>
        </w:rPr>
        <w:t>Le Secrétaire général</w:t>
      </w:r>
      <w:r w:rsidR="00EB3612" w:rsidRPr="00884D1A">
        <w:rPr>
          <w:lang w:val="fr-CH"/>
        </w:rPr>
        <w:t>:</w:t>
      </w:r>
      <w:r w:rsidR="00EB3612" w:rsidRPr="00884D1A">
        <w:rPr>
          <w:lang w:val="fr-CH"/>
        </w:rPr>
        <w:tab/>
      </w:r>
      <w:r w:rsidR="00210699" w:rsidRPr="00884D1A">
        <w:rPr>
          <w:lang w:val="fr-CH"/>
        </w:rPr>
        <w:t>Le Président</w:t>
      </w:r>
      <w:r w:rsidR="00EB3612" w:rsidRPr="00884D1A">
        <w:rPr>
          <w:lang w:val="fr-CH"/>
        </w:rPr>
        <w:t>:</w:t>
      </w:r>
    </w:p>
    <w:p w14:paraId="7069D017" w14:textId="77777777" w:rsidR="00EB3612" w:rsidRPr="00884D1A" w:rsidRDefault="00EB3612" w:rsidP="00CD5285">
      <w:pPr>
        <w:tabs>
          <w:tab w:val="clear" w:pos="567"/>
          <w:tab w:val="clear" w:pos="1134"/>
          <w:tab w:val="clear" w:pos="1701"/>
          <w:tab w:val="clear" w:pos="2268"/>
          <w:tab w:val="clear" w:pos="2835"/>
          <w:tab w:val="left" w:pos="6804"/>
        </w:tabs>
        <w:spacing w:before="0"/>
        <w:rPr>
          <w:lang w:val="fr-CH"/>
        </w:rPr>
      </w:pPr>
      <w:r w:rsidRPr="00884D1A">
        <w:rPr>
          <w:lang w:val="fr-CH"/>
        </w:rPr>
        <w:t>H. ZHAO</w:t>
      </w:r>
      <w:r w:rsidRPr="00884D1A">
        <w:rPr>
          <w:lang w:val="fr-CH"/>
        </w:rPr>
        <w:tab/>
        <w:t>S. SĂRMAȘ</w:t>
      </w:r>
    </w:p>
    <w:bookmarkEnd w:id="16"/>
    <w:p w14:paraId="2660E6E9" w14:textId="657957B5" w:rsidR="00EB3612" w:rsidRPr="00884D1A" w:rsidRDefault="00EB3612" w:rsidP="00CD5285">
      <w:pPr>
        <w:spacing w:before="1200"/>
      </w:pPr>
      <w:r w:rsidRPr="00884D1A">
        <w:rPr>
          <w:b/>
          <w:bCs/>
          <w:iCs/>
          <w:lang w:val="fr-CH"/>
        </w:rPr>
        <w:t>Annexe</w:t>
      </w:r>
      <w:r w:rsidRPr="00884D1A">
        <w:rPr>
          <w:bCs/>
          <w:iCs/>
          <w:lang w:val="fr-CH"/>
        </w:rPr>
        <w:t>:</w:t>
      </w:r>
      <w:r w:rsidRPr="00884D1A">
        <w:rPr>
          <w:iCs/>
          <w:lang w:val="fr-CH"/>
        </w:rPr>
        <w:t xml:space="preserve"> 1</w:t>
      </w:r>
      <w:r w:rsidRPr="00884D1A">
        <w:br w:type="page"/>
      </w:r>
    </w:p>
    <w:p w14:paraId="6E87497D" w14:textId="34861B46" w:rsidR="00EB3612" w:rsidRPr="00884D1A" w:rsidRDefault="00EB3612" w:rsidP="00105640">
      <w:pPr>
        <w:pStyle w:val="AnnexNo"/>
      </w:pPr>
      <w:r w:rsidRPr="00884D1A">
        <w:lastRenderedPageBreak/>
        <w:t>Annexe A</w:t>
      </w:r>
    </w:p>
    <w:p w14:paraId="571B403D" w14:textId="47FEDC69" w:rsidR="00EB3612" w:rsidRPr="00884D1A" w:rsidRDefault="00EB3612" w:rsidP="00105640">
      <w:pPr>
        <w:jc w:val="right"/>
      </w:pPr>
      <w:r w:rsidRPr="00884D1A">
        <w:t xml:space="preserve">Original: </w:t>
      </w:r>
      <w:r w:rsidR="00B64D74" w:rsidRPr="00884D1A">
        <w:t>russe</w:t>
      </w:r>
    </w:p>
    <w:p w14:paraId="4B7C3981" w14:textId="21B3BFBF" w:rsidR="00EB3612" w:rsidRPr="00884D1A" w:rsidRDefault="00127379" w:rsidP="001A6BE2">
      <w:pPr>
        <w:pStyle w:val="Annextitle"/>
      </w:pPr>
      <w:r w:rsidRPr="00884D1A">
        <w:t xml:space="preserve">Déclaration de la Fédération de Russie </w:t>
      </w:r>
      <w:r w:rsidR="001E6294" w:rsidRPr="00884D1A">
        <w:t xml:space="preserve">concernant la déclaration </w:t>
      </w:r>
      <w:r w:rsidR="00A45059" w:rsidRPr="00884D1A">
        <w:t>faite par</w:t>
      </w:r>
      <w:r w:rsidR="001E6294" w:rsidRPr="00884D1A">
        <w:t xml:space="preserve"> la Républ</w:t>
      </w:r>
      <w:r w:rsidR="00CC0525" w:rsidRPr="00884D1A">
        <w:t>ique tchèque sur le Document 88</w:t>
      </w:r>
      <w:r w:rsidR="001E6294" w:rsidRPr="00884D1A">
        <w:t xml:space="preserve"> </w:t>
      </w:r>
      <w:r w:rsidR="00CC0525" w:rsidRPr="00884D1A">
        <w:t>lors de</w:t>
      </w:r>
      <w:r w:rsidR="00483649" w:rsidRPr="00884D1A">
        <w:t xml:space="preserve"> l'examen </w:t>
      </w:r>
      <w:r w:rsidR="001A6BE2" w:rsidRPr="00884D1A">
        <w:br/>
      </w:r>
      <w:r w:rsidR="00483649" w:rsidRPr="00884D1A">
        <w:t>du rapport de la Commission 5</w:t>
      </w:r>
    </w:p>
    <w:p w14:paraId="65DB9DBD" w14:textId="6F9CEAF5" w:rsidR="005A2976" w:rsidRPr="00884D1A" w:rsidRDefault="005A2976" w:rsidP="00CD5285">
      <w:pPr>
        <w:spacing w:before="240"/>
      </w:pPr>
      <w:r w:rsidRPr="00884D1A">
        <w:t xml:space="preserve">La Fédération de Russie </w:t>
      </w:r>
      <w:r w:rsidR="001E5FE7" w:rsidRPr="00884D1A">
        <w:t xml:space="preserve">réfute catégoriquement les accusations infondées </w:t>
      </w:r>
      <w:r w:rsidR="00834C49" w:rsidRPr="00884D1A">
        <w:t>portées par la République tchèque dans la déclaration qu</w:t>
      </w:r>
      <w:r w:rsidR="00C55F21" w:rsidRPr="00884D1A">
        <w:t>'</w:t>
      </w:r>
      <w:r w:rsidR="00834C49" w:rsidRPr="00884D1A">
        <w:t>elle a faite au nom des 27 pays de l</w:t>
      </w:r>
      <w:r w:rsidR="00C55F21" w:rsidRPr="00884D1A">
        <w:t>'</w:t>
      </w:r>
      <w:r w:rsidR="00834C49" w:rsidRPr="00884D1A">
        <w:t>Union européenne, de l</w:t>
      </w:r>
      <w:r w:rsidR="00C55F21" w:rsidRPr="00884D1A">
        <w:t>'</w:t>
      </w:r>
      <w:r w:rsidR="00834C49" w:rsidRPr="00884D1A">
        <w:t>Ukraine, de l</w:t>
      </w:r>
      <w:r w:rsidR="00C55F21" w:rsidRPr="00884D1A">
        <w:t>'</w:t>
      </w:r>
      <w:r w:rsidR="00834C49" w:rsidRPr="00884D1A">
        <w:t>Australie, du Canada, du Royaume-Uni de Grande-Bretagne et d</w:t>
      </w:r>
      <w:r w:rsidR="00C55F21" w:rsidRPr="00884D1A">
        <w:t>'</w:t>
      </w:r>
      <w:r w:rsidR="00834C49" w:rsidRPr="00884D1A">
        <w:t xml:space="preserve">Irlande du Nord, et des États-Unis concernant la déclaration </w:t>
      </w:r>
      <w:r w:rsidR="00224351" w:rsidRPr="00884D1A">
        <w:t xml:space="preserve">de la Fédération de Russie relative </w:t>
      </w:r>
      <w:r w:rsidR="004A5C7B" w:rsidRPr="00884D1A">
        <w:t>au Document 88 de la Conférence de plénipotentiaires, qui figure dans le rapport de la</w:t>
      </w:r>
      <w:r w:rsidR="00796BAE" w:rsidRPr="00884D1A">
        <w:t xml:space="preserve"> Commission 5.</w:t>
      </w:r>
    </w:p>
    <w:p w14:paraId="73F8082C" w14:textId="42406FBB" w:rsidR="00431CD6" w:rsidRPr="00884D1A" w:rsidRDefault="00431CD6" w:rsidP="00105640">
      <w:r w:rsidRPr="00884D1A">
        <w:t>La Fédération de Russie appelle l</w:t>
      </w:r>
      <w:r w:rsidR="00C55F21" w:rsidRPr="00884D1A">
        <w:t>'</w:t>
      </w:r>
      <w:r w:rsidRPr="00884D1A">
        <w:t>attention à nouveau sur le fait que l</w:t>
      </w:r>
      <w:r w:rsidR="00C55F21" w:rsidRPr="00884D1A">
        <w:t>'</w:t>
      </w:r>
      <w:r w:rsidRPr="00884D1A">
        <w:t>article 3 de la Constitution de l</w:t>
      </w:r>
      <w:r w:rsidR="00C55F21" w:rsidRPr="00884D1A">
        <w:t>'</w:t>
      </w:r>
      <w:r w:rsidRPr="00884D1A">
        <w:t>UIT, les articles 13, 16 et 20 de la Convention de l</w:t>
      </w:r>
      <w:r w:rsidR="00C55F21" w:rsidRPr="00884D1A">
        <w:t>'</w:t>
      </w:r>
      <w:r w:rsidRPr="00884D1A">
        <w:t>UIT, la section 10 des Règles générales régissant les conférences, assemblées et réunions de l</w:t>
      </w:r>
      <w:r w:rsidR="00C55F21" w:rsidRPr="00884D1A">
        <w:t>'</w:t>
      </w:r>
      <w:r w:rsidRPr="00884D1A">
        <w:t xml:space="preserve">Union et la Résolution 208 de la Conférence de plénipotentiaires </w:t>
      </w:r>
      <w:r w:rsidR="005D4AAA" w:rsidRPr="00884D1A">
        <w:t>de l</w:t>
      </w:r>
      <w:r w:rsidR="00C55F21" w:rsidRPr="00884D1A">
        <w:t>'</w:t>
      </w:r>
      <w:r w:rsidR="005D4AAA" w:rsidRPr="00884D1A">
        <w:t xml:space="preserve">UIT </w:t>
      </w:r>
      <w:r w:rsidR="003B1894" w:rsidRPr="00884D1A">
        <w:t>ont été</w:t>
      </w:r>
      <w:r w:rsidR="00AF677B" w:rsidRPr="00884D1A">
        <w:t xml:space="preserve"> enfreints, </w:t>
      </w:r>
      <w:r w:rsidR="00ED7C24" w:rsidRPr="00884D1A">
        <w:t>à l</w:t>
      </w:r>
      <w:r w:rsidR="00C55F21" w:rsidRPr="00884D1A">
        <w:t>'</w:t>
      </w:r>
      <w:r w:rsidR="00ED7C24" w:rsidRPr="00884D1A">
        <w:t>AMNT-20 et à la CMDT-22, lors de l</w:t>
      </w:r>
      <w:r w:rsidR="00C55F21" w:rsidRPr="00884D1A">
        <w:t>'</w:t>
      </w:r>
      <w:r w:rsidR="00ED7C24" w:rsidRPr="00884D1A">
        <w:t>approbation d</w:t>
      </w:r>
      <w:r w:rsidR="00C55F21" w:rsidRPr="00884D1A">
        <w:t>'</w:t>
      </w:r>
      <w:r w:rsidR="00ED7C24" w:rsidRPr="00884D1A">
        <w:t xml:space="preserve">experts </w:t>
      </w:r>
      <w:r w:rsidR="003F67EE" w:rsidRPr="00884D1A">
        <w:t>à la qualité de membres des commissions d</w:t>
      </w:r>
      <w:r w:rsidR="00C55F21" w:rsidRPr="00884D1A">
        <w:t>'</w:t>
      </w:r>
      <w:r w:rsidR="003F67EE" w:rsidRPr="00884D1A">
        <w:t>études et des groupes consultatifs du Secteur de la normalisation des télécommunications</w:t>
      </w:r>
      <w:r w:rsidR="001C01C4" w:rsidRPr="00884D1A">
        <w:t xml:space="preserve"> et du Secteur du développement des télécommunications. Ces décisions sont contraires </w:t>
      </w:r>
      <w:r w:rsidR="001F3831" w:rsidRPr="00884D1A">
        <w:t>aux dispositions des textes fondamentaux de l</w:t>
      </w:r>
      <w:r w:rsidR="00C55F21" w:rsidRPr="00884D1A">
        <w:t>'</w:t>
      </w:r>
      <w:r w:rsidR="001F3831" w:rsidRPr="00884D1A">
        <w:t xml:space="preserve">Union, </w:t>
      </w:r>
      <w:r w:rsidR="000214E7" w:rsidRPr="00884D1A">
        <w:t>et à l</w:t>
      </w:r>
      <w:r w:rsidR="00C55F21" w:rsidRPr="00884D1A">
        <w:t>'</w:t>
      </w:r>
      <w:r w:rsidR="000214E7" w:rsidRPr="00884D1A">
        <w:t xml:space="preserve">Article 2 </w:t>
      </w:r>
      <w:r w:rsidR="00762E72" w:rsidRPr="00884D1A">
        <w:t>de la Déclaration universelle des droits de l</w:t>
      </w:r>
      <w:r w:rsidR="00C55F21" w:rsidRPr="00884D1A">
        <w:t>'</w:t>
      </w:r>
      <w:r w:rsidR="00762E72" w:rsidRPr="00884D1A">
        <w:t>homme.</w:t>
      </w:r>
    </w:p>
    <w:p w14:paraId="20AFF95C" w14:textId="2453E532" w:rsidR="00534147" w:rsidRPr="00884D1A" w:rsidRDefault="00534147" w:rsidP="00105640">
      <w:r w:rsidRPr="00884D1A">
        <w:t xml:space="preserve">La Fédération de Russie </w:t>
      </w:r>
      <w:r w:rsidR="00FA15A3" w:rsidRPr="00884D1A">
        <w:t>est convaincue que le précédent créé en portant atteinte aux droits d</w:t>
      </w:r>
      <w:r w:rsidR="00C55F21" w:rsidRPr="00884D1A">
        <w:t>'</w:t>
      </w:r>
      <w:r w:rsidR="00FA15A3" w:rsidRPr="00884D1A">
        <w:t>États Membres de l</w:t>
      </w:r>
      <w:r w:rsidR="00C55F21" w:rsidRPr="00884D1A">
        <w:t>'</w:t>
      </w:r>
      <w:r w:rsidR="00FA15A3" w:rsidRPr="00884D1A">
        <w:t xml:space="preserve">UIT </w:t>
      </w:r>
      <w:r w:rsidR="008141E8" w:rsidRPr="00884D1A">
        <w:t xml:space="preserve">pour des motifs </w:t>
      </w:r>
      <w:r w:rsidR="004F74A4" w:rsidRPr="00884D1A">
        <w:t>non prévus par</w:t>
      </w:r>
      <w:r w:rsidR="001D7AFF" w:rsidRPr="00884D1A">
        <w:t xml:space="preserve"> la Constitution et la Convention de l</w:t>
      </w:r>
      <w:r w:rsidR="00C55F21" w:rsidRPr="00884D1A">
        <w:t>'</w:t>
      </w:r>
      <w:r w:rsidR="001D7AFF" w:rsidRPr="00884D1A">
        <w:t xml:space="preserve">UIT </w:t>
      </w:r>
      <w:r w:rsidR="004F74A4" w:rsidRPr="00884D1A">
        <w:t>risque de conduire à une série de décisions politiquement orientées analogues à l</w:t>
      </w:r>
      <w:r w:rsidR="00C55F21" w:rsidRPr="00884D1A">
        <w:t>'</w:t>
      </w:r>
      <w:r w:rsidR="004F74A4" w:rsidRPr="00884D1A">
        <w:t>avenir.</w:t>
      </w:r>
    </w:p>
    <w:p w14:paraId="109F9D46" w14:textId="668EEA19" w:rsidR="002C39E9" w:rsidRPr="00884D1A" w:rsidRDefault="002C39E9" w:rsidP="00105640">
      <w:r w:rsidRPr="00884D1A">
        <w:t xml:space="preserve">Le Document 88 soumis par la Fédération de Russie </w:t>
      </w:r>
      <w:r w:rsidR="00131C32" w:rsidRPr="00884D1A">
        <w:t xml:space="preserve">vise à prévenir de futurs </w:t>
      </w:r>
      <w:r w:rsidR="0080679F" w:rsidRPr="00884D1A">
        <w:t xml:space="preserve">actes </w:t>
      </w:r>
      <w:r w:rsidR="00131C32" w:rsidRPr="00884D1A">
        <w:t xml:space="preserve">discriminatoires de ce type </w:t>
      </w:r>
      <w:r w:rsidR="00922450" w:rsidRPr="00884D1A">
        <w:t>à l</w:t>
      </w:r>
      <w:r w:rsidR="00C55F21" w:rsidRPr="00884D1A">
        <w:t>'</w:t>
      </w:r>
      <w:r w:rsidR="00922450" w:rsidRPr="00884D1A">
        <w:t>encontre de c</w:t>
      </w:r>
      <w:r w:rsidR="00B05B23" w:rsidRPr="00884D1A">
        <w:t xml:space="preserve">andidats désignés par des États </w:t>
      </w:r>
      <w:r w:rsidR="00922450" w:rsidRPr="00884D1A">
        <w:t>Membres, des Membres de Secteur et d</w:t>
      </w:r>
      <w:r w:rsidR="00C55F21" w:rsidRPr="00884D1A">
        <w:t>'</w:t>
      </w:r>
      <w:r w:rsidR="00922450" w:rsidRPr="00884D1A">
        <w:t xml:space="preserve">autres organisations </w:t>
      </w:r>
      <w:r w:rsidR="006F67A4" w:rsidRPr="00884D1A">
        <w:t xml:space="preserve">autorisées, et </w:t>
      </w:r>
      <w:r w:rsidR="005C5101" w:rsidRPr="00884D1A">
        <w:t xml:space="preserve">est pleinement conforme aux </w:t>
      </w:r>
      <w:r w:rsidR="00F346EB" w:rsidRPr="00884D1A">
        <w:t xml:space="preserve">règles et </w:t>
      </w:r>
      <w:r w:rsidR="008B00F0" w:rsidRPr="00884D1A">
        <w:t xml:space="preserve">aux </w:t>
      </w:r>
      <w:r w:rsidR="00F346EB" w:rsidRPr="00884D1A">
        <w:t xml:space="preserve">procédures </w:t>
      </w:r>
      <w:r w:rsidR="008B00F0" w:rsidRPr="00884D1A">
        <w:t>en vigueur de</w:t>
      </w:r>
      <w:r w:rsidR="00F346EB" w:rsidRPr="00884D1A">
        <w:t xml:space="preserve"> l</w:t>
      </w:r>
      <w:r w:rsidR="00C55F21" w:rsidRPr="00884D1A">
        <w:t>'</w:t>
      </w:r>
      <w:r w:rsidR="00F346EB" w:rsidRPr="00884D1A">
        <w:t>UIT.</w:t>
      </w:r>
    </w:p>
    <w:p w14:paraId="5E2D7BBB" w14:textId="035109F7" w:rsidR="00B63075" w:rsidRPr="00884D1A" w:rsidRDefault="00B63075" w:rsidP="00105640">
      <w:r w:rsidRPr="00884D1A">
        <w:t>En ce qui concerne</w:t>
      </w:r>
      <w:r w:rsidR="0080679F" w:rsidRPr="00884D1A">
        <w:t xml:space="preserve"> les déclarations relatives à</w:t>
      </w:r>
      <w:r w:rsidRPr="00884D1A">
        <w:t xml:space="preserve"> </w:t>
      </w:r>
      <w:r w:rsidR="002F49A8" w:rsidRPr="00884D1A">
        <w:t xml:space="preserve">la </w:t>
      </w:r>
      <w:r w:rsidR="00765934" w:rsidRPr="00884D1A">
        <w:t xml:space="preserve">validité des décisions adoptées </w:t>
      </w:r>
      <w:r w:rsidR="008716A2" w:rsidRPr="00884D1A">
        <w:t>à l</w:t>
      </w:r>
      <w:r w:rsidR="00C55F21" w:rsidRPr="00884D1A">
        <w:t>'</w:t>
      </w:r>
      <w:r w:rsidR="00CD5285" w:rsidRPr="00884D1A">
        <w:t>AMNT et à la </w:t>
      </w:r>
      <w:r w:rsidR="008716A2" w:rsidRPr="00884D1A">
        <w:t xml:space="preserve">CMDT en 2022, </w:t>
      </w:r>
      <w:r w:rsidR="004525E8" w:rsidRPr="00884D1A">
        <w:t xml:space="preserve">nous ne souscrivons pas aux </w:t>
      </w:r>
      <w:r w:rsidR="000F4F34" w:rsidRPr="00884D1A">
        <w:t xml:space="preserve">actions du </w:t>
      </w:r>
      <w:r w:rsidR="00D55F27" w:rsidRPr="00884D1A">
        <w:t>Conseiller juridique de l</w:t>
      </w:r>
      <w:r w:rsidR="00C55F21" w:rsidRPr="00884D1A">
        <w:t>'</w:t>
      </w:r>
      <w:r w:rsidR="00D55F27" w:rsidRPr="00884D1A">
        <w:t xml:space="preserve">UIT, </w:t>
      </w:r>
      <w:r w:rsidR="00CC4A2B" w:rsidRPr="00884D1A">
        <w:t>qui ont joué un rôle déterminant dans l</w:t>
      </w:r>
      <w:r w:rsidR="00C55F21" w:rsidRPr="00884D1A">
        <w:t>'</w:t>
      </w:r>
      <w:r w:rsidR="00CC4A2B" w:rsidRPr="00884D1A">
        <w:t xml:space="preserve">adoption de décisions </w:t>
      </w:r>
      <w:r w:rsidR="00B61C2B" w:rsidRPr="00884D1A">
        <w:t xml:space="preserve">illégitimes </w:t>
      </w:r>
      <w:r w:rsidR="0080679F" w:rsidRPr="00884D1A">
        <w:t>ne résultant pas d</w:t>
      </w:r>
      <w:r w:rsidR="00C55F21" w:rsidRPr="00884D1A">
        <w:t>'</w:t>
      </w:r>
      <w:r w:rsidR="0080679F" w:rsidRPr="00884D1A">
        <w:t>un consensus</w:t>
      </w:r>
      <w:r w:rsidR="00CD5285" w:rsidRPr="00884D1A">
        <w:t>, y </w:t>
      </w:r>
      <w:r w:rsidR="000D0953" w:rsidRPr="00884D1A">
        <w:t xml:space="preserve">compris </w:t>
      </w:r>
      <w:r w:rsidR="004333E4" w:rsidRPr="00884D1A">
        <w:t>la tenue d</w:t>
      </w:r>
      <w:r w:rsidR="00C55F21" w:rsidRPr="00884D1A">
        <w:t>'</w:t>
      </w:r>
      <w:r w:rsidR="004333E4" w:rsidRPr="00884D1A">
        <w:t>élection illégitimes.</w:t>
      </w:r>
    </w:p>
    <w:p w14:paraId="66395711" w14:textId="083D8A61" w:rsidR="00A34ADC" w:rsidRPr="00884D1A" w:rsidRDefault="00A34ADC" w:rsidP="00105640">
      <w:r w:rsidRPr="00884D1A">
        <w:t>La Fédération de Russie note que l</w:t>
      </w:r>
      <w:r w:rsidR="00C55F21" w:rsidRPr="00884D1A">
        <w:t>'</w:t>
      </w:r>
      <w:r w:rsidRPr="00884D1A">
        <w:t xml:space="preserve">élection </w:t>
      </w:r>
      <w:r w:rsidR="00401B4F" w:rsidRPr="00884D1A">
        <w:t>des candidats doit être strictement conforme aux critères professionnels prévus dans les textes fondamentaux de l</w:t>
      </w:r>
      <w:r w:rsidR="00C55F21" w:rsidRPr="00884D1A">
        <w:t>'</w:t>
      </w:r>
      <w:r w:rsidR="00401B4F" w:rsidRPr="00884D1A">
        <w:t>UIT susmentionnés.</w:t>
      </w:r>
    </w:p>
    <w:p w14:paraId="67F403DC" w14:textId="79D247C4" w:rsidR="00856442" w:rsidRPr="00884D1A" w:rsidRDefault="00856442" w:rsidP="00105640">
      <w:r w:rsidRPr="00884D1A">
        <w:t xml:space="preserve">La Fédération de Russie </w:t>
      </w:r>
      <w:r w:rsidR="0025345F" w:rsidRPr="00884D1A">
        <w:t>appelle la Conférence de plénipotentiaires de 2022 de l</w:t>
      </w:r>
      <w:r w:rsidR="00C55F21" w:rsidRPr="00884D1A">
        <w:t>'</w:t>
      </w:r>
      <w:r w:rsidR="0025345F" w:rsidRPr="00884D1A">
        <w:t>UIT, ainsi que les futures conférences, assemblées et réunions de l</w:t>
      </w:r>
      <w:r w:rsidR="00C55F21" w:rsidRPr="00884D1A">
        <w:t>'</w:t>
      </w:r>
      <w:r w:rsidR="0025345F" w:rsidRPr="00884D1A">
        <w:t xml:space="preserve">Union à </w:t>
      </w:r>
      <w:r w:rsidR="00955140" w:rsidRPr="00884D1A">
        <w:t xml:space="preserve">ne pas tenir compte des déclarations </w:t>
      </w:r>
      <w:r w:rsidR="00DD6EF2" w:rsidRPr="00884D1A">
        <w:t>qui outrepassent</w:t>
      </w:r>
      <w:r w:rsidR="009C2CD6" w:rsidRPr="00884D1A">
        <w:t xml:space="preserve"> le mandat de l</w:t>
      </w:r>
      <w:r w:rsidR="00C55F21" w:rsidRPr="00884D1A">
        <w:t>'</w:t>
      </w:r>
      <w:r w:rsidR="009C2CD6" w:rsidRPr="00884D1A">
        <w:t>Union, à faire en sorte qu</w:t>
      </w:r>
      <w:r w:rsidR="00C55F21" w:rsidRPr="00884D1A">
        <w:t>'</w:t>
      </w:r>
      <w:r w:rsidR="009C2CD6" w:rsidRPr="00884D1A">
        <w:t xml:space="preserve">aucune décision </w:t>
      </w:r>
      <w:r w:rsidR="0080679F" w:rsidRPr="00884D1A">
        <w:t>politisée</w:t>
      </w:r>
      <w:r w:rsidR="009C2CD6" w:rsidRPr="00884D1A">
        <w:t xml:space="preserve"> ne soit adoptée sous de telles pressions et à </w:t>
      </w:r>
      <w:r w:rsidR="0080679F" w:rsidRPr="00884D1A">
        <w:t xml:space="preserve">tout mettre en œuvre pour </w:t>
      </w:r>
      <w:r w:rsidR="00A15E84" w:rsidRPr="00884D1A">
        <w:t xml:space="preserve">éviter de nouveaux précédents </w:t>
      </w:r>
      <w:r w:rsidR="008A643E" w:rsidRPr="00884D1A">
        <w:t>portant atteinte aux droits d</w:t>
      </w:r>
      <w:r w:rsidR="00C55F21" w:rsidRPr="00884D1A">
        <w:t>'</w:t>
      </w:r>
      <w:r w:rsidR="008A643E" w:rsidRPr="00884D1A">
        <w:t>un État Membre de l</w:t>
      </w:r>
      <w:r w:rsidR="00C55F21" w:rsidRPr="00884D1A">
        <w:t>'</w:t>
      </w:r>
      <w:r w:rsidR="008A643E" w:rsidRPr="00884D1A">
        <w:t>UIT</w:t>
      </w:r>
      <w:r w:rsidR="0080679F" w:rsidRPr="00884D1A">
        <w:t xml:space="preserve"> pour quelque motif que ce soit,</w:t>
      </w:r>
      <w:r w:rsidR="008A643E" w:rsidRPr="00884D1A">
        <w:t xml:space="preserve"> </w:t>
      </w:r>
      <w:r w:rsidR="0080679F" w:rsidRPr="00884D1A">
        <w:t>à l</w:t>
      </w:r>
      <w:r w:rsidR="00C55F21" w:rsidRPr="00884D1A">
        <w:t>'</w:t>
      </w:r>
      <w:r w:rsidR="0080679F" w:rsidRPr="00884D1A">
        <w:t>exception de</w:t>
      </w:r>
      <w:r w:rsidR="008A643E" w:rsidRPr="00884D1A">
        <w:t xml:space="preserve"> ceux prévus par la Constitution et la Convention de l</w:t>
      </w:r>
      <w:r w:rsidR="00C55F21" w:rsidRPr="00884D1A">
        <w:t>'</w:t>
      </w:r>
      <w:r w:rsidR="008A643E" w:rsidRPr="00884D1A">
        <w:t>UIT.</w:t>
      </w:r>
    </w:p>
    <w:p w14:paraId="1B7D529D" w14:textId="77777777" w:rsidR="00B64D74" w:rsidRDefault="00B64D74" w:rsidP="00105640">
      <w:pPr>
        <w:spacing w:before="360"/>
        <w:jc w:val="center"/>
      </w:pPr>
      <w:r w:rsidRPr="00884D1A">
        <w:t>______________</w:t>
      </w:r>
    </w:p>
    <w:sectPr w:rsidR="00B64D74" w:rsidSect="003A0B7D">
      <w:headerReference w:type="even" r:id="rId33"/>
      <w:headerReference w:type="default" r:id="rId34"/>
      <w:footerReference w:type="even" r:id="rId35"/>
      <w:footerReference w:type="default" r:id="rId36"/>
      <w:headerReference w:type="first" r:id="rId37"/>
      <w:footerReference w:type="first" r:id="rId38"/>
      <w:type w:val="continuous"/>
      <w:pgSz w:w="11913"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75D" w16cex:dateUtc="2022-11-14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9B0F1" w16cid:durableId="271CDC27"/>
  <w16cid:commentId w16cid:paraId="6C013C72" w16cid:durableId="271CDC28"/>
  <w16cid:commentId w16cid:paraId="75C329B2" w16cid:durableId="271CDC29"/>
  <w16cid:commentId w16cid:paraId="4776DC31" w16cid:durableId="271CDC2A"/>
  <w16cid:commentId w16cid:paraId="60F5810B" w16cid:durableId="271CDC2B"/>
  <w16cid:commentId w16cid:paraId="1AB96C76" w16cid:durableId="271CDC2C"/>
  <w16cid:commentId w16cid:paraId="5C855047" w16cid:durableId="271CDC2D"/>
  <w16cid:commentId w16cid:paraId="79B06E1D" w16cid:durableId="271CDC2E"/>
  <w16cid:commentId w16cid:paraId="750C4B37" w16cid:durableId="271CDC2F"/>
  <w16cid:commentId w16cid:paraId="170B693B" w16cid:durableId="271CDC30"/>
  <w16cid:commentId w16cid:paraId="3CB6F948" w16cid:durableId="271CDC31"/>
  <w16cid:commentId w16cid:paraId="144D529F" w16cid:durableId="271CDC32"/>
  <w16cid:commentId w16cid:paraId="630ED497" w16cid:durableId="271CDC33"/>
  <w16cid:commentId w16cid:paraId="3D0F8316" w16cid:durableId="271CDC34"/>
  <w16cid:commentId w16cid:paraId="6E79E099" w16cid:durableId="271CDC35"/>
  <w16cid:commentId w16cid:paraId="36435C01" w16cid:durableId="271CDC36"/>
  <w16cid:commentId w16cid:paraId="743B4D2B" w16cid:durableId="271CDC37"/>
  <w16cid:commentId w16cid:paraId="2D13BBBD" w16cid:durableId="271CE75D"/>
  <w16cid:commentId w16cid:paraId="2330EE0D" w16cid:durableId="271CDC38"/>
  <w16cid:commentId w16cid:paraId="47A9B91B" w16cid:durableId="271CDC39"/>
  <w16cid:commentId w16cid:paraId="27803E6B" w16cid:durableId="271CDC3A"/>
  <w16cid:commentId w16cid:paraId="652EC822" w16cid:durableId="271CDC3B"/>
  <w16cid:commentId w16cid:paraId="245F7A93" w16cid:durableId="271CDC3C"/>
</w16cid:commentsIds>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645D" w14:textId="77777777" w:rsidR="00C55F21" w:rsidRDefault="00C55F21">
      <w:r>
        <w:separator/>
      </w:r>
    </w:p>
  </w:endnote>
  <w:endnote w:type="continuationSeparator" w:id="0">
    <w:p w14:paraId="171487AF" w14:textId="77777777" w:rsidR="00C55F21" w:rsidRDefault="00C5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1563" w14:textId="77777777" w:rsidR="00644976" w:rsidRDefault="00644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231" w14:textId="0D26CA1C" w:rsidR="00C55F21" w:rsidRPr="006C2A7B" w:rsidRDefault="00884D1A" w:rsidP="00644976">
    <w:pPr>
      <w:pStyle w:val="Footer"/>
      <w:rPr>
        <w:lang w:val="en-US"/>
      </w:rPr>
    </w:pPr>
    <w:r>
      <w:fldChar w:fldCharType="begin"/>
    </w:r>
    <w:r>
      <w:instrText xml:space="preserve"> FILENAME \p  \* MERGEFORMAT </w:instrText>
    </w:r>
    <w:r>
      <w:fldChar w:fldCharType="separate"/>
    </w:r>
    <w:r>
      <w:t>P:\FRA\SG\CONF-SG\PP22\200\206V2F.docx</w:t>
    </w:r>
    <w:r>
      <w:fldChar w:fldCharType="end"/>
    </w:r>
    <w:r w:rsidR="00C55F21" w:rsidRPr="006C2A7B">
      <w:rPr>
        <w:lang w:val="en-US"/>
      </w:rPr>
      <w:t xml:space="preserve"> (</w:t>
    </w:r>
    <w:r w:rsidR="00C55F21">
      <w:rPr>
        <w:lang w:val="en-US"/>
      </w:rPr>
      <w:t>515442</w:t>
    </w:r>
    <w:r w:rsidR="00C55F21" w:rsidRPr="006C2A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860" w14:textId="35386948" w:rsidR="00C55F21" w:rsidRDefault="00C55F21" w:rsidP="006359E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Pr="006359EF">
        <w:rPr>
          <w:rStyle w:val="Hyperlink"/>
          <w:sz w:val="22"/>
          <w:szCs w:val="22"/>
          <w:lang w:val="en-GB"/>
        </w:rPr>
        <w:t>www.itu.int/plenipotentiary/</w:t>
      </w:r>
    </w:hyperlink>
    <w:r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D8F5" w14:textId="77777777" w:rsidR="00C55F21" w:rsidRDefault="00C55F21">
      <w:r>
        <w:t>____________________</w:t>
      </w:r>
    </w:p>
  </w:footnote>
  <w:footnote w:type="continuationSeparator" w:id="0">
    <w:p w14:paraId="38068C51" w14:textId="77777777" w:rsidR="00C55F21" w:rsidRDefault="00C5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0F79" w14:textId="77777777" w:rsidR="00644976" w:rsidRDefault="00644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789E6D97" w:rsidR="00C55F21" w:rsidRDefault="00C55F21" w:rsidP="00BD1614">
    <w:pPr>
      <w:pStyle w:val="Header"/>
    </w:pPr>
    <w:r>
      <w:fldChar w:fldCharType="begin"/>
    </w:r>
    <w:r>
      <w:instrText xml:space="preserve"> PAGE </w:instrText>
    </w:r>
    <w:r>
      <w:fldChar w:fldCharType="separate"/>
    </w:r>
    <w:r w:rsidR="00884D1A">
      <w:rPr>
        <w:noProof/>
      </w:rPr>
      <w:t>15</w:t>
    </w:r>
    <w:r>
      <w:fldChar w:fldCharType="end"/>
    </w:r>
  </w:p>
  <w:p w14:paraId="650D8FD2" w14:textId="249AEB28" w:rsidR="00C55F21" w:rsidRDefault="00C55F21" w:rsidP="001E2226">
    <w:pPr>
      <w:pStyle w:val="Header"/>
    </w:pPr>
    <w:r>
      <w:t>PP22/206-F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6C7B" w14:textId="77777777" w:rsidR="00644976" w:rsidRDefault="00644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068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54F3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B84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6B7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846E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2E4C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4A0A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06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625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A62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F04583"/>
    <w:multiLevelType w:val="hybridMultilevel"/>
    <w:tmpl w:val="CBA281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activeWritingStyle w:appName="MSWord" w:lang="fr-CH" w:vendorID="64" w:dllVersion="131078" w:nlCheck="1" w:checkStyle="0"/>
  <w:activeWritingStyle w:appName="MSWord" w:lang="en-CA"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E96"/>
    <w:rsid w:val="00002E66"/>
    <w:rsid w:val="000054D8"/>
    <w:rsid w:val="00006BA5"/>
    <w:rsid w:val="00011999"/>
    <w:rsid w:val="00011D68"/>
    <w:rsid w:val="00017F91"/>
    <w:rsid w:val="000214E7"/>
    <w:rsid w:val="00023C5D"/>
    <w:rsid w:val="000245F6"/>
    <w:rsid w:val="00026E3E"/>
    <w:rsid w:val="00030ACF"/>
    <w:rsid w:val="00031F43"/>
    <w:rsid w:val="00033E7F"/>
    <w:rsid w:val="000372BC"/>
    <w:rsid w:val="00041532"/>
    <w:rsid w:val="00041896"/>
    <w:rsid w:val="000435C5"/>
    <w:rsid w:val="00044AA9"/>
    <w:rsid w:val="00052395"/>
    <w:rsid w:val="000534EE"/>
    <w:rsid w:val="00056DAA"/>
    <w:rsid w:val="00060D74"/>
    <w:rsid w:val="000657A1"/>
    <w:rsid w:val="000665E4"/>
    <w:rsid w:val="000701E2"/>
    <w:rsid w:val="00072D5C"/>
    <w:rsid w:val="00074D94"/>
    <w:rsid w:val="00075CFF"/>
    <w:rsid w:val="000768FC"/>
    <w:rsid w:val="000820DF"/>
    <w:rsid w:val="0008398C"/>
    <w:rsid w:val="00083AD2"/>
    <w:rsid w:val="00084308"/>
    <w:rsid w:val="0009385E"/>
    <w:rsid w:val="00094F78"/>
    <w:rsid w:val="00095C7F"/>
    <w:rsid w:val="00096A4B"/>
    <w:rsid w:val="00097C60"/>
    <w:rsid w:val="000A3195"/>
    <w:rsid w:val="000A31F0"/>
    <w:rsid w:val="000A7B11"/>
    <w:rsid w:val="000B04EE"/>
    <w:rsid w:val="000B1127"/>
    <w:rsid w:val="000B14B6"/>
    <w:rsid w:val="000B368D"/>
    <w:rsid w:val="000C0C58"/>
    <w:rsid w:val="000C3290"/>
    <w:rsid w:val="000C467B"/>
    <w:rsid w:val="000C4CCF"/>
    <w:rsid w:val="000D04F5"/>
    <w:rsid w:val="000D0953"/>
    <w:rsid w:val="000D0A0C"/>
    <w:rsid w:val="000D15FB"/>
    <w:rsid w:val="000D30BD"/>
    <w:rsid w:val="000D5FFA"/>
    <w:rsid w:val="000D6A39"/>
    <w:rsid w:val="000D7083"/>
    <w:rsid w:val="000D77D0"/>
    <w:rsid w:val="000E1EE0"/>
    <w:rsid w:val="000E2852"/>
    <w:rsid w:val="000E2E48"/>
    <w:rsid w:val="000E35B3"/>
    <w:rsid w:val="000E4F7E"/>
    <w:rsid w:val="000E524F"/>
    <w:rsid w:val="000E6A50"/>
    <w:rsid w:val="000F169F"/>
    <w:rsid w:val="000F48FC"/>
    <w:rsid w:val="000F4F34"/>
    <w:rsid w:val="000F58F7"/>
    <w:rsid w:val="000F615B"/>
    <w:rsid w:val="000F6B83"/>
    <w:rsid w:val="000F712F"/>
    <w:rsid w:val="001051E4"/>
    <w:rsid w:val="00105640"/>
    <w:rsid w:val="00110CE5"/>
    <w:rsid w:val="00111796"/>
    <w:rsid w:val="00114444"/>
    <w:rsid w:val="00116D3C"/>
    <w:rsid w:val="00117987"/>
    <w:rsid w:val="00117F02"/>
    <w:rsid w:val="00123080"/>
    <w:rsid w:val="00127379"/>
    <w:rsid w:val="0012755B"/>
    <w:rsid w:val="001303BF"/>
    <w:rsid w:val="00131A6D"/>
    <w:rsid w:val="00131C32"/>
    <w:rsid w:val="001354EA"/>
    <w:rsid w:val="00135D53"/>
    <w:rsid w:val="00136629"/>
    <w:rsid w:val="00136FCE"/>
    <w:rsid w:val="001414A1"/>
    <w:rsid w:val="001425FE"/>
    <w:rsid w:val="00146502"/>
    <w:rsid w:val="00147BC8"/>
    <w:rsid w:val="00152C2F"/>
    <w:rsid w:val="00153BA4"/>
    <w:rsid w:val="00155662"/>
    <w:rsid w:val="00155783"/>
    <w:rsid w:val="0015699F"/>
    <w:rsid w:val="00164DC2"/>
    <w:rsid w:val="001650C5"/>
    <w:rsid w:val="001661D1"/>
    <w:rsid w:val="001700CA"/>
    <w:rsid w:val="00177A78"/>
    <w:rsid w:val="00182261"/>
    <w:rsid w:val="00183B94"/>
    <w:rsid w:val="001848EB"/>
    <w:rsid w:val="00191EDC"/>
    <w:rsid w:val="00193176"/>
    <w:rsid w:val="001941AD"/>
    <w:rsid w:val="0019597D"/>
    <w:rsid w:val="00196712"/>
    <w:rsid w:val="0019732C"/>
    <w:rsid w:val="001A0682"/>
    <w:rsid w:val="001A28FD"/>
    <w:rsid w:val="001A4344"/>
    <w:rsid w:val="001A4F9C"/>
    <w:rsid w:val="001A619C"/>
    <w:rsid w:val="001A6BE2"/>
    <w:rsid w:val="001A71D3"/>
    <w:rsid w:val="001A7574"/>
    <w:rsid w:val="001B093A"/>
    <w:rsid w:val="001B10F5"/>
    <w:rsid w:val="001B3DBF"/>
    <w:rsid w:val="001B4D8D"/>
    <w:rsid w:val="001B6BC7"/>
    <w:rsid w:val="001C01C4"/>
    <w:rsid w:val="001C2E82"/>
    <w:rsid w:val="001C31C1"/>
    <w:rsid w:val="001C360B"/>
    <w:rsid w:val="001C4437"/>
    <w:rsid w:val="001C662E"/>
    <w:rsid w:val="001D31B2"/>
    <w:rsid w:val="001D47F8"/>
    <w:rsid w:val="001D793F"/>
    <w:rsid w:val="001D7AFF"/>
    <w:rsid w:val="001E1B9B"/>
    <w:rsid w:val="001E2226"/>
    <w:rsid w:val="001E4901"/>
    <w:rsid w:val="001E4EFC"/>
    <w:rsid w:val="001E5FE7"/>
    <w:rsid w:val="001E6294"/>
    <w:rsid w:val="001E799A"/>
    <w:rsid w:val="001F3831"/>
    <w:rsid w:val="001F3968"/>
    <w:rsid w:val="001F4699"/>
    <w:rsid w:val="001F520A"/>
    <w:rsid w:val="001F5695"/>
    <w:rsid w:val="001F6233"/>
    <w:rsid w:val="001F684A"/>
    <w:rsid w:val="00200A32"/>
    <w:rsid w:val="00202AF2"/>
    <w:rsid w:val="0020547E"/>
    <w:rsid w:val="002063A4"/>
    <w:rsid w:val="00206D01"/>
    <w:rsid w:val="002070ED"/>
    <w:rsid w:val="00210699"/>
    <w:rsid w:val="00211528"/>
    <w:rsid w:val="00211C2E"/>
    <w:rsid w:val="00214606"/>
    <w:rsid w:val="00215C36"/>
    <w:rsid w:val="00220F11"/>
    <w:rsid w:val="00224351"/>
    <w:rsid w:val="0022442E"/>
    <w:rsid w:val="00227B01"/>
    <w:rsid w:val="00230F73"/>
    <w:rsid w:val="0023239B"/>
    <w:rsid w:val="00234FB7"/>
    <w:rsid w:val="002355CD"/>
    <w:rsid w:val="002360B3"/>
    <w:rsid w:val="00240F38"/>
    <w:rsid w:val="00242312"/>
    <w:rsid w:val="002452F6"/>
    <w:rsid w:val="002460B6"/>
    <w:rsid w:val="00247712"/>
    <w:rsid w:val="002508AD"/>
    <w:rsid w:val="0025345F"/>
    <w:rsid w:val="00254699"/>
    <w:rsid w:val="00254A5B"/>
    <w:rsid w:val="00254F64"/>
    <w:rsid w:val="00255093"/>
    <w:rsid w:val="00260E66"/>
    <w:rsid w:val="00270B2F"/>
    <w:rsid w:val="00270D2D"/>
    <w:rsid w:val="002741E4"/>
    <w:rsid w:val="0027495F"/>
    <w:rsid w:val="0027759B"/>
    <w:rsid w:val="00277C70"/>
    <w:rsid w:val="002806DB"/>
    <w:rsid w:val="00283396"/>
    <w:rsid w:val="0028384F"/>
    <w:rsid w:val="00293467"/>
    <w:rsid w:val="00294B33"/>
    <w:rsid w:val="00296695"/>
    <w:rsid w:val="00297D36"/>
    <w:rsid w:val="00297D7A"/>
    <w:rsid w:val="002A0175"/>
    <w:rsid w:val="002A0E1B"/>
    <w:rsid w:val="002A1B2F"/>
    <w:rsid w:val="002A4482"/>
    <w:rsid w:val="002A45E8"/>
    <w:rsid w:val="002A5EE5"/>
    <w:rsid w:val="002A764A"/>
    <w:rsid w:val="002A7A1D"/>
    <w:rsid w:val="002A7C2F"/>
    <w:rsid w:val="002B4656"/>
    <w:rsid w:val="002B4DBF"/>
    <w:rsid w:val="002B61D7"/>
    <w:rsid w:val="002B7D03"/>
    <w:rsid w:val="002C1059"/>
    <w:rsid w:val="002C290A"/>
    <w:rsid w:val="002C2F9C"/>
    <w:rsid w:val="002C39E9"/>
    <w:rsid w:val="002C7192"/>
    <w:rsid w:val="002D1FBD"/>
    <w:rsid w:val="002D5E80"/>
    <w:rsid w:val="002D7115"/>
    <w:rsid w:val="002D7C7A"/>
    <w:rsid w:val="002E464B"/>
    <w:rsid w:val="002E5A47"/>
    <w:rsid w:val="002F05F6"/>
    <w:rsid w:val="002F09F0"/>
    <w:rsid w:val="002F1852"/>
    <w:rsid w:val="002F49A8"/>
    <w:rsid w:val="002F51D4"/>
    <w:rsid w:val="002F5DA6"/>
    <w:rsid w:val="002F6C6C"/>
    <w:rsid w:val="002F71CF"/>
    <w:rsid w:val="00300243"/>
    <w:rsid w:val="00300894"/>
    <w:rsid w:val="00304014"/>
    <w:rsid w:val="0030402B"/>
    <w:rsid w:val="0030741A"/>
    <w:rsid w:val="00313AAC"/>
    <w:rsid w:val="00321B01"/>
    <w:rsid w:val="00322080"/>
    <w:rsid w:val="00322199"/>
    <w:rsid w:val="00322DEA"/>
    <w:rsid w:val="003231CE"/>
    <w:rsid w:val="00325EF5"/>
    <w:rsid w:val="0032782D"/>
    <w:rsid w:val="00331173"/>
    <w:rsid w:val="003357A5"/>
    <w:rsid w:val="003371B9"/>
    <w:rsid w:val="00343AB8"/>
    <w:rsid w:val="00343CF5"/>
    <w:rsid w:val="00345C96"/>
    <w:rsid w:val="00346BA5"/>
    <w:rsid w:val="00355BB6"/>
    <w:rsid w:val="00355FBD"/>
    <w:rsid w:val="00361F41"/>
    <w:rsid w:val="00377348"/>
    <w:rsid w:val="0038006A"/>
    <w:rsid w:val="00380B99"/>
    <w:rsid w:val="00381461"/>
    <w:rsid w:val="00383D7F"/>
    <w:rsid w:val="0038610F"/>
    <w:rsid w:val="003861CA"/>
    <w:rsid w:val="00386239"/>
    <w:rsid w:val="003906A4"/>
    <w:rsid w:val="00391B0F"/>
    <w:rsid w:val="00391C12"/>
    <w:rsid w:val="00392FDB"/>
    <w:rsid w:val="003941BC"/>
    <w:rsid w:val="003A0B7D"/>
    <w:rsid w:val="003A1FD4"/>
    <w:rsid w:val="003A3469"/>
    <w:rsid w:val="003A37E8"/>
    <w:rsid w:val="003A45C2"/>
    <w:rsid w:val="003A7891"/>
    <w:rsid w:val="003B1894"/>
    <w:rsid w:val="003B33CB"/>
    <w:rsid w:val="003B58D5"/>
    <w:rsid w:val="003B7A3C"/>
    <w:rsid w:val="003C05A2"/>
    <w:rsid w:val="003C1E2B"/>
    <w:rsid w:val="003C4004"/>
    <w:rsid w:val="003C4BE2"/>
    <w:rsid w:val="003C55CF"/>
    <w:rsid w:val="003D024C"/>
    <w:rsid w:val="003D0602"/>
    <w:rsid w:val="003D147D"/>
    <w:rsid w:val="003D56BA"/>
    <w:rsid w:val="003D637A"/>
    <w:rsid w:val="003D6DEE"/>
    <w:rsid w:val="003E14CA"/>
    <w:rsid w:val="003E1DE0"/>
    <w:rsid w:val="003E2465"/>
    <w:rsid w:val="003E2602"/>
    <w:rsid w:val="003E29F5"/>
    <w:rsid w:val="003E4932"/>
    <w:rsid w:val="003F3E1C"/>
    <w:rsid w:val="003F40C8"/>
    <w:rsid w:val="003F422B"/>
    <w:rsid w:val="003F67EE"/>
    <w:rsid w:val="003F745E"/>
    <w:rsid w:val="003F7D5B"/>
    <w:rsid w:val="00401B4F"/>
    <w:rsid w:val="0040312D"/>
    <w:rsid w:val="00404B4E"/>
    <w:rsid w:val="004055A5"/>
    <w:rsid w:val="0040761D"/>
    <w:rsid w:val="00407952"/>
    <w:rsid w:val="00411758"/>
    <w:rsid w:val="0041284C"/>
    <w:rsid w:val="004135BE"/>
    <w:rsid w:val="00413D1A"/>
    <w:rsid w:val="00415264"/>
    <w:rsid w:val="00415CC4"/>
    <w:rsid w:val="00416225"/>
    <w:rsid w:val="004163B8"/>
    <w:rsid w:val="00420B82"/>
    <w:rsid w:val="00420EF8"/>
    <w:rsid w:val="00430015"/>
    <w:rsid w:val="00431CD6"/>
    <w:rsid w:val="00432DDE"/>
    <w:rsid w:val="004333E4"/>
    <w:rsid w:val="0043374F"/>
    <w:rsid w:val="00433CDF"/>
    <w:rsid w:val="0043526A"/>
    <w:rsid w:val="00435E69"/>
    <w:rsid w:val="00436B4B"/>
    <w:rsid w:val="00436CE0"/>
    <w:rsid w:val="00440169"/>
    <w:rsid w:val="00444E93"/>
    <w:rsid w:val="00446E25"/>
    <w:rsid w:val="00447D8B"/>
    <w:rsid w:val="004525E8"/>
    <w:rsid w:val="004530DA"/>
    <w:rsid w:val="00453134"/>
    <w:rsid w:val="00455C65"/>
    <w:rsid w:val="0045610D"/>
    <w:rsid w:val="0045627A"/>
    <w:rsid w:val="00457E84"/>
    <w:rsid w:val="004627F5"/>
    <w:rsid w:val="00462F05"/>
    <w:rsid w:val="00464145"/>
    <w:rsid w:val="004652C3"/>
    <w:rsid w:val="004656D3"/>
    <w:rsid w:val="00467825"/>
    <w:rsid w:val="004678D0"/>
    <w:rsid w:val="004708F5"/>
    <w:rsid w:val="004719E4"/>
    <w:rsid w:val="00471C98"/>
    <w:rsid w:val="00472BE2"/>
    <w:rsid w:val="004733B4"/>
    <w:rsid w:val="0047679D"/>
    <w:rsid w:val="00482954"/>
    <w:rsid w:val="00483649"/>
    <w:rsid w:val="00487130"/>
    <w:rsid w:val="004872D3"/>
    <w:rsid w:val="00494ABC"/>
    <w:rsid w:val="00494EC8"/>
    <w:rsid w:val="004951C0"/>
    <w:rsid w:val="00495EFE"/>
    <w:rsid w:val="004A0FB7"/>
    <w:rsid w:val="004A1025"/>
    <w:rsid w:val="004A21F2"/>
    <w:rsid w:val="004A263D"/>
    <w:rsid w:val="004A2B6F"/>
    <w:rsid w:val="004A4ADD"/>
    <w:rsid w:val="004A5C7B"/>
    <w:rsid w:val="004A75AB"/>
    <w:rsid w:val="004B49AB"/>
    <w:rsid w:val="004B4DD2"/>
    <w:rsid w:val="004B5B33"/>
    <w:rsid w:val="004B6140"/>
    <w:rsid w:val="004B7238"/>
    <w:rsid w:val="004B7A52"/>
    <w:rsid w:val="004C00FF"/>
    <w:rsid w:val="004C7646"/>
    <w:rsid w:val="004D0ED9"/>
    <w:rsid w:val="004D2131"/>
    <w:rsid w:val="004D2A50"/>
    <w:rsid w:val="004D3B9D"/>
    <w:rsid w:val="004D4F0B"/>
    <w:rsid w:val="004D756D"/>
    <w:rsid w:val="004D7715"/>
    <w:rsid w:val="004E04F1"/>
    <w:rsid w:val="004E0A5B"/>
    <w:rsid w:val="004E0F20"/>
    <w:rsid w:val="004E111C"/>
    <w:rsid w:val="004E4F1B"/>
    <w:rsid w:val="004E5479"/>
    <w:rsid w:val="004E614D"/>
    <w:rsid w:val="004E7D12"/>
    <w:rsid w:val="004F00B2"/>
    <w:rsid w:val="004F184F"/>
    <w:rsid w:val="004F6293"/>
    <w:rsid w:val="004F74A4"/>
    <w:rsid w:val="0050314C"/>
    <w:rsid w:val="005031ED"/>
    <w:rsid w:val="00507C6E"/>
    <w:rsid w:val="005108B7"/>
    <w:rsid w:val="005231BE"/>
    <w:rsid w:val="00523778"/>
    <w:rsid w:val="00524001"/>
    <w:rsid w:val="0052412B"/>
    <w:rsid w:val="00525E14"/>
    <w:rsid w:val="005264ED"/>
    <w:rsid w:val="005316B3"/>
    <w:rsid w:val="00532AC7"/>
    <w:rsid w:val="00532FF5"/>
    <w:rsid w:val="00534147"/>
    <w:rsid w:val="00535096"/>
    <w:rsid w:val="005363A9"/>
    <w:rsid w:val="005367B6"/>
    <w:rsid w:val="00541596"/>
    <w:rsid w:val="00543C5E"/>
    <w:rsid w:val="005475CE"/>
    <w:rsid w:val="00550A6D"/>
    <w:rsid w:val="005543DA"/>
    <w:rsid w:val="00554D7F"/>
    <w:rsid w:val="0055511B"/>
    <w:rsid w:val="00557024"/>
    <w:rsid w:val="005624D4"/>
    <w:rsid w:val="00563173"/>
    <w:rsid w:val="00564B63"/>
    <w:rsid w:val="005673B2"/>
    <w:rsid w:val="00574A7E"/>
    <w:rsid w:val="00575DC7"/>
    <w:rsid w:val="00576E72"/>
    <w:rsid w:val="0057793A"/>
    <w:rsid w:val="00582B6F"/>
    <w:rsid w:val="00582E46"/>
    <w:rsid w:val="005836C2"/>
    <w:rsid w:val="005841E0"/>
    <w:rsid w:val="00584903"/>
    <w:rsid w:val="0058511B"/>
    <w:rsid w:val="00585FF4"/>
    <w:rsid w:val="00587FAC"/>
    <w:rsid w:val="0059018D"/>
    <w:rsid w:val="00593B94"/>
    <w:rsid w:val="00593C72"/>
    <w:rsid w:val="005941F5"/>
    <w:rsid w:val="00594A19"/>
    <w:rsid w:val="005955DD"/>
    <w:rsid w:val="005A0E42"/>
    <w:rsid w:val="005A2976"/>
    <w:rsid w:val="005A4D11"/>
    <w:rsid w:val="005A4EFD"/>
    <w:rsid w:val="005A5ABE"/>
    <w:rsid w:val="005A6C1A"/>
    <w:rsid w:val="005A74CA"/>
    <w:rsid w:val="005B1C0B"/>
    <w:rsid w:val="005B1CED"/>
    <w:rsid w:val="005C0D95"/>
    <w:rsid w:val="005C1612"/>
    <w:rsid w:val="005C2350"/>
    <w:rsid w:val="005C2AB6"/>
    <w:rsid w:val="005C2D30"/>
    <w:rsid w:val="005C2ECC"/>
    <w:rsid w:val="005C44FE"/>
    <w:rsid w:val="005C5101"/>
    <w:rsid w:val="005C597C"/>
    <w:rsid w:val="005C6744"/>
    <w:rsid w:val="005C69CC"/>
    <w:rsid w:val="005C6B3B"/>
    <w:rsid w:val="005D37E7"/>
    <w:rsid w:val="005D419D"/>
    <w:rsid w:val="005D4AAA"/>
    <w:rsid w:val="005E2D48"/>
    <w:rsid w:val="005E419E"/>
    <w:rsid w:val="005E42FB"/>
    <w:rsid w:val="005E4B25"/>
    <w:rsid w:val="005E60B6"/>
    <w:rsid w:val="005E7F4C"/>
    <w:rsid w:val="005F04D1"/>
    <w:rsid w:val="005F17FF"/>
    <w:rsid w:val="005F3E8D"/>
    <w:rsid w:val="005F63BD"/>
    <w:rsid w:val="005F7082"/>
    <w:rsid w:val="00600081"/>
    <w:rsid w:val="00602B5B"/>
    <w:rsid w:val="00604457"/>
    <w:rsid w:val="00604D8E"/>
    <w:rsid w:val="00606609"/>
    <w:rsid w:val="00610B2A"/>
    <w:rsid w:val="00611CF1"/>
    <w:rsid w:val="006138BF"/>
    <w:rsid w:val="006178AA"/>
    <w:rsid w:val="006201D9"/>
    <w:rsid w:val="006206F1"/>
    <w:rsid w:val="00622541"/>
    <w:rsid w:val="00624769"/>
    <w:rsid w:val="006277DB"/>
    <w:rsid w:val="00630AA8"/>
    <w:rsid w:val="00630BA8"/>
    <w:rsid w:val="00635428"/>
    <w:rsid w:val="006359EF"/>
    <w:rsid w:val="00635B7B"/>
    <w:rsid w:val="00641163"/>
    <w:rsid w:val="00643228"/>
    <w:rsid w:val="00644387"/>
    <w:rsid w:val="00644976"/>
    <w:rsid w:val="0065371A"/>
    <w:rsid w:val="00655B98"/>
    <w:rsid w:val="0065606F"/>
    <w:rsid w:val="006575F1"/>
    <w:rsid w:val="00661CCF"/>
    <w:rsid w:val="006631F9"/>
    <w:rsid w:val="00663FA9"/>
    <w:rsid w:val="0066439F"/>
    <w:rsid w:val="006643A9"/>
    <w:rsid w:val="00664894"/>
    <w:rsid w:val="006662B0"/>
    <w:rsid w:val="00666B23"/>
    <w:rsid w:val="0067097F"/>
    <w:rsid w:val="006710E6"/>
    <w:rsid w:val="00675017"/>
    <w:rsid w:val="00680661"/>
    <w:rsid w:val="00680704"/>
    <w:rsid w:val="006826EB"/>
    <w:rsid w:val="00686269"/>
    <w:rsid w:val="00686973"/>
    <w:rsid w:val="00686C1F"/>
    <w:rsid w:val="0069261B"/>
    <w:rsid w:val="00696B2D"/>
    <w:rsid w:val="006A1DD7"/>
    <w:rsid w:val="006A2656"/>
    <w:rsid w:val="006A3475"/>
    <w:rsid w:val="006A3A0E"/>
    <w:rsid w:val="006A3B06"/>
    <w:rsid w:val="006A5A9B"/>
    <w:rsid w:val="006A6342"/>
    <w:rsid w:val="006A6465"/>
    <w:rsid w:val="006A71B0"/>
    <w:rsid w:val="006A71C0"/>
    <w:rsid w:val="006B1498"/>
    <w:rsid w:val="006B2716"/>
    <w:rsid w:val="006B29DF"/>
    <w:rsid w:val="006B5DC3"/>
    <w:rsid w:val="006B6C9C"/>
    <w:rsid w:val="006C2A7B"/>
    <w:rsid w:val="006C2E1B"/>
    <w:rsid w:val="006C555F"/>
    <w:rsid w:val="006C7AE3"/>
    <w:rsid w:val="006D3A29"/>
    <w:rsid w:val="006D412C"/>
    <w:rsid w:val="006D55E8"/>
    <w:rsid w:val="006E1921"/>
    <w:rsid w:val="006E3906"/>
    <w:rsid w:val="006E3C42"/>
    <w:rsid w:val="006E44D3"/>
    <w:rsid w:val="006F083A"/>
    <w:rsid w:val="006F110E"/>
    <w:rsid w:val="006F163A"/>
    <w:rsid w:val="006F1C68"/>
    <w:rsid w:val="006F36F9"/>
    <w:rsid w:val="006F5272"/>
    <w:rsid w:val="006F52E0"/>
    <w:rsid w:val="006F67A4"/>
    <w:rsid w:val="006F69B6"/>
    <w:rsid w:val="006F7D1B"/>
    <w:rsid w:val="00700911"/>
    <w:rsid w:val="00701785"/>
    <w:rsid w:val="0070246F"/>
    <w:rsid w:val="007042A8"/>
    <w:rsid w:val="0070576B"/>
    <w:rsid w:val="007119C9"/>
    <w:rsid w:val="00712D6F"/>
    <w:rsid w:val="00713335"/>
    <w:rsid w:val="007147F8"/>
    <w:rsid w:val="007157C2"/>
    <w:rsid w:val="0072113B"/>
    <w:rsid w:val="0072129F"/>
    <w:rsid w:val="007212DF"/>
    <w:rsid w:val="0072666A"/>
    <w:rsid w:val="00727C2F"/>
    <w:rsid w:val="00727C93"/>
    <w:rsid w:val="00733C8E"/>
    <w:rsid w:val="007353A3"/>
    <w:rsid w:val="00735F13"/>
    <w:rsid w:val="00740E80"/>
    <w:rsid w:val="00741443"/>
    <w:rsid w:val="0074181F"/>
    <w:rsid w:val="00741EDB"/>
    <w:rsid w:val="00747358"/>
    <w:rsid w:val="007578B7"/>
    <w:rsid w:val="007621E3"/>
    <w:rsid w:val="0076283A"/>
    <w:rsid w:val="00762E72"/>
    <w:rsid w:val="007631AF"/>
    <w:rsid w:val="0076347C"/>
    <w:rsid w:val="0076473A"/>
    <w:rsid w:val="00765934"/>
    <w:rsid w:val="00766662"/>
    <w:rsid w:val="007717F2"/>
    <w:rsid w:val="007723DF"/>
    <w:rsid w:val="00772E3B"/>
    <w:rsid w:val="00776E3F"/>
    <w:rsid w:val="00777861"/>
    <w:rsid w:val="0078134C"/>
    <w:rsid w:val="00784B49"/>
    <w:rsid w:val="00786684"/>
    <w:rsid w:val="0079003E"/>
    <w:rsid w:val="007901FF"/>
    <w:rsid w:val="00790CCA"/>
    <w:rsid w:val="00792021"/>
    <w:rsid w:val="007940F5"/>
    <w:rsid w:val="0079415D"/>
    <w:rsid w:val="00796A0A"/>
    <w:rsid w:val="00796BAE"/>
    <w:rsid w:val="007975D8"/>
    <w:rsid w:val="007A16F6"/>
    <w:rsid w:val="007A3572"/>
    <w:rsid w:val="007A38C7"/>
    <w:rsid w:val="007A426F"/>
    <w:rsid w:val="007A489D"/>
    <w:rsid w:val="007A5830"/>
    <w:rsid w:val="007B2266"/>
    <w:rsid w:val="007B292F"/>
    <w:rsid w:val="007B4738"/>
    <w:rsid w:val="007B5055"/>
    <w:rsid w:val="007B53D9"/>
    <w:rsid w:val="007B579E"/>
    <w:rsid w:val="007B5D5A"/>
    <w:rsid w:val="007B640E"/>
    <w:rsid w:val="007C13F3"/>
    <w:rsid w:val="007C3492"/>
    <w:rsid w:val="007C76B3"/>
    <w:rsid w:val="007D21FB"/>
    <w:rsid w:val="007E3D81"/>
    <w:rsid w:val="007E5116"/>
    <w:rsid w:val="007F1B01"/>
    <w:rsid w:val="007F2585"/>
    <w:rsid w:val="007F2EFC"/>
    <w:rsid w:val="007F4954"/>
    <w:rsid w:val="007F5C72"/>
    <w:rsid w:val="007F61EC"/>
    <w:rsid w:val="007F7A8D"/>
    <w:rsid w:val="00801256"/>
    <w:rsid w:val="00803B05"/>
    <w:rsid w:val="0080679F"/>
    <w:rsid w:val="00813E99"/>
    <w:rsid w:val="008141E8"/>
    <w:rsid w:val="00816F67"/>
    <w:rsid w:val="00821E1C"/>
    <w:rsid w:val="00822E8F"/>
    <w:rsid w:val="008237B1"/>
    <w:rsid w:val="0082432D"/>
    <w:rsid w:val="00825271"/>
    <w:rsid w:val="008261FB"/>
    <w:rsid w:val="008270C8"/>
    <w:rsid w:val="00827643"/>
    <w:rsid w:val="00827804"/>
    <w:rsid w:val="00830EA2"/>
    <w:rsid w:val="00834C49"/>
    <w:rsid w:val="008356E6"/>
    <w:rsid w:val="008358D8"/>
    <w:rsid w:val="00835C1F"/>
    <w:rsid w:val="00836579"/>
    <w:rsid w:val="00836896"/>
    <w:rsid w:val="008404C3"/>
    <w:rsid w:val="00841197"/>
    <w:rsid w:val="00846CA5"/>
    <w:rsid w:val="00850583"/>
    <w:rsid w:val="00853766"/>
    <w:rsid w:val="008541E9"/>
    <w:rsid w:val="00856442"/>
    <w:rsid w:val="00856F0A"/>
    <w:rsid w:val="0086194F"/>
    <w:rsid w:val="00864371"/>
    <w:rsid w:val="008666DF"/>
    <w:rsid w:val="00866D5B"/>
    <w:rsid w:val="0087016B"/>
    <w:rsid w:val="008703CB"/>
    <w:rsid w:val="008716A2"/>
    <w:rsid w:val="0087269E"/>
    <w:rsid w:val="008726A1"/>
    <w:rsid w:val="00873A6D"/>
    <w:rsid w:val="00874596"/>
    <w:rsid w:val="0087553D"/>
    <w:rsid w:val="008770E1"/>
    <w:rsid w:val="00880A23"/>
    <w:rsid w:val="008835F5"/>
    <w:rsid w:val="00883F4C"/>
    <w:rsid w:val="00884D1A"/>
    <w:rsid w:val="008860B8"/>
    <w:rsid w:val="008876A9"/>
    <w:rsid w:val="0089009E"/>
    <w:rsid w:val="00891C37"/>
    <w:rsid w:val="00891C4A"/>
    <w:rsid w:val="00892109"/>
    <w:rsid w:val="00895DC2"/>
    <w:rsid w:val="008A035A"/>
    <w:rsid w:val="008A13E0"/>
    <w:rsid w:val="008A3C8F"/>
    <w:rsid w:val="008A54C0"/>
    <w:rsid w:val="008A643E"/>
    <w:rsid w:val="008B00F0"/>
    <w:rsid w:val="008B2681"/>
    <w:rsid w:val="008B5785"/>
    <w:rsid w:val="008B61AF"/>
    <w:rsid w:val="008B7F84"/>
    <w:rsid w:val="008C33C2"/>
    <w:rsid w:val="008C4769"/>
    <w:rsid w:val="008C6137"/>
    <w:rsid w:val="008C686B"/>
    <w:rsid w:val="008C69F3"/>
    <w:rsid w:val="008D465B"/>
    <w:rsid w:val="008E2159"/>
    <w:rsid w:val="008E2DB4"/>
    <w:rsid w:val="008E363C"/>
    <w:rsid w:val="008E3953"/>
    <w:rsid w:val="008E64D6"/>
    <w:rsid w:val="008E73A1"/>
    <w:rsid w:val="008E75C9"/>
    <w:rsid w:val="008E7F9F"/>
    <w:rsid w:val="008F2C04"/>
    <w:rsid w:val="008F3486"/>
    <w:rsid w:val="008F663A"/>
    <w:rsid w:val="00901DD5"/>
    <w:rsid w:val="0090318B"/>
    <w:rsid w:val="00906D9F"/>
    <w:rsid w:val="0090735B"/>
    <w:rsid w:val="00907656"/>
    <w:rsid w:val="00911FDB"/>
    <w:rsid w:val="0091271D"/>
    <w:rsid w:val="00912D5E"/>
    <w:rsid w:val="00913E6F"/>
    <w:rsid w:val="0091455E"/>
    <w:rsid w:val="00914F22"/>
    <w:rsid w:val="009172FC"/>
    <w:rsid w:val="009209C0"/>
    <w:rsid w:val="00921452"/>
    <w:rsid w:val="00922450"/>
    <w:rsid w:val="00925877"/>
    <w:rsid w:val="00927654"/>
    <w:rsid w:val="00930743"/>
    <w:rsid w:val="009314DD"/>
    <w:rsid w:val="00931D6C"/>
    <w:rsid w:val="0093258B"/>
    <w:rsid w:val="009340AE"/>
    <w:rsid w:val="00934340"/>
    <w:rsid w:val="00934BB2"/>
    <w:rsid w:val="0093748B"/>
    <w:rsid w:val="00937EFC"/>
    <w:rsid w:val="00942A5E"/>
    <w:rsid w:val="00943266"/>
    <w:rsid w:val="00943CCA"/>
    <w:rsid w:val="00947525"/>
    <w:rsid w:val="009511CF"/>
    <w:rsid w:val="00951970"/>
    <w:rsid w:val="00954A0F"/>
    <w:rsid w:val="00955140"/>
    <w:rsid w:val="00956DC7"/>
    <w:rsid w:val="009611E7"/>
    <w:rsid w:val="009625F6"/>
    <w:rsid w:val="0096485F"/>
    <w:rsid w:val="00966CD3"/>
    <w:rsid w:val="0096784D"/>
    <w:rsid w:val="00970855"/>
    <w:rsid w:val="0097254D"/>
    <w:rsid w:val="00972F0C"/>
    <w:rsid w:val="0097520D"/>
    <w:rsid w:val="00977CDF"/>
    <w:rsid w:val="00983681"/>
    <w:rsid w:val="00987A20"/>
    <w:rsid w:val="00993B5C"/>
    <w:rsid w:val="009959A6"/>
    <w:rsid w:val="00995E23"/>
    <w:rsid w:val="009A0E15"/>
    <w:rsid w:val="009A44D8"/>
    <w:rsid w:val="009A647E"/>
    <w:rsid w:val="009B1452"/>
    <w:rsid w:val="009B1FF1"/>
    <w:rsid w:val="009B7A3B"/>
    <w:rsid w:val="009C1542"/>
    <w:rsid w:val="009C2CD6"/>
    <w:rsid w:val="009C30AB"/>
    <w:rsid w:val="009C3581"/>
    <w:rsid w:val="009C4B2E"/>
    <w:rsid w:val="009C6248"/>
    <w:rsid w:val="009D2AAC"/>
    <w:rsid w:val="009D3014"/>
    <w:rsid w:val="009D3403"/>
    <w:rsid w:val="009D4037"/>
    <w:rsid w:val="009E2FED"/>
    <w:rsid w:val="009F0592"/>
    <w:rsid w:val="009F2FA8"/>
    <w:rsid w:val="009F3273"/>
    <w:rsid w:val="009F73FA"/>
    <w:rsid w:val="00A0068B"/>
    <w:rsid w:val="00A02EFE"/>
    <w:rsid w:val="00A05BCE"/>
    <w:rsid w:val="00A0667A"/>
    <w:rsid w:val="00A11706"/>
    <w:rsid w:val="00A11F3F"/>
    <w:rsid w:val="00A12B07"/>
    <w:rsid w:val="00A136B4"/>
    <w:rsid w:val="00A14BCE"/>
    <w:rsid w:val="00A15E84"/>
    <w:rsid w:val="00A20282"/>
    <w:rsid w:val="00A20E72"/>
    <w:rsid w:val="00A246DC"/>
    <w:rsid w:val="00A30C5F"/>
    <w:rsid w:val="00A3340A"/>
    <w:rsid w:val="00A34ADC"/>
    <w:rsid w:val="00A35B5C"/>
    <w:rsid w:val="00A40273"/>
    <w:rsid w:val="00A45059"/>
    <w:rsid w:val="00A47BAF"/>
    <w:rsid w:val="00A526E5"/>
    <w:rsid w:val="00A5330E"/>
    <w:rsid w:val="00A542D3"/>
    <w:rsid w:val="00A545A4"/>
    <w:rsid w:val="00A563B3"/>
    <w:rsid w:val="00A56BDF"/>
    <w:rsid w:val="00A5784F"/>
    <w:rsid w:val="00A57F28"/>
    <w:rsid w:val="00A6220B"/>
    <w:rsid w:val="00A63C72"/>
    <w:rsid w:val="00A64946"/>
    <w:rsid w:val="00A6530E"/>
    <w:rsid w:val="00A72929"/>
    <w:rsid w:val="00A73DDD"/>
    <w:rsid w:val="00A818DE"/>
    <w:rsid w:val="00A82F7B"/>
    <w:rsid w:val="00A8436E"/>
    <w:rsid w:val="00A86311"/>
    <w:rsid w:val="00A867FC"/>
    <w:rsid w:val="00A92572"/>
    <w:rsid w:val="00A92E5C"/>
    <w:rsid w:val="00A92EFE"/>
    <w:rsid w:val="00A93728"/>
    <w:rsid w:val="00A93785"/>
    <w:rsid w:val="00A93820"/>
    <w:rsid w:val="00A94458"/>
    <w:rsid w:val="00A94BB5"/>
    <w:rsid w:val="00A94F43"/>
    <w:rsid w:val="00A95B66"/>
    <w:rsid w:val="00AA1DE5"/>
    <w:rsid w:val="00AA3D56"/>
    <w:rsid w:val="00AB1F65"/>
    <w:rsid w:val="00AB7C07"/>
    <w:rsid w:val="00AC1A7C"/>
    <w:rsid w:val="00AC334B"/>
    <w:rsid w:val="00AC407D"/>
    <w:rsid w:val="00AD34E3"/>
    <w:rsid w:val="00AD4044"/>
    <w:rsid w:val="00AD78D9"/>
    <w:rsid w:val="00AE0667"/>
    <w:rsid w:val="00AE256B"/>
    <w:rsid w:val="00AE2D13"/>
    <w:rsid w:val="00AE2E12"/>
    <w:rsid w:val="00AE3068"/>
    <w:rsid w:val="00AE31F8"/>
    <w:rsid w:val="00AE467C"/>
    <w:rsid w:val="00AE4A8A"/>
    <w:rsid w:val="00AE5833"/>
    <w:rsid w:val="00AE71B6"/>
    <w:rsid w:val="00AE7694"/>
    <w:rsid w:val="00AF2138"/>
    <w:rsid w:val="00AF677B"/>
    <w:rsid w:val="00AF7262"/>
    <w:rsid w:val="00AF77ED"/>
    <w:rsid w:val="00B00EC6"/>
    <w:rsid w:val="00B04288"/>
    <w:rsid w:val="00B05221"/>
    <w:rsid w:val="00B05B23"/>
    <w:rsid w:val="00B1226B"/>
    <w:rsid w:val="00B14CA8"/>
    <w:rsid w:val="00B20AE6"/>
    <w:rsid w:val="00B25B1B"/>
    <w:rsid w:val="00B26508"/>
    <w:rsid w:val="00B34FA0"/>
    <w:rsid w:val="00B35ADC"/>
    <w:rsid w:val="00B372F9"/>
    <w:rsid w:val="00B3730B"/>
    <w:rsid w:val="00B41E0A"/>
    <w:rsid w:val="00B42CE4"/>
    <w:rsid w:val="00B4444D"/>
    <w:rsid w:val="00B448C1"/>
    <w:rsid w:val="00B44FE4"/>
    <w:rsid w:val="00B4542E"/>
    <w:rsid w:val="00B45A8D"/>
    <w:rsid w:val="00B47705"/>
    <w:rsid w:val="00B51A63"/>
    <w:rsid w:val="00B52DD3"/>
    <w:rsid w:val="00B5301A"/>
    <w:rsid w:val="00B56AF3"/>
    <w:rsid w:val="00B56DE0"/>
    <w:rsid w:val="00B574BB"/>
    <w:rsid w:val="00B61C2B"/>
    <w:rsid w:val="00B63075"/>
    <w:rsid w:val="00B64D74"/>
    <w:rsid w:val="00B65E1B"/>
    <w:rsid w:val="00B662A0"/>
    <w:rsid w:val="00B704BC"/>
    <w:rsid w:val="00B70EC5"/>
    <w:rsid w:val="00B71F12"/>
    <w:rsid w:val="00B742C8"/>
    <w:rsid w:val="00B75456"/>
    <w:rsid w:val="00B75AAD"/>
    <w:rsid w:val="00B76FEC"/>
    <w:rsid w:val="00B82DF6"/>
    <w:rsid w:val="00B856F4"/>
    <w:rsid w:val="00B96B1E"/>
    <w:rsid w:val="00BA0E68"/>
    <w:rsid w:val="00BA7A5F"/>
    <w:rsid w:val="00BB14A5"/>
    <w:rsid w:val="00BB17DF"/>
    <w:rsid w:val="00BB2A6F"/>
    <w:rsid w:val="00BB319A"/>
    <w:rsid w:val="00BB5972"/>
    <w:rsid w:val="00BC30F4"/>
    <w:rsid w:val="00BC3F64"/>
    <w:rsid w:val="00BC6AC8"/>
    <w:rsid w:val="00BD086C"/>
    <w:rsid w:val="00BD1614"/>
    <w:rsid w:val="00BD382C"/>
    <w:rsid w:val="00BD4BE8"/>
    <w:rsid w:val="00BD5DA6"/>
    <w:rsid w:val="00BE0170"/>
    <w:rsid w:val="00BE0DED"/>
    <w:rsid w:val="00BE3D09"/>
    <w:rsid w:val="00BE457E"/>
    <w:rsid w:val="00BE6BAF"/>
    <w:rsid w:val="00BF33E3"/>
    <w:rsid w:val="00BF3BD9"/>
    <w:rsid w:val="00BF3DBA"/>
    <w:rsid w:val="00BF3E15"/>
    <w:rsid w:val="00BF584D"/>
    <w:rsid w:val="00BF6C53"/>
    <w:rsid w:val="00BF6E46"/>
    <w:rsid w:val="00BF7D25"/>
    <w:rsid w:val="00C010C0"/>
    <w:rsid w:val="00C034CB"/>
    <w:rsid w:val="00C0403E"/>
    <w:rsid w:val="00C051A2"/>
    <w:rsid w:val="00C05BAE"/>
    <w:rsid w:val="00C07EFA"/>
    <w:rsid w:val="00C13ECD"/>
    <w:rsid w:val="00C21773"/>
    <w:rsid w:val="00C239A4"/>
    <w:rsid w:val="00C2482B"/>
    <w:rsid w:val="00C27162"/>
    <w:rsid w:val="00C33754"/>
    <w:rsid w:val="00C360B3"/>
    <w:rsid w:val="00C36128"/>
    <w:rsid w:val="00C40CB5"/>
    <w:rsid w:val="00C41764"/>
    <w:rsid w:val="00C42F47"/>
    <w:rsid w:val="00C50DC2"/>
    <w:rsid w:val="00C54CE6"/>
    <w:rsid w:val="00C55F21"/>
    <w:rsid w:val="00C575E2"/>
    <w:rsid w:val="00C57D86"/>
    <w:rsid w:val="00C62256"/>
    <w:rsid w:val="00C66C71"/>
    <w:rsid w:val="00C678BF"/>
    <w:rsid w:val="00C7064D"/>
    <w:rsid w:val="00C70A6C"/>
    <w:rsid w:val="00C712DD"/>
    <w:rsid w:val="00C717B8"/>
    <w:rsid w:val="00C7218F"/>
    <w:rsid w:val="00C72B84"/>
    <w:rsid w:val="00C7368B"/>
    <w:rsid w:val="00C76612"/>
    <w:rsid w:val="00C815BA"/>
    <w:rsid w:val="00C81CB9"/>
    <w:rsid w:val="00C82877"/>
    <w:rsid w:val="00C83D69"/>
    <w:rsid w:val="00C8490E"/>
    <w:rsid w:val="00C84C43"/>
    <w:rsid w:val="00C84E00"/>
    <w:rsid w:val="00C8553D"/>
    <w:rsid w:val="00C92746"/>
    <w:rsid w:val="00C927E2"/>
    <w:rsid w:val="00C92CF9"/>
    <w:rsid w:val="00C93029"/>
    <w:rsid w:val="00C94659"/>
    <w:rsid w:val="00C9784A"/>
    <w:rsid w:val="00CA51F5"/>
    <w:rsid w:val="00CA5D3D"/>
    <w:rsid w:val="00CA5ECF"/>
    <w:rsid w:val="00CA61D9"/>
    <w:rsid w:val="00CB1C41"/>
    <w:rsid w:val="00CB24C2"/>
    <w:rsid w:val="00CB6A3E"/>
    <w:rsid w:val="00CC0525"/>
    <w:rsid w:val="00CC0887"/>
    <w:rsid w:val="00CC4A2B"/>
    <w:rsid w:val="00CC4C8B"/>
    <w:rsid w:val="00CC4DC5"/>
    <w:rsid w:val="00CC4F8E"/>
    <w:rsid w:val="00CD06F7"/>
    <w:rsid w:val="00CD163F"/>
    <w:rsid w:val="00CD260A"/>
    <w:rsid w:val="00CD5285"/>
    <w:rsid w:val="00CD662C"/>
    <w:rsid w:val="00CE1A1E"/>
    <w:rsid w:val="00CE1A7C"/>
    <w:rsid w:val="00CE2B59"/>
    <w:rsid w:val="00CE45BC"/>
    <w:rsid w:val="00CE6735"/>
    <w:rsid w:val="00CF4C26"/>
    <w:rsid w:val="00CF4F0C"/>
    <w:rsid w:val="00CF5C20"/>
    <w:rsid w:val="00D024DE"/>
    <w:rsid w:val="00D0464B"/>
    <w:rsid w:val="00D1026F"/>
    <w:rsid w:val="00D11564"/>
    <w:rsid w:val="00D12853"/>
    <w:rsid w:val="00D12C74"/>
    <w:rsid w:val="00D2263F"/>
    <w:rsid w:val="00D2332D"/>
    <w:rsid w:val="00D2468F"/>
    <w:rsid w:val="00D262F4"/>
    <w:rsid w:val="00D26CD3"/>
    <w:rsid w:val="00D2724F"/>
    <w:rsid w:val="00D2744D"/>
    <w:rsid w:val="00D316DB"/>
    <w:rsid w:val="00D31EF8"/>
    <w:rsid w:val="00D3304A"/>
    <w:rsid w:val="00D34AD6"/>
    <w:rsid w:val="00D356A3"/>
    <w:rsid w:val="00D46278"/>
    <w:rsid w:val="00D537FC"/>
    <w:rsid w:val="00D5449A"/>
    <w:rsid w:val="00D546B4"/>
    <w:rsid w:val="00D54BC1"/>
    <w:rsid w:val="00D5565B"/>
    <w:rsid w:val="00D55F27"/>
    <w:rsid w:val="00D56483"/>
    <w:rsid w:val="00D5658F"/>
    <w:rsid w:val="00D56646"/>
    <w:rsid w:val="00D56AD6"/>
    <w:rsid w:val="00D57965"/>
    <w:rsid w:val="00D612DA"/>
    <w:rsid w:val="00D6192C"/>
    <w:rsid w:val="00D62BE1"/>
    <w:rsid w:val="00D64031"/>
    <w:rsid w:val="00D6490D"/>
    <w:rsid w:val="00D66A79"/>
    <w:rsid w:val="00D67793"/>
    <w:rsid w:val="00D70019"/>
    <w:rsid w:val="00D71C74"/>
    <w:rsid w:val="00D71C8E"/>
    <w:rsid w:val="00D72EEA"/>
    <w:rsid w:val="00D73B7B"/>
    <w:rsid w:val="00D74B58"/>
    <w:rsid w:val="00D76543"/>
    <w:rsid w:val="00D80E88"/>
    <w:rsid w:val="00D81468"/>
    <w:rsid w:val="00D82ABE"/>
    <w:rsid w:val="00D869D7"/>
    <w:rsid w:val="00D87DE8"/>
    <w:rsid w:val="00D91004"/>
    <w:rsid w:val="00D9100B"/>
    <w:rsid w:val="00D95C2C"/>
    <w:rsid w:val="00D96251"/>
    <w:rsid w:val="00D9646D"/>
    <w:rsid w:val="00DA1D6A"/>
    <w:rsid w:val="00DA37A5"/>
    <w:rsid w:val="00DA3DF4"/>
    <w:rsid w:val="00DA4ABA"/>
    <w:rsid w:val="00DA61CD"/>
    <w:rsid w:val="00DA685B"/>
    <w:rsid w:val="00DA742B"/>
    <w:rsid w:val="00DB0933"/>
    <w:rsid w:val="00DB34E3"/>
    <w:rsid w:val="00DB3BCA"/>
    <w:rsid w:val="00DB3C23"/>
    <w:rsid w:val="00DB4801"/>
    <w:rsid w:val="00DC1942"/>
    <w:rsid w:val="00DC5B2B"/>
    <w:rsid w:val="00DD2A69"/>
    <w:rsid w:val="00DD3673"/>
    <w:rsid w:val="00DD3825"/>
    <w:rsid w:val="00DD3EA3"/>
    <w:rsid w:val="00DD62F3"/>
    <w:rsid w:val="00DD6EF2"/>
    <w:rsid w:val="00DE1526"/>
    <w:rsid w:val="00DF1116"/>
    <w:rsid w:val="00DF134C"/>
    <w:rsid w:val="00DF25C1"/>
    <w:rsid w:val="00DF48F7"/>
    <w:rsid w:val="00DF4964"/>
    <w:rsid w:val="00DF4D73"/>
    <w:rsid w:val="00DF5DCF"/>
    <w:rsid w:val="00DF6A65"/>
    <w:rsid w:val="00DF79B0"/>
    <w:rsid w:val="00DF7D4A"/>
    <w:rsid w:val="00E00BA6"/>
    <w:rsid w:val="00E01F3C"/>
    <w:rsid w:val="00E02E0B"/>
    <w:rsid w:val="00E032A0"/>
    <w:rsid w:val="00E04041"/>
    <w:rsid w:val="00E07320"/>
    <w:rsid w:val="00E1047D"/>
    <w:rsid w:val="00E11579"/>
    <w:rsid w:val="00E13B8E"/>
    <w:rsid w:val="00E162B0"/>
    <w:rsid w:val="00E17A61"/>
    <w:rsid w:val="00E21AD3"/>
    <w:rsid w:val="00E221CE"/>
    <w:rsid w:val="00E22B91"/>
    <w:rsid w:val="00E23B91"/>
    <w:rsid w:val="00E31FB4"/>
    <w:rsid w:val="00E33171"/>
    <w:rsid w:val="00E34C54"/>
    <w:rsid w:val="00E35206"/>
    <w:rsid w:val="00E36BC6"/>
    <w:rsid w:val="00E36F5F"/>
    <w:rsid w:val="00E37666"/>
    <w:rsid w:val="00E40FCC"/>
    <w:rsid w:val="00E4324D"/>
    <w:rsid w:val="00E443FA"/>
    <w:rsid w:val="00E45980"/>
    <w:rsid w:val="00E470BA"/>
    <w:rsid w:val="00E524E4"/>
    <w:rsid w:val="00E54ABC"/>
    <w:rsid w:val="00E54FCE"/>
    <w:rsid w:val="00E55418"/>
    <w:rsid w:val="00E56717"/>
    <w:rsid w:val="00E57706"/>
    <w:rsid w:val="00E60DA1"/>
    <w:rsid w:val="00E60DB7"/>
    <w:rsid w:val="00E629B2"/>
    <w:rsid w:val="00E63C9D"/>
    <w:rsid w:val="00E63F91"/>
    <w:rsid w:val="00E679A6"/>
    <w:rsid w:val="00E73581"/>
    <w:rsid w:val="00E767BF"/>
    <w:rsid w:val="00E93D35"/>
    <w:rsid w:val="00E948A3"/>
    <w:rsid w:val="00EA04A0"/>
    <w:rsid w:val="00EA0C36"/>
    <w:rsid w:val="00EA19C6"/>
    <w:rsid w:val="00EA2432"/>
    <w:rsid w:val="00EA45DB"/>
    <w:rsid w:val="00EA4942"/>
    <w:rsid w:val="00EA5F47"/>
    <w:rsid w:val="00EA74B7"/>
    <w:rsid w:val="00EB1A2B"/>
    <w:rsid w:val="00EB2631"/>
    <w:rsid w:val="00EB3612"/>
    <w:rsid w:val="00EB45DC"/>
    <w:rsid w:val="00EB53EC"/>
    <w:rsid w:val="00EB5744"/>
    <w:rsid w:val="00EC1D53"/>
    <w:rsid w:val="00EC5065"/>
    <w:rsid w:val="00EC6CFA"/>
    <w:rsid w:val="00ED2CD9"/>
    <w:rsid w:val="00ED4F53"/>
    <w:rsid w:val="00ED54B0"/>
    <w:rsid w:val="00ED7C24"/>
    <w:rsid w:val="00EE134A"/>
    <w:rsid w:val="00EE2B2F"/>
    <w:rsid w:val="00EE37E0"/>
    <w:rsid w:val="00EE50DD"/>
    <w:rsid w:val="00EE5A35"/>
    <w:rsid w:val="00EF015B"/>
    <w:rsid w:val="00EF520C"/>
    <w:rsid w:val="00EF71DB"/>
    <w:rsid w:val="00F01E36"/>
    <w:rsid w:val="00F024E3"/>
    <w:rsid w:val="00F041E6"/>
    <w:rsid w:val="00F04D17"/>
    <w:rsid w:val="00F05CD3"/>
    <w:rsid w:val="00F074A6"/>
    <w:rsid w:val="00F07DA7"/>
    <w:rsid w:val="00F11593"/>
    <w:rsid w:val="00F20CD2"/>
    <w:rsid w:val="00F2188B"/>
    <w:rsid w:val="00F22E53"/>
    <w:rsid w:val="00F260C9"/>
    <w:rsid w:val="00F346EB"/>
    <w:rsid w:val="00F37DCB"/>
    <w:rsid w:val="00F41BFA"/>
    <w:rsid w:val="00F43AAC"/>
    <w:rsid w:val="00F46D98"/>
    <w:rsid w:val="00F47130"/>
    <w:rsid w:val="00F47F05"/>
    <w:rsid w:val="00F552D9"/>
    <w:rsid w:val="00F558EA"/>
    <w:rsid w:val="00F564C1"/>
    <w:rsid w:val="00F605E0"/>
    <w:rsid w:val="00F6076E"/>
    <w:rsid w:val="00F63557"/>
    <w:rsid w:val="00F717B6"/>
    <w:rsid w:val="00F71AE0"/>
    <w:rsid w:val="00F71B8C"/>
    <w:rsid w:val="00F72CD9"/>
    <w:rsid w:val="00F73613"/>
    <w:rsid w:val="00F77FA2"/>
    <w:rsid w:val="00F8357A"/>
    <w:rsid w:val="00F83F9D"/>
    <w:rsid w:val="00F86577"/>
    <w:rsid w:val="00F92677"/>
    <w:rsid w:val="00F94AA5"/>
    <w:rsid w:val="00F955C0"/>
    <w:rsid w:val="00F97C15"/>
    <w:rsid w:val="00FA048B"/>
    <w:rsid w:val="00FA0D05"/>
    <w:rsid w:val="00FA15A3"/>
    <w:rsid w:val="00FA1B77"/>
    <w:rsid w:val="00FA2E29"/>
    <w:rsid w:val="00FA3878"/>
    <w:rsid w:val="00FA6231"/>
    <w:rsid w:val="00FA6C59"/>
    <w:rsid w:val="00FA79BF"/>
    <w:rsid w:val="00FB1F36"/>
    <w:rsid w:val="00FB2F31"/>
    <w:rsid w:val="00FB4B65"/>
    <w:rsid w:val="00FB6C2D"/>
    <w:rsid w:val="00FB74B8"/>
    <w:rsid w:val="00FC0014"/>
    <w:rsid w:val="00FC12B1"/>
    <w:rsid w:val="00FC49E0"/>
    <w:rsid w:val="00FC4B8E"/>
    <w:rsid w:val="00FD07C0"/>
    <w:rsid w:val="00FD150F"/>
    <w:rsid w:val="00FD19B4"/>
    <w:rsid w:val="00FD22C2"/>
    <w:rsid w:val="00FD4046"/>
    <w:rsid w:val="00FD655A"/>
    <w:rsid w:val="00FD79E5"/>
    <w:rsid w:val="00FE2B96"/>
    <w:rsid w:val="00FE4674"/>
    <w:rsid w:val="00FE54A9"/>
    <w:rsid w:val="00FE6C84"/>
    <w:rsid w:val="00FF041C"/>
    <w:rsid w:val="00FF0484"/>
    <w:rsid w:val="00FF0680"/>
    <w:rsid w:val="00FF28E3"/>
    <w:rsid w:val="00FF4E56"/>
    <w:rsid w:val="00FF7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character" w:styleId="CommentReference">
    <w:name w:val="annotation reference"/>
    <w:basedOn w:val="DefaultParagraphFont"/>
    <w:uiPriority w:val="99"/>
    <w:semiHidden/>
    <w:unhideWhenUsed/>
    <w:rsid w:val="004E7D12"/>
    <w:rPr>
      <w:sz w:val="16"/>
      <w:szCs w:val="16"/>
    </w:rPr>
  </w:style>
  <w:style w:type="paragraph" w:styleId="CommentText">
    <w:name w:val="annotation text"/>
    <w:basedOn w:val="Normal"/>
    <w:link w:val="CommentTextChar"/>
    <w:uiPriority w:val="99"/>
    <w:unhideWhenUsed/>
    <w:rsid w:val="004E7D12"/>
    <w:rPr>
      <w:sz w:val="20"/>
    </w:rPr>
  </w:style>
  <w:style w:type="character" w:customStyle="1" w:styleId="CommentTextChar">
    <w:name w:val="Comment Text Char"/>
    <w:basedOn w:val="DefaultParagraphFont"/>
    <w:link w:val="CommentText"/>
    <w:uiPriority w:val="99"/>
    <w:rsid w:val="004E7D12"/>
    <w:rPr>
      <w:rFonts w:ascii="Calibri" w:hAnsi="Calibri"/>
      <w:lang w:val="fr-FR" w:eastAsia="en-US"/>
    </w:rPr>
  </w:style>
  <w:style w:type="paragraph" w:styleId="CommentSubject">
    <w:name w:val="annotation subject"/>
    <w:basedOn w:val="CommentText"/>
    <w:next w:val="CommentText"/>
    <w:link w:val="CommentSubjectChar"/>
    <w:semiHidden/>
    <w:unhideWhenUsed/>
    <w:rsid w:val="004E7D12"/>
    <w:rPr>
      <w:b/>
      <w:bCs/>
    </w:rPr>
  </w:style>
  <w:style w:type="character" w:customStyle="1" w:styleId="CommentSubjectChar">
    <w:name w:val="Comment Subject Char"/>
    <w:basedOn w:val="CommentTextChar"/>
    <w:link w:val="CommentSubject"/>
    <w:semiHidden/>
    <w:rsid w:val="004E7D12"/>
    <w:rPr>
      <w:rFonts w:ascii="Calibri" w:hAnsi="Calibri"/>
      <w:b/>
      <w:bCs/>
      <w:lang w:val="fr-FR" w:eastAsia="en-US"/>
    </w:rPr>
  </w:style>
  <w:style w:type="paragraph" w:styleId="Revision">
    <w:name w:val="Revision"/>
    <w:hidden/>
    <w:uiPriority w:val="99"/>
    <w:semiHidden/>
    <w:rsid w:val="004E7D12"/>
    <w:rPr>
      <w:rFonts w:ascii="Calibri" w:hAnsi="Calibri"/>
      <w:sz w:val="24"/>
      <w:lang w:val="fr-FR" w:eastAsia="en-US"/>
    </w:rPr>
  </w:style>
  <w:style w:type="character" w:customStyle="1" w:styleId="gmail-apple-converted-space">
    <w:name w:val="gmail-apple-converted-space"/>
    <w:basedOn w:val="DefaultParagraphFont"/>
    <w:rsid w:val="0012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12691754">
      <w:bodyDiv w:val="1"/>
      <w:marLeft w:val="0"/>
      <w:marRight w:val="0"/>
      <w:marTop w:val="0"/>
      <w:marBottom w:val="0"/>
      <w:divBdr>
        <w:top w:val="none" w:sz="0" w:space="0" w:color="auto"/>
        <w:left w:val="none" w:sz="0" w:space="0" w:color="auto"/>
        <w:bottom w:val="none" w:sz="0" w:space="0" w:color="auto"/>
        <w:right w:val="none" w:sz="0" w:space="0" w:color="auto"/>
      </w:divBdr>
    </w:div>
    <w:div w:id="21320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94/en" TargetMode="External"/><Relationship Id="rId18" Type="http://schemas.openxmlformats.org/officeDocument/2006/relationships/hyperlink" Target="https://www.itu.int/md/S22-PP-C-0188/en" TargetMode="External"/><Relationship Id="rId26" Type="http://schemas.openxmlformats.org/officeDocument/2006/relationships/hyperlink" Target="https://www.itu.int/md/S22-PP-C-0196/en" TargetMode="External"/><Relationship Id="rId39" Type="http://schemas.openxmlformats.org/officeDocument/2006/relationships/fontTable" Target="fontTable.xml"/><Relationship Id="rId21" Type="http://schemas.openxmlformats.org/officeDocument/2006/relationships/hyperlink" Target="https://www.itu.int/md/S22-PP-C-0193/en" TargetMode="External"/><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2-PP-C-0198/en" TargetMode="External"/><Relationship Id="rId20" Type="http://schemas.openxmlformats.org/officeDocument/2006/relationships/hyperlink" Target="https://www.itu.int/md/S22-PP-C-0189/en" TargetMode="External"/><Relationship Id="rId29" Type="http://schemas.openxmlformats.org/officeDocument/2006/relationships/hyperlink" Target="https://www.itu.int/md/S22-PP-C-0198/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89/en" TargetMode="External"/><Relationship Id="rId24" Type="http://schemas.openxmlformats.org/officeDocument/2006/relationships/hyperlink" Target="https://www.itu.int/md/S22-PP-C-0194/en" TargetMode="External"/><Relationship Id="rId32" Type="http://schemas.openxmlformats.org/officeDocument/2006/relationships/hyperlink" Target="https://www.itu.int/md/S22-PP-C-0197/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166/en" TargetMode="External"/><Relationship Id="rId23" Type="http://schemas.openxmlformats.org/officeDocument/2006/relationships/hyperlink" Target="https://www.itu.int/md/S22-PP-C-0194/en" TargetMode="External"/><Relationship Id="rId28" Type="http://schemas.openxmlformats.org/officeDocument/2006/relationships/hyperlink" Target="https://www.itu.int/md/S22-PP-C-0166/en" TargetMode="External"/><Relationship Id="rId36" Type="http://schemas.openxmlformats.org/officeDocument/2006/relationships/footer" Target="footer2.xml"/><Relationship Id="rId10" Type="http://schemas.openxmlformats.org/officeDocument/2006/relationships/hyperlink" Target="https://www.itu.int/md/S22-PP-C-0157/en" TargetMode="External"/><Relationship Id="rId19" Type="http://schemas.openxmlformats.org/officeDocument/2006/relationships/hyperlink" Target="https://www.itu.int/md/S22-PP-C-0157/en" TargetMode="External"/><Relationship Id="rId31" Type="http://schemas.openxmlformats.org/officeDocument/2006/relationships/hyperlink" Target="https://www.itu.int/md/S22-PP-C-0197/en" TargetMode="External"/><Relationship Id="rId4" Type="http://schemas.openxmlformats.org/officeDocument/2006/relationships/settings" Target="settings.xml"/><Relationship Id="rId9" Type="http://schemas.openxmlformats.org/officeDocument/2006/relationships/hyperlink" Target="https://www.itu.int/md/S22-PP-C-0188/en" TargetMode="External"/><Relationship Id="rId14" Type="http://schemas.openxmlformats.org/officeDocument/2006/relationships/hyperlink" Target="https://www.itu.int/md/S22-PP-C-0196/en" TargetMode="External"/><Relationship Id="rId22" Type="http://schemas.openxmlformats.org/officeDocument/2006/relationships/hyperlink" Target="https://www.itu.int/md/S22-PP-C-0193/en" TargetMode="External"/><Relationship Id="rId27" Type="http://schemas.openxmlformats.org/officeDocument/2006/relationships/hyperlink" Target="https://www.itu.int/md/S22-PP-C-0166/en" TargetMode="External"/><Relationship Id="rId30" Type="http://schemas.openxmlformats.org/officeDocument/2006/relationships/hyperlink" Target="https://www.itu.int/md/S22-PP-C-0198/en" TargetMode="External"/><Relationship Id="rId35" Type="http://schemas.openxmlformats.org/officeDocument/2006/relationships/footer" Target="footer1.xml"/><Relationship Id="rId43" Type="http://schemas.microsoft.com/office/2018/08/relationships/commentsExtensible" Target="commentsExtensi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2-PP-C-0193/en" TargetMode="External"/><Relationship Id="rId17" Type="http://schemas.openxmlformats.org/officeDocument/2006/relationships/hyperlink" Target="https://www.itu.int/md/S22-PP-C-0197/en" TargetMode="External"/><Relationship Id="rId25" Type="http://schemas.openxmlformats.org/officeDocument/2006/relationships/hyperlink" Target="https://www.itu.int/md/S22-PP-C-0196/en" TargetMode="External"/><Relationship Id="rId33" Type="http://schemas.openxmlformats.org/officeDocument/2006/relationships/header" Target="header1.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6452</Words>
  <Characters>36218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Royer, Veronique</cp:lastModifiedBy>
  <cp:revision>5</cp:revision>
  <dcterms:created xsi:type="dcterms:W3CDTF">2022-11-17T10:13:00Z</dcterms:created>
  <dcterms:modified xsi:type="dcterms:W3CDTF">2022-11-17T10:23:00Z</dcterms:modified>
  <cp:category>Conference document</cp:category>
</cp:coreProperties>
</file>