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972F59" w14:paraId="4484B0C5" w14:textId="77777777">
        <w:trPr>
          <w:cantSplit/>
          <w:jc w:val="center"/>
        </w:trPr>
        <w:tc>
          <w:tcPr>
            <w:tcW w:w="6911" w:type="dxa"/>
          </w:tcPr>
          <w:p w14:paraId="706F5501" w14:textId="3E73A757" w:rsidR="00972F59" w:rsidRDefault="006818CA" w:rsidP="009F1DCC">
            <w:pPr>
              <w:rPr>
                <w:b/>
                <w:bCs/>
                <w:position w:val="6"/>
                <w:szCs w:val="24"/>
                <w:lang w:val="fr-CH"/>
              </w:rPr>
            </w:pPr>
            <w:bookmarkStart w:id="0" w:name="dbreak"/>
            <w:bookmarkStart w:id="1" w:name="dpp"/>
            <w:bookmarkEnd w:id="0"/>
            <w:bookmarkEnd w:id="1"/>
            <w:r>
              <w:rPr>
                <w:rFonts w:cs="Times"/>
                <w:b/>
                <w:sz w:val="30"/>
                <w:szCs w:val="30"/>
                <w:lang w:val="fr-CH"/>
              </w:rPr>
              <w:t>Conférence de plénipotentiaires</w:t>
            </w:r>
            <w:r>
              <w:rPr>
                <w:b/>
                <w:smallCaps/>
                <w:sz w:val="30"/>
                <w:szCs w:val="30"/>
                <w:lang w:val="fr-CH"/>
              </w:rPr>
              <w:t xml:space="preserve"> (PP-22)</w:t>
            </w:r>
            <w:r>
              <w:rPr>
                <w:b/>
                <w:smallCaps/>
                <w:sz w:val="36"/>
                <w:lang w:val="fr-CH"/>
              </w:rPr>
              <w:br/>
            </w:r>
            <w:r>
              <w:rPr>
                <w:rFonts w:cs="Times New Roman Bold"/>
                <w:b/>
                <w:bCs/>
                <w:szCs w:val="24"/>
                <w:lang w:val="fr-CH"/>
              </w:rPr>
              <w:t>Bucarest, 26 septembre - 14 octobre 2022</w:t>
            </w:r>
          </w:p>
        </w:tc>
        <w:tc>
          <w:tcPr>
            <w:tcW w:w="3120" w:type="dxa"/>
          </w:tcPr>
          <w:p w14:paraId="7A1CF8E0" w14:textId="6FB7D25A" w:rsidR="00972F59" w:rsidRDefault="006818CA" w:rsidP="009F1DCC">
            <w:pPr>
              <w:spacing w:before="0"/>
              <w:rPr>
                <w:rFonts w:cstheme="minorHAnsi"/>
                <w:lang w:val="en-US"/>
              </w:rPr>
            </w:pPr>
            <w:bookmarkStart w:id="2" w:name="ditulogo"/>
            <w:bookmarkEnd w:id="2"/>
            <w:r>
              <w:rPr>
                <w:noProof/>
                <w:lang w:val="en-US"/>
              </w:rPr>
              <w:drawing>
                <wp:inline distT="0" distB="0" distL="0" distR="0" wp14:anchorId="7A0DC28C" wp14:editId="7CED7ECD">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972F59" w14:paraId="3120A8D9" w14:textId="77777777">
        <w:trPr>
          <w:cantSplit/>
          <w:jc w:val="center"/>
        </w:trPr>
        <w:tc>
          <w:tcPr>
            <w:tcW w:w="6911" w:type="dxa"/>
            <w:tcBorders>
              <w:bottom w:val="single" w:sz="12" w:space="0" w:color="auto"/>
            </w:tcBorders>
          </w:tcPr>
          <w:p w14:paraId="317E5819" w14:textId="77777777" w:rsidR="00972F59" w:rsidRDefault="00972F59" w:rsidP="009F1DCC">
            <w:pPr>
              <w:spacing w:before="0" w:after="48"/>
              <w:rPr>
                <w:rFonts w:cstheme="minorHAnsi"/>
                <w:b/>
                <w:smallCaps/>
                <w:szCs w:val="24"/>
                <w:lang w:val="en-US"/>
              </w:rPr>
            </w:pPr>
            <w:bookmarkStart w:id="3" w:name="dhead"/>
          </w:p>
        </w:tc>
        <w:tc>
          <w:tcPr>
            <w:tcW w:w="3120" w:type="dxa"/>
            <w:tcBorders>
              <w:bottom w:val="single" w:sz="12" w:space="0" w:color="auto"/>
            </w:tcBorders>
          </w:tcPr>
          <w:p w14:paraId="57068B73" w14:textId="77777777" w:rsidR="00972F59" w:rsidRDefault="00972F59" w:rsidP="009F1DCC">
            <w:pPr>
              <w:spacing w:before="0" w:after="48"/>
              <w:rPr>
                <w:rFonts w:cstheme="minorHAnsi"/>
                <w:b/>
                <w:smallCaps/>
                <w:szCs w:val="24"/>
                <w:lang w:val="en-US"/>
              </w:rPr>
            </w:pPr>
          </w:p>
        </w:tc>
      </w:tr>
      <w:tr w:rsidR="00972F59" w14:paraId="20A2296F" w14:textId="77777777">
        <w:trPr>
          <w:cantSplit/>
          <w:jc w:val="center"/>
        </w:trPr>
        <w:tc>
          <w:tcPr>
            <w:tcW w:w="6911" w:type="dxa"/>
            <w:tcBorders>
              <w:top w:val="single" w:sz="12" w:space="0" w:color="auto"/>
            </w:tcBorders>
          </w:tcPr>
          <w:p w14:paraId="4CFA6027" w14:textId="77777777" w:rsidR="00972F59" w:rsidRDefault="00972F59" w:rsidP="009F1DCC">
            <w:pPr>
              <w:spacing w:before="0"/>
              <w:rPr>
                <w:rFonts w:cstheme="minorHAnsi"/>
                <w:b/>
                <w:smallCaps/>
                <w:szCs w:val="24"/>
                <w:lang w:val="en-US"/>
              </w:rPr>
            </w:pPr>
          </w:p>
        </w:tc>
        <w:tc>
          <w:tcPr>
            <w:tcW w:w="3120" w:type="dxa"/>
            <w:tcBorders>
              <w:top w:val="single" w:sz="12" w:space="0" w:color="auto"/>
            </w:tcBorders>
          </w:tcPr>
          <w:p w14:paraId="3C479168" w14:textId="77777777" w:rsidR="00972F59" w:rsidRDefault="00972F59" w:rsidP="009F1DCC">
            <w:pPr>
              <w:spacing w:before="0"/>
              <w:rPr>
                <w:rFonts w:cstheme="minorHAnsi"/>
                <w:szCs w:val="24"/>
                <w:lang w:val="en-US"/>
              </w:rPr>
            </w:pPr>
          </w:p>
        </w:tc>
      </w:tr>
      <w:tr w:rsidR="00972F59" w14:paraId="5EBA9561" w14:textId="77777777">
        <w:trPr>
          <w:cantSplit/>
          <w:jc w:val="center"/>
        </w:trPr>
        <w:tc>
          <w:tcPr>
            <w:tcW w:w="6911" w:type="dxa"/>
          </w:tcPr>
          <w:p w14:paraId="081C5B53" w14:textId="5ADEACCC" w:rsidR="00972F59" w:rsidRDefault="006818CA" w:rsidP="009F1DCC">
            <w:pPr>
              <w:pStyle w:val="Committee"/>
              <w:framePr w:hSpace="0" w:wrap="auto" w:hAnchor="text" w:yAlign="inline"/>
              <w:spacing w:after="0" w:line="240" w:lineRule="auto"/>
            </w:pPr>
            <w:r>
              <w:t>SÉANCE PLÉNIÈRE</w:t>
            </w:r>
          </w:p>
        </w:tc>
        <w:tc>
          <w:tcPr>
            <w:tcW w:w="3120" w:type="dxa"/>
          </w:tcPr>
          <w:p w14:paraId="42E82404" w14:textId="0811D538" w:rsidR="00972F59" w:rsidRDefault="006818CA" w:rsidP="009F1DCC">
            <w:pPr>
              <w:spacing w:before="0"/>
              <w:rPr>
                <w:rFonts w:cstheme="minorHAnsi"/>
                <w:szCs w:val="24"/>
                <w:lang w:val="en-US"/>
              </w:rPr>
            </w:pPr>
            <w:r>
              <w:rPr>
                <w:rFonts w:cstheme="minorHAnsi"/>
                <w:b/>
                <w:szCs w:val="24"/>
                <w:lang w:val="en-US"/>
              </w:rPr>
              <w:t>Document 209-F</w:t>
            </w:r>
          </w:p>
        </w:tc>
      </w:tr>
      <w:tr w:rsidR="00972F59" w14:paraId="5C605E2F" w14:textId="77777777">
        <w:trPr>
          <w:cantSplit/>
          <w:jc w:val="center"/>
        </w:trPr>
        <w:tc>
          <w:tcPr>
            <w:tcW w:w="6911" w:type="dxa"/>
          </w:tcPr>
          <w:p w14:paraId="3701819B" w14:textId="20A8E30E" w:rsidR="00972F59" w:rsidRDefault="00972F59" w:rsidP="009F1DCC">
            <w:pPr>
              <w:spacing w:before="0"/>
              <w:rPr>
                <w:rFonts w:cstheme="minorHAnsi"/>
                <w:b/>
                <w:szCs w:val="24"/>
                <w:lang w:val="en-US"/>
              </w:rPr>
            </w:pPr>
          </w:p>
        </w:tc>
        <w:tc>
          <w:tcPr>
            <w:tcW w:w="3120" w:type="dxa"/>
          </w:tcPr>
          <w:p w14:paraId="4FD5E934" w14:textId="6F0397C8" w:rsidR="00972F59" w:rsidRDefault="006818CA" w:rsidP="009F1DCC">
            <w:pPr>
              <w:spacing w:before="0"/>
              <w:rPr>
                <w:rFonts w:cstheme="minorHAnsi"/>
                <w:b/>
                <w:szCs w:val="24"/>
                <w:lang w:val="en-US"/>
              </w:rPr>
            </w:pPr>
            <w:r>
              <w:rPr>
                <w:rFonts w:cstheme="minorHAnsi"/>
                <w:b/>
                <w:szCs w:val="24"/>
                <w:lang w:val="en-US"/>
              </w:rPr>
              <w:t>2 novembre 2022</w:t>
            </w:r>
          </w:p>
        </w:tc>
      </w:tr>
      <w:tr w:rsidR="00972F59" w14:paraId="6B2B4BC1" w14:textId="77777777">
        <w:trPr>
          <w:cantSplit/>
          <w:jc w:val="center"/>
        </w:trPr>
        <w:tc>
          <w:tcPr>
            <w:tcW w:w="6911" w:type="dxa"/>
          </w:tcPr>
          <w:p w14:paraId="780A194C" w14:textId="77777777" w:rsidR="00972F59" w:rsidRDefault="00972F59" w:rsidP="009F1DCC">
            <w:pPr>
              <w:spacing w:before="0"/>
              <w:rPr>
                <w:rFonts w:cstheme="minorHAnsi"/>
                <w:b/>
                <w:smallCaps/>
                <w:szCs w:val="24"/>
                <w:lang w:val="en-US"/>
              </w:rPr>
            </w:pPr>
          </w:p>
        </w:tc>
        <w:tc>
          <w:tcPr>
            <w:tcW w:w="3120" w:type="dxa"/>
          </w:tcPr>
          <w:p w14:paraId="36796BDA" w14:textId="1359CF17" w:rsidR="00972F59" w:rsidRDefault="006818CA" w:rsidP="009F1DCC">
            <w:pPr>
              <w:spacing w:before="0"/>
              <w:rPr>
                <w:rFonts w:cstheme="minorHAnsi"/>
                <w:b/>
                <w:szCs w:val="24"/>
                <w:lang w:val="en-US"/>
              </w:rPr>
            </w:pPr>
            <w:r>
              <w:rPr>
                <w:rFonts w:cstheme="minorHAnsi"/>
                <w:b/>
                <w:szCs w:val="24"/>
                <w:lang w:val="en-US"/>
              </w:rPr>
              <w:t>Original: anglais</w:t>
            </w:r>
          </w:p>
        </w:tc>
      </w:tr>
      <w:tr w:rsidR="00972F59" w14:paraId="4259B884" w14:textId="77777777">
        <w:trPr>
          <w:cantSplit/>
          <w:jc w:val="center"/>
        </w:trPr>
        <w:tc>
          <w:tcPr>
            <w:tcW w:w="10031" w:type="dxa"/>
            <w:gridSpan w:val="2"/>
          </w:tcPr>
          <w:p w14:paraId="770628D7" w14:textId="77777777" w:rsidR="00972F59" w:rsidRDefault="00972F59" w:rsidP="009F1DCC">
            <w:pPr>
              <w:spacing w:before="0"/>
              <w:rPr>
                <w:rFonts w:cstheme="minorHAnsi"/>
                <w:b/>
                <w:szCs w:val="24"/>
                <w:lang w:val="en-US"/>
              </w:rPr>
            </w:pPr>
          </w:p>
        </w:tc>
      </w:tr>
      <w:tr w:rsidR="00972F59" w14:paraId="6A9FB924" w14:textId="77777777">
        <w:trPr>
          <w:cantSplit/>
          <w:jc w:val="center"/>
        </w:trPr>
        <w:tc>
          <w:tcPr>
            <w:tcW w:w="10031" w:type="dxa"/>
            <w:gridSpan w:val="2"/>
          </w:tcPr>
          <w:p w14:paraId="1A080F2B" w14:textId="77777777" w:rsidR="00972F59" w:rsidRDefault="006818CA" w:rsidP="009F1DCC">
            <w:pPr>
              <w:pStyle w:val="Title1"/>
              <w:spacing w:before="720"/>
            </w:pPr>
            <w:bookmarkStart w:id="4" w:name="dsource" w:colFirst="0" w:colLast="0"/>
            <w:bookmarkEnd w:id="3"/>
            <w:r>
              <w:t>procès-verbal</w:t>
            </w:r>
          </w:p>
          <w:p w14:paraId="423AA68F" w14:textId="77777777" w:rsidR="00972F59" w:rsidRDefault="006818CA" w:rsidP="009F1DCC">
            <w:pPr>
              <w:pStyle w:val="Title1"/>
            </w:pPr>
            <w:r>
              <w:t>DE LA</w:t>
            </w:r>
          </w:p>
          <w:p w14:paraId="070875E6" w14:textId="1A98F1A3" w:rsidR="00972F59" w:rsidRPr="009F1DCC" w:rsidRDefault="006818CA" w:rsidP="009F1DCC">
            <w:pPr>
              <w:pStyle w:val="Title1"/>
            </w:pPr>
            <w:r>
              <w:t xml:space="preserve">DIX-NEUVIèME </w:t>
            </w:r>
            <w:r w:rsidR="009F1DCC">
              <w:t xml:space="preserve">et dernière </w:t>
            </w:r>
            <w:r>
              <w:t>séance PLéNIèRE</w:t>
            </w:r>
          </w:p>
        </w:tc>
      </w:tr>
      <w:tr w:rsidR="00972F59" w14:paraId="534EEA05" w14:textId="77777777">
        <w:trPr>
          <w:cantSplit/>
          <w:jc w:val="center"/>
        </w:trPr>
        <w:tc>
          <w:tcPr>
            <w:tcW w:w="10031" w:type="dxa"/>
            <w:gridSpan w:val="2"/>
          </w:tcPr>
          <w:p w14:paraId="0C8E89F3" w14:textId="688F098D" w:rsidR="00972F59" w:rsidRPr="00A83B95" w:rsidRDefault="006818CA" w:rsidP="009F1DCC">
            <w:pPr>
              <w:spacing w:before="240"/>
              <w:jc w:val="center"/>
              <w:rPr>
                <w:sz w:val="28"/>
                <w:szCs w:val="28"/>
                <w:lang w:val="en-US"/>
              </w:rPr>
            </w:pPr>
            <w:bookmarkStart w:id="5" w:name="dtitle1" w:colFirst="0" w:colLast="0"/>
            <w:bookmarkEnd w:id="4"/>
            <w:r w:rsidRPr="00A83B95">
              <w:rPr>
                <w:sz w:val="28"/>
                <w:szCs w:val="28"/>
              </w:rPr>
              <w:t>Vendredi 14 octobre 2022, à 15 h 05</w:t>
            </w:r>
          </w:p>
        </w:tc>
      </w:tr>
      <w:tr w:rsidR="00972F59" w14:paraId="37DA32CE" w14:textId="77777777">
        <w:trPr>
          <w:cantSplit/>
          <w:jc w:val="center"/>
        </w:trPr>
        <w:tc>
          <w:tcPr>
            <w:tcW w:w="10031" w:type="dxa"/>
            <w:gridSpan w:val="2"/>
          </w:tcPr>
          <w:p w14:paraId="1574AB3E" w14:textId="75990E00" w:rsidR="00972F59" w:rsidRPr="00A83B95" w:rsidRDefault="006818CA" w:rsidP="009F1DCC">
            <w:pPr>
              <w:jc w:val="center"/>
              <w:rPr>
                <w:sz w:val="28"/>
                <w:szCs w:val="28"/>
              </w:rPr>
            </w:pPr>
            <w:bookmarkStart w:id="6" w:name="dtitle2" w:colFirst="0" w:colLast="0"/>
            <w:bookmarkEnd w:id="5"/>
            <w:proofErr w:type="gramStart"/>
            <w:r w:rsidRPr="00A83B95">
              <w:rPr>
                <w:b/>
                <w:bCs/>
                <w:sz w:val="28"/>
                <w:szCs w:val="28"/>
              </w:rPr>
              <w:t>Président</w:t>
            </w:r>
            <w:r w:rsidRPr="00A83B95">
              <w:rPr>
                <w:sz w:val="28"/>
                <w:szCs w:val="28"/>
              </w:rPr>
              <w:t>:</w:t>
            </w:r>
            <w:proofErr w:type="gramEnd"/>
            <w:r w:rsidRPr="00A83B95">
              <w:rPr>
                <w:sz w:val="28"/>
                <w:szCs w:val="28"/>
              </w:rPr>
              <w:t xml:space="preserve"> M. Sabin Sărmaș (Roumanie)</w:t>
            </w:r>
          </w:p>
        </w:tc>
      </w:tr>
      <w:bookmarkEnd w:id="6"/>
    </w:tbl>
    <w:p w14:paraId="7AD6F79A" w14:textId="183801FD" w:rsidR="00972F59" w:rsidRPr="009F1DCC" w:rsidRDefault="00972F59" w:rsidP="009F1DCC"/>
    <w:tbl>
      <w:tblPr>
        <w:tblW w:w="10031" w:type="dxa"/>
        <w:jc w:val="center"/>
        <w:tblLook w:val="0000" w:firstRow="0" w:lastRow="0" w:firstColumn="0" w:lastColumn="0" w:noHBand="0" w:noVBand="0"/>
      </w:tblPr>
      <w:tblGrid>
        <w:gridCol w:w="534"/>
        <w:gridCol w:w="7164"/>
        <w:gridCol w:w="2333"/>
      </w:tblGrid>
      <w:tr w:rsidR="00972F59" w14:paraId="3E92813F" w14:textId="77777777">
        <w:trPr>
          <w:jc w:val="center"/>
        </w:trPr>
        <w:tc>
          <w:tcPr>
            <w:tcW w:w="534" w:type="dxa"/>
          </w:tcPr>
          <w:p w14:paraId="4AF2EDC6" w14:textId="77777777" w:rsidR="00972F59" w:rsidRDefault="00972F59" w:rsidP="009F1DCC">
            <w:pPr>
              <w:rPr>
                <w:b/>
              </w:rPr>
            </w:pPr>
          </w:p>
        </w:tc>
        <w:tc>
          <w:tcPr>
            <w:tcW w:w="7164" w:type="dxa"/>
          </w:tcPr>
          <w:p w14:paraId="6498B2D9" w14:textId="77777777" w:rsidR="00972F59" w:rsidRDefault="006818CA" w:rsidP="009F1DCC">
            <w:pPr>
              <w:rPr>
                <w:b/>
              </w:rPr>
            </w:pPr>
            <w:r>
              <w:rPr>
                <w:b/>
              </w:rPr>
              <w:t>Sujets traités</w:t>
            </w:r>
          </w:p>
        </w:tc>
        <w:tc>
          <w:tcPr>
            <w:tcW w:w="2333" w:type="dxa"/>
          </w:tcPr>
          <w:p w14:paraId="51121A94" w14:textId="77777777" w:rsidR="00972F59" w:rsidRDefault="006818CA" w:rsidP="009F1DCC">
            <w:pPr>
              <w:jc w:val="center"/>
              <w:rPr>
                <w:b/>
              </w:rPr>
            </w:pPr>
            <w:r>
              <w:rPr>
                <w:b/>
              </w:rPr>
              <w:t>Documents</w:t>
            </w:r>
          </w:p>
        </w:tc>
      </w:tr>
      <w:tr w:rsidR="00972F59" w14:paraId="51CCC2E1" w14:textId="77777777">
        <w:trPr>
          <w:jc w:val="center"/>
        </w:trPr>
        <w:tc>
          <w:tcPr>
            <w:tcW w:w="534" w:type="dxa"/>
          </w:tcPr>
          <w:p w14:paraId="157533CB" w14:textId="77777777" w:rsidR="00972F59" w:rsidRDefault="006818CA" w:rsidP="009F1DCC">
            <w:r>
              <w:t>1</w:t>
            </w:r>
          </w:p>
        </w:tc>
        <w:tc>
          <w:tcPr>
            <w:tcW w:w="7164" w:type="dxa"/>
          </w:tcPr>
          <w:p w14:paraId="4C50A76C" w14:textId="66546E27" w:rsidR="00972F59" w:rsidRDefault="006818CA" w:rsidP="009F1DCC">
            <w:r>
              <w:rPr>
                <w:rFonts w:asciiTheme="minorHAnsi" w:hAnsiTheme="minorHAnsi" w:cstheme="majorBidi"/>
                <w:szCs w:val="24"/>
                <w:lang w:val="fr-CH"/>
              </w:rPr>
              <w:t>Déclarations additionnelles</w:t>
            </w:r>
          </w:p>
        </w:tc>
        <w:tc>
          <w:tcPr>
            <w:tcW w:w="2333" w:type="dxa"/>
          </w:tcPr>
          <w:p w14:paraId="4D33A84F" w14:textId="4DEEF868" w:rsidR="00972F59" w:rsidRDefault="006360FA" w:rsidP="009F1DCC">
            <w:pPr>
              <w:jc w:val="center"/>
            </w:pPr>
            <w:hyperlink r:id="rId9" w:history="1">
              <w:r w:rsidR="006818CA">
                <w:rPr>
                  <w:rStyle w:val="Hyperlink"/>
                  <w:szCs w:val="24"/>
                </w:rPr>
                <w:t>200</w:t>
              </w:r>
            </w:hyperlink>
          </w:p>
        </w:tc>
      </w:tr>
      <w:tr w:rsidR="00972F59" w14:paraId="1FAA9649" w14:textId="77777777">
        <w:trPr>
          <w:jc w:val="center"/>
        </w:trPr>
        <w:tc>
          <w:tcPr>
            <w:tcW w:w="534" w:type="dxa"/>
          </w:tcPr>
          <w:p w14:paraId="375D05F5" w14:textId="77777777" w:rsidR="00972F59" w:rsidRDefault="006818CA" w:rsidP="009F1DCC">
            <w:r>
              <w:t>2</w:t>
            </w:r>
          </w:p>
        </w:tc>
        <w:tc>
          <w:tcPr>
            <w:tcW w:w="7164" w:type="dxa"/>
          </w:tcPr>
          <w:p w14:paraId="06BA6824" w14:textId="285E34E0" w:rsidR="00972F59" w:rsidRDefault="006818CA" w:rsidP="009F1DCC">
            <w:r>
              <w:rPr>
                <w:rFonts w:asciiTheme="minorHAnsi" w:hAnsiTheme="minorHAnsi" w:cstheme="majorBidi"/>
                <w:szCs w:val="24"/>
                <w:lang w:val="fr-CH"/>
              </w:rPr>
              <w:t>Cérémonie de signature des Actes finals</w:t>
            </w:r>
          </w:p>
        </w:tc>
        <w:tc>
          <w:tcPr>
            <w:tcW w:w="2333" w:type="dxa"/>
          </w:tcPr>
          <w:p w14:paraId="3839E247" w14:textId="77777777" w:rsidR="00972F59" w:rsidRDefault="006818CA" w:rsidP="009F1DCC">
            <w:pPr>
              <w:jc w:val="center"/>
            </w:pPr>
            <w:r>
              <w:t>–</w:t>
            </w:r>
          </w:p>
        </w:tc>
      </w:tr>
      <w:tr w:rsidR="00972F59" w14:paraId="1A896CE4" w14:textId="77777777">
        <w:trPr>
          <w:jc w:val="center"/>
        </w:trPr>
        <w:tc>
          <w:tcPr>
            <w:tcW w:w="534" w:type="dxa"/>
          </w:tcPr>
          <w:p w14:paraId="629ADC65" w14:textId="252337AD" w:rsidR="00972F59" w:rsidRDefault="006818CA" w:rsidP="009F1DCC">
            <w:r>
              <w:t>3</w:t>
            </w:r>
          </w:p>
        </w:tc>
        <w:tc>
          <w:tcPr>
            <w:tcW w:w="7164" w:type="dxa"/>
          </w:tcPr>
          <w:p w14:paraId="6A05E90D" w14:textId="3B30FB46" w:rsidR="00972F59" w:rsidRDefault="006818CA" w:rsidP="009F1DCC">
            <w:pPr>
              <w:rPr>
                <w:rFonts w:asciiTheme="minorHAnsi" w:hAnsiTheme="minorHAnsi" w:cstheme="majorBidi"/>
                <w:szCs w:val="24"/>
                <w:lang w:val="fr-CH"/>
              </w:rPr>
            </w:pPr>
            <w:r>
              <w:rPr>
                <w:rFonts w:asciiTheme="minorHAnsi" w:hAnsiTheme="minorHAnsi" w:cstheme="majorBidi"/>
                <w:szCs w:val="24"/>
                <w:lang w:val="fr-CH"/>
              </w:rPr>
              <w:t>Clôture de la Conférence</w:t>
            </w:r>
          </w:p>
        </w:tc>
        <w:tc>
          <w:tcPr>
            <w:tcW w:w="2333" w:type="dxa"/>
          </w:tcPr>
          <w:p w14:paraId="7FCA9A2B" w14:textId="5BD9230A" w:rsidR="00972F59" w:rsidRDefault="006818CA" w:rsidP="009F1DCC">
            <w:pPr>
              <w:jc w:val="center"/>
            </w:pPr>
            <w:r>
              <w:t>–</w:t>
            </w:r>
          </w:p>
        </w:tc>
      </w:tr>
    </w:tbl>
    <w:p w14:paraId="23E5CC14" w14:textId="77777777" w:rsidR="00972F59" w:rsidRDefault="006818CA" w:rsidP="009F1DCC">
      <w:pPr>
        <w:tabs>
          <w:tab w:val="clear" w:pos="567"/>
          <w:tab w:val="clear" w:pos="1134"/>
          <w:tab w:val="clear" w:pos="1701"/>
          <w:tab w:val="clear" w:pos="2268"/>
          <w:tab w:val="clear" w:pos="2835"/>
        </w:tabs>
        <w:overflowPunct/>
        <w:autoSpaceDE/>
        <w:autoSpaceDN/>
        <w:adjustRightInd/>
        <w:spacing w:before="0"/>
        <w:textAlignment w:val="auto"/>
      </w:pPr>
      <w:r>
        <w:br w:type="page"/>
      </w:r>
    </w:p>
    <w:p w14:paraId="6150666B" w14:textId="1141BC43" w:rsidR="00972F59" w:rsidRDefault="006818CA" w:rsidP="00A83B95">
      <w:pPr>
        <w:pStyle w:val="Heading1"/>
        <w:tabs>
          <w:tab w:val="clear" w:pos="567"/>
          <w:tab w:val="left" w:pos="709"/>
        </w:tabs>
        <w:ind w:left="709" w:hanging="709"/>
        <w:rPr>
          <w:rFonts w:asciiTheme="minorHAnsi" w:hAnsiTheme="minorHAnsi"/>
        </w:rPr>
      </w:pPr>
      <w:r>
        <w:rPr>
          <w:rFonts w:asciiTheme="minorHAnsi" w:hAnsiTheme="minorHAnsi"/>
        </w:rPr>
        <w:lastRenderedPageBreak/>
        <w:t>1</w:t>
      </w:r>
      <w:r w:rsidR="009F1DCC">
        <w:rPr>
          <w:rFonts w:asciiTheme="minorHAnsi" w:hAnsiTheme="minorHAnsi"/>
        </w:rPr>
        <w:tab/>
      </w:r>
      <w:r>
        <w:rPr>
          <w:rFonts w:asciiTheme="minorHAnsi" w:hAnsiTheme="minorHAnsi"/>
        </w:rPr>
        <w:t xml:space="preserve">Déclarations </w:t>
      </w:r>
      <w:r w:rsidRPr="00A83B95">
        <w:t>additionnelles</w:t>
      </w:r>
      <w:r>
        <w:rPr>
          <w:rFonts w:asciiTheme="minorHAnsi" w:hAnsiTheme="minorHAnsi"/>
        </w:rPr>
        <w:t xml:space="preserve"> (</w:t>
      </w:r>
      <w:r w:rsidRPr="009F1DCC">
        <w:rPr>
          <w:sz w:val="26"/>
          <w:szCs w:val="26"/>
        </w:rPr>
        <w:t>Document</w:t>
      </w:r>
      <w:r>
        <w:t xml:space="preserve"> </w:t>
      </w:r>
      <w:hyperlink r:id="rId10" w:history="1">
        <w:r>
          <w:rPr>
            <w:rStyle w:val="Hyperlink"/>
            <w:bCs/>
          </w:rPr>
          <w:t>200</w:t>
        </w:r>
      </w:hyperlink>
      <w:r>
        <w:rPr>
          <w:rFonts w:asciiTheme="minorHAnsi" w:hAnsiTheme="minorHAnsi"/>
        </w:rPr>
        <w:t>)</w:t>
      </w:r>
    </w:p>
    <w:p w14:paraId="6475FBA6" w14:textId="40566A60" w:rsidR="00972F59" w:rsidRDefault="00CA43CD" w:rsidP="009F1DCC">
      <w:pPr>
        <w:tabs>
          <w:tab w:val="clear" w:pos="567"/>
          <w:tab w:val="clear" w:pos="1134"/>
          <w:tab w:val="clear" w:pos="1701"/>
          <w:tab w:val="clear" w:pos="2268"/>
          <w:tab w:val="clear" w:pos="2835"/>
        </w:tabs>
        <w:snapToGrid w:val="0"/>
        <w:spacing w:after="120"/>
        <w:rPr>
          <w:rFonts w:asciiTheme="minorHAnsi" w:hAnsiTheme="minorHAnsi"/>
          <w:b/>
          <w:bCs/>
          <w:sz w:val="28"/>
          <w:szCs w:val="28"/>
        </w:rPr>
      </w:pPr>
      <w:r>
        <w:rPr>
          <w:rFonts w:asciiTheme="minorHAnsi" w:hAnsiTheme="minorHAnsi"/>
        </w:rPr>
        <w:t>1.1</w:t>
      </w:r>
      <w:r>
        <w:rPr>
          <w:rFonts w:asciiTheme="minorHAnsi" w:hAnsiTheme="minorHAnsi"/>
        </w:rPr>
        <w:tab/>
      </w:r>
      <w:r w:rsidR="006818CA">
        <w:rPr>
          <w:rFonts w:asciiTheme="minorHAnsi" w:hAnsiTheme="minorHAnsi"/>
        </w:rPr>
        <w:t xml:space="preserve">Il est </w:t>
      </w:r>
      <w:r w:rsidR="009F1DCC" w:rsidRPr="009F1DCC">
        <w:rPr>
          <w:rFonts w:asciiTheme="minorHAnsi" w:hAnsiTheme="minorHAnsi"/>
          <w:b/>
          <w:bCs/>
        </w:rPr>
        <w:t xml:space="preserve">pris </w:t>
      </w:r>
      <w:r w:rsidR="006818CA" w:rsidRPr="009F1DCC">
        <w:rPr>
          <w:rFonts w:asciiTheme="minorHAnsi" w:hAnsiTheme="minorHAnsi"/>
          <w:b/>
          <w:bCs/>
        </w:rPr>
        <w:t>note</w:t>
      </w:r>
      <w:r w:rsidR="006818CA">
        <w:rPr>
          <w:rFonts w:asciiTheme="minorHAnsi" w:hAnsiTheme="minorHAnsi"/>
          <w:b/>
          <w:bCs/>
        </w:rPr>
        <w:t xml:space="preserve"> </w:t>
      </w:r>
      <w:r w:rsidR="006818CA">
        <w:rPr>
          <w:rFonts w:asciiTheme="minorHAnsi" w:hAnsiTheme="minorHAnsi"/>
        </w:rPr>
        <w:t>des déclarations additionnelles figurant dans le Document 200.</w:t>
      </w:r>
    </w:p>
    <w:p w14:paraId="1D43F4E9" w14:textId="43B9B819" w:rsidR="00972F59" w:rsidRDefault="006818CA" w:rsidP="00A83B95">
      <w:pPr>
        <w:pStyle w:val="Heading1"/>
        <w:tabs>
          <w:tab w:val="clear" w:pos="567"/>
          <w:tab w:val="left" w:pos="709"/>
        </w:tabs>
        <w:ind w:left="709" w:hanging="709"/>
        <w:rPr>
          <w:rFonts w:asciiTheme="minorHAnsi" w:hAnsiTheme="minorHAnsi"/>
          <w:lang w:val="fr-CH"/>
        </w:rPr>
      </w:pPr>
      <w:r>
        <w:rPr>
          <w:rFonts w:asciiTheme="minorHAnsi" w:hAnsiTheme="minorHAnsi"/>
          <w:bCs/>
          <w:sz w:val="24"/>
          <w:szCs w:val="24"/>
        </w:rPr>
        <w:t>2</w:t>
      </w:r>
      <w:r w:rsidR="009F1DCC">
        <w:rPr>
          <w:rFonts w:asciiTheme="minorHAnsi" w:hAnsiTheme="minorHAnsi"/>
          <w:bCs/>
          <w:sz w:val="24"/>
          <w:szCs w:val="24"/>
        </w:rPr>
        <w:tab/>
      </w:r>
      <w:r>
        <w:rPr>
          <w:rFonts w:asciiTheme="minorHAnsi" w:hAnsiTheme="minorHAnsi"/>
          <w:lang w:val="fr-CH"/>
        </w:rPr>
        <w:t>Cérémonie de signature des Actes finals</w:t>
      </w:r>
    </w:p>
    <w:p w14:paraId="53174DCF" w14:textId="46BAAF04" w:rsidR="00972F59" w:rsidRDefault="006818CA" w:rsidP="009F1DCC">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bCs/>
          <w:szCs w:val="24"/>
        </w:rPr>
        <w:t>2.1</w:t>
      </w:r>
      <w:r w:rsidR="009F1DCC">
        <w:rPr>
          <w:rFonts w:asciiTheme="minorHAnsi" w:hAnsiTheme="minorHAnsi"/>
          <w:b/>
          <w:bCs/>
          <w:szCs w:val="24"/>
        </w:rPr>
        <w:tab/>
      </w:r>
      <w:r>
        <w:rPr>
          <w:rFonts w:asciiTheme="minorHAnsi" w:hAnsiTheme="minorHAnsi"/>
          <w:lang w:val="fr-CH"/>
        </w:rPr>
        <w:t>La</w:t>
      </w:r>
      <w:r>
        <w:rPr>
          <w:rFonts w:asciiTheme="minorHAnsi" w:hAnsiTheme="minorHAnsi"/>
          <w:b/>
          <w:bCs/>
          <w:lang w:val="fr-CH"/>
        </w:rPr>
        <w:t xml:space="preserve"> </w:t>
      </w:r>
      <w:r w:rsidR="009F1DCC">
        <w:rPr>
          <w:rFonts w:asciiTheme="minorHAnsi" w:hAnsiTheme="minorHAnsi"/>
          <w:b/>
          <w:bCs/>
          <w:lang w:val="fr-CH"/>
        </w:rPr>
        <w:t>S</w:t>
      </w:r>
      <w:r>
        <w:rPr>
          <w:rFonts w:asciiTheme="minorHAnsi" w:hAnsiTheme="minorHAnsi"/>
          <w:b/>
          <w:bCs/>
          <w:lang w:val="fr-CH"/>
        </w:rPr>
        <w:t xml:space="preserve">ecrétaire de la plénière </w:t>
      </w:r>
      <w:r>
        <w:rPr>
          <w:rFonts w:asciiTheme="minorHAnsi" w:hAnsiTheme="minorHAnsi"/>
          <w:lang w:val="fr-CH"/>
        </w:rPr>
        <w:t>procède à l'appel nominal, dans l'ordre alphabétique français, des délégations dont les pouvoirs ont été reconnus en règle.</w:t>
      </w:r>
    </w:p>
    <w:p w14:paraId="4010DCC2" w14:textId="3305AF46" w:rsidR="00972F59" w:rsidRDefault="006818CA" w:rsidP="009F1DCC">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lang w:val="fr-CH"/>
        </w:rPr>
        <w:t>2.2</w:t>
      </w:r>
      <w:r w:rsidR="0008703E">
        <w:rPr>
          <w:rFonts w:asciiTheme="minorHAnsi" w:hAnsiTheme="minorHAnsi"/>
          <w:lang w:val="fr-CH"/>
        </w:rPr>
        <w:tab/>
      </w:r>
      <w:r>
        <w:rPr>
          <w:rFonts w:asciiTheme="minorHAnsi" w:hAnsiTheme="minorHAnsi"/>
          <w:lang w:val="fr-CH"/>
        </w:rPr>
        <w:t xml:space="preserve">Les Actes finals sont signés par les 159 délégations </w:t>
      </w:r>
      <w:proofErr w:type="gramStart"/>
      <w:r w:rsidR="00A83B95">
        <w:rPr>
          <w:rFonts w:asciiTheme="minorHAnsi" w:hAnsiTheme="minorHAnsi"/>
          <w:lang w:val="fr-CH"/>
        </w:rPr>
        <w:t>suivantes</w:t>
      </w:r>
      <w:r>
        <w:rPr>
          <w:rFonts w:asciiTheme="minorHAnsi" w:hAnsiTheme="minorHAnsi"/>
          <w:lang w:val="fr-CH"/>
        </w:rPr>
        <w:t>:</w:t>
      </w:r>
      <w:proofErr w:type="gramEnd"/>
    </w:p>
    <w:p w14:paraId="61F1E128" w14:textId="3536D26A" w:rsidR="00972F59" w:rsidRDefault="009F1DCC" w:rsidP="000B3E5D">
      <w:pPr>
        <w:tabs>
          <w:tab w:val="clear" w:pos="567"/>
          <w:tab w:val="clear" w:pos="1134"/>
          <w:tab w:val="clear" w:pos="1701"/>
          <w:tab w:val="clear" w:pos="2268"/>
          <w:tab w:val="clear" w:pos="2835"/>
        </w:tabs>
        <w:snapToGrid w:val="0"/>
        <w:rPr>
          <w:rFonts w:asciiTheme="minorHAnsi" w:hAnsiTheme="minorHAnsi"/>
          <w:lang w:val="fr-CH"/>
        </w:rPr>
      </w:pPr>
      <w:r w:rsidRPr="009F1DCC">
        <w:rPr>
          <w:rFonts w:asciiTheme="minorHAnsi" w:hAnsiTheme="minorHAnsi"/>
          <w:lang w:val="fr-CH"/>
        </w:rPr>
        <w:t xml:space="preserve">Albanie (République d'), Algérie (République algérienne démocratique et populaire), Allemagne (République fédérale d'), Andorre (Principauté d'), Arabie saoudite (Royaume d'), Argentine (République), Arménie (République d'), Australie, Autriche, Azerbaïdjan (République d'), Bahamas (Commonwealth des), Bahreïn (Royaume de), Bangladesh (République populaire du), Barbade, </w:t>
      </w:r>
      <w:r w:rsidR="00466DB9">
        <w:rPr>
          <w:rFonts w:asciiTheme="minorHAnsi" w:hAnsiTheme="minorHAnsi"/>
          <w:lang w:val="fr-CH"/>
        </w:rPr>
        <w:t xml:space="preserve">Bélarus, </w:t>
      </w:r>
      <w:r w:rsidRPr="009F1DCC">
        <w:rPr>
          <w:rFonts w:asciiTheme="minorHAnsi" w:hAnsiTheme="minorHAnsi"/>
          <w:lang w:val="fr-CH"/>
        </w:rPr>
        <w:t xml:space="preserve">Belgique, Belize, </w:t>
      </w:r>
      <w:r w:rsidR="00466DB9">
        <w:rPr>
          <w:rFonts w:asciiTheme="minorHAnsi" w:hAnsiTheme="minorHAnsi"/>
          <w:lang w:val="fr-CH"/>
        </w:rPr>
        <w:t xml:space="preserve">Bénin, </w:t>
      </w:r>
      <w:r w:rsidRPr="009F1DCC">
        <w:rPr>
          <w:rFonts w:asciiTheme="minorHAnsi" w:hAnsiTheme="minorHAnsi"/>
          <w:lang w:val="fr-CH"/>
        </w:rPr>
        <w:t xml:space="preserve">Bhoutan (Royaume du), </w:t>
      </w:r>
      <w:r w:rsidR="00466DB9">
        <w:rPr>
          <w:rFonts w:asciiTheme="minorHAnsi" w:hAnsiTheme="minorHAnsi"/>
          <w:lang w:val="fr-CH"/>
        </w:rPr>
        <w:t xml:space="preserve">Bosnie-Herzégovine, </w:t>
      </w:r>
      <w:r w:rsidRPr="009F1DCC">
        <w:rPr>
          <w:rFonts w:asciiTheme="minorHAnsi" w:hAnsiTheme="minorHAnsi"/>
          <w:lang w:val="fr-CH"/>
        </w:rPr>
        <w:t xml:space="preserve">Botswana (République du), Brésil (République fédérative du), Brunéi Darussalam, Bulgarie (République de), Burkina Faso, Burundi (République du), </w:t>
      </w:r>
      <w:r w:rsidR="00466DB9">
        <w:rPr>
          <w:rFonts w:asciiTheme="minorHAnsi" w:hAnsiTheme="minorHAnsi"/>
          <w:lang w:val="fr-CH"/>
        </w:rPr>
        <w:t xml:space="preserve">Cabo Verde (République de) </w:t>
      </w:r>
      <w:r w:rsidRPr="009F1DCC">
        <w:rPr>
          <w:rFonts w:asciiTheme="minorHAnsi" w:hAnsiTheme="minorHAnsi"/>
          <w:lang w:val="fr-CH"/>
        </w:rPr>
        <w:t xml:space="preserve">Cambodge (Royaume du), Cameroun (République du), Canada, Chili, Chine (République populaire de), Chypre (République de), Cité du Vatican (État de la), Colombie (République de), Corée (République de), Costa Rica, Côte d'Ivoire (République de), Croatie (République de), Cuba, Danemark, </w:t>
      </w:r>
      <w:r w:rsidR="00466DB9">
        <w:rPr>
          <w:rFonts w:asciiTheme="minorHAnsi" w:hAnsiTheme="minorHAnsi"/>
          <w:lang w:val="fr-CH"/>
        </w:rPr>
        <w:t xml:space="preserve">Djibouti (République de), </w:t>
      </w:r>
      <w:r w:rsidRPr="009F1DCC">
        <w:rPr>
          <w:rFonts w:asciiTheme="minorHAnsi" w:hAnsiTheme="minorHAnsi"/>
          <w:lang w:val="fr-CH"/>
        </w:rPr>
        <w:t xml:space="preserve">Dominicaine (République), </w:t>
      </w:r>
      <w:r w:rsidR="00466DB9">
        <w:rPr>
          <w:rFonts w:asciiTheme="minorHAnsi" w:hAnsiTheme="minorHAnsi"/>
          <w:lang w:val="fr-CH"/>
        </w:rPr>
        <w:t xml:space="preserve">Dominique (Commonwealth de la), </w:t>
      </w:r>
      <w:r w:rsidRPr="009F1DCC">
        <w:rPr>
          <w:rFonts w:asciiTheme="minorHAnsi" w:hAnsiTheme="minorHAnsi"/>
          <w:lang w:val="fr-CH"/>
        </w:rPr>
        <w:t>É</w:t>
      </w:r>
      <w:r w:rsidR="00CA43CD">
        <w:rPr>
          <w:rFonts w:asciiTheme="minorHAnsi" w:hAnsiTheme="minorHAnsi"/>
          <w:lang w:val="fr-CH"/>
        </w:rPr>
        <w:t>gypte (République arabe d'), El </w:t>
      </w:r>
      <w:r w:rsidRPr="009F1DCC">
        <w:rPr>
          <w:rFonts w:asciiTheme="minorHAnsi" w:hAnsiTheme="minorHAnsi"/>
          <w:lang w:val="fr-CH"/>
        </w:rPr>
        <w:t>Salvador (République d'), Émirats arabes unis, Espagne, Estonie (République d'), Eswatini (Royaume du), États</w:t>
      </w:r>
      <w:r w:rsidR="00BB4770">
        <w:rPr>
          <w:rFonts w:asciiTheme="minorHAnsi" w:hAnsiTheme="minorHAnsi"/>
          <w:lang w:val="fr-CH"/>
        </w:rPr>
        <w:t>-</w:t>
      </w:r>
      <w:r w:rsidRPr="009F1DCC">
        <w:rPr>
          <w:rFonts w:asciiTheme="minorHAnsi" w:hAnsiTheme="minorHAnsi"/>
          <w:lang w:val="fr-CH"/>
        </w:rPr>
        <w:t>Unis d'Amérique, Fédération de Russie, Fidji (République de), Finlande, France, Gabonaise (République), Gambie (République de), Ghana, Grèce,</w:t>
      </w:r>
      <w:r w:rsidR="005B3662">
        <w:rPr>
          <w:rFonts w:asciiTheme="minorHAnsi" w:hAnsiTheme="minorHAnsi"/>
          <w:lang w:val="fr-CH"/>
        </w:rPr>
        <w:t xml:space="preserve"> Grenade,</w:t>
      </w:r>
      <w:r w:rsidRPr="009F1DCC">
        <w:rPr>
          <w:rFonts w:asciiTheme="minorHAnsi" w:hAnsiTheme="minorHAnsi"/>
          <w:lang w:val="fr-CH"/>
        </w:rPr>
        <w:t xml:space="preserve"> Guatemala (République du), </w:t>
      </w:r>
      <w:r w:rsidR="005B3662">
        <w:rPr>
          <w:rFonts w:asciiTheme="minorHAnsi" w:hAnsiTheme="minorHAnsi"/>
          <w:lang w:val="fr-CH"/>
        </w:rPr>
        <w:t xml:space="preserve">Guinée (République de), </w:t>
      </w:r>
      <w:r w:rsidRPr="009F1DCC">
        <w:rPr>
          <w:rFonts w:asciiTheme="minorHAnsi" w:hAnsiTheme="minorHAnsi"/>
          <w:lang w:val="fr-CH"/>
        </w:rPr>
        <w:t xml:space="preserve">Guinée équatoriale (République de), Guyana, </w:t>
      </w:r>
      <w:r w:rsidR="005B3662">
        <w:rPr>
          <w:rFonts w:asciiTheme="minorHAnsi" w:hAnsiTheme="minorHAnsi"/>
          <w:lang w:val="fr-CH"/>
        </w:rPr>
        <w:t>Honduras</w:t>
      </w:r>
      <w:r w:rsidRPr="009F1DCC">
        <w:rPr>
          <w:rFonts w:asciiTheme="minorHAnsi" w:hAnsiTheme="minorHAnsi"/>
          <w:lang w:val="fr-CH"/>
        </w:rPr>
        <w:t xml:space="preserve"> (République d</w:t>
      </w:r>
      <w:r w:rsidR="005B3662">
        <w:rPr>
          <w:rFonts w:asciiTheme="minorHAnsi" w:hAnsiTheme="minorHAnsi"/>
          <w:lang w:val="fr-CH"/>
        </w:rPr>
        <w:t>u</w:t>
      </w:r>
      <w:r w:rsidRPr="009F1DCC">
        <w:rPr>
          <w:rFonts w:asciiTheme="minorHAnsi" w:hAnsiTheme="minorHAnsi"/>
          <w:lang w:val="fr-CH"/>
        </w:rPr>
        <w:t>), Hongrie, Inde (République de l'), Indonésie (République d'), Iran (République islamique d'), Iraq (République d'), Irlande, Islande, Israël (État d'), Italie, Jamaïque, Japon, Jordanie (Royaume hachémite de), Kazakhstan (République du), Kenya (République du), Koweït (État du), Lesotho (Royaume du), Lettonie (République de),</w:t>
      </w:r>
      <w:r w:rsidR="005B3662">
        <w:rPr>
          <w:rFonts w:asciiTheme="minorHAnsi" w:hAnsiTheme="minorHAnsi"/>
          <w:lang w:val="fr-CH"/>
        </w:rPr>
        <w:t xml:space="preserve"> Liban</w:t>
      </w:r>
      <w:r w:rsidRPr="009F1DCC">
        <w:rPr>
          <w:rFonts w:asciiTheme="minorHAnsi" w:hAnsiTheme="minorHAnsi"/>
          <w:lang w:val="fr-CH"/>
        </w:rPr>
        <w:t xml:space="preserve">, Libéria (République du), Liechtenstein (Principauté de), Lituanie (République de), Luxembourg, </w:t>
      </w:r>
      <w:r w:rsidR="005B3662">
        <w:rPr>
          <w:rFonts w:asciiTheme="minorHAnsi" w:hAnsiTheme="minorHAnsi"/>
          <w:lang w:val="fr-CH"/>
        </w:rPr>
        <w:t xml:space="preserve">Macédoine du Nord (République de), Madagascar (République de), </w:t>
      </w:r>
      <w:r w:rsidRPr="009F1DCC">
        <w:rPr>
          <w:rFonts w:asciiTheme="minorHAnsi" w:hAnsiTheme="minorHAnsi"/>
          <w:lang w:val="fr-CH"/>
        </w:rPr>
        <w:t xml:space="preserve">Malaisie, Malawi, Mali (République du), Malte, Maroc (Royaume du), Marshall (République des Îles), </w:t>
      </w:r>
      <w:r w:rsidR="005B3662">
        <w:rPr>
          <w:rFonts w:asciiTheme="minorHAnsi" w:hAnsiTheme="minorHAnsi"/>
          <w:lang w:val="fr-CH"/>
        </w:rPr>
        <w:t xml:space="preserve">Maurice (République de), </w:t>
      </w:r>
      <w:r w:rsidRPr="009F1DCC">
        <w:rPr>
          <w:rFonts w:asciiTheme="minorHAnsi" w:hAnsiTheme="minorHAnsi"/>
          <w:lang w:val="fr-CH"/>
        </w:rPr>
        <w:t>Mexique,</w:t>
      </w:r>
      <w:r w:rsidR="005B3662">
        <w:rPr>
          <w:rFonts w:asciiTheme="minorHAnsi" w:hAnsiTheme="minorHAnsi"/>
          <w:lang w:val="fr-CH"/>
        </w:rPr>
        <w:t xml:space="preserve"> Micronésie (États fédérés de),</w:t>
      </w:r>
      <w:r w:rsidRPr="009F1DCC">
        <w:rPr>
          <w:rFonts w:asciiTheme="minorHAnsi" w:hAnsiTheme="minorHAnsi"/>
          <w:lang w:val="fr-CH"/>
        </w:rPr>
        <w:t xml:space="preserve"> Moldova (République de), Monaco (Principauté de), </w:t>
      </w:r>
      <w:r w:rsidR="005B3662">
        <w:rPr>
          <w:rFonts w:asciiTheme="minorHAnsi" w:hAnsiTheme="minorHAnsi"/>
          <w:lang w:val="fr-CH"/>
        </w:rPr>
        <w:t xml:space="preserve">Monténégro, </w:t>
      </w:r>
      <w:r w:rsidRPr="009F1DCC">
        <w:rPr>
          <w:rFonts w:asciiTheme="minorHAnsi" w:hAnsiTheme="minorHAnsi"/>
          <w:lang w:val="fr-CH"/>
        </w:rPr>
        <w:t xml:space="preserve">Mozambique (République du), Namibie (République de), Népal (République fédérale démocratique du), </w:t>
      </w:r>
      <w:r w:rsidR="005B3662">
        <w:rPr>
          <w:rFonts w:asciiTheme="minorHAnsi" w:hAnsiTheme="minorHAnsi"/>
          <w:lang w:val="fr-CH"/>
        </w:rPr>
        <w:t xml:space="preserve">Nicaragua, </w:t>
      </w:r>
      <w:r w:rsidRPr="009F1DCC">
        <w:rPr>
          <w:rFonts w:asciiTheme="minorHAnsi" w:hAnsiTheme="minorHAnsi"/>
          <w:lang w:val="fr-CH"/>
        </w:rPr>
        <w:t xml:space="preserve">Niger (République du), Norvège, Nouvelle-Zélande, Oman (Sultanat d'), Ouganda (République de l'), Ouzbékistan (République d'), Papouasie-Nouvelle-Guinée, Paraguay (République du), Pays-Bas (Royaume des), Pérou, Philippines (République des), Pologne (République de), Portugal, Qatar (État du), République arabe syrienne, République </w:t>
      </w:r>
      <w:r w:rsidR="005B3662">
        <w:rPr>
          <w:rFonts w:asciiTheme="minorHAnsi" w:hAnsiTheme="minorHAnsi"/>
          <w:lang w:val="fr-CH"/>
        </w:rPr>
        <w:t xml:space="preserve">de </w:t>
      </w:r>
      <w:r w:rsidR="005B3662" w:rsidRPr="005B3662">
        <w:rPr>
          <w:rFonts w:asciiTheme="minorHAnsi" w:hAnsiTheme="minorHAnsi"/>
          <w:lang w:val="fr-CH"/>
        </w:rPr>
        <w:t>Türkiye</w:t>
      </w:r>
      <w:r w:rsidR="005B3662">
        <w:rPr>
          <w:rFonts w:asciiTheme="minorHAnsi" w:hAnsiTheme="minorHAnsi"/>
          <w:lang w:val="fr-CH"/>
        </w:rPr>
        <w:t xml:space="preserve">, République démocratique du Congo, République </w:t>
      </w:r>
      <w:r w:rsidRPr="009F1DCC">
        <w:rPr>
          <w:rFonts w:asciiTheme="minorHAnsi" w:hAnsiTheme="minorHAnsi"/>
          <w:lang w:val="fr-CH"/>
        </w:rPr>
        <w:t xml:space="preserve">kirghize, </w:t>
      </w:r>
      <w:r w:rsidR="005B3662" w:rsidRPr="005B3662">
        <w:rPr>
          <w:rFonts w:asciiTheme="minorHAnsi" w:hAnsiTheme="minorHAnsi"/>
          <w:lang w:val="fr-CH"/>
        </w:rPr>
        <w:t>République populaire démocratique de Corée</w:t>
      </w:r>
      <w:r w:rsidR="005B3662">
        <w:rPr>
          <w:rFonts w:asciiTheme="minorHAnsi" w:hAnsiTheme="minorHAnsi"/>
          <w:lang w:val="fr-CH"/>
        </w:rPr>
        <w:t xml:space="preserve">, </w:t>
      </w:r>
      <w:r w:rsidRPr="009F1DCC">
        <w:rPr>
          <w:rFonts w:asciiTheme="minorHAnsi" w:hAnsiTheme="minorHAnsi"/>
          <w:lang w:val="fr-CH"/>
        </w:rPr>
        <w:t>République slovaque, République tchèque, Roumanie, Royaume-Uni de Grande-Bretagne</w:t>
      </w:r>
      <w:r w:rsidR="00A83B95">
        <w:rPr>
          <w:rFonts w:asciiTheme="minorHAnsi" w:hAnsiTheme="minorHAnsi"/>
          <w:lang w:val="fr-CH"/>
        </w:rPr>
        <w:t xml:space="preserve"> et d'Irlande du Nord, Rwanda </w:t>
      </w:r>
      <w:r w:rsidRPr="009F1DCC">
        <w:rPr>
          <w:rFonts w:asciiTheme="minorHAnsi" w:hAnsiTheme="minorHAnsi"/>
          <w:lang w:val="fr-CH"/>
        </w:rPr>
        <w:t xml:space="preserve">(République du), </w:t>
      </w:r>
      <w:r w:rsidR="005B3662" w:rsidRPr="005B3662">
        <w:rPr>
          <w:rFonts w:asciiTheme="minorHAnsi" w:hAnsiTheme="minorHAnsi"/>
          <w:lang w:val="fr-CH"/>
        </w:rPr>
        <w:t>Saint-Kitts-et-Nevis (Fédération de)</w:t>
      </w:r>
      <w:r w:rsidR="005B3662">
        <w:rPr>
          <w:rFonts w:asciiTheme="minorHAnsi" w:hAnsiTheme="minorHAnsi"/>
          <w:lang w:val="fr-CH"/>
        </w:rPr>
        <w:t xml:space="preserve">, </w:t>
      </w:r>
      <w:r w:rsidRPr="009F1DCC">
        <w:rPr>
          <w:rFonts w:asciiTheme="minorHAnsi" w:hAnsiTheme="minorHAnsi"/>
          <w:lang w:val="fr-CH"/>
        </w:rPr>
        <w:t xml:space="preserve">Saint-Marin (République de), </w:t>
      </w:r>
      <w:r w:rsidR="00A83B95">
        <w:rPr>
          <w:rFonts w:asciiTheme="minorHAnsi" w:hAnsiTheme="minorHAnsi"/>
          <w:lang w:val="fr-CH"/>
        </w:rPr>
        <w:t>Saint</w:t>
      </w:r>
      <w:r w:rsidR="00A83B95">
        <w:rPr>
          <w:rFonts w:asciiTheme="minorHAnsi" w:hAnsiTheme="minorHAnsi"/>
          <w:lang w:val="fr-CH"/>
        </w:rPr>
        <w:noBreakHyphen/>
      </w:r>
      <w:r w:rsidR="005B3662" w:rsidRPr="005B3662">
        <w:rPr>
          <w:rFonts w:asciiTheme="minorHAnsi" w:hAnsiTheme="minorHAnsi"/>
          <w:lang w:val="fr-CH"/>
        </w:rPr>
        <w:t>Vincent-et-les-Grenadines</w:t>
      </w:r>
      <w:r w:rsidR="005B3662">
        <w:rPr>
          <w:rFonts w:asciiTheme="minorHAnsi" w:hAnsiTheme="minorHAnsi"/>
          <w:lang w:val="fr-CH"/>
        </w:rPr>
        <w:t>,</w:t>
      </w:r>
      <w:r w:rsidR="005B3662" w:rsidRPr="005B3662">
        <w:t xml:space="preserve"> </w:t>
      </w:r>
      <w:r w:rsidR="005B3662" w:rsidRPr="005B3662">
        <w:rPr>
          <w:rFonts w:asciiTheme="minorHAnsi" w:hAnsiTheme="minorHAnsi"/>
          <w:lang w:val="fr-CH"/>
        </w:rPr>
        <w:t>Sainte-Lucie, Salomon (Iles)</w:t>
      </w:r>
      <w:r w:rsidR="005B3662">
        <w:rPr>
          <w:rFonts w:asciiTheme="minorHAnsi" w:hAnsiTheme="minorHAnsi"/>
          <w:lang w:val="fr-CH"/>
        </w:rPr>
        <w:t xml:space="preserve">, </w:t>
      </w:r>
      <w:r w:rsidR="005B3662" w:rsidRPr="005B3662">
        <w:rPr>
          <w:rFonts w:asciiTheme="minorHAnsi" w:hAnsiTheme="minorHAnsi"/>
          <w:lang w:val="fr-CH"/>
        </w:rPr>
        <w:t>Samoa (État indépendant du</w:t>
      </w:r>
      <w:r w:rsidR="005B3662">
        <w:rPr>
          <w:rFonts w:asciiTheme="minorHAnsi" w:hAnsiTheme="minorHAnsi"/>
          <w:lang w:val="fr-CH"/>
        </w:rPr>
        <w:t xml:space="preserve">), </w:t>
      </w:r>
      <w:r w:rsidR="00A83B95">
        <w:rPr>
          <w:rFonts w:asciiTheme="minorHAnsi" w:hAnsiTheme="minorHAnsi"/>
          <w:lang w:val="fr-CH"/>
        </w:rPr>
        <w:t>Sao </w:t>
      </w:r>
      <w:r w:rsidR="005B3662" w:rsidRPr="005B3662">
        <w:rPr>
          <w:rFonts w:asciiTheme="minorHAnsi" w:hAnsiTheme="minorHAnsi"/>
          <w:lang w:val="fr-CH"/>
        </w:rPr>
        <w:t>Tomé-et-Principe (République démocratique de)</w:t>
      </w:r>
      <w:r w:rsidR="005B3662">
        <w:rPr>
          <w:rFonts w:asciiTheme="minorHAnsi" w:hAnsiTheme="minorHAnsi"/>
          <w:lang w:val="fr-CH"/>
        </w:rPr>
        <w:t xml:space="preserve">, Sénégal (République du), </w:t>
      </w:r>
      <w:r w:rsidRPr="009F1DCC">
        <w:rPr>
          <w:rFonts w:asciiTheme="minorHAnsi" w:hAnsiTheme="minorHAnsi"/>
          <w:lang w:val="fr-CH"/>
        </w:rPr>
        <w:t xml:space="preserve">Serbie (République de), Singapour (République de), Slovénie (République de), Soudan (République du), Soudan du Sud (République du), Sudafricaine (République), Suède, Suisse (Confédération), Suriname (République du), Tanzanie (République Unie de), Thaïlande, Timor-Leste (République démocratique du), Togolaise (République), </w:t>
      </w:r>
      <w:r w:rsidR="005B3662">
        <w:rPr>
          <w:rFonts w:asciiTheme="minorHAnsi" w:hAnsiTheme="minorHAnsi"/>
          <w:lang w:val="fr-CH"/>
        </w:rPr>
        <w:t xml:space="preserve">Trinité-et-Tobago, </w:t>
      </w:r>
      <w:r w:rsidRPr="009F1DCC">
        <w:rPr>
          <w:rFonts w:asciiTheme="minorHAnsi" w:hAnsiTheme="minorHAnsi"/>
          <w:lang w:val="fr-CH"/>
        </w:rPr>
        <w:t xml:space="preserve">Tunisie, </w:t>
      </w:r>
      <w:r w:rsidR="005B3662">
        <w:rPr>
          <w:rFonts w:asciiTheme="minorHAnsi" w:hAnsiTheme="minorHAnsi"/>
          <w:lang w:val="fr-CH"/>
        </w:rPr>
        <w:t>Tuvalu</w:t>
      </w:r>
      <w:r w:rsidRPr="009F1DCC">
        <w:rPr>
          <w:rFonts w:asciiTheme="minorHAnsi" w:hAnsiTheme="minorHAnsi"/>
          <w:lang w:val="fr-CH"/>
        </w:rPr>
        <w:t>, Ukraine, Uruguay (République orientale de l')</w:t>
      </w:r>
      <w:r w:rsidR="005B3662">
        <w:rPr>
          <w:rFonts w:asciiTheme="minorHAnsi" w:hAnsiTheme="minorHAnsi"/>
          <w:lang w:val="fr-CH"/>
        </w:rPr>
        <w:t>, Vanuatu (République de)</w:t>
      </w:r>
      <w:r w:rsidRPr="009F1DCC">
        <w:rPr>
          <w:rFonts w:asciiTheme="minorHAnsi" w:hAnsiTheme="minorHAnsi"/>
          <w:lang w:val="fr-CH"/>
        </w:rPr>
        <w:t>, Viet Nam (République socialiste du), Zambie et Zimbabwe (République du)</w:t>
      </w:r>
      <w:r w:rsidR="006818CA">
        <w:rPr>
          <w:rFonts w:asciiTheme="minorHAnsi" w:hAnsiTheme="minorHAnsi"/>
          <w:lang w:val="fr-CH"/>
        </w:rPr>
        <w:t>.</w:t>
      </w:r>
    </w:p>
    <w:p w14:paraId="17579DD7" w14:textId="18ABF827" w:rsidR="00972F59" w:rsidRDefault="006818CA" w:rsidP="00A83B95">
      <w:pPr>
        <w:pStyle w:val="Heading1"/>
        <w:tabs>
          <w:tab w:val="clear" w:pos="567"/>
          <w:tab w:val="left" w:pos="709"/>
        </w:tabs>
        <w:ind w:left="709" w:hanging="709"/>
        <w:rPr>
          <w:lang w:val="fr-CH"/>
        </w:rPr>
      </w:pPr>
      <w:r>
        <w:rPr>
          <w:lang w:val="fr-CH"/>
        </w:rPr>
        <w:lastRenderedPageBreak/>
        <w:t>3</w:t>
      </w:r>
      <w:r w:rsidR="005B3662">
        <w:rPr>
          <w:lang w:val="fr-CH"/>
        </w:rPr>
        <w:tab/>
      </w:r>
      <w:r>
        <w:rPr>
          <w:lang w:val="fr-CH"/>
        </w:rPr>
        <w:t>Clôture de la Conférence</w:t>
      </w:r>
    </w:p>
    <w:p w14:paraId="1528C607" w14:textId="39617F81" w:rsidR="00972F59" w:rsidRDefault="006818CA" w:rsidP="009F1DCC">
      <w:pPr>
        <w:tabs>
          <w:tab w:val="clear" w:pos="567"/>
          <w:tab w:val="clear" w:pos="1134"/>
          <w:tab w:val="clear" w:pos="1701"/>
          <w:tab w:val="clear" w:pos="2268"/>
          <w:tab w:val="clear" w:pos="2835"/>
        </w:tabs>
        <w:snapToGrid w:val="0"/>
        <w:spacing w:after="120"/>
      </w:pPr>
      <w:r>
        <w:t>3.1</w:t>
      </w:r>
      <w:bookmarkStart w:id="7" w:name="lt_pId042"/>
      <w:r w:rsidR="00C628ED">
        <w:tab/>
      </w:r>
      <w:r>
        <w:rPr>
          <w:b/>
          <w:bCs/>
        </w:rPr>
        <w:t xml:space="preserve">Le </w:t>
      </w:r>
      <w:r w:rsidR="00C628ED">
        <w:rPr>
          <w:b/>
          <w:bCs/>
        </w:rPr>
        <w:t>C</w:t>
      </w:r>
      <w:r>
        <w:rPr>
          <w:b/>
          <w:bCs/>
        </w:rPr>
        <w:t>hœur</w:t>
      </w:r>
      <w:r w:rsidR="00C628ED">
        <w:rPr>
          <w:b/>
          <w:bCs/>
        </w:rPr>
        <w:t xml:space="preserve"> national</w:t>
      </w:r>
      <w:r>
        <w:rPr>
          <w:b/>
          <w:bCs/>
        </w:rPr>
        <w:t xml:space="preserve"> de chambre de Roumanie Madrigal </w:t>
      </w:r>
      <w:r w:rsidR="000B3E5D">
        <w:rPr>
          <w:b/>
          <w:bCs/>
        </w:rPr>
        <w:t>–</w:t>
      </w:r>
      <w:r>
        <w:rPr>
          <w:b/>
          <w:bCs/>
        </w:rPr>
        <w:t xml:space="preserve"> Marin Constantin </w:t>
      </w:r>
      <w:r w:rsidR="00C628ED">
        <w:rPr>
          <w:b/>
          <w:bCs/>
        </w:rPr>
        <w:t>donne</w:t>
      </w:r>
      <w:r>
        <w:rPr>
          <w:b/>
          <w:bCs/>
        </w:rPr>
        <w:t xml:space="preserve"> une représentation spéciale.</w:t>
      </w:r>
    </w:p>
    <w:p w14:paraId="174F0093" w14:textId="15E422CE" w:rsidR="00972F59" w:rsidRDefault="006818CA" w:rsidP="009F1DCC">
      <w:pPr>
        <w:tabs>
          <w:tab w:val="clear" w:pos="567"/>
          <w:tab w:val="clear" w:pos="1134"/>
          <w:tab w:val="clear" w:pos="1701"/>
          <w:tab w:val="clear" w:pos="2268"/>
          <w:tab w:val="clear" w:pos="2835"/>
        </w:tabs>
        <w:snapToGrid w:val="0"/>
        <w:spacing w:after="120"/>
      </w:pPr>
      <w:r>
        <w:t>3.2</w:t>
      </w:r>
      <w:r w:rsidR="00C628ED">
        <w:tab/>
      </w:r>
      <w:r>
        <w:t>M</w:t>
      </w:r>
      <w:r w:rsidR="000B3E5D">
        <w:t>. Nicolae Ionel-Ciucă, Premier M</w:t>
      </w:r>
      <w:r>
        <w:t>inistre de la Roumanie,</w:t>
      </w:r>
      <w:r w:rsidR="00C628ED">
        <w:t xml:space="preserve"> </w:t>
      </w:r>
      <w:r>
        <w:rPr>
          <w:rFonts w:asciiTheme="minorHAnsi" w:hAnsiTheme="minorHAnsi"/>
          <w:lang w:val="fr-CH"/>
        </w:rPr>
        <w:t xml:space="preserve">prononce </w:t>
      </w:r>
      <w:r w:rsidR="00C628ED">
        <w:rPr>
          <w:rFonts w:asciiTheme="minorHAnsi" w:hAnsiTheme="minorHAnsi"/>
          <w:lang w:val="fr-CH"/>
        </w:rPr>
        <w:t>l'</w:t>
      </w:r>
      <w:r>
        <w:rPr>
          <w:rFonts w:asciiTheme="minorHAnsi" w:hAnsiTheme="minorHAnsi"/>
          <w:lang w:val="fr-CH"/>
        </w:rPr>
        <w:t xml:space="preserve">allocution disponible à </w:t>
      </w:r>
      <w:proofErr w:type="gramStart"/>
      <w:r>
        <w:rPr>
          <w:rFonts w:asciiTheme="minorHAnsi" w:hAnsiTheme="minorHAnsi"/>
          <w:lang w:val="fr-CH"/>
        </w:rPr>
        <w:t>l'adresse</w:t>
      </w:r>
      <w:r>
        <w:t>:</w:t>
      </w:r>
      <w:bookmarkEnd w:id="7"/>
      <w:proofErr w:type="gramEnd"/>
      <w:r>
        <w:t xml:space="preserve"> </w:t>
      </w:r>
      <w:hyperlink r:id="rId11" w:history="1">
        <w:r w:rsidR="007F785F" w:rsidRPr="007F785F">
          <w:rPr>
            <w:rStyle w:val="Hyperlink"/>
          </w:rPr>
          <w:t>https://pp22.itu.int/en/itu_policy_statements/nicolae-ciuca-prime-minister-romania-speech/</w:t>
        </w:r>
      </w:hyperlink>
      <w:r w:rsidR="007F785F">
        <w:t>.</w:t>
      </w:r>
    </w:p>
    <w:p w14:paraId="7BD3C458" w14:textId="08233C54" w:rsidR="00972F59" w:rsidRPr="009F1DCC" w:rsidRDefault="006818CA" w:rsidP="009F1DCC">
      <w:pPr>
        <w:tabs>
          <w:tab w:val="clear" w:pos="567"/>
          <w:tab w:val="clear" w:pos="1134"/>
          <w:tab w:val="clear" w:pos="1701"/>
          <w:tab w:val="clear" w:pos="2268"/>
          <w:tab w:val="clear" w:pos="2835"/>
        </w:tabs>
        <w:snapToGrid w:val="0"/>
        <w:spacing w:after="120"/>
        <w:rPr>
          <w:b/>
          <w:bCs/>
        </w:rPr>
      </w:pPr>
      <w:r w:rsidRPr="009F1DCC">
        <w:t>3.3</w:t>
      </w:r>
      <w:r w:rsidR="00C628ED">
        <w:rPr>
          <w:b/>
          <w:bCs/>
        </w:rPr>
        <w:tab/>
        <w:t>U</w:t>
      </w:r>
      <w:r w:rsidRPr="009F1DCC">
        <w:rPr>
          <w:b/>
          <w:bCs/>
        </w:rPr>
        <w:t xml:space="preserve">ne vidéo </w:t>
      </w:r>
      <w:r w:rsidR="00C628ED">
        <w:rPr>
          <w:b/>
          <w:bCs/>
        </w:rPr>
        <w:t>retraçant</w:t>
      </w:r>
      <w:r w:rsidRPr="009F1DCC">
        <w:rPr>
          <w:b/>
          <w:bCs/>
        </w:rPr>
        <w:t xml:space="preserve"> les </w:t>
      </w:r>
      <w:r w:rsidR="00C628ED">
        <w:rPr>
          <w:b/>
          <w:bCs/>
        </w:rPr>
        <w:t>temps</w:t>
      </w:r>
      <w:r w:rsidRPr="009F1DCC">
        <w:rPr>
          <w:b/>
          <w:bCs/>
        </w:rPr>
        <w:t xml:space="preserve"> forts de la carrière du Directeur sortant du TSB à l'UIT</w:t>
      </w:r>
      <w:r w:rsidR="00C628ED">
        <w:rPr>
          <w:b/>
          <w:bCs/>
        </w:rPr>
        <w:t xml:space="preserve"> est projetée</w:t>
      </w:r>
      <w:r w:rsidRPr="009F1DCC">
        <w:t>.</w:t>
      </w:r>
    </w:p>
    <w:p w14:paraId="06206DEA" w14:textId="5A2D1FB6" w:rsidR="00972F59" w:rsidRPr="007F785F" w:rsidRDefault="006818CA" w:rsidP="009F1DCC">
      <w:pPr>
        <w:tabs>
          <w:tab w:val="clear" w:pos="567"/>
          <w:tab w:val="clear" w:pos="1134"/>
          <w:tab w:val="clear" w:pos="1701"/>
          <w:tab w:val="clear" w:pos="2268"/>
          <w:tab w:val="clear" w:pos="2835"/>
        </w:tabs>
        <w:snapToGrid w:val="0"/>
        <w:spacing w:after="120"/>
      </w:pPr>
      <w:r w:rsidRPr="009F1DCC">
        <w:t>3.4</w:t>
      </w:r>
      <w:r w:rsidR="00C628ED">
        <w:tab/>
        <w:t xml:space="preserve">Le </w:t>
      </w:r>
      <w:r w:rsidRPr="009F1DCC">
        <w:rPr>
          <w:b/>
          <w:bCs/>
        </w:rPr>
        <w:t>Directeur</w:t>
      </w:r>
      <w:r w:rsidR="00C628ED">
        <w:rPr>
          <w:b/>
          <w:bCs/>
        </w:rPr>
        <w:t xml:space="preserve"> sortant</w:t>
      </w:r>
      <w:r w:rsidRPr="009F1DCC">
        <w:rPr>
          <w:b/>
          <w:bCs/>
        </w:rPr>
        <w:t xml:space="preserve"> du TSB</w:t>
      </w:r>
      <w:r w:rsidRPr="009F1DCC">
        <w:t xml:space="preserve"> prononc</w:t>
      </w:r>
      <w:r w:rsidR="00C628ED">
        <w:t>e</w:t>
      </w:r>
      <w:r w:rsidRPr="009F1DCC">
        <w:t xml:space="preserve"> l'allocution disponible à </w:t>
      </w:r>
      <w:proofErr w:type="gramStart"/>
      <w:r w:rsidRPr="009F1DCC">
        <w:t>l'adresse</w:t>
      </w:r>
      <w:r w:rsidR="00C628ED">
        <w:t>:</w:t>
      </w:r>
      <w:proofErr w:type="gramEnd"/>
      <w:r w:rsidR="00C628ED">
        <w:t xml:space="preserve"> </w:t>
      </w:r>
      <w:hyperlink r:id="rId12" w:history="1">
        <w:r w:rsidR="007F785F" w:rsidRPr="007F785F">
          <w:rPr>
            <w:rStyle w:val="Hyperlink"/>
          </w:rPr>
          <w:t>https://pp22.itu.int/en/itu_policy_statements/chaesub-lee-itu-closing-speech/</w:t>
        </w:r>
      </w:hyperlink>
      <w:r w:rsidR="007F785F" w:rsidRPr="007F785F">
        <w:rPr>
          <w:rFonts w:ascii="SimSun" w:hAnsi="SimSun" w:cs="SimSun" w:hint="eastAsia"/>
          <w:lang w:eastAsia="zh-CN"/>
        </w:rPr>
        <w:t>.</w:t>
      </w:r>
    </w:p>
    <w:p w14:paraId="25256CEC" w14:textId="1FD8D963" w:rsidR="00972F59" w:rsidRPr="009F1DCC" w:rsidRDefault="006818CA" w:rsidP="009F1DCC">
      <w:pPr>
        <w:tabs>
          <w:tab w:val="clear" w:pos="567"/>
          <w:tab w:val="clear" w:pos="1134"/>
          <w:tab w:val="clear" w:pos="1701"/>
          <w:tab w:val="clear" w:pos="2268"/>
          <w:tab w:val="clear" w:pos="2835"/>
        </w:tabs>
        <w:snapToGrid w:val="0"/>
        <w:spacing w:after="120"/>
      </w:pPr>
      <w:r w:rsidRPr="009F1DCC">
        <w:t>3.5</w:t>
      </w:r>
      <w:r w:rsidR="00C628ED">
        <w:tab/>
      </w:r>
      <w:r w:rsidRPr="009F1DCC">
        <w:t xml:space="preserve">Le </w:t>
      </w:r>
      <w:r w:rsidRPr="000B3E5D">
        <w:rPr>
          <w:b/>
        </w:rPr>
        <w:t>délégué d</w:t>
      </w:r>
      <w:r w:rsidR="00C628ED" w:rsidRPr="000B3E5D">
        <w:rPr>
          <w:b/>
        </w:rPr>
        <w:t>e la</w:t>
      </w:r>
      <w:r w:rsidRPr="009F1DCC">
        <w:t xml:space="preserve"> </w:t>
      </w:r>
      <w:r w:rsidRPr="009F1DCC">
        <w:rPr>
          <w:b/>
          <w:bCs/>
        </w:rPr>
        <w:t>République de Corée</w:t>
      </w:r>
      <w:r w:rsidRPr="009F1DCC">
        <w:t xml:space="preserve"> </w:t>
      </w:r>
      <w:r w:rsidR="00C628ED">
        <w:t>adresse ses félicitations au D</w:t>
      </w:r>
      <w:r w:rsidRPr="009F1DCC">
        <w:t>irecteur sortant du TSB pour son travail remarquable et son excellent leadership</w:t>
      </w:r>
      <w:r w:rsidR="00C628ED">
        <w:t xml:space="preserve"> et fait observer que son mandat a été </w:t>
      </w:r>
      <w:r w:rsidRPr="009F1DCC">
        <w:t>source de grande fierté pour son pays.</w:t>
      </w:r>
    </w:p>
    <w:p w14:paraId="27D05514" w14:textId="286951AA" w:rsidR="00972F59" w:rsidRPr="009F1DCC" w:rsidRDefault="006818CA" w:rsidP="009F1DCC">
      <w:pPr>
        <w:tabs>
          <w:tab w:val="clear" w:pos="567"/>
          <w:tab w:val="clear" w:pos="1134"/>
          <w:tab w:val="clear" w:pos="1701"/>
          <w:tab w:val="clear" w:pos="2268"/>
          <w:tab w:val="clear" w:pos="2835"/>
        </w:tabs>
        <w:snapToGrid w:val="0"/>
        <w:spacing w:after="120"/>
        <w:rPr>
          <w:b/>
          <w:bCs/>
        </w:rPr>
      </w:pPr>
      <w:r w:rsidRPr="009F1DCC">
        <w:t>3.6</w:t>
      </w:r>
      <w:r w:rsidR="00C628ED">
        <w:rPr>
          <w:b/>
          <w:bCs/>
        </w:rPr>
        <w:tab/>
        <w:t>U</w:t>
      </w:r>
      <w:r w:rsidRPr="009F1DCC">
        <w:rPr>
          <w:b/>
          <w:bCs/>
        </w:rPr>
        <w:t>ne vidéo</w:t>
      </w:r>
      <w:r w:rsidR="00C628ED">
        <w:rPr>
          <w:b/>
          <w:bCs/>
        </w:rPr>
        <w:t xml:space="preserve"> retraçant les temps </w:t>
      </w:r>
      <w:r w:rsidRPr="009F1DCC">
        <w:rPr>
          <w:b/>
          <w:bCs/>
        </w:rPr>
        <w:t xml:space="preserve">forts de la carrière du </w:t>
      </w:r>
      <w:r w:rsidR="00C628ED">
        <w:rPr>
          <w:b/>
          <w:bCs/>
        </w:rPr>
        <w:t>Vice-</w:t>
      </w:r>
      <w:r w:rsidRPr="009F1DCC">
        <w:rPr>
          <w:b/>
          <w:bCs/>
        </w:rPr>
        <w:t>Secrétaire général sortant à l'UIT</w:t>
      </w:r>
      <w:r w:rsidR="00C628ED">
        <w:rPr>
          <w:b/>
          <w:bCs/>
        </w:rPr>
        <w:t xml:space="preserve"> est projetée</w:t>
      </w:r>
      <w:r w:rsidRPr="009F1DCC">
        <w:t>.</w:t>
      </w:r>
    </w:p>
    <w:p w14:paraId="4C13CDED" w14:textId="77777777" w:rsidR="007F785F" w:rsidRDefault="006818CA" w:rsidP="009F1DCC">
      <w:pPr>
        <w:tabs>
          <w:tab w:val="clear" w:pos="567"/>
          <w:tab w:val="clear" w:pos="1134"/>
          <w:tab w:val="clear" w:pos="1701"/>
          <w:tab w:val="clear" w:pos="2268"/>
          <w:tab w:val="clear" w:pos="2835"/>
        </w:tabs>
        <w:snapToGrid w:val="0"/>
        <w:spacing w:after="120"/>
      </w:pPr>
      <w:r w:rsidRPr="009F1DCC">
        <w:t>3.7</w:t>
      </w:r>
      <w:r w:rsidR="00C628ED">
        <w:tab/>
      </w:r>
      <w:r w:rsidRPr="009F1DCC">
        <w:t>Le</w:t>
      </w:r>
      <w:r w:rsidR="00C628ED">
        <w:t xml:space="preserve"> </w:t>
      </w:r>
      <w:r w:rsidR="00C628ED">
        <w:rPr>
          <w:b/>
          <w:bCs/>
        </w:rPr>
        <w:t>Vice-</w:t>
      </w:r>
      <w:r w:rsidRPr="009F1DCC">
        <w:rPr>
          <w:b/>
          <w:bCs/>
        </w:rPr>
        <w:t xml:space="preserve">Secrétaire général </w:t>
      </w:r>
      <w:r w:rsidR="00C628ED">
        <w:rPr>
          <w:b/>
          <w:bCs/>
        </w:rPr>
        <w:t xml:space="preserve">sortant </w:t>
      </w:r>
      <w:r w:rsidR="00C628ED">
        <w:t>prononce</w:t>
      </w:r>
      <w:r w:rsidRPr="009F1DCC">
        <w:t xml:space="preserve"> l'allocution disponible à </w:t>
      </w:r>
      <w:proofErr w:type="gramStart"/>
      <w:r w:rsidRPr="009F1DCC">
        <w:t>l'adresse</w:t>
      </w:r>
      <w:r w:rsidR="00C628ED">
        <w:t>:</w:t>
      </w:r>
      <w:proofErr w:type="gramEnd"/>
      <w:r w:rsidR="00C628ED">
        <w:t xml:space="preserve"> </w:t>
      </w:r>
      <w:hyperlink r:id="rId13" w:history="1">
        <w:r w:rsidR="007F785F" w:rsidRPr="00683737">
          <w:rPr>
            <w:rStyle w:val="Hyperlink"/>
          </w:rPr>
          <w:t>https://pp22.itu.int/en/itu_policy_statements/malcolm-johnson-itu-dsg-closing-speech/</w:t>
        </w:r>
      </w:hyperlink>
      <w:r w:rsidR="007F785F" w:rsidRPr="007F785F">
        <w:t>.</w:t>
      </w:r>
    </w:p>
    <w:p w14:paraId="458D78CB" w14:textId="590C688D" w:rsidR="00972F59" w:rsidRPr="009F1DCC" w:rsidRDefault="006818CA" w:rsidP="009F1DCC">
      <w:pPr>
        <w:tabs>
          <w:tab w:val="clear" w:pos="567"/>
          <w:tab w:val="clear" w:pos="1134"/>
          <w:tab w:val="clear" w:pos="1701"/>
          <w:tab w:val="clear" w:pos="2268"/>
          <w:tab w:val="clear" w:pos="2835"/>
        </w:tabs>
        <w:snapToGrid w:val="0"/>
        <w:spacing w:after="120"/>
      </w:pPr>
      <w:r w:rsidRPr="009F1DCC">
        <w:t>3.8</w:t>
      </w:r>
      <w:r w:rsidR="00C628ED">
        <w:tab/>
      </w:r>
      <w:r w:rsidRPr="009F1DCC">
        <w:t xml:space="preserve">Le </w:t>
      </w:r>
      <w:r w:rsidRPr="000B3E5D">
        <w:rPr>
          <w:bCs/>
        </w:rPr>
        <w:t>délégué du</w:t>
      </w:r>
      <w:r w:rsidRPr="009F1DCC">
        <w:rPr>
          <w:b/>
          <w:bCs/>
        </w:rPr>
        <w:t xml:space="preserve"> Royaume-Uni</w:t>
      </w:r>
      <w:r w:rsidRPr="009F1DCC">
        <w:t xml:space="preserve"> </w:t>
      </w:r>
      <w:r w:rsidR="00C628ED">
        <w:t>remercie le Vice-</w:t>
      </w:r>
      <w:r w:rsidRPr="009F1DCC">
        <w:t xml:space="preserve">Secrétaire général </w:t>
      </w:r>
      <w:r w:rsidR="00C628ED">
        <w:t xml:space="preserve">sortant </w:t>
      </w:r>
      <w:r w:rsidRPr="009F1DCC">
        <w:t xml:space="preserve">pour </w:t>
      </w:r>
      <w:r w:rsidR="00C628ED">
        <w:t>les</w:t>
      </w:r>
      <w:r w:rsidRPr="009F1DCC">
        <w:t xml:space="preserve"> décennies </w:t>
      </w:r>
      <w:r w:rsidR="00C628ED">
        <w:t>qu'il a passées au service de l'UIT et salue</w:t>
      </w:r>
      <w:r w:rsidRPr="009F1DCC">
        <w:t xml:space="preserve"> son </w:t>
      </w:r>
      <w:r w:rsidR="00C628ED">
        <w:t>immense</w:t>
      </w:r>
      <w:r w:rsidRPr="009F1DCC">
        <w:t xml:space="preserve"> contribution aux travaux de l'UIT, en particulier ses efforts </w:t>
      </w:r>
      <w:r w:rsidR="00C628ED">
        <w:t>visant à</w:t>
      </w:r>
      <w:r w:rsidRPr="009F1DCC">
        <w:t xml:space="preserve"> moderniser les méthodes de travail de l'Union, </w:t>
      </w:r>
      <w:r w:rsidR="00C628ED">
        <w:t>notamment</w:t>
      </w:r>
      <w:r w:rsidRPr="009F1DCC">
        <w:t xml:space="preserve"> les mesures visant à promouvoir l'égalité </w:t>
      </w:r>
      <w:r w:rsidR="00C628ED">
        <w:t>hommes-femmes.</w:t>
      </w:r>
    </w:p>
    <w:p w14:paraId="5F5FD318" w14:textId="72F3549D" w:rsidR="00972F59" w:rsidRPr="009F1DCC" w:rsidRDefault="006818CA" w:rsidP="009F1DCC">
      <w:pPr>
        <w:tabs>
          <w:tab w:val="clear" w:pos="567"/>
          <w:tab w:val="clear" w:pos="1134"/>
          <w:tab w:val="clear" w:pos="1701"/>
          <w:tab w:val="clear" w:pos="2268"/>
          <w:tab w:val="clear" w:pos="2835"/>
        </w:tabs>
        <w:snapToGrid w:val="0"/>
        <w:spacing w:after="120"/>
      </w:pPr>
      <w:r w:rsidRPr="009F1DCC">
        <w:t>3.9</w:t>
      </w:r>
      <w:r w:rsidR="00C628ED">
        <w:tab/>
        <w:t>Le</w:t>
      </w:r>
      <w:r w:rsidRPr="009F1DCC">
        <w:t xml:space="preserve"> </w:t>
      </w:r>
      <w:r w:rsidRPr="009F1DCC">
        <w:rPr>
          <w:b/>
          <w:bCs/>
        </w:rPr>
        <w:t xml:space="preserve">Secrétaire général </w:t>
      </w:r>
      <w:r w:rsidR="00C628ED">
        <w:t>remet à la Directrice</w:t>
      </w:r>
      <w:r w:rsidRPr="009F1DCC">
        <w:t xml:space="preserve"> sortant</w:t>
      </w:r>
      <w:r w:rsidR="00C628ED">
        <w:t>e</w:t>
      </w:r>
      <w:r w:rsidRPr="009F1DCC">
        <w:t xml:space="preserve"> du BDT la médaille d'argent de l'UIT, au Directeur sortant du TSB la médaille d'or de l'UIT, au Directeur du BR la médaille d'argent de l'UIT et au </w:t>
      </w:r>
      <w:r w:rsidR="00C628ED">
        <w:t>Vice-</w:t>
      </w:r>
      <w:r w:rsidRPr="009F1DCC">
        <w:t>Secrétaire général sortant la médaille d'or de l'UIT, en reconnaissance de leur contribution exceptionnelle aux travaux de l'Union.</w:t>
      </w:r>
    </w:p>
    <w:p w14:paraId="7A322744" w14:textId="4E848602" w:rsidR="00972F59" w:rsidRPr="009F1DCC" w:rsidRDefault="006818CA" w:rsidP="009F1DCC">
      <w:pPr>
        <w:tabs>
          <w:tab w:val="clear" w:pos="567"/>
          <w:tab w:val="clear" w:pos="1134"/>
          <w:tab w:val="clear" w:pos="1701"/>
          <w:tab w:val="clear" w:pos="2268"/>
          <w:tab w:val="clear" w:pos="2835"/>
        </w:tabs>
        <w:snapToGrid w:val="0"/>
        <w:spacing w:after="120"/>
      </w:pPr>
      <w:r w:rsidRPr="009F1DCC">
        <w:t>3.10</w:t>
      </w:r>
      <w:r w:rsidR="00C628ED">
        <w:rPr>
          <w:b/>
          <w:bCs/>
        </w:rPr>
        <w:tab/>
        <w:t>M</w:t>
      </w:r>
      <w:r w:rsidRPr="009F1DCC">
        <w:rPr>
          <w:b/>
          <w:bCs/>
        </w:rPr>
        <w:t>me Morag Sale</w:t>
      </w:r>
      <w:r w:rsidR="00C628ED">
        <w:rPr>
          <w:b/>
          <w:bCs/>
        </w:rPr>
        <w:t xml:space="preserve">, </w:t>
      </w:r>
      <w:r w:rsidRPr="009F1DCC">
        <w:t>Assistant</w:t>
      </w:r>
      <w:r w:rsidR="00C628ED">
        <w:t>e</w:t>
      </w:r>
      <w:r w:rsidRPr="009F1DCC">
        <w:t xml:space="preserve"> du Secrétaire général</w:t>
      </w:r>
      <w:r w:rsidR="00C628ED">
        <w:t>,</w:t>
      </w:r>
      <w:r w:rsidRPr="009F1DCC">
        <w:t xml:space="preserve"> </w:t>
      </w:r>
      <w:r w:rsidR="00C628ED">
        <w:t xml:space="preserve">remet </w:t>
      </w:r>
      <w:r w:rsidRPr="009F1DCC">
        <w:t>au Secrétaire général sortant la médaille d'or de l'UIT</w:t>
      </w:r>
      <w:r w:rsidR="00C628ED">
        <w:t xml:space="preserve">, </w:t>
      </w:r>
      <w:r w:rsidRPr="009F1DCC">
        <w:t>en reconnaissance de sa contribution exceptionnelle aux travaux de l'Union.</w:t>
      </w:r>
    </w:p>
    <w:p w14:paraId="71195CF4" w14:textId="686FBC13" w:rsidR="00972F59" w:rsidRPr="009F1DCC" w:rsidRDefault="006818CA" w:rsidP="009F1DCC">
      <w:pPr>
        <w:tabs>
          <w:tab w:val="clear" w:pos="567"/>
          <w:tab w:val="clear" w:pos="1134"/>
          <w:tab w:val="clear" w:pos="1701"/>
          <w:tab w:val="clear" w:pos="2268"/>
          <w:tab w:val="clear" w:pos="2835"/>
        </w:tabs>
        <w:snapToGrid w:val="0"/>
        <w:spacing w:after="120"/>
        <w:rPr>
          <w:b/>
          <w:bCs/>
        </w:rPr>
      </w:pPr>
      <w:bookmarkStart w:id="8" w:name="_Hlk116909026"/>
      <w:r w:rsidRPr="009F1DCC">
        <w:t>3.11</w:t>
      </w:r>
      <w:r w:rsidR="00C628ED">
        <w:rPr>
          <w:b/>
          <w:bCs/>
        </w:rPr>
        <w:tab/>
      </w:r>
      <w:r w:rsidR="00C628ED" w:rsidRPr="00C628ED">
        <w:rPr>
          <w:b/>
          <w:bCs/>
        </w:rPr>
        <w:t xml:space="preserve">Une vidéo retraçant les temps forts de la carrière du </w:t>
      </w:r>
      <w:r w:rsidRPr="009F1DCC">
        <w:rPr>
          <w:b/>
          <w:bCs/>
        </w:rPr>
        <w:t>Secrétaire général sortant à l'UIT</w:t>
      </w:r>
      <w:r w:rsidR="00C628ED">
        <w:rPr>
          <w:b/>
          <w:bCs/>
        </w:rPr>
        <w:t xml:space="preserve"> est projetée</w:t>
      </w:r>
      <w:r w:rsidRPr="009F1DCC">
        <w:t>.</w:t>
      </w:r>
    </w:p>
    <w:bookmarkEnd w:id="8"/>
    <w:p w14:paraId="750FE337" w14:textId="58400A0F" w:rsidR="00972F59" w:rsidRPr="007F785F" w:rsidRDefault="006818CA" w:rsidP="009F1DCC">
      <w:pPr>
        <w:tabs>
          <w:tab w:val="clear" w:pos="567"/>
          <w:tab w:val="clear" w:pos="1134"/>
          <w:tab w:val="clear" w:pos="1701"/>
          <w:tab w:val="clear" w:pos="2268"/>
          <w:tab w:val="clear" w:pos="2835"/>
        </w:tabs>
        <w:snapToGrid w:val="0"/>
        <w:spacing w:after="120"/>
      </w:pPr>
      <w:r w:rsidRPr="009F1DCC">
        <w:t>3.12</w:t>
      </w:r>
      <w:r w:rsidR="00C628ED">
        <w:tab/>
      </w:r>
      <w:r w:rsidRPr="009F1DCC">
        <w:t xml:space="preserve">Le </w:t>
      </w:r>
      <w:r w:rsidRPr="009F1DCC">
        <w:rPr>
          <w:b/>
          <w:bCs/>
        </w:rPr>
        <w:t>Secrétaire général</w:t>
      </w:r>
      <w:r w:rsidRPr="009F1DCC">
        <w:t xml:space="preserve"> </w:t>
      </w:r>
      <w:r w:rsidR="00C628ED">
        <w:t>prononce</w:t>
      </w:r>
      <w:r w:rsidRPr="009F1DCC">
        <w:t xml:space="preserve"> l'allocution disponible à </w:t>
      </w:r>
      <w:proofErr w:type="gramStart"/>
      <w:r w:rsidRPr="009F1DCC">
        <w:t>l'adresse</w:t>
      </w:r>
      <w:r w:rsidR="00C628ED">
        <w:t>:</w:t>
      </w:r>
      <w:proofErr w:type="gramEnd"/>
      <w:r w:rsidR="00C628ED">
        <w:t xml:space="preserve"> </w:t>
      </w:r>
      <w:hyperlink r:id="rId14" w:history="1">
        <w:r w:rsidR="007F785F" w:rsidRPr="007F785F">
          <w:rPr>
            <w:rStyle w:val="Hyperlink"/>
          </w:rPr>
          <w:t>https://pp22.itu.int/en/itu_policy_statements/houlin-zhao-itu-sg-closing-speech/</w:t>
        </w:r>
      </w:hyperlink>
      <w:r w:rsidR="007F785F" w:rsidRPr="007F785F">
        <w:t xml:space="preserve">. </w:t>
      </w:r>
    </w:p>
    <w:p w14:paraId="7D8CA871" w14:textId="65A939AF" w:rsidR="00972F59" w:rsidRPr="009F1DCC" w:rsidRDefault="006818CA" w:rsidP="009F1DCC">
      <w:pPr>
        <w:tabs>
          <w:tab w:val="clear" w:pos="567"/>
          <w:tab w:val="clear" w:pos="1134"/>
          <w:tab w:val="clear" w:pos="1701"/>
          <w:tab w:val="clear" w:pos="2268"/>
          <w:tab w:val="clear" w:pos="2835"/>
        </w:tabs>
        <w:snapToGrid w:val="0"/>
        <w:spacing w:after="120"/>
      </w:pPr>
      <w:r w:rsidRPr="009F1DCC">
        <w:t>3.13</w:t>
      </w:r>
      <w:r w:rsidR="00C628ED">
        <w:tab/>
      </w:r>
      <w:r w:rsidRPr="009F1DCC">
        <w:t>L</w:t>
      </w:r>
      <w:r w:rsidR="00C628ED">
        <w:t>a</w:t>
      </w:r>
      <w:r w:rsidRPr="009F1DCC">
        <w:t xml:space="preserve"> </w:t>
      </w:r>
      <w:r w:rsidRPr="000B3E5D">
        <w:t>délégué</w:t>
      </w:r>
      <w:r w:rsidR="00C628ED" w:rsidRPr="000B3E5D">
        <w:t>e</w:t>
      </w:r>
      <w:r w:rsidRPr="000B3E5D">
        <w:t xml:space="preserve"> de</w:t>
      </w:r>
      <w:r w:rsidR="00C628ED" w:rsidRPr="000B3E5D">
        <w:t xml:space="preserve"> la</w:t>
      </w:r>
      <w:r w:rsidRPr="009F1DCC">
        <w:t xml:space="preserve"> </w:t>
      </w:r>
      <w:r w:rsidRPr="009F1DCC">
        <w:rPr>
          <w:b/>
          <w:bCs/>
        </w:rPr>
        <w:t xml:space="preserve">Chine </w:t>
      </w:r>
      <w:r w:rsidR="00C628ED">
        <w:t>rend</w:t>
      </w:r>
      <w:r w:rsidRPr="009F1DCC">
        <w:t xml:space="preserve"> hommage au Secrétaire général sortant</w:t>
      </w:r>
      <w:r w:rsidR="00C628ED">
        <w:t xml:space="preserve"> et souligne </w:t>
      </w:r>
      <w:r w:rsidRPr="009F1DCC">
        <w:t xml:space="preserve">sa contribution remarquable aux travaux de l'UIT. Elle </w:t>
      </w:r>
      <w:r w:rsidR="00C628ED">
        <w:t>remercie</w:t>
      </w:r>
      <w:r w:rsidRPr="009F1DCC">
        <w:t xml:space="preserve"> les </w:t>
      </w:r>
      <w:r w:rsidR="00C628ED">
        <w:t>É</w:t>
      </w:r>
      <w:r w:rsidRPr="009F1DCC">
        <w:t xml:space="preserve">tats Membres d'avoir accordé leur confiance à M. Zhao, qui a occupé un certain nombre de postes de direction au cours de sa carrière à l'UIT et qui </w:t>
      </w:r>
      <w:r w:rsidR="00AC66DB">
        <w:t>suscite le respect et de l'admiration de beaucoup</w:t>
      </w:r>
      <w:r w:rsidRPr="009F1DCC">
        <w:t>. Au cours de</w:t>
      </w:r>
      <w:r w:rsidR="00AC66DB">
        <w:t>s</w:t>
      </w:r>
      <w:r w:rsidRPr="009F1DCC">
        <w:t xml:space="preserve"> trente années</w:t>
      </w:r>
      <w:r w:rsidR="00AC66DB">
        <w:t xml:space="preserve"> que M. Zhao a</w:t>
      </w:r>
      <w:r w:rsidRPr="009F1DCC">
        <w:t xml:space="preserve"> passées à l'UIT, l'Union a élargi et amélioré son profil. Le Secrétaire général sortant </w:t>
      </w:r>
      <w:r w:rsidR="00AC66DB">
        <w:t>est</w:t>
      </w:r>
      <w:r w:rsidRPr="009F1DCC">
        <w:t xml:space="preserve"> une source de grande fierté pour son pays</w:t>
      </w:r>
      <w:r w:rsidR="00AC66DB">
        <w:t xml:space="preserve">, et il sera difficile d'égaler son </w:t>
      </w:r>
      <w:r w:rsidRPr="009F1DCC">
        <w:t>excellent</w:t>
      </w:r>
      <w:r w:rsidR="00AC66DB">
        <w:t xml:space="preserve"> leadership</w:t>
      </w:r>
      <w:r w:rsidRPr="009F1DCC">
        <w:t xml:space="preserve">. </w:t>
      </w:r>
      <w:r w:rsidR="00AC66DB">
        <w:t>La déléguée de la Chine</w:t>
      </w:r>
      <w:r w:rsidRPr="009F1DCC">
        <w:t xml:space="preserve"> rend</w:t>
      </w:r>
      <w:r w:rsidR="00AC66DB">
        <w:t xml:space="preserve"> également </w:t>
      </w:r>
      <w:r w:rsidRPr="009F1DCC">
        <w:t xml:space="preserve">hommage au Directeur du TSB et au </w:t>
      </w:r>
      <w:r w:rsidR="000B3E5D">
        <w:t>Vice</w:t>
      </w:r>
      <w:r w:rsidR="000B3E5D">
        <w:noBreakHyphen/>
      </w:r>
      <w:r w:rsidRPr="009F1DCC">
        <w:t>Secrétaire général sortants</w:t>
      </w:r>
      <w:r w:rsidR="00AC66DB">
        <w:t xml:space="preserve"> et adresse ses remerciements au</w:t>
      </w:r>
      <w:r w:rsidRPr="009F1DCC">
        <w:t xml:space="preserve"> Gouvernement roumain pour son hospitalité</w:t>
      </w:r>
      <w:r w:rsidR="00AC66DB">
        <w:t>.</w:t>
      </w:r>
    </w:p>
    <w:p w14:paraId="4CD5B51C" w14:textId="374246B6" w:rsidR="00972F59" w:rsidRDefault="000B3E5D" w:rsidP="009F1DCC">
      <w:pPr>
        <w:tabs>
          <w:tab w:val="clear" w:pos="567"/>
          <w:tab w:val="clear" w:pos="1134"/>
          <w:tab w:val="clear" w:pos="1701"/>
          <w:tab w:val="clear" w:pos="2268"/>
          <w:tab w:val="clear" w:pos="2835"/>
        </w:tabs>
        <w:snapToGrid w:val="0"/>
        <w:spacing w:after="120"/>
        <w:rPr>
          <w:lang w:val="fr-CH"/>
        </w:rPr>
      </w:pPr>
      <w:r>
        <w:rPr>
          <w:lang w:val="fr-CH"/>
        </w:rPr>
        <w:lastRenderedPageBreak/>
        <w:t>3.14</w:t>
      </w:r>
      <w:r w:rsidR="00AC66DB">
        <w:rPr>
          <w:lang w:val="fr-CH"/>
        </w:rPr>
        <w:tab/>
      </w:r>
      <w:r w:rsidR="00AC66DB">
        <w:rPr>
          <w:rFonts w:asciiTheme="minorHAnsi" w:hAnsiTheme="minorHAnsi"/>
          <w:lang w:val="fr-CH"/>
        </w:rPr>
        <w:t xml:space="preserve">Le </w:t>
      </w:r>
      <w:r w:rsidR="00AC66DB">
        <w:rPr>
          <w:rFonts w:asciiTheme="minorHAnsi" w:hAnsiTheme="minorHAnsi"/>
          <w:b/>
          <w:bCs/>
          <w:lang w:val="fr-CH"/>
        </w:rPr>
        <w:t xml:space="preserve">Secrétaire général </w:t>
      </w:r>
      <w:r w:rsidR="006818CA">
        <w:rPr>
          <w:rFonts w:asciiTheme="minorHAnsi" w:hAnsiTheme="minorHAnsi"/>
          <w:lang w:val="fr-CH"/>
        </w:rPr>
        <w:t>remet au Président la médaille d'</w:t>
      </w:r>
      <w:r>
        <w:rPr>
          <w:rFonts w:asciiTheme="minorHAnsi" w:hAnsiTheme="minorHAnsi"/>
          <w:lang w:val="fr-CH"/>
        </w:rPr>
        <w:t>argent</w:t>
      </w:r>
      <w:r w:rsidR="006818CA">
        <w:rPr>
          <w:rFonts w:asciiTheme="minorHAnsi" w:hAnsiTheme="minorHAnsi"/>
          <w:lang w:val="fr-CH"/>
        </w:rPr>
        <w:t xml:space="preserve"> de l'UIT, ainsi qu'un certificat en reconnaissance de sa contribution exceptionnelle aux travaux de l'Union et de la manière remarquable dont il a dirigé les travaux de la Conférence.</w:t>
      </w:r>
    </w:p>
    <w:p w14:paraId="65D88A61" w14:textId="7A6A37EF" w:rsidR="00972F59" w:rsidRPr="007F785F" w:rsidRDefault="00940B92" w:rsidP="009F1DCC">
      <w:pPr>
        <w:tabs>
          <w:tab w:val="clear" w:pos="567"/>
          <w:tab w:val="clear" w:pos="1134"/>
          <w:tab w:val="clear" w:pos="1701"/>
          <w:tab w:val="clear" w:pos="2268"/>
          <w:tab w:val="clear" w:pos="2835"/>
        </w:tabs>
        <w:snapToGrid w:val="0"/>
        <w:spacing w:after="120"/>
      </w:pPr>
      <w:bookmarkStart w:id="9" w:name="lt_pId058"/>
      <w:r>
        <w:rPr>
          <w:lang w:val="fr-CH"/>
        </w:rPr>
        <w:t>3.15</w:t>
      </w:r>
      <w:r w:rsidR="00AC66DB">
        <w:rPr>
          <w:lang w:val="fr-CH"/>
        </w:rPr>
        <w:tab/>
      </w:r>
      <w:r w:rsidR="006818CA">
        <w:rPr>
          <w:rFonts w:asciiTheme="minorHAnsi" w:hAnsiTheme="minorHAnsi"/>
          <w:lang w:val="fr-CH"/>
        </w:rPr>
        <w:t xml:space="preserve">Le </w:t>
      </w:r>
      <w:r w:rsidR="006818CA">
        <w:rPr>
          <w:rFonts w:asciiTheme="minorHAnsi" w:hAnsiTheme="minorHAnsi"/>
          <w:b/>
          <w:bCs/>
          <w:lang w:val="fr-CH"/>
        </w:rPr>
        <w:t xml:space="preserve">Président </w:t>
      </w:r>
      <w:r w:rsidR="006818CA">
        <w:rPr>
          <w:rFonts w:asciiTheme="minorHAnsi" w:hAnsiTheme="minorHAnsi"/>
          <w:lang w:val="fr-CH"/>
        </w:rPr>
        <w:t xml:space="preserve">prononce une allocution, disponible à </w:t>
      </w:r>
      <w:proofErr w:type="gramStart"/>
      <w:r w:rsidR="006818CA">
        <w:rPr>
          <w:rFonts w:asciiTheme="minorHAnsi" w:hAnsiTheme="minorHAnsi"/>
          <w:lang w:val="fr-CH"/>
        </w:rPr>
        <w:t>l'adresse</w:t>
      </w:r>
      <w:bookmarkEnd w:id="9"/>
      <w:r w:rsidR="00AC66DB">
        <w:rPr>
          <w:rFonts w:asciiTheme="minorHAnsi" w:hAnsiTheme="minorHAnsi"/>
          <w:lang w:val="fr-CH"/>
        </w:rPr>
        <w:t>:</w:t>
      </w:r>
      <w:proofErr w:type="gramEnd"/>
      <w:r w:rsidR="00AC66DB">
        <w:rPr>
          <w:rFonts w:asciiTheme="minorHAnsi" w:hAnsiTheme="minorHAnsi"/>
          <w:lang w:val="fr-CH"/>
        </w:rPr>
        <w:t xml:space="preserve"> </w:t>
      </w:r>
      <w:hyperlink r:id="rId15" w:history="1">
        <w:r w:rsidR="007F785F" w:rsidRPr="007F785F">
          <w:rPr>
            <w:rStyle w:val="Hyperlink"/>
          </w:rPr>
          <w:t>https://pp22.itu.int/en/itu_policy_statements/chairman-sabin-sarmas-itu-closing-speech/</w:t>
        </w:r>
      </w:hyperlink>
      <w:r w:rsidR="007F785F" w:rsidRPr="007F785F">
        <w:t xml:space="preserve">. </w:t>
      </w:r>
    </w:p>
    <w:p w14:paraId="3A8C3438" w14:textId="65C2AD72" w:rsidR="00972F59" w:rsidRPr="009F1DCC" w:rsidRDefault="006818CA" w:rsidP="009F1DCC">
      <w:pPr>
        <w:tabs>
          <w:tab w:val="clear" w:pos="567"/>
          <w:tab w:val="clear" w:pos="1134"/>
          <w:tab w:val="clear" w:pos="1701"/>
          <w:tab w:val="clear" w:pos="2268"/>
          <w:tab w:val="clear" w:pos="2835"/>
        </w:tabs>
        <w:snapToGrid w:val="0"/>
        <w:spacing w:after="120"/>
      </w:pPr>
      <w:r w:rsidRPr="009F1DCC">
        <w:t>3.16</w:t>
      </w:r>
      <w:r w:rsidR="00AC66DB">
        <w:tab/>
        <w:t>La</w:t>
      </w:r>
      <w:r w:rsidRPr="009F1DCC">
        <w:t xml:space="preserve"> </w:t>
      </w:r>
      <w:r w:rsidRPr="000B3E5D">
        <w:t>délégué</w:t>
      </w:r>
      <w:r w:rsidR="00AC66DB" w:rsidRPr="000B3E5D">
        <w:t>e</w:t>
      </w:r>
      <w:r w:rsidRPr="000B3E5D">
        <w:t xml:space="preserve"> de</w:t>
      </w:r>
      <w:r w:rsidR="00AC66DB" w:rsidRPr="000B3E5D">
        <w:t xml:space="preserve"> la</w:t>
      </w:r>
      <w:r w:rsidRPr="009F1DCC">
        <w:t xml:space="preserve"> </w:t>
      </w:r>
      <w:r w:rsidRPr="009F1DCC">
        <w:rPr>
          <w:b/>
          <w:bCs/>
        </w:rPr>
        <w:t xml:space="preserve">Roumanie </w:t>
      </w:r>
      <w:r w:rsidRPr="009F1DCC">
        <w:t xml:space="preserve">remercie le </w:t>
      </w:r>
      <w:r w:rsidR="00AC66DB">
        <w:t>P</w:t>
      </w:r>
      <w:r w:rsidRPr="009F1DCC">
        <w:t xml:space="preserve">résident et son équipe, le secrétariat de la conférence, le personnel local et technique, ainsi que les bénévoles, dont les efforts </w:t>
      </w:r>
      <w:r w:rsidR="00AC66DB">
        <w:t xml:space="preserve">sans relâche </w:t>
      </w:r>
      <w:r w:rsidRPr="009F1DCC">
        <w:t>ont assuré le succès de la conférence.</w:t>
      </w:r>
      <w:r w:rsidR="00AC66DB">
        <w:t xml:space="preserve"> Elle déclare que ce fut</w:t>
      </w:r>
      <w:r w:rsidRPr="009F1DCC">
        <w:t xml:space="preserve"> un plaisir d'accueillir les participants dans son pays. Elle félicite les </w:t>
      </w:r>
      <w:r w:rsidR="00AC66DB">
        <w:t xml:space="preserve">fonctionnaires </w:t>
      </w:r>
      <w:r w:rsidRPr="009F1DCC">
        <w:t xml:space="preserve">élus sortants </w:t>
      </w:r>
      <w:r w:rsidR="00AC66DB">
        <w:t>et déclare que</w:t>
      </w:r>
      <w:r w:rsidRPr="009F1DCC">
        <w:t xml:space="preserve"> ce fut un honneur et un privilège de travailler </w:t>
      </w:r>
      <w:r w:rsidR="00AC66DB">
        <w:t>à leur</w:t>
      </w:r>
      <w:r>
        <w:t>s</w:t>
      </w:r>
      <w:r w:rsidR="00AC66DB">
        <w:t xml:space="preserve"> côté</w:t>
      </w:r>
      <w:r>
        <w:t>s</w:t>
      </w:r>
      <w:r w:rsidRPr="009F1DCC">
        <w:t xml:space="preserve">. Elle </w:t>
      </w:r>
      <w:r w:rsidR="00AC66DB">
        <w:t>adresse tous ses vœux de réussite</w:t>
      </w:r>
      <w:r w:rsidRPr="009F1DCC">
        <w:t xml:space="preserve"> à la nouvelle équipe </w:t>
      </w:r>
      <w:r w:rsidR="00AC66DB">
        <w:t>de direction et indique que s</w:t>
      </w:r>
      <w:r w:rsidRPr="009F1DCC">
        <w:t xml:space="preserve">a délégation </w:t>
      </w:r>
      <w:r w:rsidR="00AC66DB">
        <w:t>attend avec intérêt de collaborer avec elle</w:t>
      </w:r>
      <w:r w:rsidRPr="009F1DCC">
        <w:t xml:space="preserve"> pour remplir le mandat de l'Union</w:t>
      </w:r>
      <w:r w:rsidR="00AC66DB">
        <w:t>.</w:t>
      </w:r>
    </w:p>
    <w:p w14:paraId="2FBC1286" w14:textId="0E9FA5B2" w:rsidR="00972F59" w:rsidRPr="009F1DCC" w:rsidRDefault="006818CA" w:rsidP="009F1DCC">
      <w:pPr>
        <w:tabs>
          <w:tab w:val="clear" w:pos="567"/>
          <w:tab w:val="clear" w:pos="1134"/>
          <w:tab w:val="clear" w:pos="1701"/>
          <w:tab w:val="clear" w:pos="2268"/>
          <w:tab w:val="clear" w:pos="2835"/>
        </w:tabs>
        <w:snapToGrid w:val="0"/>
        <w:spacing w:after="120"/>
      </w:pPr>
      <w:r w:rsidRPr="009F1DCC">
        <w:t>3.17</w:t>
      </w:r>
      <w:r w:rsidR="00AC66DB">
        <w:tab/>
      </w:r>
      <w:r w:rsidRPr="009F1DCC">
        <w:t xml:space="preserve">Les </w:t>
      </w:r>
      <w:r w:rsidRPr="000B3E5D">
        <w:t xml:space="preserve">délégués de </w:t>
      </w:r>
      <w:r w:rsidR="00AC66DB" w:rsidRPr="000B3E5D">
        <w:t>la</w:t>
      </w:r>
      <w:r w:rsidR="00AC66DB">
        <w:t xml:space="preserve"> </w:t>
      </w:r>
      <w:r w:rsidRPr="009F1DCC">
        <w:rPr>
          <w:b/>
          <w:bCs/>
        </w:rPr>
        <w:t>Papouasie-Nouvelle-Guinée</w:t>
      </w:r>
      <w:r w:rsidR="00AC66DB" w:rsidRPr="000B3E5D">
        <w:rPr>
          <w:bCs/>
        </w:rPr>
        <w:t>,</w:t>
      </w:r>
      <w:r w:rsidR="00AC66DB">
        <w:rPr>
          <w:b/>
          <w:bCs/>
        </w:rPr>
        <w:t xml:space="preserve"> </w:t>
      </w:r>
      <w:r w:rsidRPr="009F1DCC">
        <w:t>s'exprimant au nom de l'APT,</w:t>
      </w:r>
      <w:r w:rsidR="00AC66DB">
        <w:t xml:space="preserve"> de l'</w:t>
      </w:r>
      <w:r w:rsidRPr="009F1DCC">
        <w:rPr>
          <w:b/>
          <w:bCs/>
        </w:rPr>
        <w:t xml:space="preserve">Arabie </w:t>
      </w:r>
      <w:r w:rsidR="00AC66DB">
        <w:rPr>
          <w:b/>
          <w:bCs/>
        </w:rPr>
        <w:t>s</w:t>
      </w:r>
      <w:r w:rsidRPr="009F1DCC">
        <w:rPr>
          <w:b/>
          <w:bCs/>
        </w:rPr>
        <w:t>aoudite</w:t>
      </w:r>
      <w:r w:rsidR="00AC66DB" w:rsidRPr="000B3E5D">
        <w:rPr>
          <w:bCs/>
        </w:rPr>
        <w:t>,</w:t>
      </w:r>
      <w:r w:rsidR="00AC66DB">
        <w:rPr>
          <w:b/>
          <w:bCs/>
        </w:rPr>
        <w:t xml:space="preserve"> </w:t>
      </w:r>
      <w:r w:rsidR="00AC66DB">
        <w:t>des</w:t>
      </w:r>
      <w:r w:rsidRPr="009F1DCC">
        <w:t xml:space="preserve"> </w:t>
      </w:r>
      <w:r w:rsidRPr="009F1DCC">
        <w:rPr>
          <w:b/>
          <w:bCs/>
        </w:rPr>
        <w:t>Émirats arabes unis</w:t>
      </w:r>
      <w:r w:rsidR="00AC66DB" w:rsidRPr="000B3E5D">
        <w:rPr>
          <w:bCs/>
        </w:rPr>
        <w:t xml:space="preserve">, </w:t>
      </w:r>
      <w:r w:rsidR="00AC66DB">
        <w:t xml:space="preserve">s'exprimant également </w:t>
      </w:r>
      <w:r w:rsidRPr="009F1DCC">
        <w:t xml:space="preserve">au nom du groupe </w:t>
      </w:r>
      <w:r w:rsidR="00AC66DB">
        <w:t xml:space="preserve">des États </w:t>
      </w:r>
      <w:r w:rsidRPr="009F1DCC">
        <w:t>arabe</w:t>
      </w:r>
      <w:r w:rsidR="00AC66DB">
        <w:t>s</w:t>
      </w:r>
      <w:r w:rsidRPr="009F1DCC">
        <w:t xml:space="preserve">, </w:t>
      </w:r>
      <w:r w:rsidR="00AC66DB">
        <w:t>des</w:t>
      </w:r>
      <w:r w:rsidR="000B3E5D">
        <w:t> </w:t>
      </w:r>
      <w:r w:rsidRPr="009F1DCC">
        <w:rPr>
          <w:b/>
          <w:bCs/>
        </w:rPr>
        <w:t>États-Unis</w:t>
      </w:r>
      <w:r w:rsidR="00AC66DB" w:rsidRPr="000B3E5D">
        <w:rPr>
          <w:bCs/>
        </w:rPr>
        <w:t>,</w:t>
      </w:r>
      <w:r w:rsidR="00AC66DB">
        <w:rPr>
          <w:b/>
          <w:bCs/>
        </w:rPr>
        <w:t xml:space="preserve"> </w:t>
      </w:r>
      <w:r w:rsidRPr="009F1DCC">
        <w:t xml:space="preserve">s'exprimant au nom de la CITEL, </w:t>
      </w:r>
      <w:r w:rsidR="00AC66DB">
        <w:t xml:space="preserve">de </w:t>
      </w:r>
      <w:r w:rsidRPr="009F1DCC">
        <w:t xml:space="preserve">la </w:t>
      </w:r>
      <w:r w:rsidRPr="009F1DCC">
        <w:rPr>
          <w:b/>
          <w:bCs/>
        </w:rPr>
        <w:t>République de Corée</w:t>
      </w:r>
      <w:r w:rsidR="00AC66DB" w:rsidRPr="000B3E5D">
        <w:rPr>
          <w:bCs/>
        </w:rPr>
        <w:t>,</w:t>
      </w:r>
      <w:r w:rsidR="00AC66DB">
        <w:rPr>
          <w:b/>
          <w:bCs/>
        </w:rPr>
        <w:t xml:space="preserve"> </w:t>
      </w:r>
      <w:r w:rsidR="00AC66DB">
        <w:t xml:space="preserve">du </w:t>
      </w:r>
      <w:r w:rsidRPr="009F1DCC">
        <w:rPr>
          <w:b/>
          <w:bCs/>
        </w:rPr>
        <w:t>Royaume-Uni</w:t>
      </w:r>
      <w:r w:rsidR="00AC66DB" w:rsidRPr="000B3E5D">
        <w:rPr>
          <w:bCs/>
        </w:rPr>
        <w:t xml:space="preserve">, </w:t>
      </w:r>
      <w:r w:rsidRPr="009F1DCC">
        <w:t xml:space="preserve">s'exprimant au nom de la CEPT, </w:t>
      </w:r>
      <w:r w:rsidR="00AC66DB">
        <w:t xml:space="preserve">du </w:t>
      </w:r>
      <w:r w:rsidRPr="009F1DCC">
        <w:rPr>
          <w:b/>
          <w:bCs/>
        </w:rPr>
        <w:t>Brésil</w:t>
      </w:r>
      <w:r w:rsidR="00AC66DB">
        <w:t>, de la</w:t>
      </w:r>
      <w:r w:rsidRPr="009F1DCC">
        <w:t xml:space="preserve"> </w:t>
      </w:r>
      <w:r w:rsidRPr="009F1DCC">
        <w:rPr>
          <w:b/>
          <w:bCs/>
        </w:rPr>
        <w:t>Fédération de Russie</w:t>
      </w:r>
      <w:r w:rsidR="00AC66DB" w:rsidRPr="000B3E5D">
        <w:rPr>
          <w:bCs/>
        </w:rPr>
        <w:t>,</w:t>
      </w:r>
      <w:r w:rsidR="00AC66DB">
        <w:rPr>
          <w:b/>
          <w:bCs/>
        </w:rPr>
        <w:t xml:space="preserve"> </w:t>
      </w:r>
      <w:r w:rsidRPr="009F1DCC">
        <w:t xml:space="preserve">s'exprimant au nom de </w:t>
      </w:r>
      <w:r w:rsidR="000B3E5D">
        <w:t>la </w:t>
      </w:r>
      <w:r w:rsidRPr="009F1DCC">
        <w:t>RCC,</w:t>
      </w:r>
      <w:r w:rsidR="00AC66DB">
        <w:t xml:space="preserve"> du</w:t>
      </w:r>
      <w:r w:rsidRPr="009F1DCC">
        <w:t xml:space="preserve"> </w:t>
      </w:r>
      <w:r w:rsidRPr="009F1DCC">
        <w:rPr>
          <w:b/>
          <w:bCs/>
        </w:rPr>
        <w:t>Nig</w:t>
      </w:r>
      <w:r w:rsidR="00AC66DB">
        <w:rPr>
          <w:b/>
          <w:bCs/>
        </w:rPr>
        <w:t>é</w:t>
      </w:r>
      <w:r w:rsidRPr="009F1DCC">
        <w:rPr>
          <w:b/>
          <w:bCs/>
        </w:rPr>
        <w:t>ria</w:t>
      </w:r>
      <w:r w:rsidRPr="009F1DCC">
        <w:t>,</w:t>
      </w:r>
      <w:r w:rsidR="00AC66DB">
        <w:t xml:space="preserve"> de l'</w:t>
      </w:r>
      <w:r w:rsidRPr="009F1DCC">
        <w:rPr>
          <w:b/>
          <w:bCs/>
        </w:rPr>
        <w:t>Algérie</w:t>
      </w:r>
      <w:r w:rsidRPr="009F1DCC">
        <w:t>,</w:t>
      </w:r>
      <w:r w:rsidR="00AC66DB">
        <w:t xml:space="preserve"> de la</w:t>
      </w:r>
      <w:r w:rsidRPr="009F1DCC">
        <w:t xml:space="preserve"> </w:t>
      </w:r>
      <w:r w:rsidRPr="009F1DCC">
        <w:rPr>
          <w:b/>
          <w:bCs/>
        </w:rPr>
        <w:t>Malaisie</w:t>
      </w:r>
      <w:r w:rsidRPr="009F1DCC">
        <w:t xml:space="preserve">, </w:t>
      </w:r>
      <w:r w:rsidR="00AC66DB">
        <w:t>de l'</w:t>
      </w:r>
      <w:r w:rsidRPr="009F1DCC">
        <w:rPr>
          <w:b/>
          <w:bCs/>
        </w:rPr>
        <w:t>Inde</w:t>
      </w:r>
      <w:r w:rsidR="00AC66DB">
        <w:t>, des</w:t>
      </w:r>
      <w:r w:rsidRPr="009F1DCC">
        <w:t xml:space="preserve"> </w:t>
      </w:r>
      <w:r w:rsidRPr="009F1DCC">
        <w:rPr>
          <w:b/>
          <w:bCs/>
        </w:rPr>
        <w:t>Pays-Bas</w:t>
      </w:r>
      <w:r w:rsidRPr="009F1DCC">
        <w:t xml:space="preserve">, </w:t>
      </w:r>
      <w:r w:rsidR="00AC66DB">
        <w:t xml:space="preserve">du </w:t>
      </w:r>
      <w:r w:rsidRPr="009F1DCC">
        <w:rPr>
          <w:b/>
          <w:bCs/>
        </w:rPr>
        <w:t>Rwanda</w:t>
      </w:r>
      <w:r w:rsidR="00AC66DB">
        <w:t xml:space="preserve">, de la </w:t>
      </w:r>
      <w:r w:rsidRPr="009F1DCC">
        <w:rPr>
          <w:b/>
          <w:bCs/>
        </w:rPr>
        <w:t>République tchèque</w:t>
      </w:r>
      <w:r w:rsidRPr="009F1DCC">
        <w:t xml:space="preserve">, </w:t>
      </w:r>
      <w:r w:rsidR="00AC66DB">
        <w:t xml:space="preserve">de la </w:t>
      </w:r>
      <w:r w:rsidRPr="009F1DCC">
        <w:rPr>
          <w:b/>
          <w:bCs/>
        </w:rPr>
        <w:t xml:space="preserve">Thaïlande </w:t>
      </w:r>
      <w:r w:rsidRPr="009F1DCC">
        <w:t xml:space="preserve">et </w:t>
      </w:r>
      <w:r w:rsidR="00AC66DB">
        <w:t>de l'</w:t>
      </w:r>
      <w:r w:rsidRPr="009F1DCC">
        <w:rPr>
          <w:b/>
          <w:bCs/>
        </w:rPr>
        <w:t>Égypte</w:t>
      </w:r>
      <w:r w:rsidRPr="009F1DCC">
        <w:t xml:space="preserve"> </w:t>
      </w:r>
      <w:r w:rsidR="00AC66DB">
        <w:t>expriment</w:t>
      </w:r>
      <w:r w:rsidRPr="009F1DCC">
        <w:t xml:space="preserve"> leur sincère </w:t>
      </w:r>
      <w:r w:rsidR="00AC66DB">
        <w:t>reconnaissance</w:t>
      </w:r>
      <w:r w:rsidRPr="009F1DCC">
        <w:t xml:space="preserve"> envers le peuple et le gouvernement roumains pour l'excellente organisation de la conférence et l'accueil chaleureux qui leur a été réservé</w:t>
      </w:r>
      <w:r w:rsidR="00AC66DB">
        <w:t>. Le</w:t>
      </w:r>
      <w:r w:rsidRPr="009F1DCC">
        <w:t xml:space="preserve"> </w:t>
      </w:r>
      <w:r w:rsidRPr="009F1DCC">
        <w:rPr>
          <w:b/>
          <w:bCs/>
        </w:rPr>
        <w:t>Président</w:t>
      </w:r>
      <w:r w:rsidRPr="009F1DCC">
        <w:t xml:space="preserve"> </w:t>
      </w:r>
      <w:r w:rsidR="00AC66DB">
        <w:t>fait</w:t>
      </w:r>
      <w:r w:rsidRPr="009F1DCC">
        <w:t xml:space="preserve"> également </w:t>
      </w:r>
      <w:r w:rsidR="00AC66DB">
        <w:t xml:space="preserve">observer </w:t>
      </w:r>
      <w:r w:rsidRPr="009F1DCC">
        <w:t>que les délégations d</w:t>
      </w:r>
      <w:r w:rsidR="00AC66DB">
        <w:t>u</w:t>
      </w:r>
      <w:r w:rsidRPr="009F1DCC">
        <w:t xml:space="preserve"> </w:t>
      </w:r>
      <w:r w:rsidRPr="009F1DCC">
        <w:rPr>
          <w:b/>
          <w:bCs/>
        </w:rPr>
        <w:t>Japon</w:t>
      </w:r>
      <w:r w:rsidRPr="009F1DCC">
        <w:t xml:space="preserve">, </w:t>
      </w:r>
      <w:r w:rsidR="00AC66DB" w:rsidRPr="00AC66DB">
        <w:t xml:space="preserve">du </w:t>
      </w:r>
      <w:r w:rsidRPr="009F1DCC">
        <w:rPr>
          <w:b/>
          <w:bCs/>
        </w:rPr>
        <w:t>Mexique</w:t>
      </w:r>
      <w:r w:rsidRPr="009F1DCC">
        <w:t xml:space="preserve">, </w:t>
      </w:r>
      <w:r w:rsidR="00AC66DB" w:rsidRPr="00AC66DB">
        <w:t xml:space="preserve">du </w:t>
      </w:r>
      <w:r w:rsidRPr="009F1DCC">
        <w:rPr>
          <w:b/>
          <w:bCs/>
        </w:rPr>
        <w:t>Qatar</w:t>
      </w:r>
      <w:r w:rsidR="00AC66DB">
        <w:t>, de la</w:t>
      </w:r>
      <w:r w:rsidRPr="009F1DCC">
        <w:t xml:space="preserve"> </w:t>
      </w:r>
      <w:r w:rsidRPr="009F1DCC">
        <w:rPr>
          <w:b/>
          <w:bCs/>
        </w:rPr>
        <w:t>République islamique d'Iran</w:t>
      </w:r>
      <w:r w:rsidRPr="009F1DCC">
        <w:t>,</w:t>
      </w:r>
      <w:r w:rsidR="00AC66DB">
        <w:t xml:space="preserve"> de l'</w:t>
      </w:r>
      <w:r w:rsidRPr="009F1DCC">
        <w:rPr>
          <w:b/>
          <w:bCs/>
        </w:rPr>
        <w:t>Ira</w:t>
      </w:r>
      <w:r w:rsidR="00AC66DB">
        <w:rPr>
          <w:b/>
          <w:bCs/>
        </w:rPr>
        <w:t>q</w:t>
      </w:r>
      <w:r w:rsidRPr="009F1DCC">
        <w:t xml:space="preserve">, </w:t>
      </w:r>
      <w:r w:rsidR="00AC66DB">
        <w:t xml:space="preserve">de la </w:t>
      </w:r>
      <w:r w:rsidRPr="009F1DCC">
        <w:rPr>
          <w:b/>
          <w:bCs/>
        </w:rPr>
        <w:t>Türk</w:t>
      </w:r>
      <w:r w:rsidR="00AC66DB">
        <w:rPr>
          <w:b/>
          <w:bCs/>
        </w:rPr>
        <w:t>i</w:t>
      </w:r>
      <w:r w:rsidRPr="009F1DCC">
        <w:rPr>
          <w:b/>
          <w:bCs/>
        </w:rPr>
        <w:t>ye</w:t>
      </w:r>
      <w:r w:rsidRPr="009F1DCC">
        <w:t>,</w:t>
      </w:r>
      <w:r w:rsidR="00AC66DB">
        <w:t xml:space="preserve"> de l'</w:t>
      </w:r>
      <w:r w:rsidRPr="009F1DCC">
        <w:rPr>
          <w:b/>
          <w:bCs/>
        </w:rPr>
        <w:t>Azerbaïdjan</w:t>
      </w:r>
      <w:r w:rsidRPr="009F1DCC">
        <w:t>,</w:t>
      </w:r>
      <w:r w:rsidR="00AC66DB">
        <w:t xml:space="preserve"> de</w:t>
      </w:r>
      <w:r w:rsidRPr="009F1DCC">
        <w:t xml:space="preserve"> </w:t>
      </w:r>
      <w:r w:rsidRPr="009F1DCC">
        <w:rPr>
          <w:b/>
          <w:bCs/>
        </w:rPr>
        <w:t>Bahreïn</w:t>
      </w:r>
      <w:r w:rsidRPr="009F1DCC">
        <w:t xml:space="preserve">, </w:t>
      </w:r>
      <w:r w:rsidR="00AC66DB">
        <w:t xml:space="preserve">de </w:t>
      </w:r>
      <w:r w:rsidRPr="009F1DCC">
        <w:rPr>
          <w:b/>
          <w:bCs/>
        </w:rPr>
        <w:t>Vanuatu</w:t>
      </w:r>
      <w:r w:rsidRPr="009F1DCC">
        <w:t xml:space="preserve">, </w:t>
      </w:r>
      <w:r w:rsidR="00AC66DB" w:rsidRPr="00AC66DB">
        <w:t xml:space="preserve">du </w:t>
      </w:r>
      <w:r w:rsidRPr="009F1DCC">
        <w:rPr>
          <w:b/>
          <w:bCs/>
        </w:rPr>
        <w:t>Ghana</w:t>
      </w:r>
      <w:r w:rsidRPr="009F1DCC">
        <w:t xml:space="preserve">, </w:t>
      </w:r>
      <w:r w:rsidR="00AC66DB">
        <w:t xml:space="preserve">du </w:t>
      </w:r>
      <w:r w:rsidRPr="009F1DCC">
        <w:rPr>
          <w:b/>
          <w:bCs/>
        </w:rPr>
        <w:t>Soudan</w:t>
      </w:r>
      <w:r w:rsidR="00AC66DB">
        <w:rPr>
          <w:b/>
          <w:bCs/>
        </w:rPr>
        <w:t xml:space="preserve"> du Sud</w:t>
      </w:r>
      <w:r w:rsidRPr="009F1DCC">
        <w:t>,</w:t>
      </w:r>
      <w:r w:rsidR="00AC66DB">
        <w:t xml:space="preserve"> de</w:t>
      </w:r>
      <w:r w:rsidRPr="009F1DCC">
        <w:t xml:space="preserve"> </w:t>
      </w:r>
      <w:r w:rsidRPr="009F1DCC">
        <w:rPr>
          <w:b/>
          <w:bCs/>
        </w:rPr>
        <w:t>Maurice</w:t>
      </w:r>
      <w:r w:rsidRPr="009F1DCC">
        <w:t xml:space="preserve">, </w:t>
      </w:r>
      <w:r w:rsidR="00AC66DB" w:rsidRPr="00AC66DB">
        <w:t>d</w:t>
      </w:r>
      <w:r w:rsidR="00AC66DB">
        <w:t xml:space="preserve">e la </w:t>
      </w:r>
      <w:r w:rsidRPr="009F1DCC">
        <w:rPr>
          <w:b/>
          <w:bCs/>
        </w:rPr>
        <w:t>Tunisie</w:t>
      </w:r>
      <w:r w:rsidRPr="009F1DCC">
        <w:t>,</w:t>
      </w:r>
      <w:r w:rsidR="00AC66DB">
        <w:t xml:space="preserve"> de l'</w:t>
      </w:r>
      <w:r w:rsidRPr="009F1DCC">
        <w:rPr>
          <w:b/>
          <w:bCs/>
        </w:rPr>
        <w:t>Ouzbékistan</w:t>
      </w:r>
      <w:r w:rsidRPr="009F1DCC">
        <w:t xml:space="preserve">, </w:t>
      </w:r>
      <w:r w:rsidR="00AC66DB">
        <w:t xml:space="preserve">de la </w:t>
      </w:r>
      <w:r w:rsidR="00AC66DB">
        <w:rPr>
          <w:b/>
          <w:bCs/>
        </w:rPr>
        <w:t xml:space="preserve">République sudafricaine, </w:t>
      </w:r>
      <w:r w:rsidR="00AC66DB" w:rsidRPr="00AC66DB">
        <w:t>des</w:t>
      </w:r>
      <w:r w:rsidR="00AC66DB">
        <w:rPr>
          <w:b/>
          <w:bCs/>
        </w:rPr>
        <w:t xml:space="preserve"> </w:t>
      </w:r>
      <w:r w:rsidRPr="009F1DCC">
        <w:rPr>
          <w:b/>
          <w:bCs/>
        </w:rPr>
        <w:t>Bahamas</w:t>
      </w:r>
      <w:r w:rsidRPr="009F1DCC">
        <w:t xml:space="preserve">, </w:t>
      </w:r>
      <w:r w:rsidR="00AC66DB">
        <w:t xml:space="preserve">de la </w:t>
      </w:r>
      <w:r w:rsidRPr="009F1DCC">
        <w:rPr>
          <w:b/>
          <w:bCs/>
        </w:rPr>
        <w:t>France</w:t>
      </w:r>
      <w:r w:rsidRPr="009F1DCC">
        <w:t>,</w:t>
      </w:r>
      <w:r w:rsidR="00AC66DB">
        <w:t xml:space="preserve"> de la</w:t>
      </w:r>
      <w:r w:rsidRPr="009F1DCC">
        <w:t xml:space="preserve"> </w:t>
      </w:r>
      <w:r w:rsidRPr="009F1DCC">
        <w:rPr>
          <w:b/>
          <w:bCs/>
        </w:rPr>
        <w:t>Tanzanie</w:t>
      </w:r>
      <w:r w:rsidRPr="009F1DCC">
        <w:t xml:space="preserve"> et</w:t>
      </w:r>
      <w:r w:rsidR="00AC66DB">
        <w:t xml:space="preserve"> de la</w:t>
      </w:r>
      <w:r w:rsidRPr="009F1DCC">
        <w:t xml:space="preserve"> </w:t>
      </w:r>
      <w:r w:rsidRPr="009F1DCC">
        <w:rPr>
          <w:b/>
          <w:bCs/>
        </w:rPr>
        <w:t>Namibie</w:t>
      </w:r>
      <w:r w:rsidRPr="009F1DCC">
        <w:t xml:space="preserve"> </w:t>
      </w:r>
      <w:r w:rsidR="00AC66DB">
        <w:t xml:space="preserve">ont </w:t>
      </w:r>
      <w:r>
        <w:t>aussi</w:t>
      </w:r>
      <w:r w:rsidR="00AC66DB">
        <w:t xml:space="preserve"> </w:t>
      </w:r>
      <w:r w:rsidRPr="009F1DCC">
        <w:t>demandé à l'assemblée de soumettre des messages de félicitations.</w:t>
      </w:r>
    </w:p>
    <w:p w14:paraId="5D1F71C6" w14:textId="09EB7F90" w:rsidR="00972F59" w:rsidRPr="009F1DCC" w:rsidRDefault="006818CA" w:rsidP="009F1DCC">
      <w:pPr>
        <w:tabs>
          <w:tab w:val="clear" w:pos="567"/>
          <w:tab w:val="clear" w:pos="1134"/>
          <w:tab w:val="clear" w:pos="1701"/>
          <w:tab w:val="clear" w:pos="2268"/>
          <w:tab w:val="clear" w:pos="2835"/>
        </w:tabs>
        <w:snapToGrid w:val="0"/>
        <w:spacing w:after="120"/>
      </w:pPr>
      <w:r w:rsidRPr="009F1DCC">
        <w:t>3.18</w:t>
      </w:r>
      <w:r w:rsidR="00AC66DB">
        <w:tab/>
      </w:r>
      <w:r w:rsidRPr="009F1DCC">
        <w:t xml:space="preserve">Dans les différentes interventions, des remerciements particuliers </w:t>
      </w:r>
      <w:r w:rsidR="00AC66DB">
        <w:t>sont</w:t>
      </w:r>
      <w:r w:rsidRPr="009F1DCC">
        <w:t xml:space="preserve"> adressés au Président et à son équipe, au personnel de l'UIT, au personnel local et technique et aux </w:t>
      </w:r>
      <w:r w:rsidR="00DE0BB3">
        <w:t>bénévoles</w:t>
      </w:r>
      <w:r w:rsidRPr="009F1DCC">
        <w:t xml:space="preserve">. Des </w:t>
      </w:r>
      <w:r w:rsidR="00DE0BB3">
        <w:t xml:space="preserve">remerciements sont </w:t>
      </w:r>
      <w:r w:rsidRPr="009F1DCC">
        <w:t>également adressés aux présidents et vice-présidents des commissions et des groupes ad hoc, ainsi qu'aux coordonnateurs régionaux. Plusieurs délégués salu</w:t>
      </w:r>
      <w:r w:rsidR="00DE0BB3">
        <w:t>ent</w:t>
      </w:r>
      <w:r w:rsidRPr="009F1DCC">
        <w:t xml:space="preserve"> l'esprit de consensus et de coopération qui a conduit à l'adoption d'un certain nombre de nouvelles résolutions importantes. Ils </w:t>
      </w:r>
      <w:r w:rsidR="00DE0BB3">
        <w:t>saluent</w:t>
      </w:r>
      <w:r w:rsidRPr="009F1DCC">
        <w:t xml:space="preserve"> la gestion judicieuse du temps et les méthodes de travail mises en œuvre </w:t>
      </w:r>
      <w:r w:rsidR="00DE0BB3">
        <w:t>pendant</w:t>
      </w:r>
      <w:r w:rsidRPr="009F1DCC">
        <w:t xml:space="preserve"> la </w:t>
      </w:r>
      <w:r w:rsidR="00DE0BB3">
        <w:t>C</w:t>
      </w:r>
      <w:r w:rsidRPr="009F1DCC">
        <w:t xml:space="preserve">onférence, qui a achevé ses travaux dans les délais prévus et sans qu'il soit nécessaire de tenir des séances de nuit supplémentaires, ainsi que </w:t>
      </w:r>
      <w:r w:rsidR="00DE0BB3">
        <w:t>l'attention particulière qui a été accordée à</w:t>
      </w:r>
      <w:r w:rsidRPr="009F1DCC">
        <w:t xml:space="preserve"> l'égalité, </w:t>
      </w:r>
      <w:r w:rsidR="00DE0BB3">
        <w:t xml:space="preserve">à </w:t>
      </w:r>
      <w:r w:rsidRPr="009F1DCC">
        <w:t xml:space="preserve">l'inclusion </w:t>
      </w:r>
      <w:r w:rsidR="00991B56">
        <w:t>–</w:t>
      </w:r>
      <w:r w:rsidRPr="009F1DCC">
        <w:t xml:space="preserve"> notamment </w:t>
      </w:r>
      <w:r w:rsidR="00DE0BB3">
        <w:t>avec la promotion de la</w:t>
      </w:r>
      <w:r w:rsidRPr="009F1DCC">
        <w:t xml:space="preserve"> participation des femmes et des jeunes </w:t>
      </w:r>
      <w:r w:rsidR="00991B56">
        <w:t>–</w:t>
      </w:r>
      <w:r w:rsidRPr="009F1DCC">
        <w:t xml:space="preserve"> et</w:t>
      </w:r>
      <w:r w:rsidR="00DE0BB3">
        <w:t xml:space="preserve"> à</w:t>
      </w:r>
      <w:r w:rsidRPr="009F1DCC">
        <w:t xml:space="preserve"> la durabilité. Des hommages </w:t>
      </w:r>
      <w:r w:rsidR="00DE0BB3">
        <w:t>sont</w:t>
      </w:r>
      <w:r w:rsidRPr="009F1DCC">
        <w:t xml:space="preserve"> rendus aux </w:t>
      </w:r>
      <w:r w:rsidR="00DE0BB3">
        <w:t xml:space="preserve">fonctionnaires </w:t>
      </w:r>
      <w:r w:rsidRPr="009F1DCC">
        <w:t xml:space="preserve">élus sortants et des </w:t>
      </w:r>
      <w:r w:rsidR="00DE0BB3">
        <w:t xml:space="preserve">félicitations </w:t>
      </w:r>
      <w:r w:rsidRPr="009F1DCC">
        <w:t>et de</w:t>
      </w:r>
      <w:r w:rsidR="00DE0BB3">
        <w:t>s</w:t>
      </w:r>
      <w:r w:rsidRPr="009F1DCC">
        <w:t xml:space="preserve"> remerciement</w:t>
      </w:r>
      <w:r w:rsidR="00DE0BB3">
        <w:t>s</w:t>
      </w:r>
      <w:r w:rsidRPr="009F1DCC">
        <w:t xml:space="preserve"> </w:t>
      </w:r>
      <w:r w:rsidR="00DE0BB3">
        <w:t>sont adressés</w:t>
      </w:r>
      <w:r w:rsidRPr="009F1DCC">
        <w:t xml:space="preserve"> à l'équipe de direction nouvellement élue, en particulier </w:t>
      </w:r>
      <w:r w:rsidR="00DE0BB3">
        <w:t xml:space="preserve">à la </w:t>
      </w:r>
      <w:r w:rsidRPr="009F1DCC">
        <w:t>Secrétaire général</w:t>
      </w:r>
      <w:r w:rsidR="00DE0BB3">
        <w:t>e</w:t>
      </w:r>
      <w:r w:rsidRPr="009F1DCC">
        <w:t xml:space="preserve"> élu</w:t>
      </w:r>
      <w:r w:rsidR="00DE0BB3">
        <w:t>e, qui est la</w:t>
      </w:r>
      <w:r w:rsidRPr="009F1DCC">
        <w:t xml:space="preserve"> première femme à occuper ce poste dans l'histoire de l'Union</w:t>
      </w:r>
      <w:r w:rsidR="00DE0BB3">
        <w:t>. À présent que les travaux de la Conférence de plénipotentiaire</w:t>
      </w:r>
      <w:r>
        <w:t>s</w:t>
      </w:r>
      <w:r w:rsidR="00DE0BB3">
        <w:t xml:space="preserve"> ont été menés à bonne fin, la prochaine étape, pour l'UIT, consiste à donner effet aux résultats de la Conférence en mettant en œuvre les </w:t>
      </w:r>
      <w:r>
        <w:t xml:space="preserve">nouvelles </w:t>
      </w:r>
      <w:r w:rsidR="00DE0BB3">
        <w:t xml:space="preserve">résolutions et décisions, afin de respecter l'engagement de l'Union, consistant à connecter ceux qui ne le sont pas encore. </w:t>
      </w:r>
    </w:p>
    <w:p w14:paraId="32304C54" w14:textId="0299C720" w:rsidR="00972F59" w:rsidRDefault="006818CA" w:rsidP="009F1DCC">
      <w:pPr>
        <w:tabs>
          <w:tab w:val="clear" w:pos="567"/>
          <w:tab w:val="clear" w:pos="1134"/>
          <w:tab w:val="clear" w:pos="1701"/>
          <w:tab w:val="clear" w:pos="2268"/>
          <w:tab w:val="clear" w:pos="2835"/>
        </w:tabs>
        <w:snapToGrid w:val="0"/>
        <w:spacing w:after="120"/>
        <w:rPr>
          <w:b/>
        </w:rPr>
      </w:pPr>
      <w:r>
        <w:rPr>
          <w:lang w:val="fr-CH"/>
        </w:rPr>
        <w:t>3.19</w:t>
      </w:r>
      <w:bookmarkStart w:id="10" w:name="lt_pId071"/>
      <w:r w:rsidR="00DE0BB3">
        <w:rPr>
          <w:lang w:val="fr-CH"/>
        </w:rPr>
        <w:tab/>
      </w:r>
      <w:r>
        <w:rPr>
          <w:rFonts w:asciiTheme="minorHAnsi" w:hAnsiTheme="minorHAnsi"/>
          <w:b/>
          <w:bCs/>
          <w:lang w:val="fr-CH"/>
        </w:rPr>
        <w:t>Une vidéo de quatre minutes retraçant les faits marquants des trois semaines de la Conférence est projetée.</w:t>
      </w:r>
      <w:bookmarkEnd w:id="10"/>
    </w:p>
    <w:p w14:paraId="1D7A3197" w14:textId="77777777" w:rsidR="00806945" w:rsidRDefault="00806945" w:rsidP="009F1DCC">
      <w:pPr>
        <w:rPr>
          <w:lang w:val="fr-CH"/>
        </w:rPr>
      </w:pPr>
      <w:r>
        <w:rPr>
          <w:lang w:val="fr-CH"/>
        </w:rPr>
        <w:br w:type="page"/>
      </w:r>
    </w:p>
    <w:p w14:paraId="01ECEDCA" w14:textId="23CD7E7C" w:rsidR="00972F59" w:rsidRDefault="006818CA" w:rsidP="009F1DCC">
      <w:pPr>
        <w:rPr>
          <w:rFonts w:asciiTheme="minorHAnsi" w:hAnsiTheme="minorHAnsi"/>
          <w:lang w:val="fr-CH"/>
        </w:rPr>
      </w:pPr>
      <w:r>
        <w:rPr>
          <w:lang w:val="fr-CH"/>
        </w:rPr>
        <w:lastRenderedPageBreak/>
        <w:t>3.20</w:t>
      </w:r>
      <w:bookmarkStart w:id="11" w:name="lt_pId073"/>
      <w:r w:rsidR="00DE0BB3">
        <w:rPr>
          <w:lang w:val="fr-CH"/>
        </w:rPr>
        <w:tab/>
      </w:r>
      <w:r>
        <w:rPr>
          <w:rFonts w:asciiTheme="minorHAnsi" w:hAnsiTheme="minorHAnsi"/>
          <w:lang w:val="fr-CH"/>
        </w:rPr>
        <w:t xml:space="preserve">Le </w:t>
      </w:r>
      <w:r>
        <w:rPr>
          <w:rFonts w:asciiTheme="minorHAnsi" w:hAnsiTheme="minorHAnsi"/>
          <w:b/>
          <w:bCs/>
          <w:lang w:val="fr-CH"/>
        </w:rPr>
        <w:t>Président</w:t>
      </w:r>
      <w:r w:rsidR="00DE0BB3">
        <w:rPr>
          <w:rFonts w:asciiTheme="minorHAnsi" w:hAnsiTheme="minorHAnsi"/>
          <w:lang w:val="fr-CH"/>
        </w:rPr>
        <w:t xml:space="preserve"> remercie</w:t>
      </w:r>
      <w:r>
        <w:rPr>
          <w:rFonts w:asciiTheme="minorHAnsi" w:hAnsiTheme="minorHAnsi"/>
          <w:lang w:val="fr-CH"/>
        </w:rPr>
        <w:t xml:space="preserve"> tous les participants</w:t>
      </w:r>
      <w:r w:rsidR="00DE0BB3">
        <w:rPr>
          <w:rFonts w:asciiTheme="minorHAnsi" w:hAnsiTheme="minorHAnsi"/>
          <w:lang w:val="fr-CH"/>
        </w:rPr>
        <w:t xml:space="preserve"> et </w:t>
      </w:r>
      <w:r>
        <w:rPr>
          <w:rFonts w:asciiTheme="minorHAnsi" w:hAnsiTheme="minorHAnsi"/>
          <w:lang w:val="fr-CH"/>
        </w:rPr>
        <w:t>déclare close la Conférence de plénipotentiaires de l'Union internationale des télécommunications (Bucarest, 2022).</w:t>
      </w:r>
    </w:p>
    <w:bookmarkEnd w:id="11"/>
    <w:p w14:paraId="796B057E" w14:textId="166AA5A5" w:rsidR="00972F59" w:rsidRDefault="006818CA" w:rsidP="009F1DCC">
      <w:pPr>
        <w:pStyle w:val="Normalpv"/>
        <w:rPr>
          <w:b/>
          <w:bCs/>
        </w:rPr>
      </w:pPr>
      <w:r>
        <w:rPr>
          <w:b/>
          <w:bCs/>
        </w:rPr>
        <w:t>La séance est levée à 18 h 35.</w:t>
      </w:r>
    </w:p>
    <w:p w14:paraId="41D2DBEE" w14:textId="19A949EA" w:rsidR="00972F59" w:rsidRDefault="006818CA" w:rsidP="00CA43CD">
      <w:pPr>
        <w:tabs>
          <w:tab w:val="clear" w:pos="567"/>
          <w:tab w:val="clear" w:pos="1134"/>
          <w:tab w:val="clear" w:pos="1701"/>
          <w:tab w:val="clear" w:pos="2268"/>
          <w:tab w:val="clear" w:pos="2835"/>
          <w:tab w:val="left" w:pos="7088"/>
        </w:tabs>
        <w:overflowPunct/>
        <w:autoSpaceDE/>
        <w:autoSpaceDN/>
        <w:adjustRightInd/>
        <w:spacing w:before="840"/>
        <w:textAlignment w:val="auto"/>
        <w:rPr>
          <w:rFonts w:asciiTheme="minorHAnsi" w:hAnsiTheme="minorHAnsi"/>
          <w:szCs w:val="24"/>
        </w:rPr>
      </w:pPr>
      <w:r>
        <w:t xml:space="preserve">Le Secrétaire </w:t>
      </w:r>
      <w:proofErr w:type="gramStart"/>
      <w:r>
        <w:t>général</w:t>
      </w:r>
      <w:r w:rsidR="00A83B95">
        <w:t>:</w:t>
      </w:r>
      <w:proofErr w:type="gramEnd"/>
      <w:r>
        <w:t xml:space="preserve"> </w:t>
      </w:r>
      <w:r w:rsidR="00DE0BB3">
        <w:tab/>
      </w:r>
      <w:r>
        <w:t>Le Président</w:t>
      </w:r>
      <w:r w:rsidR="00A83B95">
        <w:t>:</w:t>
      </w:r>
      <w:bookmarkStart w:id="12" w:name="lt_pId037"/>
      <w:r>
        <w:br/>
      </w:r>
      <w:r>
        <w:rPr>
          <w:szCs w:val="24"/>
        </w:rPr>
        <w:t>H. ZHAO</w:t>
      </w:r>
      <w:bookmarkEnd w:id="12"/>
      <w:r>
        <w:rPr>
          <w:szCs w:val="24"/>
        </w:rPr>
        <w:t xml:space="preserve"> </w:t>
      </w:r>
      <w:r w:rsidR="00DE0BB3">
        <w:rPr>
          <w:szCs w:val="24"/>
        </w:rPr>
        <w:tab/>
      </w:r>
      <w:r w:rsidRPr="009F1DCC">
        <w:rPr>
          <w:rFonts w:asciiTheme="minorHAnsi" w:hAnsiTheme="minorHAnsi"/>
          <w:szCs w:val="24"/>
        </w:rPr>
        <w:t>S. SĂRMAȘ</w:t>
      </w:r>
    </w:p>
    <w:p w14:paraId="0E856702" w14:textId="285FD174" w:rsidR="006360FA" w:rsidRDefault="006360FA" w:rsidP="006360FA">
      <w:pPr>
        <w:tabs>
          <w:tab w:val="clear" w:pos="567"/>
          <w:tab w:val="clear" w:pos="1134"/>
          <w:tab w:val="clear" w:pos="1701"/>
          <w:tab w:val="clear" w:pos="2268"/>
          <w:tab w:val="clear" w:pos="2835"/>
          <w:tab w:val="left" w:pos="7088"/>
        </w:tabs>
        <w:overflowPunct/>
        <w:autoSpaceDE/>
        <w:autoSpaceDN/>
        <w:adjustRightInd/>
        <w:spacing w:before="840"/>
        <w:jc w:val="center"/>
        <w:textAlignment w:val="auto"/>
      </w:pPr>
      <w:r>
        <w:rPr>
          <w:rFonts w:asciiTheme="minorEastAsia" w:eastAsiaTheme="minorEastAsia" w:hAnsiTheme="minorEastAsia" w:hint="eastAsia"/>
          <w:szCs w:val="24"/>
          <w:lang w:eastAsia="zh-CN"/>
        </w:rPr>
        <w:t>_</w:t>
      </w:r>
      <w:r>
        <w:rPr>
          <w:rFonts w:asciiTheme="minorEastAsia" w:eastAsiaTheme="minorEastAsia" w:hAnsiTheme="minorEastAsia"/>
          <w:szCs w:val="24"/>
          <w:lang w:eastAsia="zh-CN"/>
        </w:rPr>
        <w:t>___________________</w:t>
      </w:r>
    </w:p>
    <w:sectPr w:rsidR="006360FA" w:rsidSect="00940B92">
      <w:headerReference w:type="default" r:id="rId16"/>
      <w:footerReference w:type="default" r:id="rId17"/>
      <w:footerReference w:type="first" r:id="rId18"/>
      <w:type w:val="continuous"/>
      <w:pgSz w:w="11913" w:h="16834" w:code="9"/>
      <w:pgMar w:top="1247" w:right="1134" w:bottom="124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645D" w14:textId="77777777" w:rsidR="00972F59" w:rsidRDefault="006818CA">
      <w:r>
        <w:separator/>
      </w:r>
    </w:p>
  </w:endnote>
  <w:endnote w:type="continuationSeparator" w:id="0">
    <w:p w14:paraId="171487AF" w14:textId="77777777" w:rsidR="00972F59" w:rsidRDefault="0068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65CF" w14:textId="78A61398" w:rsidR="00972F59" w:rsidRPr="009F1DCC" w:rsidRDefault="00B03810" w:rsidP="00B03810">
    <w:pPr>
      <w:pStyle w:val="Footer"/>
      <w:rPr>
        <w:lang w:val="en-GB"/>
      </w:rPr>
    </w:pPr>
    <w:r>
      <w:rPr>
        <w:noProof/>
      </w:rPr>
      <w:fldChar w:fldCharType="begin"/>
    </w:r>
    <w:r w:rsidRPr="00B03810">
      <w:rPr>
        <w:noProof/>
      </w:rPr>
      <w:instrText xml:space="preserve"> FILENAME \p  \* MERGEFORMAT </w:instrText>
    </w:r>
    <w:r>
      <w:rPr>
        <w:noProof/>
      </w:rPr>
      <w:fldChar w:fldCharType="separate"/>
    </w:r>
    <w:r>
      <w:rPr>
        <w:noProof/>
      </w:rPr>
      <w:t>P:\FRA\SG\CONF-SG\PP22\200\209V2F.docx</w:t>
    </w:r>
    <w:r>
      <w:rPr>
        <w:noProof/>
      </w:rPr>
      <w:fldChar w:fldCharType="end"/>
    </w:r>
    <w:r w:rsidR="006818CA" w:rsidRPr="009F1DCC">
      <w:rPr>
        <w:lang w:val="en-GB"/>
      </w:rPr>
      <w:t xml:space="preserve"> (515643)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E860" w14:textId="35386948" w:rsidR="00972F59" w:rsidRDefault="006818CA">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Pr>
          <w:rStyle w:val="Hyperlink"/>
          <w:sz w:val="22"/>
          <w:szCs w:val="22"/>
          <w:lang w:val="en-GB"/>
        </w:rPr>
        <w:t>www.itu.int/plenipotentiary/</w:t>
      </w:r>
    </w:hyperlink>
    <w:r>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D8F5" w14:textId="77777777" w:rsidR="00972F59" w:rsidRDefault="006818CA">
      <w:r>
        <w:t>____________________</w:t>
      </w:r>
    </w:p>
  </w:footnote>
  <w:footnote w:type="continuationSeparator" w:id="0">
    <w:p w14:paraId="38068C51" w14:textId="77777777" w:rsidR="00972F59" w:rsidRDefault="0068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D6A7" w14:textId="2E49AF21" w:rsidR="00972F59" w:rsidRDefault="006818CA">
    <w:pPr>
      <w:pStyle w:val="Header"/>
    </w:pPr>
    <w:r>
      <w:fldChar w:fldCharType="begin"/>
    </w:r>
    <w:r>
      <w:instrText xml:space="preserve"> PAGE </w:instrText>
    </w:r>
    <w:r>
      <w:fldChar w:fldCharType="separate"/>
    </w:r>
    <w:r w:rsidR="00806945">
      <w:rPr>
        <w:noProof/>
      </w:rPr>
      <w:t>5</w:t>
    </w:r>
    <w:r>
      <w:fldChar w:fldCharType="end"/>
    </w:r>
  </w:p>
  <w:p w14:paraId="650D8FD2" w14:textId="18117EF3" w:rsidR="00972F59" w:rsidRDefault="006818CA">
    <w:pPr>
      <w:pStyle w:val="Header"/>
    </w:pPr>
    <w:r>
      <w:t>PP22/20</w:t>
    </w:r>
    <w:r w:rsidR="00E74F6B">
      <w:t>9</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E805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C1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8C4B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DCC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B03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4E0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32E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4A47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A061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586"/>
    <w:lvl w:ilvl="0">
      <w:start w:val="1"/>
      <w:numFmt w:val="bullet"/>
      <w:lvlText w:val=""/>
      <w:lvlJc w:val="left"/>
      <w:pPr>
        <w:tabs>
          <w:tab w:val="num" w:pos="360"/>
        </w:tabs>
        <w:ind w:left="360" w:hanging="360"/>
      </w:pPr>
      <w:rPr>
        <w:rFonts w:ascii="Symbol" w:hAnsi="Symbol" w:hint="default"/>
      </w:rPr>
    </w:lvl>
  </w:abstractNum>
  <w:num w:numId="1" w16cid:durableId="1553035108">
    <w:abstractNumId w:val="9"/>
  </w:num>
  <w:num w:numId="2" w16cid:durableId="1156726352">
    <w:abstractNumId w:val="7"/>
  </w:num>
  <w:num w:numId="3" w16cid:durableId="1259557031">
    <w:abstractNumId w:val="6"/>
  </w:num>
  <w:num w:numId="4" w16cid:durableId="1384057226">
    <w:abstractNumId w:val="5"/>
  </w:num>
  <w:num w:numId="5" w16cid:durableId="615521518">
    <w:abstractNumId w:val="4"/>
  </w:num>
  <w:num w:numId="6" w16cid:durableId="48431275">
    <w:abstractNumId w:val="8"/>
  </w:num>
  <w:num w:numId="7" w16cid:durableId="772554725">
    <w:abstractNumId w:val="3"/>
  </w:num>
  <w:num w:numId="8" w16cid:durableId="2107190610">
    <w:abstractNumId w:val="2"/>
  </w:num>
  <w:num w:numId="9" w16cid:durableId="817192863">
    <w:abstractNumId w:val="1"/>
  </w:num>
  <w:num w:numId="10" w16cid:durableId="123473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59"/>
    <w:rsid w:val="0008703E"/>
    <w:rsid w:val="000B3E5D"/>
    <w:rsid w:val="00126D86"/>
    <w:rsid w:val="001D7A9A"/>
    <w:rsid w:val="0037143F"/>
    <w:rsid w:val="00466DB9"/>
    <w:rsid w:val="005B3662"/>
    <w:rsid w:val="006360FA"/>
    <w:rsid w:val="006818CA"/>
    <w:rsid w:val="007F785F"/>
    <w:rsid w:val="00806945"/>
    <w:rsid w:val="00931B8D"/>
    <w:rsid w:val="00940B92"/>
    <w:rsid w:val="00972F59"/>
    <w:rsid w:val="00991B56"/>
    <w:rsid w:val="009F1DCC"/>
    <w:rsid w:val="00A630F8"/>
    <w:rsid w:val="00A83B95"/>
    <w:rsid w:val="00AC66DB"/>
    <w:rsid w:val="00B03810"/>
    <w:rsid w:val="00BB4770"/>
    <w:rsid w:val="00C628ED"/>
    <w:rsid w:val="00CA43CD"/>
    <w:rsid w:val="00D56DEF"/>
    <w:rsid w:val="00DE0BB3"/>
    <w:rsid w:val="00E74F6B"/>
    <w:rsid w:val="00F82E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F7E724"/>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pPr>
      <w:keepNext/>
      <w:keepLines/>
      <w:spacing w:before="480"/>
      <w:ind w:left="567" w:hanging="567"/>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ind w:left="1134" w:hanging="1134"/>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pPr>
      <w:tabs>
        <w:tab w:val="clear" w:pos="567"/>
        <w:tab w:val="clear" w:pos="1134"/>
        <w:tab w:val="clear" w:pos="1701"/>
        <w:tab w:val="clear" w:pos="2268"/>
        <w:tab w:val="clear" w:pos="2835"/>
        <w:tab w:val="left" w:pos="5954"/>
        <w:tab w:val="right" w:pos="9639"/>
      </w:tabs>
      <w:spacing w:before="0"/>
    </w:pPr>
    <w:rPr>
      <w:caps/>
      <w:sz w:val="16"/>
    </w:rPr>
  </w:style>
  <w:style w:type="paragraph" w:styleId="Header">
    <w:name w:val="header"/>
    <w:basedOn w:val="Normal"/>
    <w:link w:val="HeaderChar"/>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Pr>
      <w:rFonts w:ascii="Calibri" w:hAnsi="Calibri"/>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567"/>
    </w:pPr>
  </w:style>
  <w:style w:type="paragraph" w:customStyle="1" w:styleId="Tablelegend">
    <w:name w:val="Table_legend"/>
    <w:basedOn w:val="Tabletext"/>
    <w:pPr>
      <w:spacing w:before="120"/>
    </w:pPr>
  </w:style>
  <w:style w:type="paragraph" w:customStyle="1" w:styleId="Tabletext">
    <w:name w:val="Table_text"/>
    <w:basedOn w:val="Normal"/>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pPr>
      <w:keepNext/>
      <w:spacing w:before="560" w:after="120"/>
      <w:jc w:val="center"/>
    </w:pPr>
    <w:rPr>
      <w:caps/>
    </w:rPr>
  </w:style>
  <w:style w:type="paragraph" w:customStyle="1" w:styleId="enumlev1">
    <w:name w:val="enumlev1"/>
    <w:basedOn w:val="Normal"/>
    <w:pPr>
      <w:spacing w:before="86"/>
      <w:ind w:left="567" w:hanging="567"/>
    </w:pPr>
  </w:style>
  <w:style w:type="paragraph" w:customStyle="1" w:styleId="enumlev2">
    <w:name w:val="enumlev2"/>
    <w:basedOn w:val="enumlev1"/>
    <w:pPr>
      <w:ind w:left="1134"/>
    </w:pPr>
  </w:style>
  <w:style w:type="paragraph" w:customStyle="1" w:styleId="enumlev3">
    <w:name w:val="enumlev3"/>
    <w:basedOn w:val="enumlev2"/>
    <w:pPr>
      <w:ind w:left="1701"/>
    </w:pPr>
  </w:style>
  <w:style w:type="paragraph" w:customStyle="1" w:styleId="Tablehead">
    <w:name w:val="Table_head"/>
    <w:basedOn w:val="Tabletext"/>
    <w:pPr>
      <w:spacing w:before="120" w:after="120"/>
      <w:jc w:val="center"/>
    </w:pPr>
    <w:rPr>
      <w:b/>
    </w:rPr>
  </w:style>
  <w:style w:type="paragraph" w:customStyle="1" w:styleId="Normalaftertitle">
    <w:name w:val="Normal after title"/>
    <w:basedOn w:val="Normal"/>
    <w:next w:val="Normal"/>
    <w:pPr>
      <w:spacing w:before="240"/>
    </w:pPr>
  </w:style>
  <w:style w:type="paragraph" w:customStyle="1" w:styleId="AnnexNo">
    <w:name w:val="Annex_No"/>
    <w:basedOn w:val="Normal"/>
    <w:next w:val="Annexref"/>
    <w:pPr>
      <w:spacing w:before="720"/>
      <w:jc w:val="center"/>
    </w:pPr>
    <w:rPr>
      <w:caps/>
      <w:sz w:val="28"/>
    </w:rPr>
  </w:style>
  <w:style w:type="paragraph" w:customStyle="1" w:styleId="Annexref">
    <w:name w:val="Annex_ref"/>
    <w:basedOn w:val="Normal"/>
    <w:next w:val="Annextitle"/>
    <w:pPr>
      <w:jc w:val="center"/>
    </w:pPr>
    <w:rPr>
      <w:sz w:val="28"/>
    </w:rPr>
  </w:style>
  <w:style w:type="paragraph" w:customStyle="1" w:styleId="Annextitle">
    <w:name w:val="Annex_title"/>
    <w:basedOn w:val="Normal"/>
    <w:next w:val="Normal"/>
    <w:pPr>
      <w:spacing w:before="240" w:after="240"/>
      <w:jc w:val="center"/>
    </w:pPr>
    <w:rPr>
      <w:b/>
      <w:sz w:val="28"/>
    </w:rPr>
  </w:style>
  <w:style w:type="paragraph" w:customStyle="1" w:styleId="AppendixNo">
    <w:name w:val="Appendix_No"/>
    <w:basedOn w:val="AnnexNo"/>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sz w:val="28"/>
    </w:rPr>
  </w:style>
  <w:style w:type="paragraph" w:customStyle="1" w:styleId="Reftext">
    <w:name w:val="Ref_text"/>
    <w:basedOn w:val="Normal"/>
    <w:pPr>
      <w:ind w:left="567" w:hanging="567"/>
    </w:pPr>
  </w:style>
  <w:style w:type="paragraph" w:customStyle="1" w:styleId="Rectitle">
    <w:name w:val="Rec_title"/>
    <w:basedOn w:val="Normal"/>
    <w:next w:val="Heading1"/>
    <w:pPr>
      <w:spacing w:before="240"/>
      <w:jc w:val="center"/>
    </w:pPr>
    <w:rPr>
      <w:b/>
      <w:sz w:val="28"/>
    </w:rPr>
  </w:style>
  <w:style w:type="paragraph" w:customStyle="1" w:styleId="Call">
    <w:name w:val="Call"/>
    <w:basedOn w:val="Normal"/>
    <w:next w:val="Normal"/>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pPr>
      <w:spacing w:before="720"/>
      <w:jc w:val="center"/>
    </w:pPr>
    <w:rPr>
      <w:caps/>
      <w:sz w:val="28"/>
    </w:rPr>
  </w:style>
  <w:style w:type="paragraph" w:customStyle="1" w:styleId="toc0">
    <w:name w:val="toc 0"/>
    <w:basedOn w:val="Normal"/>
    <w:next w:val="TOC1"/>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pPr>
      <w:tabs>
        <w:tab w:val="clear" w:pos="567"/>
        <w:tab w:val="left" w:pos="851"/>
      </w:tabs>
    </w:pPr>
  </w:style>
  <w:style w:type="paragraph" w:customStyle="1" w:styleId="MinusFootnote">
    <w:name w:val="MinusFootnote"/>
    <w:basedOn w:val="Normal"/>
    <w:pPr>
      <w:ind w:left="-1701" w:hanging="284"/>
    </w:pPr>
  </w:style>
  <w:style w:type="paragraph" w:customStyle="1" w:styleId="Title3">
    <w:name w:val="Title 3"/>
    <w:basedOn w:val="Title2"/>
    <w:next w:val="Normalaftertitle"/>
    <w:rPr>
      <w:caps w:val="0"/>
    </w:rPr>
  </w:style>
  <w:style w:type="paragraph" w:customStyle="1" w:styleId="Title2">
    <w:name w:val="Title 2"/>
    <w:basedOn w:val="Source"/>
    <w:next w:val="Title3"/>
    <w:pPr>
      <w:spacing w:before="240"/>
    </w:pPr>
    <w:rPr>
      <w:b w:val="0"/>
      <w:caps/>
    </w:rPr>
  </w:style>
  <w:style w:type="paragraph" w:customStyle="1" w:styleId="Source">
    <w:name w:val="Source"/>
    <w:basedOn w:val="Normal"/>
    <w:next w:val="Title1"/>
    <w:pPr>
      <w:spacing w:before="840"/>
      <w:jc w:val="center"/>
    </w:pPr>
    <w:rPr>
      <w:b/>
      <w:sz w:val="28"/>
    </w:rPr>
  </w:style>
  <w:style w:type="paragraph" w:customStyle="1" w:styleId="Title1">
    <w:name w:val="Title 1"/>
    <w:basedOn w:val="Source"/>
    <w:next w:val="Title2"/>
    <w:pPr>
      <w:spacing w:before="240"/>
    </w:pPr>
    <w:rPr>
      <w:b w:val="0"/>
      <w:caps/>
    </w:rPr>
  </w:style>
  <w:style w:type="paragraph" w:customStyle="1" w:styleId="ArtNo">
    <w:name w:val="Art_No"/>
    <w:basedOn w:val="Normal"/>
    <w:next w:val="Arttitl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style>
  <w:style w:type="paragraph" w:customStyle="1" w:styleId="Chaptitle">
    <w:name w:val="Chap_title"/>
    <w:basedOn w:val="Arttitle"/>
    <w:next w:val="Normal"/>
  </w:style>
  <w:style w:type="paragraph" w:customStyle="1" w:styleId="Reasons">
    <w:name w:val="Reasons"/>
    <w:basedOn w:val="Normal"/>
  </w:style>
  <w:style w:type="paragraph" w:customStyle="1" w:styleId="ResNo">
    <w:name w:val="Res_No"/>
    <w:basedOn w:val="AnnexNo"/>
    <w:next w:val="Restitle"/>
  </w:style>
  <w:style w:type="paragraph" w:customStyle="1" w:styleId="Restitle">
    <w:name w:val="Res_title"/>
    <w:basedOn w:val="Annextitle"/>
    <w:next w:val="Normal"/>
  </w:style>
  <w:style w:type="paragraph" w:customStyle="1" w:styleId="AnnexNoS2">
    <w:name w:val="Annex_No_S2"/>
    <w:basedOn w:val="AnnexNo"/>
    <w:next w:val="AnnexrefS2"/>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Pr>
      <w:caps w:val="0"/>
    </w:rPr>
  </w:style>
  <w:style w:type="paragraph" w:customStyle="1" w:styleId="Section2">
    <w:name w:val="Section 2"/>
    <w:basedOn w:val="Section1"/>
    <w:next w:val="Normal"/>
    <w:pPr>
      <w:spacing w:before="240"/>
    </w:pPr>
    <w:rPr>
      <w:b/>
      <w:i/>
    </w:rPr>
  </w:style>
  <w:style w:type="paragraph" w:customStyle="1" w:styleId="AppendixNoS2">
    <w:name w:val="Appendix_No_S2"/>
    <w:basedOn w:val="AppendixNo"/>
    <w:next w:val="AppendixrefS2"/>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pPr>
      <w:tabs>
        <w:tab w:val="left" w:pos="851"/>
      </w:tabs>
      <w:jc w:val="left"/>
    </w:pPr>
    <w:rPr>
      <w:b/>
      <w:sz w:val="24"/>
    </w:rPr>
  </w:style>
  <w:style w:type="paragraph" w:customStyle="1" w:styleId="ArttitleS2">
    <w:name w:val="Art_title_S2"/>
    <w:basedOn w:val="Arttitle"/>
    <w:next w:val="NormalS2"/>
    <w:pPr>
      <w:tabs>
        <w:tab w:val="left" w:pos="851"/>
      </w:tabs>
      <w:jc w:val="left"/>
    </w:pPr>
    <w:rPr>
      <w:sz w:val="24"/>
    </w:rPr>
  </w:style>
  <w:style w:type="paragraph" w:customStyle="1" w:styleId="ChapNoS2">
    <w:name w:val="Chap_No_S2"/>
    <w:basedOn w:val="ChapNo"/>
    <w:next w:val="ChaptitleS2"/>
    <w:pPr>
      <w:tabs>
        <w:tab w:val="left" w:pos="851"/>
      </w:tabs>
      <w:jc w:val="left"/>
    </w:pPr>
    <w:rPr>
      <w:b/>
      <w:sz w:val="24"/>
    </w:rPr>
  </w:style>
  <w:style w:type="paragraph" w:customStyle="1" w:styleId="ChaptitleS2">
    <w:name w:val="Chap_title_S2"/>
    <w:basedOn w:val="Chaptitle"/>
    <w:next w:val="NormalS2"/>
    <w:pPr>
      <w:tabs>
        <w:tab w:val="left" w:pos="851"/>
      </w:tabs>
      <w:jc w:val="left"/>
    </w:pPr>
    <w:rPr>
      <w:sz w:val="24"/>
    </w:rPr>
  </w:style>
  <w:style w:type="paragraph" w:customStyle="1" w:styleId="enumlev1S2">
    <w:name w:val="enumlev1_S2"/>
    <w:basedOn w:val="enumlev1"/>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pPr>
      <w:tabs>
        <w:tab w:val="left" w:pos="851"/>
      </w:tabs>
      <w:jc w:val="left"/>
    </w:pPr>
    <w:rPr>
      <w:caps/>
      <w:sz w:val="24"/>
    </w:rPr>
  </w:style>
  <w:style w:type="paragraph" w:customStyle="1" w:styleId="Section2S2">
    <w:name w:val="Section 2_S2"/>
    <w:basedOn w:val="Section2"/>
    <w:next w:val="NormalS2"/>
    <w:pPr>
      <w:tabs>
        <w:tab w:val="left" w:pos="851"/>
      </w:tabs>
      <w:jc w:val="left"/>
    </w:pPr>
    <w:rPr>
      <w:sz w:val="24"/>
    </w:rPr>
  </w:style>
  <w:style w:type="paragraph" w:customStyle="1" w:styleId="TableNoS2">
    <w:name w:val="Table_No_S2"/>
    <w:basedOn w:val="TableNo"/>
    <w:next w:val="TabletitleS2"/>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pPr>
      <w:keepNext w:val="0"/>
      <w:tabs>
        <w:tab w:val="clear" w:pos="2948"/>
        <w:tab w:val="clear" w:pos="4082"/>
        <w:tab w:val="left" w:pos="851"/>
      </w:tabs>
      <w:jc w:val="left"/>
    </w:pPr>
  </w:style>
  <w:style w:type="paragraph" w:customStyle="1" w:styleId="TabletextS2">
    <w:name w:val="Table_text_S2"/>
    <w:basedOn w:val="Tabletext"/>
    <w:pPr>
      <w:tabs>
        <w:tab w:val="left" w:pos="851"/>
      </w:tabs>
    </w:pPr>
    <w:rPr>
      <w:b/>
    </w:rPr>
  </w:style>
  <w:style w:type="paragraph" w:customStyle="1" w:styleId="TablelegendS2">
    <w:name w:val="Table_legend_S2"/>
    <w:basedOn w:val="Tablelegend"/>
    <w:pPr>
      <w:tabs>
        <w:tab w:val="left" w:pos="851"/>
      </w:tabs>
      <w:spacing w:after="0"/>
    </w:pPr>
    <w:rPr>
      <w:b/>
    </w:rPr>
  </w:style>
  <w:style w:type="paragraph" w:customStyle="1" w:styleId="FooterS2">
    <w:name w:val="Footer_S2"/>
    <w:basedOn w:val="Footer"/>
    <w:pPr>
      <w:tabs>
        <w:tab w:val="clear" w:pos="5954"/>
        <w:tab w:val="clear" w:pos="9639"/>
        <w:tab w:val="left" w:pos="3686"/>
        <w:tab w:val="right" w:pos="7655"/>
      </w:tabs>
      <w:ind w:left="-1985"/>
    </w:pPr>
  </w:style>
  <w:style w:type="paragraph" w:customStyle="1" w:styleId="HeaderS2">
    <w:name w:val="Header_S2"/>
    <w:basedOn w:val="Normal"/>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pPr>
      <w:tabs>
        <w:tab w:val="left" w:pos="851"/>
      </w:tabs>
      <w:jc w:val="left"/>
    </w:pPr>
  </w:style>
  <w:style w:type="paragraph" w:customStyle="1" w:styleId="NoteS2">
    <w:name w:val="Note_S2"/>
    <w:basedOn w:val="Note"/>
    <w:pPr>
      <w:tabs>
        <w:tab w:val="clear" w:pos="1134"/>
        <w:tab w:val="clear" w:pos="1701"/>
        <w:tab w:val="clear" w:pos="2268"/>
        <w:tab w:val="clear" w:pos="2835"/>
      </w:tabs>
    </w:pPr>
    <w:rPr>
      <w:b/>
    </w:rPr>
  </w:style>
  <w:style w:type="paragraph" w:customStyle="1" w:styleId="Heading1c">
    <w:name w:val="Heading 1c"/>
    <w:basedOn w:val="Heading1"/>
    <w:next w:val="Normal"/>
    <w:pPr>
      <w:ind w:left="0" w:firstLine="0"/>
      <w:jc w:val="center"/>
      <w:outlineLvl w:val="9"/>
    </w:pPr>
  </w:style>
  <w:style w:type="paragraph" w:customStyle="1" w:styleId="Heading2i">
    <w:name w:val="Heading 2i"/>
    <w:basedOn w:val="Heading2"/>
    <w:next w:val="Normal"/>
    <w:rPr>
      <w:b w:val="0"/>
      <w:i/>
    </w:rPr>
  </w:style>
  <w:style w:type="paragraph" w:customStyle="1" w:styleId="Heading1cS2">
    <w:name w:val="Heading 1c_S2"/>
    <w:basedOn w:val="Heading1c"/>
    <w:next w:val="NormalS2"/>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Pr>
      <w:caps w:val="0"/>
    </w:rPr>
  </w:style>
  <w:style w:type="paragraph" w:customStyle="1" w:styleId="Headingb">
    <w:name w:val="Heading_b"/>
    <w:basedOn w:val="Heading3"/>
    <w:next w:val="Normal"/>
    <w:pPr>
      <w:spacing w:before="160"/>
      <w:outlineLvl w:val="0"/>
    </w:pPr>
  </w:style>
  <w:style w:type="paragraph" w:styleId="TOC9">
    <w:name w:val="toc 9"/>
    <w:basedOn w:val="Normal"/>
    <w:next w:val="Normal"/>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pPr>
      <w:spacing w:before="160"/>
      <w:outlineLvl w:val="0"/>
    </w:pPr>
    <w:rPr>
      <w:b w:val="0"/>
      <w:i/>
    </w:rPr>
  </w:style>
  <w:style w:type="paragraph" w:customStyle="1" w:styleId="HeadingbS2">
    <w:name w:val="Headingb_S2"/>
    <w:basedOn w:val="Headingb"/>
    <w:next w:val="NormalS2"/>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Pr>
      <w:rFonts w:ascii="Calibri" w:hAnsi="Calibri"/>
    </w:rPr>
  </w:style>
  <w:style w:type="character" w:styleId="Hyperlink">
    <w:name w:val="Hyperlink"/>
    <w:basedOn w:val="DefaultParagraphFont"/>
    <w:uiPriority w:val="99"/>
    <w:rPr>
      <w:rFonts w:ascii="Calibri" w:hAnsi="Calibri"/>
      <w:color w:val="0000FF"/>
      <w:u w:val="single"/>
    </w:rPr>
  </w:style>
  <w:style w:type="paragraph" w:customStyle="1" w:styleId="firstfooter0">
    <w:name w:val="firstfooter"/>
    <w:basedOn w:val="Normal"/>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Normalpv">
    <w:name w:val="Normal pv"/>
    <w:basedOn w:val="Normal"/>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pPr>
      <w:spacing w:before="320"/>
      <w:outlineLvl w:val="1"/>
    </w:pPr>
    <w:rPr>
      <w:sz w:val="24"/>
    </w:rPr>
  </w:style>
  <w:style w:type="paragraph" w:customStyle="1" w:styleId="Heading3pv">
    <w:name w:val="Heading 3pv"/>
    <w:basedOn w:val="Heading1pv"/>
    <w:next w:val="Normalpv"/>
    <w:pPr>
      <w:spacing w:before="200"/>
      <w:outlineLvl w:val="2"/>
    </w:pPr>
    <w:rPr>
      <w:sz w:val="24"/>
    </w:rPr>
  </w:style>
  <w:style w:type="paragraph" w:customStyle="1" w:styleId="NormalendS2">
    <w:name w:val="Normal_end_S2"/>
    <w:basedOn w:val="Normal"/>
    <w:qFormat/>
  </w:style>
  <w:style w:type="paragraph" w:customStyle="1" w:styleId="Dectitle">
    <w:name w:val="Dec_title"/>
    <w:basedOn w:val="Restitle"/>
    <w:next w:val="Normalaftertitle"/>
    <w:qFormat/>
  </w:style>
  <w:style w:type="paragraph" w:customStyle="1" w:styleId="DecNo">
    <w:name w:val="Dec_No"/>
    <w:basedOn w:val="ResNo"/>
    <w:next w:val="Dectitle"/>
    <w:qFormat/>
  </w:style>
  <w:style w:type="paragraph" w:customStyle="1" w:styleId="DectitleS2">
    <w:name w:val="Dec_title_S2"/>
    <w:basedOn w:val="RestitleS2"/>
    <w:next w:val="Normal"/>
    <w:qFormat/>
  </w:style>
  <w:style w:type="paragraph" w:customStyle="1" w:styleId="DecNoS2">
    <w:name w:val="Dec_No_S2"/>
    <w:basedOn w:val="ResNoS2"/>
    <w:next w:val="DectitleS2"/>
    <w:qFormat/>
  </w:style>
  <w:style w:type="paragraph" w:customStyle="1" w:styleId="SectionNo">
    <w:name w:val="Section_No"/>
    <w:basedOn w:val="ArtNo"/>
    <w:next w:val="Normal"/>
    <w:qFormat/>
    <w:rPr>
      <w:lang w:val="en-GB"/>
    </w:rPr>
  </w:style>
  <w:style w:type="paragraph" w:customStyle="1" w:styleId="SectionNoS2">
    <w:name w:val="Section_No_S2"/>
    <w:basedOn w:val="ArtNoS2"/>
    <w:next w:val="Normal"/>
    <w:qFormat/>
    <w:rPr>
      <w:lang w:val="en-GB"/>
    </w:rPr>
  </w:style>
  <w:style w:type="paragraph" w:customStyle="1" w:styleId="Sectiontitle">
    <w:name w:val="Section_title"/>
    <w:basedOn w:val="Arttitle"/>
    <w:next w:val="Normalaftertitle"/>
    <w:qFormat/>
    <w:rPr>
      <w:lang w:val="en-GB"/>
    </w:rPr>
  </w:style>
  <w:style w:type="paragraph" w:customStyle="1" w:styleId="SectiontitleS2">
    <w:name w:val="Section_title_S2"/>
    <w:basedOn w:val="ArttitleS2"/>
    <w:next w:val="Normal"/>
    <w:qFormat/>
    <w:rPr>
      <w:lang w:val="en-GB"/>
    </w:rPr>
  </w:style>
  <w:style w:type="paragraph" w:customStyle="1" w:styleId="Proposal">
    <w:name w:val="Proposal"/>
    <w:basedOn w:val="Normal"/>
    <w:next w:val="Normal"/>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Pr>
      <w:rFonts w:ascii="Calibri" w:hAnsi="Calibri"/>
      <w:sz w:val="18"/>
      <w:lang w:val="fr-FR" w:eastAsia="en-US"/>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eastAsia="en-US"/>
    </w:rPr>
  </w:style>
  <w:style w:type="paragraph" w:customStyle="1" w:styleId="OP">
    <w:name w:val="OP"/>
    <w:basedOn w:val="Normal"/>
    <w:next w:val="Normal"/>
    <w:qFormat/>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pPr>
      <w:jc w:val="center"/>
    </w:pPr>
    <w:rPr>
      <w:b/>
      <w:bCs/>
      <w:lang w:val="en-GB"/>
    </w:rPr>
  </w:style>
  <w:style w:type="paragraph" w:customStyle="1" w:styleId="VolumeTitle">
    <w:name w:val="VolumeTitle"/>
    <w:basedOn w:val="Normal"/>
    <w:next w:val="Normal"/>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Pr>
      <w:color w:val="auto"/>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1Char">
    <w:name w:val="Heading 1 Char"/>
    <w:basedOn w:val="DefaultParagraphFont"/>
    <w:link w:val="Heading1"/>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p22.itu.int/en/itu_policy_statements/malcolm-johnson-itu-dsg-closing-speec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p22.itu.int/en/itu_policy_statements/chaesub-lee-itu-closing-spee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pp22.itu.int/en/itu_policy_statements/nicolae-ciuca-prime-minister-romania-speech/" TargetMode="External"/><Relationship Id="rId5" Type="http://schemas.openxmlformats.org/officeDocument/2006/relationships/webSettings" Target="webSettings.xml"/><Relationship Id="rId15" Type="http://schemas.openxmlformats.org/officeDocument/2006/relationships/hyperlink" Target="https://pp22.itu.int/en/itu_policy_statements/chairman-sabin-sarmas-itu-closing-speech/" TargetMode="External"/><Relationship Id="rId10" Type="http://schemas.openxmlformats.org/officeDocument/2006/relationships/hyperlink" Target="https://www.itu.int/md/S22-PP-C-0200/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22-PP-C-0200/en" TargetMode="External"/><Relationship Id="rId14" Type="http://schemas.openxmlformats.org/officeDocument/2006/relationships/hyperlink" Target="https://pp22.itu.int/en/itu_policy_statements/houlin-zhao-itu-sg-closing-spee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10470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12022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(PP-22)</dc:subject>
  <dc:creator>Manias, Michel</dc:creator>
  <cp:keywords/>
  <dc:description/>
  <cp:lastModifiedBy>Xue, Kun</cp:lastModifiedBy>
  <cp:revision>2</cp:revision>
  <dcterms:created xsi:type="dcterms:W3CDTF">2022-11-21T08:24:00Z</dcterms:created>
  <dcterms:modified xsi:type="dcterms:W3CDTF">2022-11-21T08:24:00Z</dcterms:modified>
  <cp:category>Conference document</cp:category>
</cp:coreProperties>
</file>