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4A0" w:firstRow="1" w:lastRow="0" w:firstColumn="1" w:lastColumn="0" w:noHBand="0" w:noVBand="1"/>
      </w:tblPr>
      <w:tblGrid>
        <w:gridCol w:w="1526"/>
        <w:gridCol w:w="3543"/>
        <w:gridCol w:w="284"/>
        <w:gridCol w:w="4536"/>
      </w:tblGrid>
      <w:tr w:rsidR="003476DD" w:rsidRPr="00C22159" w14:paraId="08F037DF" w14:textId="77777777" w:rsidTr="00B330B7">
        <w:tc>
          <w:tcPr>
            <w:tcW w:w="9889" w:type="dxa"/>
            <w:gridSpan w:val="4"/>
            <w:shd w:val="clear" w:color="auto" w:fill="auto"/>
          </w:tcPr>
          <w:p w14:paraId="51E2E822" w14:textId="77777777" w:rsidR="003476DD" w:rsidRPr="00C22159" w:rsidRDefault="000A249C" w:rsidP="00B330B7">
            <w:pPr>
              <w:jc w:val="left"/>
              <w:rPr>
                <w:rFonts w:cs="Times New Roman Bold"/>
                <w:b/>
                <w:bCs/>
                <w:color w:val="808080"/>
                <w:sz w:val="28"/>
                <w:szCs w:val="28"/>
              </w:rPr>
            </w:pPr>
            <w:bookmarkStart w:id="0" w:name="Origine"/>
            <w:bookmarkEnd w:id="0"/>
            <w:r w:rsidRPr="00C22159">
              <w:rPr>
                <w:rFonts w:cs="Times New Roman Bold"/>
                <w:b/>
                <w:bCs/>
                <w:color w:val="808080"/>
                <w:sz w:val="28"/>
                <w:szCs w:val="28"/>
              </w:rPr>
              <w:t>Secrétariat général (SG)</w:t>
            </w:r>
          </w:p>
        </w:tc>
      </w:tr>
      <w:tr w:rsidR="003476DD" w:rsidRPr="00C22159" w14:paraId="3A7097BD" w14:textId="77777777" w:rsidTr="00B330B7">
        <w:tc>
          <w:tcPr>
            <w:tcW w:w="9889" w:type="dxa"/>
            <w:gridSpan w:val="4"/>
            <w:shd w:val="clear" w:color="auto" w:fill="auto"/>
          </w:tcPr>
          <w:p w14:paraId="029C1F7C" w14:textId="77777777" w:rsidR="003476DD" w:rsidRPr="00C22159" w:rsidRDefault="003476DD" w:rsidP="00B330B7">
            <w:pPr>
              <w:jc w:val="left"/>
            </w:pPr>
          </w:p>
        </w:tc>
      </w:tr>
      <w:tr w:rsidR="003476DD" w:rsidRPr="00C22159" w14:paraId="4BDC2E91" w14:textId="77777777" w:rsidTr="00B330B7">
        <w:tc>
          <w:tcPr>
            <w:tcW w:w="5353" w:type="dxa"/>
            <w:gridSpan w:val="3"/>
            <w:shd w:val="clear" w:color="auto" w:fill="auto"/>
          </w:tcPr>
          <w:p w14:paraId="0C79F047" w14:textId="77777777" w:rsidR="003476DD" w:rsidRPr="00C22159" w:rsidRDefault="003476DD" w:rsidP="00B330B7">
            <w:pPr>
              <w:jc w:val="left"/>
            </w:pPr>
          </w:p>
        </w:tc>
        <w:tc>
          <w:tcPr>
            <w:tcW w:w="4536" w:type="dxa"/>
            <w:shd w:val="clear" w:color="auto" w:fill="auto"/>
          </w:tcPr>
          <w:p w14:paraId="3D038A44" w14:textId="0254BBB3" w:rsidR="003476DD" w:rsidRPr="00C22159" w:rsidRDefault="000A249C" w:rsidP="00EC282E">
            <w:pPr>
              <w:spacing w:line="240" w:lineRule="auto"/>
              <w:ind w:right="57"/>
              <w:jc w:val="left"/>
            </w:pPr>
            <w:r w:rsidRPr="00C22159">
              <w:t xml:space="preserve">Genève, le </w:t>
            </w:r>
            <w:r w:rsidR="00F61911" w:rsidRPr="00C22159">
              <w:rPr>
                <w:rFonts w:cs="Arial"/>
              </w:rPr>
              <w:t>28 juin 2022</w:t>
            </w:r>
          </w:p>
        </w:tc>
      </w:tr>
      <w:tr w:rsidR="00757B2B" w:rsidRPr="00C22159" w14:paraId="36D75024" w14:textId="77777777" w:rsidTr="00757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58F33EAD" w14:textId="77777777" w:rsidR="00757B2B" w:rsidRPr="00C22159" w:rsidRDefault="000A249C" w:rsidP="000A249C">
            <w:pPr>
              <w:spacing w:before="0" w:line="240" w:lineRule="auto"/>
              <w:jc w:val="left"/>
            </w:pPr>
            <w:r w:rsidRPr="00C22159">
              <w:t>Réf.:</w:t>
            </w:r>
          </w:p>
        </w:tc>
        <w:tc>
          <w:tcPr>
            <w:tcW w:w="3827" w:type="dxa"/>
            <w:gridSpan w:val="2"/>
            <w:tcBorders>
              <w:top w:val="nil"/>
              <w:left w:val="nil"/>
              <w:bottom w:val="nil"/>
              <w:right w:val="nil"/>
            </w:tcBorders>
            <w:shd w:val="clear" w:color="auto" w:fill="auto"/>
          </w:tcPr>
          <w:p w14:paraId="06B85010" w14:textId="29436FA5" w:rsidR="00757B2B" w:rsidRPr="00C22159" w:rsidRDefault="00F61911" w:rsidP="000A249C">
            <w:pPr>
              <w:spacing w:before="0" w:line="240" w:lineRule="auto"/>
              <w:jc w:val="left"/>
              <w:rPr>
                <w:b/>
                <w:bCs/>
              </w:rPr>
            </w:pPr>
            <w:r w:rsidRPr="00C22159">
              <w:rPr>
                <w:b/>
                <w:bCs/>
              </w:rPr>
              <w:t>CL-22/24</w:t>
            </w:r>
          </w:p>
        </w:tc>
        <w:tc>
          <w:tcPr>
            <w:tcW w:w="4536" w:type="dxa"/>
            <w:tcBorders>
              <w:top w:val="nil"/>
              <w:left w:val="nil"/>
              <w:bottom w:val="nil"/>
              <w:right w:val="nil"/>
            </w:tcBorders>
            <w:shd w:val="clear" w:color="auto" w:fill="auto"/>
          </w:tcPr>
          <w:p w14:paraId="67E427CA" w14:textId="77777777" w:rsidR="00757B2B" w:rsidRPr="00C22159" w:rsidRDefault="00757B2B" w:rsidP="000A249C">
            <w:pPr>
              <w:spacing w:before="0" w:line="240" w:lineRule="auto"/>
              <w:jc w:val="left"/>
            </w:pPr>
          </w:p>
        </w:tc>
      </w:tr>
      <w:tr w:rsidR="003476DD" w:rsidRPr="00C22159" w14:paraId="007A2D89" w14:textId="77777777" w:rsidTr="000032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7D2A5429" w14:textId="1ACF7FCB" w:rsidR="003476DD" w:rsidRPr="00C22159" w:rsidRDefault="000A249C" w:rsidP="00B330B7">
            <w:pPr>
              <w:spacing w:before="0"/>
              <w:jc w:val="left"/>
              <w:rPr>
                <w:iCs/>
                <w:color w:val="FFFFFF" w:themeColor="background1"/>
              </w:rPr>
            </w:pPr>
            <w:r w:rsidRPr="00C22159">
              <w:rPr>
                <w:iCs/>
              </w:rPr>
              <w:t>Contact:</w:t>
            </w:r>
          </w:p>
        </w:tc>
        <w:tc>
          <w:tcPr>
            <w:tcW w:w="3543" w:type="dxa"/>
            <w:tcBorders>
              <w:top w:val="nil"/>
              <w:left w:val="nil"/>
              <w:bottom w:val="nil"/>
              <w:right w:val="nil"/>
            </w:tcBorders>
            <w:shd w:val="clear" w:color="auto" w:fill="auto"/>
          </w:tcPr>
          <w:p w14:paraId="5BEB95FD" w14:textId="0D63EA7C" w:rsidR="003476DD" w:rsidRPr="00C22159" w:rsidRDefault="00F61911" w:rsidP="00B330B7">
            <w:pPr>
              <w:spacing w:before="0"/>
              <w:jc w:val="left"/>
            </w:pPr>
            <w:bookmarkStart w:id="1" w:name="Contact"/>
            <w:bookmarkEnd w:id="1"/>
            <w:r w:rsidRPr="00C22159">
              <w:t>Mme Christina Vasala Kokkinaki</w:t>
            </w:r>
          </w:p>
        </w:tc>
        <w:tc>
          <w:tcPr>
            <w:tcW w:w="284" w:type="dxa"/>
            <w:tcBorders>
              <w:top w:val="nil"/>
              <w:left w:val="nil"/>
              <w:bottom w:val="nil"/>
              <w:right w:val="nil"/>
            </w:tcBorders>
            <w:shd w:val="clear" w:color="auto" w:fill="auto"/>
          </w:tcPr>
          <w:p w14:paraId="77E5F6BB" w14:textId="77777777" w:rsidR="003476DD" w:rsidRPr="00C22159" w:rsidRDefault="003476DD" w:rsidP="00B330B7">
            <w:pPr>
              <w:spacing w:before="0"/>
            </w:pPr>
          </w:p>
        </w:tc>
        <w:tc>
          <w:tcPr>
            <w:tcW w:w="4536" w:type="dxa"/>
            <w:vMerge w:val="restart"/>
            <w:tcBorders>
              <w:top w:val="nil"/>
              <w:left w:val="nil"/>
              <w:bottom w:val="nil"/>
              <w:right w:val="nil"/>
            </w:tcBorders>
            <w:shd w:val="clear" w:color="auto" w:fill="auto"/>
          </w:tcPr>
          <w:p w14:paraId="4C374C62" w14:textId="29E7E5D0" w:rsidR="000A249C" w:rsidRPr="00C22159" w:rsidRDefault="00F61911" w:rsidP="001D7163">
            <w:pPr>
              <w:spacing w:before="0" w:line="240" w:lineRule="auto"/>
              <w:rPr>
                <w:color w:val="000000"/>
              </w:rPr>
            </w:pPr>
            <w:r w:rsidRPr="00C22159">
              <w:rPr>
                <w:color w:val="000000"/>
              </w:rPr>
              <w:t>Aux États Membres de l'UIT</w:t>
            </w:r>
          </w:p>
        </w:tc>
      </w:tr>
      <w:tr w:rsidR="003476DD" w:rsidRPr="00C22159" w14:paraId="18F71DCA" w14:textId="77777777" w:rsidTr="00B330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6A31A3C1" w14:textId="3AA744A3" w:rsidR="003476DD" w:rsidRPr="00C22159" w:rsidRDefault="00F61911" w:rsidP="003476DD">
            <w:pPr>
              <w:spacing w:before="0"/>
              <w:jc w:val="left"/>
              <w:rPr>
                <w:iCs/>
                <w:color w:val="FFFFFF" w:themeColor="background1"/>
              </w:rPr>
            </w:pPr>
            <w:r w:rsidRPr="00C22159">
              <w:t>Courriel</w:t>
            </w:r>
            <w:r w:rsidRPr="00C22159">
              <w:rPr>
                <w:iCs/>
              </w:rPr>
              <w:t>:</w:t>
            </w:r>
          </w:p>
        </w:tc>
        <w:tc>
          <w:tcPr>
            <w:tcW w:w="3543" w:type="dxa"/>
            <w:tcBorders>
              <w:top w:val="nil"/>
              <w:left w:val="nil"/>
              <w:bottom w:val="nil"/>
              <w:right w:val="nil"/>
            </w:tcBorders>
            <w:shd w:val="clear" w:color="auto" w:fill="auto"/>
          </w:tcPr>
          <w:p w14:paraId="0D640BCB" w14:textId="56E931AA" w:rsidR="003476DD" w:rsidRPr="00C22159" w:rsidRDefault="00757509" w:rsidP="00B330B7">
            <w:pPr>
              <w:spacing w:before="0"/>
              <w:jc w:val="left"/>
            </w:pPr>
            <w:hyperlink r:id="rId8" w:history="1">
              <w:r w:rsidR="00F61911" w:rsidRPr="00C22159">
                <w:rPr>
                  <w:rStyle w:val="Hyperlink"/>
                </w:rPr>
                <w:t>credentials@itu.int</w:t>
              </w:r>
            </w:hyperlink>
            <w:r w:rsidR="00F61911" w:rsidRPr="00C22159">
              <w:t xml:space="preserve"> </w:t>
            </w:r>
          </w:p>
        </w:tc>
        <w:tc>
          <w:tcPr>
            <w:tcW w:w="284" w:type="dxa"/>
            <w:tcBorders>
              <w:top w:val="nil"/>
              <w:left w:val="nil"/>
              <w:bottom w:val="nil"/>
              <w:right w:val="nil"/>
            </w:tcBorders>
            <w:shd w:val="clear" w:color="auto" w:fill="auto"/>
          </w:tcPr>
          <w:p w14:paraId="5225202B" w14:textId="77777777" w:rsidR="003476DD" w:rsidRPr="00C22159" w:rsidRDefault="003476DD" w:rsidP="00B330B7">
            <w:pPr>
              <w:spacing w:before="0"/>
            </w:pPr>
          </w:p>
        </w:tc>
        <w:tc>
          <w:tcPr>
            <w:tcW w:w="4536" w:type="dxa"/>
            <w:vMerge/>
            <w:tcBorders>
              <w:top w:val="nil"/>
              <w:left w:val="nil"/>
              <w:bottom w:val="nil"/>
              <w:right w:val="nil"/>
            </w:tcBorders>
            <w:shd w:val="clear" w:color="auto" w:fill="auto"/>
          </w:tcPr>
          <w:p w14:paraId="754FFF03" w14:textId="77777777" w:rsidR="003476DD" w:rsidRPr="00C22159" w:rsidRDefault="003476DD" w:rsidP="00B330B7">
            <w:pPr>
              <w:spacing w:before="0"/>
            </w:pPr>
          </w:p>
        </w:tc>
      </w:tr>
      <w:tr w:rsidR="003476DD" w:rsidRPr="00C22159" w14:paraId="6F07A673" w14:textId="77777777" w:rsidTr="00B330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5B3E800F" w14:textId="62CBAC8B" w:rsidR="003476DD" w:rsidRPr="00C22159" w:rsidRDefault="003476DD" w:rsidP="003476DD">
            <w:pPr>
              <w:spacing w:before="0"/>
              <w:jc w:val="left"/>
              <w:rPr>
                <w:iCs/>
                <w:color w:val="FFFFFF" w:themeColor="background1"/>
              </w:rPr>
            </w:pPr>
          </w:p>
        </w:tc>
        <w:tc>
          <w:tcPr>
            <w:tcW w:w="3543" w:type="dxa"/>
            <w:tcBorders>
              <w:top w:val="nil"/>
              <w:left w:val="nil"/>
              <w:bottom w:val="nil"/>
              <w:right w:val="nil"/>
            </w:tcBorders>
            <w:shd w:val="clear" w:color="auto" w:fill="auto"/>
          </w:tcPr>
          <w:p w14:paraId="07C3A9B4" w14:textId="77777777" w:rsidR="003476DD" w:rsidRPr="00C22159" w:rsidRDefault="003476DD" w:rsidP="00B330B7">
            <w:pPr>
              <w:spacing w:before="0"/>
              <w:jc w:val="left"/>
            </w:pPr>
          </w:p>
        </w:tc>
        <w:tc>
          <w:tcPr>
            <w:tcW w:w="284" w:type="dxa"/>
            <w:tcBorders>
              <w:top w:val="nil"/>
              <w:left w:val="nil"/>
              <w:bottom w:val="nil"/>
              <w:right w:val="nil"/>
            </w:tcBorders>
            <w:shd w:val="clear" w:color="auto" w:fill="auto"/>
          </w:tcPr>
          <w:p w14:paraId="7852013B" w14:textId="77777777" w:rsidR="003476DD" w:rsidRPr="00C22159" w:rsidRDefault="003476DD" w:rsidP="00B330B7">
            <w:pPr>
              <w:spacing w:before="0"/>
            </w:pPr>
          </w:p>
        </w:tc>
        <w:tc>
          <w:tcPr>
            <w:tcW w:w="4536" w:type="dxa"/>
            <w:vMerge/>
            <w:tcBorders>
              <w:top w:val="nil"/>
              <w:left w:val="nil"/>
              <w:bottom w:val="nil"/>
              <w:right w:val="nil"/>
            </w:tcBorders>
            <w:shd w:val="clear" w:color="auto" w:fill="auto"/>
          </w:tcPr>
          <w:p w14:paraId="7D062007" w14:textId="77777777" w:rsidR="003476DD" w:rsidRPr="00C22159" w:rsidRDefault="003476DD" w:rsidP="00B330B7">
            <w:pPr>
              <w:spacing w:before="0"/>
            </w:pPr>
          </w:p>
        </w:tc>
      </w:tr>
      <w:tr w:rsidR="003476DD" w:rsidRPr="00C22159" w14:paraId="2EF4CC10" w14:textId="77777777" w:rsidTr="000032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13897800" w14:textId="77777777" w:rsidR="003476DD" w:rsidRPr="00C22159" w:rsidRDefault="003476DD" w:rsidP="00072C3E">
            <w:pPr>
              <w:spacing w:before="0"/>
              <w:jc w:val="left"/>
              <w:rPr>
                <w:iCs/>
              </w:rPr>
            </w:pPr>
          </w:p>
        </w:tc>
        <w:tc>
          <w:tcPr>
            <w:tcW w:w="8363" w:type="dxa"/>
            <w:gridSpan w:val="3"/>
            <w:tcBorders>
              <w:top w:val="nil"/>
              <w:left w:val="nil"/>
              <w:bottom w:val="nil"/>
              <w:right w:val="nil"/>
            </w:tcBorders>
            <w:shd w:val="clear" w:color="auto" w:fill="auto"/>
          </w:tcPr>
          <w:p w14:paraId="1BCD52F9" w14:textId="77777777" w:rsidR="003476DD" w:rsidRPr="00C22159" w:rsidRDefault="003476DD" w:rsidP="001D7163">
            <w:pPr>
              <w:spacing w:before="0"/>
              <w:jc w:val="left"/>
              <w:rPr>
                <w:iCs/>
              </w:rPr>
            </w:pPr>
          </w:p>
        </w:tc>
      </w:tr>
      <w:tr w:rsidR="00757B2B" w:rsidRPr="00C22159" w14:paraId="1F612434" w14:textId="77777777" w:rsidTr="000032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00453EBC" w14:textId="77777777" w:rsidR="00757B2B" w:rsidRPr="00C22159" w:rsidRDefault="000A249C" w:rsidP="000A249C">
            <w:pPr>
              <w:spacing w:before="120" w:line="240" w:lineRule="auto"/>
              <w:jc w:val="left"/>
              <w:rPr>
                <w:color w:val="000000"/>
              </w:rPr>
            </w:pPr>
            <w:r w:rsidRPr="00C22159">
              <w:rPr>
                <w:color w:val="000000"/>
              </w:rPr>
              <w:t>Objet:</w:t>
            </w:r>
          </w:p>
        </w:tc>
        <w:tc>
          <w:tcPr>
            <w:tcW w:w="8363" w:type="dxa"/>
            <w:gridSpan w:val="3"/>
            <w:tcBorders>
              <w:top w:val="nil"/>
              <w:left w:val="nil"/>
              <w:bottom w:val="nil"/>
              <w:right w:val="nil"/>
            </w:tcBorders>
            <w:shd w:val="clear" w:color="auto" w:fill="auto"/>
          </w:tcPr>
          <w:p w14:paraId="7B845942" w14:textId="0900AF2F" w:rsidR="00757B2B" w:rsidRPr="00C22159" w:rsidRDefault="0097317A" w:rsidP="000A249C">
            <w:pPr>
              <w:spacing w:before="120" w:line="240" w:lineRule="auto"/>
              <w:jc w:val="left"/>
              <w:rPr>
                <w:b/>
                <w:bCs/>
                <w:color w:val="000000"/>
              </w:rPr>
            </w:pPr>
            <w:bookmarkStart w:id="2" w:name="Subject"/>
            <w:bookmarkEnd w:id="2"/>
            <w:r w:rsidRPr="00C22159">
              <w:rPr>
                <w:b/>
                <w:bCs/>
                <w:color w:val="000000"/>
              </w:rPr>
              <w:t xml:space="preserve">Pouvoirs des délégations participant à la Conférence de plénipotentiaires </w:t>
            </w:r>
            <w:r w:rsidR="004504B2" w:rsidRPr="00C22159">
              <w:rPr>
                <w:b/>
                <w:bCs/>
                <w:color w:val="000000"/>
              </w:rPr>
              <w:t xml:space="preserve">de </w:t>
            </w:r>
            <w:r w:rsidRPr="00C22159">
              <w:rPr>
                <w:b/>
                <w:bCs/>
                <w:color w:val="000000"/>
              </w:rPr>
              <w:t>2022 (PP</w:t>
            </w:r>
            <w:r w:rsidR="00B71736" w:rsidRPr="00C22159">
              <w:rPr>
                <w:b/>
                <w:bCs/>
                <w:color w:val="000000"/>
              </w:rPr>
              <w:noBreakHyphen/>
            </w:r>
            <w:r w:rsidRPr="00C22159">
              <w:rPr>
                <w:b/>
                <w:bCs/>
                <w:color w:val="000000"/>
              </w:rPr>
              <w:t>22)</w:t>
            </w:r>
          </w:p>
        </w:tc>
      </w:tr>
    </w:tbl>
    <w:p w14:paraId="6CB69E0E" w14:textId="77777777" w:rsidR="00AF3325" w:rsidRPr="00C22159" w:rsidRDefault="000A249C" w:rsidP="000A249C">
      <w:pPr>
        <w:pStyle w:val="Normalaftertitle0"/>
        <w:spacing w:before="240"/>
        <w:rPr>
          <w:rFonts w:asciiTheme="minorHAnsi" w:hAnsiTheme="minorHAnsi"/>
          <w:sz w:val="22"/>
          <w:szCs w:val="22"/>
          <w:lang w:val="fr-FR"/>
        </w:rPr>
      </w:pPr>
      <w:bookmarkStart w:id="3" w:name="CurrentLocation"/>
      <w:bookmarkEnd w:id="3"/>
      <w:r w:rsidRPr="00C22159">
        <w:rPr>
          <w:rFonts w:asciiTheme="minorHAnsi" w:hAnsiTheme="minorHAnsi"/>
          <w:sz w:val="22"/>
          <w:szCs w:val="22"/>
          <w:lang w:val="fr-FR"/>
        </w:rPr>
        <w:t>Madame, Monsieur,</w:t>
      </w:r>
    </w:p>
    <w:p w14:paraId="0DF102C2" w14:textId="7A4D4D20" w:rsidR="0097317A" w:rsidRPr="00C22159" w:rsidRDefault="0097317A" w:rsidP="0097317A">
      <w:pPr>
        <w:jc w:val="left"/>
      </w:pPr>
      <w:bookmarkStart w:id="4" w:name="Formula"/>
      <w:bookmarkStart w:id="5" w:name="MainStory"/>
      <w:bookmarkEnd w:id="4"/>
      <w:bookmarkEnd w:id="5"/>
      <w:r w:rsidRPr="00C22159">
        <w:t xml:space="preserve">Alors qu'approche la Conférence de plénipotentiaires de </w:t>
      </w:r>
      <w:r w:rsidR="007E1FBB" w:rsidRPr="00C22159">
        <w:t>2022</w:t>
      </w:r>
      <w:r w:rsidRPr="00C22159">
        <w:t xml:space="preserve"> (PP-</w:t>
      </w:r>
      <w:r w:rsidR="007E1FBB" w:rsidRPr="00C22159">
        <w:t>22</w:t>
      </w:r>
      <w:r w:rsidRPr="00C22159">
        <w:t xml:space="preserve">), qui s'ouvrira à </w:t>
      </w:r>
      <w:r w:rsidR="007E1FBB" w:rsidRPr="00C22159">
        <w:t>Bucarest</w:t>
      </w:r>
      <w:r w:rsidRPr="00C22159">
        <w:t xml:space="preserve"> (</w:t>
      </w:r>
      <w:r w:rsidR="007E1FBB" w:rsidRPr="00C22159">
        <w:t>Roumanie</w:t>
      </w:r>
      <w:r w:rsidRPr="00C22159">
        <w:t xml:space="preserve">) le lundi </w:t>
      </w:r>
      <w:r w:rsidR="00E21851" w:rsidRPr="00C22159">
        <w:t>26 septembre 2022</w:t>
      </w:r>
      <w:r w:rsidRPr="00C22159">
        <w:t xml:space="preserve">, je souhaiterais rappeler la Lettre circulaire </w:t>
      </w:r>
      <w:hyperlink r:id="rId9" w:history="1">
        <w:r w:rsidR="00E21851" w:rsidRPr="00C22159">
          <w:rPr>
            <w:rStyle w:val="Hyperlink"/>
          </w:rPr>
          <w:t>CL-22/5</w:t>
        </w:r>
      </w:hyperlink>
      <w:r w:rsidRPr="00C22159">
        <w:t xml:space="preserve"> en date du </w:t>
      </w:r>
      <w:r w:rsidR="00E21851" w:rsidRPr="00C22159">
        <w:t>17 février 2022</w:t>
      </w:r>
      <w:r w:rsidRPr="00C22159">
        <w:t>, relative aux pouvoirs des délégations des États Membres participant à cette conférence. Je souhaite en particulier attirer votre attention sur les dispositions de l'</w:t>
      </w:r>
      <w:r w:rsidRPr="00C22159">
        <w:rPr>
          <w:u w:val="single"/>
        </w:rPr>
        <w:t>article 31</w:t>
      </w:r>
      <w:r w:rsidRPr="00C22159">
        <w:t xml:space="preserve"> de la Convention de l'UIT </w:t>
      </w:r>
      <w:r w:rsidR="005C043B" w:rsidRPr="00C22159">
        <w:t xml:space="preserve">(voir </w:t>
      </w:r>
      <w:hyperlink w:anchor="Annexe1" w:history="1">
        <w:r w:rsidR="005C043B" w:rsidRPr="00C22159">
          <w:rPr>
            <w:rStyle w:val="Hyperlink"/>
            <w:color w:val="auto"/>
            <w:u w:val="none"/>
          </w:rPr>
          <w:t>l'</w:t>
        </w:r>
        <w:r w:rsidR="005C043B" w:rsidRPr="00C22159">
          <w:rPr>
            <w:rStyle w:val="Hyperlink"/>
          </w:rPr>
          <w:t>Annexe 1</w:t>
        </w:r>
      </w:hyperlink>
      <w:r w:rsidR="005C043B" w:rsidRPr="00C22159">
        <w:t xml:space="preserve">) </w:t>
      </w:r>
      <w:r w:rsidRPr="00C22159">
        <w:t xml:space="preserve">concernant les </w:t>
      </w:r>
      <w:r w:rsidRPr="00C22159">
        <w:rPr>
          <w:b/>
          <w:bCs/>
        </w:rPr>
        <w:t>pouvoirs aux conférences</w:t>
      </w:r>
      <w:r w:rsidRPr="00C22159">
        <w:t>.</w:t>
      </w:r>
    </w:p>
    <w:p w14:paraId="72037635" w14:textId="0294C787" w:rsidR="0097317A" w:rsidRPr="00C22159" w:rsidRDefault="0097317A" w:rsidP="0097317A">
      <w:pPr>
        <w:jc w:val="left"/>
      </w:pPr>
      <w:r w:rsidRPr="00C22159">
        <w:t xml:space="preserve">Pour permettre à votre pays d'exercer pleinement ses droits souverains à la PP-22, je vous invite à vous assurer que les autorités compétentes de votre pays envoient </w:t>
      </w:r>
      <w:r w:rsidRPr="00C22159">
        <w:rPr>
          <w:u w:val="single"/>
        </w:rPr>
        <w:t>au siège de l'UIT à Genève l'original de l'instrument d'accréditation</w:t>
      </w:r>
      <w:r w:rsidRPr="00C22159">
        <w:t xml:space="preserve"> – accompagné, le cas échéant, d'une traduction certifiée conforme dans l'une des langues officielles de l'Union – </w:t>
      </w:r>
      <w:r w:rsidRPr="00C22159">
        <w:rPr>
          <w:b/>
          <w:bCs/>
          <w:u w:val="single"/>
        </w:rPr>
        <w:t>suffisamment tôt avant l'ouverture de la Conférence, et le 20 septembre 2022 au plus tard</w:t>
      </w:r>
      <w:r w:rsidRPr="00C22159">
        <w:t>. À compter du 24 septembre 2022, l</w:t>
      </w:r>
      <w:r w:rsidR="00E16FFD" w:rsidRPr="00C22159">
        <w:t>es originaux d</w:t>
      </w:r>
      <w:r w:rsidRPr="00C22159">
        <w:t>es pouvoirs ne pourront être déposés qu'auprès du secrétariat de la Commission des pouvoirs de la PP-22</w:t>
      </w:r>
      <w:r w:rsidR="004B6704" w:rsidRPr="00C22159">
        <w:t>,</w:t>
      </w:r>
      <w:r w:rsidRPr="00C22159">
        <w:t xml:space="preserve"> sur les lieux de la Conférence à Bucarest (Roumanie).</w:t>
      </w:r>
    </w:p>
    <w:p w14:paraId="666123C2" w14:textId="27562D98" w:rsidR="00075838" w:rsidRPr="00C22159" w:rsidRDefault="0097317A" w:rsidP="0097317A">
      <w:pPr>
        <w:jc w:val="left"/>
      </w:pPr>
      <w:r w:rsidRPr="00C22159">
        <w:t xml:space="preserve">Vous trouverez également dans le </w:t>
      </w:r>
      <w:hyperlink r:id="rId10" w:history="1">
        <w:r w:rsidRPr="00C22159">
          <w:rPr>
            <w:rStyle w:val="Hyperlink"/>
          </w:rPr>
          <w:t>Document 2</w:t>
        </w:r>
      </w:hyperlink>
      <w:r w:rsidRPr="00C22159">
        <w:t xml:space="preserve"> de la PP-22 des renseignements relatifs aux pouvoirs des délégations aux conférences. Afin de vous faciliter la tâche, vous trouverez un modèle d'instrument d'accréditation qui reprend tous les critères énoncés </w:t>
      </w:r>
      <w:r w:rsidR="00DA1ADE" w:rsidRPr="00C22159">
        <w:t>à l'article 31</w:t>
      </w:r>
      <w:r w:rsidRPr="00C22159">
        <w:t xml:space="preserve"> de la Convention de l'UIT, </w:t>
      </w:r>
      <w:hyperlink r:id="rId11" w:history="1">
        <w:r w:rsidR="00DA1ADE" w:rsidRPr="00C22159">
          <w:rPr>
            <w:rStyle w:val="Hyperlink"/>
          </w:rPr>
          <w:t>sous la rubrique "Pouvoirs" du</w:t>
        </w:r>
        <w:r w:rsidRPr="00C22159">
          <w:rPr>
            <w:rStyle w:val="Hyperlink"/>
          </w:rPr>
          <w:t xml:space="preserve"> site web de la PP-</w:t>
        </w:r>
        <w:r w:rsidR="00DA1ADE" w:rsidRPr="00C22159">
          <w:rPr>
            <w:rStyle w:val="Hyperlink"/>
          </w:rPr>
          <w:t>22</w:t>
        </w:r>
      </w:hyperlink>
      <w:r w:rsidRPr="00C22159">
        <w:t xml:space="preserve"> </w:t>
      </w:r>
      <w:r w:rsidR="00DA1ADE" w:rsidRPr="00C22159">
        <w:t>et dans l'</w:t>
      </w:r>
      <w:hyperlink w:anchor="Annexe2" w:history="1">
        <w:r w:rsidR="00DA1ADE" w:rsidRPr="00C22159">
          <w:rPr>
            <w:rStyle w:val="Hyperlink"/>
          </w:rPr>
          <w:t>Annexe 2</w:t>
        </w:r>
      </w:hyperlink>
      <w:r w:rsidRPr="00C22159">
        <w:t xml:space="preserve">. </w:t>
      </w:r>
      <w:r w:rsidR="00075838" w:rsidRPr="00C22159">
        <w:t xml:space="preserve">Je tiens également à vous rappeler que </w:t>
      </w:r>
      <w:r w:rsidR="000749F5" w:rsidRPr="00C22159">
        <w:t xml:space="preserve">même si </w:t>
      </w:r>
      <w:r w:rsidR="00D75BB1" w:rsidRPr="00C22159">
        <w:t xml:space="preserve">les États Membres </w:t>
      </w:r>
      <w:r w:rsidR="000B1AF2" w:rsidRPr="00C22159">
        <w:t>ont perdu le droit de vote</w:t>
      </w:r>
      <w:r w:rsidR="00D75BB1" w:rsidRPr="00C22159">
        <w:t xml:space="preserve"> en application des numéros 169 et 2</w:t>
      </w:r>
      <w:r w:rsidR="0070304F" w:rsidRPr="00C22159">
        <w:t xml:space="preserve">10 de la Constitution de l'UIT, </w:t>
      </w:r>
      <w:r w:rsidR="000749F5" w:rsidRPr="00C22159">
        <w:t>ils doivent impérativement</w:t>
      </w:r>
      <w:r w:rsidR="0085256B" w:rsidRPr="00C22159">
        <w:t xml:space="preserve"> </w:t>
      </w:r>
      <w:r w:rsidR="000B1AF2" w:rsidRPr="00C22159">
        <w:rPr>
          <w:u w:val="single"/>
        </w:rPr>
        <w:t>dépo</w:t>
      </w:r>
      <w:r w:rsidR="0085256B" w:rsidRPr="00C22159">
        <w:rPr>
          <w:u w:val="single"/>
        </w:rPr>
        <w:t xml:space="preserve">ser </w:t>
      </w:r>
      <w:r w:rsidR="00BF2810" w:rsidRPr="00C22159">
        <w:rPr>
          <w:u w:val="single"/>
        </w:rPr>
        <w:t>l'original des pouvoirs</w:t>
      </w:r>
      <w:r w:rsidR="00137EEF" w:rsidRPr="00C22159">
        <w:rPr>
          <w:u w:val="single"/>
        </w:rPr>
        <w:t xml:space="preserve"> s'ils </w:t>
      </w:r>
      <w:r w:rsidR="008D6DF2" w:rsidRPr="00C22159">
        <w:rPr>
          <w:u w:val="single"/>
        </w:rPr>
        <w:t>prévoient d'</w:t>
      </w:r>
      <w:r w:rsidR="001E14BE" w:rsidRPr="00C22159">
        <w:rPr>
          <w:u w:val="single"/>
        </w:rPr>
        <w:t>envoyer une délégation à la PP-22</w:t>
      </w:r>
      <w:r w:rsidR="001E14BE" w:rsidRPr="00C22159">
        <w:t>.</w:t>
      </w:r>
    </w:p>
    <w:p w14:paraId="0E65DCC5" w14:textId="519B933B" w:rsidR="000773F5" w:rsidRPr="00C22159" w:rsidRDefault="0097317A" w:rsidP="0097317A">
      <w:pPr>
        <w:jc w:val="left"/>
      </w:pPr>
      <w:r w:rsidRPr="00C22159">
        <w:t xml:space="preserve">En règle générale, les États Membres doivent s'efforcer d'envoyer aux conférences de l'Union leur propre délégation. </w:t>
      </w:r>
      <w:r w:rsidR="000773F5" w:rsidRPr="00C22159">
        <w:t>Si ce</w:t>
      </w:r>
      <w:r w:rsidR="00470881" w:rsidRPr="00C22159">
        <w:t xml:space="preserve">la n'est pas possible, veuillez consulter la </w:t>
      </w:r>
      <w:hyperlink r:id="rId12" w:history="1">
        <w:r w:rsidR="00470881" w:rsidRPr="00C22159">
          <w:rPr>
            <w:rStyle w:val="Hyperlink"/>
          </w:rPr>
          <w:t>page "Pouvoirs" du site web de la PP-22</w:t>
        </w:r>
      </w:hyperlink>
      <w:r w:rsidR="00470881" w:rsidRPr="00C22159">
        <w:t>, qui contient des renseignements complément</w:t>
      </w:r>
      <w:r w:rsidR="00FB347B" w:rsidRPr="00C22159">
        <w:t xml:space="preserve">aires </w:t>
      </w:r>
      <w:r w:rsidR="007A5B67" w:rsidRPr="00C22159">
        <w:t>sur</w:t>
      </w:r>
      <w:r w:rsidR="00FB347B" w:rsidRPr="00C22159">
        <w:t xml:space="preserve"> la possibilité de </w:t>
      </w:r>
      <w:r w:rsidR="00B40BB7" w:rsidRPr="00C22159">
        <w:t>déléguer le droit de vote des États</w:t>
      </w:r>
      <w:r w:rsidR="00B71736" w:rsidRPr="00C22159">
        <w:t> </w:t>
      </w:r>
      <w:r w:rsidR="00B40BB7" w:rsidRPr="00C22159">
        <w:t>Membres.</w:t>
      </w:r>
    </w:p>
    <w:p w14:paraId="10D28DDD" w14:textId="31C10211" w:rsidR="0097317A" w:rsidRPr="00C22159" w:rsidRDefault="0097317A" w:rsidP="0097317A">
      <w:pPr>
        <w:jc w:val="left"/>
      </w:pPr>
      <w:r w:rsidRPr="00C22159">
        <w:t xml:space="preserve">À toutes fins utiles, les </w:t>
      </w:r>
      <w:hyperlink r:id="rId13" w:history="1">
        <w:r w:rsidRPr="00C22159">
          <w:rPr>
            <w:rStyle w:val="Hyperlink"/>
          </w:rPr>
          <w:t>inscriptions à la PP-22</w:t>
        </w:r>
      </w:hyperlink>
      <w:r w:rsidRPr="00C22159">
        <w:t xml:space="preserve"> </w:t>
      </w:r>
      <w:r w:rsidR="00F84C77" w:rsidRPr="00C22159">
        <w:t>sont d'ores et déjà ouvertes</w:t>
      </w:r>
      <w:r w:rsidR="00895642" w:rsidRPr="00C22159">
        <w:t xml:space="preserve"> et je</w:t>
      </w:r>
      <w:r w:rsidRPr="00C22159">
        <w:t xml:space="preserve"> voudrais saisir cette occasion pour </w:t>
      </w:r>
      <w:r w:rsidR="002C7C91" w:rsidRPr="00C22159">
        <w:t xml:space="preserve">vous </w:t>
      </w:r>
      <w:r w:rsidRPr="00C22159">
        <w:t xml:space="preserve">rappeler </w:t>
      </w:r>
      <w:r w:rsidR="002C7C91" w:rsidRPr="00C22159">
        <w:t>que</w:t>
      </w:r>
      <w:r w:rsidRPr="00C22159">
        <w:t xml:space="preserve"> même </w:t>
      </w:r>
      <w:r w:rsidR="002C7C91" w:rsidRPr="00C22159">
        <w:t>si les États Membres</w:t>
      </w:r>
      <w:r w:rsidRPr="00C22159">
        <w:t xml:space="preserve"> </w:t>
      </w:r>
      <w:r w:rsidR="00E4480C" w:rsidRPr="00C22159">
        <w:t>s'inscrivent</w:t>
      </w:r>
      <w:r w:rsidRPr="00C22159">
        <w:t xml:space="preserve"> au moyen du système en ligne</w:t>
      </w:r>
      <w:r w:rsidR="00737B9E" w:rsidRPr="00C22159">
        <w:t xml:space="preserve"> de l'UIT</w:t>
      </w:r>
      <w:r w:rsidRPr="00C22159">
        <w:t xml:space="preserve">, ils </w:t>
      </w:r>
      <w:r w:rsidR="00D454C4" w:rsidRPr="00C22159">
        <w:t>ne sont pas dispensés de l'</w:t>
      </w:r>
      <w:r w:rsidR="00D454C4" w:rsidRPr="00C22159">
        <w:rPr>
          <w:u w:val="single"/>
        </w:rPr>
        <w:t xml:space="preserve">obligation réglementaire de </w:t>
      </w:r>
      <w:r w:rsidR="001428E7" w:rsidRPr="00C22159">
        <w:rPr>
          <w:u w:val="single"/>
        </w:rPr>
        <w:t>pr</w:t>
      </w:r>
      <w:r w:rsidR="00C5660B" w:rsidRPr="00C22159">
        <w:rPr>
          <w:u w:val="single"/>
        </w:rPr>
        <w:t>ésenter l'original des pouvoirs, conformément à l'article 31 de la Convention de l'UIT</w:t>
      </w:r>
      <w:r w:rsidRPr="00C22159">
        <w:t xml:space="preserve">. De même, la présentation de l'original des pouvoirs </w:t>
      </w:r>
      <w:r w:rsidRPr="00C22159">
        <w:rPr>
          <w:u w:val="single"/>
        </w:rPr>
        <w:t xml:space="preserve">ne dispense pas </w:t>
      </w:r>
      <w:r w:rsidR="000C7554" w:rsidRPr="00C22159">
        <w:rPr>
          <w:u w:val="single"/>
        </w:rPr>
        <w:t xml:space="preserve">les délégués de la nécessité </w:t>
      </w:r>
      <w:r w:rsidRPr="00C22159">
        <w:rPr>
          <w:u w:val="single"/>
        </w:rPr>
        <w:t>d'accomplir le processus d'inscription en ligne</w:t>
      </w:r>
      <w:r w:rsidRPr="00C22159">
        <w:t>.</w:t>
      </w:r>
    </w:p>
    <w:p w14:paraId="7E4A92D5" w14:textId="62C9161B" w:rsidR="0097317A" w:rsidRPr="00C22159" w:rsidRDefault="00965A23" w:rsidP="0097317A">
      <w:pPr>
        <w:jc w:val="left"/>
      </w:pPr>
      <w:r w:rsidRPr="00C22159">
        <w:lastRenderedPageBreak/>
        <w:t>Pour toute question ou demande de précisions, n'hésitez pas</w:t>
      </w:r>
      <w:r w:rsidR="0097317A" w:rsidRPr="00C22159">
        <w:t xml:space="preserve"> à </w:t>
      </w:r>
      <w:r w:rsidR="00635391" w:rsidRPr="00C22159">
        <w:t xml:space="preserve">consulter la </w:t>
      </w:r>
      <w:hyperlink r:id="rId14" w:history="1">
        <w:r w:rsidR="00635391" w:rsidRPr="00C22159">
          <w:rPr>
            <w:rStyle w:val="Hyperlink"/>
          </w:rPr>
          <w:t>page "Pouvoirs" du site web de la PP-22</w:t>
        </w:r>
      </w:hyperlink>
      <w:r w:rsidR="00635391" w:rsidRPr="00C22159">
        <w:t xml:space="preserve"> ou à </w:t>
      </w:r>
      <w:r w:rsidR="0097317A" w:rsidRPr="00C22159">
        <w:t xml:space="preserve">prendre contact avec le secrétariat de la Commission des pouvoirs de la PP-22 à l'adresse </w:t>
      </w:r>
      <w:hyperlink r:id="rId15" w:history="1">
        <w:r w:rsidR="0097317A" w:rsidRPr="00C22159">
          <w:rPr>
            <w:rStyle w:val="Hyperlink"/>
          </w:rPr>
          <w:t>credentials@itu.int</w:t>
        </w:r>
      </w:hyperlink>
      <w:r w:rsidR="00022CA0" w:rsidRPr="00C22159">
        <w:t xml:space="preserve"> (</w:t>
      </w:r>
      <w:r w:rsidR="00A87B47" w:rsidRPr="00C22159">
        <w:t>c/o Mme</w:t>
      </w:r>
      <w:r w:rsidR="00022CA0" w:rsidRPr="00C22159">
        <w:t xml:space="preserve"> Christina Vasala Kokkinaki)</w:t>
      </w:r>
      <w:r w:rsidR="00A87B47" w:rsidRPr="00C22159">
        <w:t>.</w:t>
      </w:r>
    </w:p>
    <w:p w14:paraId="56F3EDE2" w14:textId="77777777" w:rsidR="0097317A" w:rsidRPr="00C22159" w:rsidRDefault="0097317A" w:rsidP="0097317A">
      <w:pPr>
        <w:spacing w:line="240" w:lineRule="auto"/>
        <w:jc w:val="left"/>
      </w:pPr>
      <w:r w:rsidRPr="00C22159">
        <w:t>Je vous prie d'agréer, Madame, Monsieur, l'assurance de ma considération distinguée.</w:t>
      </w:r>
    </w:p>
    <w:p w14:paraId="66F9CE51" w14:textId="77777777" w:rsidR="0097317A" w:rsidRPr="00C22159" w:rsidRDefault="0097317A" w:rsidP="0097317A">
      <w:pPr>
        <w:spacing w:before="480" w:after="480" w:line="240" w:lineRule="auto"/>
        <w:jc w:val="left"/>
        <w:rPr>
          <w:i/>
          <w:iCs/>
        </w:rPr>
      </w:pPr>
      <w:r w:rsidRPr="00C22159">
        <w:rPr>
          <w:i/>
          <w:iCs/>
        </w:rPr>
        <w:t>(signé)</w:t>
      </w:r>
    </w:p>
    <w:p w14:paraId="186CE3C0" w14:textId="77777777" w:rsidR="0097317A" w:rsidRPr="00C22159" w:rsidRDefault="0097317A" w:rsidP="0097317A">
      <w:pPr>
        <w:spacing w:line="240" w:lineRule="auto"/>
        <w:jc w:val="left"/>
      </w:pPr>
      <w:r w:rsidRPr="00C22159">
        <w:t>Houlin ZHAO</w:t>
      </w:r>
      <w:r w:rsidRPr="00C22159">
        <w:br/>
        <w:t>Secrétaire général</w:t>
      </w:r>
    </w:p>
    <w:p w14:paraId="45A14A77" w14:textId="77777777" w:rsidR="00B71736" w:rsidRPr="00C22159" w:rsidRDefault="0097317A" w:rsidP="0097317A">
      <w:pPr>
        <w:spacing w:before="840" w:line="240" w:lineRule="auto"/>
        <w:jc w:val="left"/>
        <w:rPr>
          <w:rStyle w:val="Hyperlink"/>
        </w:rPr>
      </w:pPr>
      <w:r w:rsidRPr="00C22159">
        <w:rPr>
          <w:b/>
          <w:bCs/>
        </w:rPr>
        <w:t>Annexes</w:t>
      </w:r>
      <w:r w:rsidRPr="00C22159">
        <w:t>:</w:t>
      </w:r>
      <w:r w:rsidRPr="00C22159">
        <w:tab/>
        <w:t>1</w:t>
      </w:r>
      <w:r w:rsidRPr="00C22159">
        <w:tab/>
      </w:r>
      <w:hyperlink w:anchor="Annexe1" w:history="1">
        <w:r w:rsidRPr="00C22159">
          <w:rPr>
            <w:rStyle w:val="Hyperlink"/>
          </w:rPr>
          <w:t>Article 31 de la Convention</w:t>
        </w:r>
      </w:hyperlink>
    </w:p>
    <w:p w14:paraId="137EA137" w14:textId="57B288AD" w:rsidR="0097317A" w:rsidRPr="00C22159" w:rsidRDefault="0097317A" w:rsidP="00B71736">
      <w:pPr>
        <w:spacing w:before="0" w:line="240" w:lineRule="auto"/>
        <w:jc w:val="left"/>
      </w:pPr>
      <w:r w:rsidRPr="00C22159">
        <w:tab/>
      </w:r>
      <w:r w:rsidRPr="00C22159">
        <w:tab/>
        <w:t>2</w:t>
      </w:r>
      <w:r w:rsidRPr="00C22159">
        <w:tab/>
      </w:r>
      <w:hyperlink w:anchor="Annexe2" w:history="1">
        <w:r w:rsidRPr="00C22159">
          <w:rPr>
            <w:rStyle w:val="Hyperlink"/>
            <w:bCs/>
          </w:rPr>
          <w:t>Modèle d'instrument d'accréditation</w:t>
        </w:r>
      </w:hyperlink>
    </w:p>
    <w:p w14:paraId="7BFB6889" w14:textId="77777777" w:rsidR="0097317A" w:rsidRPr="00C22159" w:rsidRDefault="0097317A" w:rsidP="0097317A">
      <w:pPr>
        <w:spacing w:line="240" w:lineRule="auto"/>
        <w:jc w:val="left"/>
      </w:pPr>
      <w:r w:rsidRPr="00C22159">
        <w:br w:type="page"/>
      </w:r>
    </w:p>
    <w:p w14:paraId="5F74DF8A" w14:textId="77777777" w:rsidR="0097317A" w:rsidRPr="00C22159" w:rsidRDefault="0097317A" w:rsidP="0097317A">
      <w:pPr>
        <w:keepNext/>
        <w:keepLines/>
        <w:spacing w:before="720"/>
        <w:jc w:val="center"/>
        <w:rPr>
          <w:rFonts w:eastAsia="SimSun"/>
          <w:b/>
          <w:caps/>
          <w:sz w:val="24"/>
        </w:rPr>
      </w:pPr>
      <w:bookmarkStart w:id="6" w:name="Annexe1"/>
      <w:bookmarkStart w:id="7" w:name="_Toc422623832"/>
      <w:r w:rsidRPr="00C22159">
        <w:rPr>
          <w:rFonts w:eastAsia="SimSun"/>
          <w:b/>
          <w:caps/>
          <w:sz w:val="24"/>
        </w:rPr>
        <w:lastRenderedPageBreak/>
        <w:t>a</w:t>
      </w:r>
      <w:r w:rsidRPr="00C22159">
        <w:rPr>
          <w:rFonts w:eastAsia="SimSun"/>
          <w:b/>
          <w:sz w:val="24"/>
        </w:rPr>
        <w:t>nnexe</w:t>
      </w:r>
      <w:r w:rsidRPr="00C22159">
        <w:rPr>
          <w:rFonts w:eastAsia="SimSun"/>
          <w:b/>
          <w:caps/>
          <w:sz w:val="24"/>
        </w:rPr>
        <w:t xml:space="preserve"> 1</w:t>
      </w:r>
    </w:p>
    <w:p w14:paraId="21B0AB0B" w14:textId="77777777" w:rsidR="0097317A" w:rsidRPr="00C22159" w:rsidRDefault="0097317A" w:rsidP="0097317A">
      <w:pPr>
        <w:keepNext/>
        <w:keepLines/>
        <w:spacing w:before="720" w:after="120" w:line="240" w:lineRule="auto"/>
        <w:jc w:val="center"/>
        <w:rPr>
          <w:rFonts w:asciiTheme="minorHAnsi" w:eastAsia="SimSun" w:hAnsiTheme="minorHAnsi"/>
          <w:b/>
          <w:bCs/>
          <w:sz w:val="24"/>
          <w:szCs w:val="24"/>
        </w:rPr>
      </w:pPr>
      <w:r w:rsidRPr="00C22159">
        <w:rPr>
          <w:rFonts w:asciiTheme="minorHAnsi" w:eastAsia="SimSun" w:hAnsiTheme="minorHAnsi"/>
          <w:b/>
          <w:bCs/>
          <w:sz w:val="24"/>
          <w:szCs w:val="24"/>
        </w:rPr>
        <w:t>CONVENTION DE L'UNION INTERNATIONALE DES TÉLÉCOMMUNICATIONS</w:t>
      </w:r>
    </w:p>
    <w:p w14:paraId="119E8CC8" w14:textId="77777777" w:rsidR="0097317A" w:rsidRPr="00C22159" w:rsidRDefault="0097317A" w:rsidP="0097317A">
      <w:pPr>
        <w:keepNext/>
        <w:keepLines/>
        <w:spacing w:before="480" w:line="240" w:lineRule="auto"/>
        <w:jc w:val="center"/>
        <w:rPr>
          <w:rFonts w:eastAsia="SimSun"/>
          <w:caps/>
          <w:sz w:val="28"/>
          <w:lang w:eastAsia="zh-CN"/>
        </w:rPr>
      </w:pPr>
      <w:r w:rsidRPr="00C22159">
        <w:rPr>
          <w:rFonts w:eastAsia="SimSun"/>
          <w:caps/>
          <w:sz w:val="28"/>
          <w:lang w:eastAsia="zh-CN"/>
        </w:rPr>
        <w:t>ARTICLE 31</w:t>
      </w:r>
    </w:p>
    <w:p w14:paraId="0A8B8896" w14:textId="77777777" w:rsidR="0097317A" w:rsidRPr="00C22159" w:rsidRDefault="0097317A" w:rsidP="0097317A">
      <w:pPr>
        <w:keepNext/>
        <w:keepLines/>
        <w:spacing w:before="240" w:after="240" w:line="240" w:lineRule="auto"/>
        <w:jc w:val="center"/>
        <w:rPr>
          <w:b/>
          <w:sz w:val="28"/>
        </w:rPr>
      </w:pPr>
      <w:r w:rsidRPr="00C22159">
        <w:rPr>
          <w:b/>
          <w:sz w:val="28"/>
        </w:rPr>
        <w:t>Pouvoirs aux conférences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8360"/>
      </w:tblGrid>
      <w:tr w:rsidR="0097317A" w:rsidRPr="00C22159" w14:paraId="6D11557A" w14:textId="77777777" w:rsidTr="001E0ACA">
        <w:trPr>
          <w:cantSplit/>
          <w:jc w:val="center"/>
        </w:trPr>
        <w:tc>
          <w:tcPr>
            <w:tcW w:w="851" w:type="dxa"/>
            <w:tcMar>
              <w:top w:w="108" w:type="dxa"/>
              <w:left w:w="108" w:type="dxa"/>
              <w:bottom w:w="108" w:type="dxa"/>
              <w:right w:w="108" w:type="dxa"/>
            </w:tcMar>
          </w:tcPr>
          <w:p w14:paraId="26039140" w14:textId="3297C92B"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b/>
                <w:bCs/>
                <w:lang w:eastAsia="zh-CN"/>
              </w:rPr>
            </w:pPr>
            <w:r w:rsidRPr="00C22159">
              <w:rPr>
                <w:rFonts w:eastAsia="SimSun"/>
                <w:b/>
                <w:bCs/>
                <w:lang w:eastAsia="zh-CN"/>
              </w:rPr>
              <w:t>324</w:t>
            </w:r>
            <w:r w:rsidR="00B71736" w:rsidRPr="00C22159">
              <w:rPr>
                <w:rFonts w:eastAsia="SimSun"/>
                <w:b/>
                <w:bCs/>
                <w:lang w:eastAsia="zh-CN"/>
              </w:rPr>
              <w:t xml:space="preserve"> </w:t>
            </w:r>
            <w:r w:rsidRPr="00C22159">
              <w:rPr>
                <w:rFonts w:eastAsia="SimSun"/>
                <w:b/>
                <w:bCs/>
                <w:lang w:eastAsia="zh-CN"/>
              </w:rPr>
              <w:br/>
              <w:t>PP-98</w:t>
            </w:r>
          </w:p>
        </w:tc>
        <w:tc>
          <w:tcPr>
            <w:tcW w:w="8360" w:type="dxa"/>
            <w:tcMar>
              <w:top w:w="108" w:type="dxa"/>
              <w:left w:w="108" w:type="dxa"/>
              <w:bottom w:w="108" w:type="dxa"/>
              <w:right w:w="108" w:type="dxa"/>
            </w:tcMar>
          </w:tcPr>
          <w:p w14:paraId="71E804E9"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lang w:eastAsia="zh-CN"/>
              </w:rPr>
            </w:pPr>
            <w:r w:rsidRPr="00C22159">
              <w:rPr>
                <w:rFonts w:eastAsia="SimSun"/>
                <w:lang w:eastAsia="zh-CN"/>
              </w:rPr>
              <w:t>1</w:t>
            </w:r>
            <w:r w:rsidRPr="00C22159">
              <w:rPr>
                <w:rFonts w:eastAsia="SimSun"/>
                <w:lang w:eastAsia="zh-CN"/>
              </w:rPr>
              <w:tab/>
              <w:t>La délégation envoyée à une Conférence de plénipotentiaires, à une conférence des radiocommunications ou à une conférence mondiale des télécommunications internationales par un État Membre doit être dûment accréditée conformément aux dispositions des numéros 325 à 331 ci-dessous.</w:t>
            </w:r>
          </w:p>
        </w:tc>
      </w:tr>
      <w:tr w:rsidR="0097317A" w:rsidRPr="00C22159" w14:paraId="22C52826" w14:textId="77777777" w:rsidTr="001E0ACA">
        <w:trPr>
          <w:cantSplit/>
          <w:jc w:val="center"/>
        </w:trPr>
        <w:tc>
          <w:tcPr>
            <w:tcW w:w="851" w:type="dxa"/>
            <w:tcMar>
              <w:top w:w="108" w:type="dxa"/>
              <w:left w:w="108" w:type="dxa"/>
              <w:bottom w:w="108" w:type="dxa"/>
              <w:right w:w="108" w:type="dxa"/>
            </w:tcMar>
          </w:tcPr>
          <w:p w14:paraId="4D092CD2"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b/>
                <w:bCs/>
                <w:lang w:eastAsia="zh-CN"/>
              </w:rPr>
            </w:pPr>
            <w:r w:rsidRPr="00C22159">
              <w:rPr>
                <w:rFonts w:eastAsia="SimSun"/>
                <w:b/>
                <w:bCs/>
                <w:lang w:eastAsia="zh-CN"/>
              </w:rPr>
              <w:t>325</w:t>
            </w:r>
          </w:p>
        </w:tc>
        <w:tc>
          <w:tcPr>
            <w:tcW w:w="8360" w:type="dxa"/>
            <w:tcMar>
              <w:top w:w="108" w:type="dxa"/>
              <w:left w:w="108" w:type="dxa"/>
              <w:bottom w:w="108" w:type="dxa"/>
              <w:right w:w="108" w:type="dxa"/>
            </w:tcMar>
          </w:tcPr>
          <w:p w14:paraId="740945BC"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 w:rsidRPr="00C22159">
              <w:t>2</w:t>
            </w:r>
            <w:r w:rsidRPr="00C22159">
              <w:tab/>
              <w:t>1)</w:t>
            </w:r>
            <w:r w:rsidRPr="00C22159">
              <w:tab/>
              <w:t>Les délégations aux Conférences de plénipotentiaires sont accréditées par des actes signés par le chef de l'État, ou par le chef du gouvernement, ou par le ministre des Affaires étrangères.</w:t>
            </w:r>
          </w:p>
        </w:tc>
      </w:tr>
      <w:tr w:rsidR="0097317A" w:rsidRPr="00C22159" w14:paraId="7D2AF917" w14:textId="77777777" w:rsidTr="001E0ACA">
        <w:trPr>
          <w:cantSplit/>
          <w:jc w:val="center"/>
        </w:trPr>
        <w:tc>
          <w:tcPr>
            <w:tcW w:w="851" w:type="dxa"/>
            <w:tcMar>
              <w:top w:w="108" w:type="dxa"/>
              <w:left w:w="108" w:type="dxa"/>
              <w:bottom w:w="108" w:type="dxa"/>
              <w:right w:w="108" w:type="dxa"/>
            </w:tcMar>
          </w:tcPr>
          <w:p w14:paraId="00A1EE2F"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b/>
                <w:bCs/>
              </w:rPr>
            </w:pPr>
            <w:r w:rsidRPr="00C22159">
              <w:rPr>
                <w:b/>
                <w:bCs/>
              </w:rPr>
              <w:t>326</w:t>
            </w:r>
          </w:p>
        </w:tc>
        <w:tc>
          <w:tcPr>
            <w:tcW w:w="8360" w:type="dxa"/>
            <w:tcMar>
              <w:top w:w="108" w:type="dxa"/>
              <w:left w:w="108" w:type="dxa"/>
              <w:bottom w:w="108" w:type="dxa"/>
              <w:right w:w="108" w:type="dxa"/>
            </w:tcMar>
          </w:tcPr>
          <w:p w14:paraId="5F3B3346"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 w:rsidRPr="00C22159">
              <w:rPr>
                <w:b/>
              </w:rPr>
              <w:tab/>
            </w:r>
            <w:r w:rsidRPr="00C22159">
              <w:t>2)</w:t>
            </w:r>
            <w:r w:rsidRPr="00C22159">
              <w:rPr>
                <w:b/>
              </w:rPr>
              <w:tab/>
            </w:r>
            <w:r w:rsidRPr="00C22159">
              <w:t>Les délégations aux autres conférences visées au numéro 324 ci</w:t>
            </w:r>
            <w:r w:rsidRPr="00C22159">
              <w:noBreakHyphen/>
              <w:t>dessus sont accréditées par des actes signés par le chef de l'État, ou par le chef du gouvernement, ou par le ministre des Affaires étrangères, ou par le ministre compétent pour les questions traitées au cours de la conférence.</w:t>
            </w:r>
          </w:p>
        </w:tc>
      </w:tr>
      <w:tr w:rsidR="0097317A" w:rsidRPr="00C22159" w14:paraId="3958CCC2" w14:textId="77777777" w:rsidTr="001E0ACA">
        <w:trPr>
          <w:cantSplit/>
          <w:jc w:val="center"/>
        </w:trPr>
        <w:tc>
          <w:tcPr>
            <w:tcW w:w="851" w:type="dxa"/>
            <w:tcMar>
              <w:top w:w="108" w:type="dxa"/>
              <w:left w:w="108" w:type="dxa"/>
              <w:bottom w:w="108" w:type="dxa"/>
              <w:right w:w="108" w:type="dxa"/>
            </w:tcMar>
          </w:tcPr>
          <w:p w14:paraId="74A2EBE7" w14:textId="0A7ED6F4"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b/>
                <w:bCs/>
                <w:lang w:eastAsia="zh-CN"/>
              </w:rPr>
            </w:pPr>
            <w:r w:rsidRPr="00C22159">
              <w:rPr>
                <w:rFonts w:eastAsia="SimSun"/>
                <w:b/>
                <w:bCs/>
                <w:lang w:eastAsia="zh-CN"/>
              </w:rPr>
              <w:t>327</w:t>
            </w:r>
            <w:r w:rsidR="00B71736" w:rsidRPr="00C22159">
              <w:rPr>
                <w:rFonts w:eastAsia="SimSun"/>
                <w:b/>
                <w:bCs/>
                <w:lang w:eastAsia="zh-CN"/>
              </w:rPr>
              <w:t xml:space="preserve"> </w:t>
            </w:r>
            <w:r w:rsidRPr="00C22159">
              <w:rPr>
                <w:rFonts w:eastAsia="SimSun"/>
                <w:b/>
                <w:bCs/>
                <w:lang w:eastAsia="zh-CN"/>
              </w:rPr>
              <w:br/>
              <w:t>PP-98</w:t>
            </w:r>
          </w:p>
        </w:tc>
        <w:tc>
          <w:tcPr>
            <w:tcW w:w="8360" w:type="dxa"/>
            <w:tcMar>
              <w:top w:w="108" w:type="dxa"/>
              <w:left w:w="108" w:type="dxa"/>
              <w:bottom w:w="108" w:type="dxa"/>
              <w:right w:w="108" w:type="dxa"/>
            </w:tcMar>
          </w:tcPr>
          <w:p w14:paraId="2940E332"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lang w:eastAsia="zh-CN"/>
              </w:rPr>
            </w:pPr>
            <w:r w:rsidRPr="00C22159">
              <w:rPr>
                <w:rFonts w:eastAsia="SimSun"/>
                <w:lang w:eastAsia="zh-CN"/>
              </w:rPr>
              <w:tab/>
              <w:t>3)</w:t>
            </w:r>
            <w:r w:rsidRPr="00C22159">
              <w:rPr>
                <w:rFonts w:eastAsia="SimSun"/>
                <w:lang w:eastAsia="zh-CN"/>
              </w:rPr>
              <w:tab/>
              <w:t>Sous réserve de confirmation émanant de l'une des autorités citées au numéro 325 ou 326 ci-dessus et reçue avant la signature des Actes finals, une délégation peut être provisoirement accréditée par le Chef de la mission diplomatique de l'État Membre concerné auprès du gouvernement hôte ou, si la conférence a lieu dans la Confédération suisse, par le chef de la délégation permanente de l'État Membre concerné auprès de l'Office des Nations Unies à Genève.</w:t>
            </w:r>
          </w:p>
        </w:tc>
      </w:tr>
      <w:tr w:rsidR="0097317A" w:rsidRPr="00C22159" w14:paraId="1D83A88A" w14:textId="77777777" w:rsidTr="001E0ACA">
        <w:trPr>
          <w:cantSplit/>
          <w:jc w:val="center"/>
        </w:trPr>
        <w:tc>
          <w:tcPr>
            <w:tcW w:w="851" w:type="dxa"/>
            <w:tcMar>
              <w:top w:w="108" w:type="dxa"/>
              <w:left w:w="108" w:type="dxa"/>
              <w:bottom w:w="108" w:type="dxa"/>
              <w:right w:w="108" w:type="dxa"/>
            </w:tcMar>
          </w:tcPr>
          <w:p w14:paraId="1EB3EEEB"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b/>
                <w:bCs/>
              </w:rPr>
            </w:pPr>
            <w:r w:rsidRPr="00C22159">
              <w:rPr>
                <w:b/>
                <w:bCs/>
              </w:rPr>
              <w:t>328</w:t>
            </w:r>
          </w:p>
        </w:tc>
        <w:tc>
          <w:tcPr>
            <w:tcW w:w="8360" w:type="dxa"/>
            <w:tcMar>
              <w:top w:w="108" w:type="dxa"/>
              <w:left w:w="108" w:type="dxa"/>
              <w:bottom w:w="108" w:type="dxa"/>
              <w:right w:w="108" w:type="dxa"/>
            </w:tcMar>
          </w:tcPr>
          <w:p w14:paraId="77E168F0"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 w:rsidRPr="00C22159">
              <w:t>3</w:t>
            </w:r>
            <w:r w:rsidRPr="00C22159">
              <w:tab/>
              <w:t>Les pouvoirs sont acceptés s'ils sont signés par l'une des autorités compétentes énumérées aux numéros 325 à 327 ci-dessus et s'ils répondent à l'un des critères suivants:</w:t>
            </w:r>
          </w:p>
        </w:tc>
      </w:tr>
      <w:tr w:rsidR="0097317A" w:rsidRPr="00C22159" w14:paraId="35535E7E" w14:textId="77777777" w:rsidTr="001E0ACA">
        <w:trPr>
          <w:cantSplit/>
          <w:jc w:val="center"/>
        </w:trPr>
        <w:tc>
          <w:tcPr>
            <w:tcW w:w="851" w:type="dxa"/>
            <w:tcMar>
              <w:top w:w="108" w:type="dxa"/>
              <w:left w:w="108" w:type="dxa"/>
              <w:bottom w:w="108" w:type="dxa"/>
              <w:right w:w="108" w:type="dxa"/>
            </w:tcMar>
          </w:tcPr>
          <w:p w14:paraId="5EE57898"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b/>
                <w:bCs/>
              </w:rPr>
            </w:pPr>
            <w:r w:rsidRPr="00C22159">
              <w:rPr>
                <w:b/>
                <w:bCs/>
              </w:rPr>
              <w:t>329</w:t>
            </w:r>
          </w:p>
        </w:tc>
        <w:tc>
          <w:tcPr>
            <w:tcW w:w="8360" w:type="dxa"/>
            <w:tcMar>
              <w:top w:w="108" w:type="dxa"/>
              <w:left w:w="108" w:type="dxa"/>
              <w:bottom w:w="108" w:type="dxa"/>
              <w:right w:w="108" w:type="dxa"/>
            </w:tcMar>
          </w:tcPr>
          <w:p w14:paraId="24503D7B"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 w:rsidRPr="00C22159">
              <w:t>–</w:t>
            </w:r>
            <w:r w:rsidRPr="00C22159">
              <w:tab/>
              <w:t>conférer les pleins pouvoirs à la délégation;</w:t>
            </w:r>
          </w:p>
        </w:tc>
      </w:tr>
      <w:tr w:rsidR="0097317A" w:rsidRPr="00C22159" w14:paraId="25398FB7" w14:textId="77777777" w:rsidTr="001E0ACA">
        <w:trPr>
          <w:cantSplit/>
          <w:jc w:val="center"/>
        </w:trPr>
        <w:tc>
          <w:tcPr>
            <w:tcW w:w="851" w:type="dxa"/>
            <w:tcMar>
              <w:top w:w="108" w:type="dxa"/>
              <w:left w:w="108" w:type="dxa"/>
              <w:bottom w:w="108" w:type="dxa"/>
              <w:right w:w="108" w:type="dxa"/>
            </w:tcMar>
          </w:tcPr>
          <w:p w14:paraId="5A5CD433"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b/>
                <w:bCs/>
              </w:rPr>
            </w:pPr>
            <w:r w:rsidRPr="00C22159">
              <w:rPr>
                <w:b/>
                <w:bCs/>
              </w:rPr>
              <w:t>330</w:t>
            </w:r>
          </w:p>
        </w:tc>
        <w:tc>
          <w:tcPr>
            <w:tcW w:w="8360" w:type="dxa"/>
            <w:tcMar>
              <w:top w:w="108" w:type="dxa"/>
              <w:left w:w="108" w:type="dxa"/>
              <w:bottom w:w="108" w:type="dxa"/>
              <w:right w:w="108" w:type="dxa"/>
            </w:tcMar>
          </w:tcPr>
          <w:p w14:paraId="36458CDB"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 w:rsidRPr="00C22159">
              <w:t>–</w:t>
            </w:r>
            <w:r w:rsidRPr="00C22159">
              <w:tab/>
              <w:t>autoriser la délégation à représenter son gouvernement sans restrictions;</w:t>
            </w:r>
          </w:p>
        </w:tc>
      </w:tr>
      <w:tr w:rsidR="0097317A" w:rsidRPr="00C22159" w14:paraId="513D5719" w14:textId="77777777" w:rsidTr="001E0ACA">
        <w:trPr>
          <w:cantSplit/>
          <w:jc w:val="center"/>
        </w:trPr>
        <w:tc>
          <w:tcPr>
            <w:tcW w:w="851" w:type="dxa"/>
            <w:tcMar>
              <w:top w:w="108" w:type="dxa"/>
              <w:left w:w="108" w:type="dxa"/>
              <w:bottom w:w="108" w:type="dxa"/>
              <w:right w:w="108" w:type="dxa"/>
            </w:tcMar>
          </w:tcPr>
          <w:p w14:paraId="2C4B375F"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b/>
                <w:bCs/>
              </w:rPr>
            </w:pPr>
            <w:r w:rsidRPr="00C22159">
              <w:rPr>
                <w:b/>
                <w:bCs/>
              </w:rPr>
              <w:t>331</w:t>
            </w:r>
          </w:p>
        </w:tc>
        <w:tc>
          <w:tcPr>
            <w:tcW w:w="8360" w:type="dxa"/>
            <w:tcMar>
              <w:top w:w="108" w:type="dxa"/>
              <w:left w:w="108" w:type="dxa"/>
              <w:bottom w:w="108" w:type="dxa"/>
              <w:right w:w="108" w:type="dxa"/>
            </w:tcMar>
          </w:tcPr>
          <w:p w14:paraId="5C9813D2"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 w:rsidRPr="00C22159">
              <w:t>–</w:t>
            </w:r>
            <w:r w:rsidRPr="00C22159">
              <w:tab/>
              <w:t>donner à la délégation ou à certains de ses membres le droit de signer les Actes finals.</w:t>
            </w:r>
          </w:p>
        </w:tc>
      </w:tr>
      <w:tr w:rsidR="0097317A" w:rsidRPr="00C22159" w14:paraId="0A71725B" w14:textId="77777777" w:rsidTr="001E0ACA">
        <w:trPr>
          <w:cantSplit/>
          <w:jc w:val="center"/>
        </w:trPr>
        <w:tc>
          <w:tcPr>
            <w:tcW w:w="851" w:type="dxa"/>
            <w:tcMar>
              <w:top w:w="108" w:type="dxa"/>
              <w:left w:w="108" w:type="dxa"/>
              <w:bottom w:w="108" w:type="dxa"/>
              <w:right w:w="108" w:type="dxa"/>
            </w:tcMar>
          </w:tcPr>
          <w:p w14:paraId="394344EE" w14:textId="5704F1AF"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b/>
                <w:bCs/>
                <w:lang w:eastAsia="zh-CN"/>
              </w:rPr>
            </w:pPr>
            <w:r w:rsidRPr="00C22159">
              <w:rPr>
                <w:rFonts w:eastAsia="SimSun"/>
                <w:b/>
                <w:bCs/>
                <w:lang w:eastAsia="zh-CN"/>
              </w:rPr>
              <w:t>332</w:t>
            </w:r>
            <w:r w:rsidR="00B71736" w:rsidRPr="00C22159">
              <w:rPr>
                <w:rFonts w:eastAsia="SimSun"/>
                <w:b/>
                <w:bCs/>
                <w:lang w:eastAsia="zh-CN"/>
              </w:rPr>
              <w:t xml:space="preserve"> </w:t>
            </w:r>
            <w:r w:rsidRPr="00C22159">
              <w:rPr>
                <w:rFonts w:eastAsia="SimSun"/>
                <w:b/>
                <w:bCs/>
                <w:lang w:eastAsia="zh-CN"/>
              </w:rPr>
              <w:br/>
              <w:t>PP-98</w:t>
            </w:r>
          </w:p>
        </w:tc>
        <w:tc>
          <w:tcPr>
            <w:tcW w:w="8360" w:type="dxa"/>
            <w:tcMar>
              <w:top w:w="108" w:type="dxa"/>
              <w:left w:w="108" w:type="dxa"/>
              <w:bottom w:w="108" w:type="dxa"/>
              <w:right w:w="108" w:type="dxa"/>
            </w:tcMar>
          </w:tcPr>
          <w:p w14:paraId="64B8390C"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lang w:eastAsia="zh-CN"/>
              </w:rPr>
            </w:pPr>
            <w:r w:rsidRPr="00C22159">
              <w:rPr>
                <w:rFonts w:eastAsia="SimSun"/>
                <w:lang w:eastAsia="zh-CN"/>
              </w:rPr>
              <w:t>4</w:t>
            </w:r>
            <w:r w:rsidRPr="00C22159">
              <w:rPr>
                <w:rFonts w:eastAsia="SimSun"/>
                <w:lang w:eastAsia="zh-CN"/>
              </w:rPr>
              <w:tab/>
              <w:t>1)</w:t>
            </w:r>
            <w:r w:rsidRPr="00C22159">
              <w:rPr>
                <w:rFonts w:eastAsia="SimSun"/>
                <w:lang w:eastAsia="zh-CN"/>
              </w:rPr>
              <w:tab/>
              <w:t>Une délégation dont les pouvoirs sont reconnus en règle par la séance plénière est habilitée à exercer le droit de vote de l'État Membre intéressé, sous réserve des dispositions des numéros 169 et 210 de la Constitution, et à signer les Actes finals.</w:t>
            </w:r>
          </w:p>
        </w:tc>
      </w:tr>
      <w:tr w:rsidR="0097317A" w:rsidRPr="00C22159" w14:paraId="23C9AA41" w14:textId="77777777" w:rsidTr="001E0ACA">
        <w:trPr>
          <w:cantSplit/>
          <w:jc w:val="center"/>
        </w:trPr>
        <w:tc>
          <w:tcPr>
            <w:tcW w:w="851" w:type="dxa"/>
            <w:tcMar>
              <w:top w:w="108" w:type="dxa"/>
              <w:left w:w="108" w:type="dxa"/>
              <w:bottom w:w="108" w:type="dxa"/>
              <w:right w:w="108" w:type="dxa"/>
            </w:tcMar>
          </w:tcPr>
          <w:p w14:paraId="3D3CBD3D"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b/>
                <w:bCs/>
                <w:lang w:eastAsia="zh-CN"/>
              </w:rPr>
            </w:pPr>
            <w:r w:rsidRPr="00C22159">
              <w:rPr>
                <w:rFonts w:eastAsia="SimSun"/>
                <w:b/>
                <w:bCs/>
                <w:lang w:eastAsia="zh-CN"/>
              </w:rPr>
              <w:t>333</w:t>
            </w:r>
          </w:p>
        </w:tc>
        <w:tc>
          <w:tcPr>
            <w:tcW w:w="8360" w:type="dxa"/>
            <w:tcMar>
              <w:top w:w="108" w:type="dxa"/>
              <w:left w:w="108" w:type="dxa"/>
              <w:bottom w:w="108" w:type="dxa"/>
              <w:right w:w="108" w:type="dxa"/>
            </w:tcMar>
          </w:tcPr>
          <w:p w14:paraId="5E349F21"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 w:rsidRPr="00C22159">
              <w:tab/>
              <w:t>2)</w:t>
            </w:r>
            <w:r w:rsidRPr="00C22159">
              <w:tab/>
              <w:t>Une délégation dont les pouvoirs ne sont pas reconnus en règle par la séance plénière n'est pas habilitée à exercer le droit de vote ni à signer les Actes finals tant qu'il n'a pas été remédié à cet état de choses.</w:t>
            </w:r>
          </w:p>
        </w:tc>
      </w:tr>
      <w:tr w:rsidR="0097317A" w:rsidRPr="00C22159" w14:paraId="60894FF4" w14:textId="77777777" w:rsidTr="001E0ACA">
        <w:trPr>
          <w:cantSplit/>
          <w:jc w:val="center"/>
        </w:trPr>
        <w:tc>
          <w:tcPr>
            <w:tcW w:w="851" w:type="dxa"/>
            <w:tcMar>
              <w:top w:w="108" w:type="dxa"/>
              <w:left w:w="108" w:type="dxa"/>
              <w:bottom w:w="108" w:type="dxa"/>
              <w:right w:w="108" w:type="dxa"/>
            </w:tcMar>
          </w:tcPr>
          <w:p w14:paraId="0A953D5C" w14:textId="0C567B0A"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b/>
                <w:bCs/>
                <w:lang w:eastAsia="zh-CN"/>
              </w:rPr>
            </w:pPr>
            <w:r w:rsidRPr="00C22159">
              <w:rPr>
                <w:rFonts w:eastAsia="SimSun"/>
                <w:b/>
                <w:bCs/>
                <w:lang w:eastAsia="zh-CN"/>
              </w:rPr>
              <w:lastRenderedPageBreak/>
              <w:t>334</w:t>
            </w:r>
            <w:r w:rsidR="00B71736" w:rsidRPr="00C22159">
              <w:rPr>
                <w:rFonts w:eastAsia="SimSun"/>
                <w:b/>
                <w:bCs/>
                <w:lang w:eastAsia="zh-CN"/>
              </w:rPr>
              <w:t xml:space="preserve"> </w:t>
            </w:r>
            <w:r w:rsidRPr="00C22159">
              <w:rPr>
                <w:rFonts w:eastAsia="SimSun"/>
                <w:b/>
                <w:bCs/>
                <w:lang w:eastAsia="zh-CN"/>
              </w:rPr>
              <w:br/>
              <w:t>PP-98</w:t>
            </w:r>
            <w:r w:rsidRPr="00C22159">
              <w:rPr>
                <w:rFonts w:eastAsia="SimSun"/>
                <w:b/>
                <w:bCs/>
                <w:lang w:eastAsia="zh-CN"/>
              </w:rPr>
              <w:br/>
              <w:t>PP-02</w:t>
            </w:r>
          </w:p>
        </w:tc>
        <w:tc>
          <w:tcPr>
            <w:tcW w:w="8360" w:type="dxa"/>
            <w:tcMar>
              <w:top w:w="108" w:type="dxa"/>
              <w:left w:w="108" w:type="dxa"/>
              <w:bottom w:w="108" w:type="dxa"/>
              <w:right w:w="108" w:type="dxa"/>
            </w:tcMar>
          </w:tcPr>
          <w:p w14:paraId="1A5F9950"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lang w:eastAsia="zh-CN"/>
              </w:rPr>
            </w:pPr>
            <w:r w:rsidRPr="00C22159">
              <w:rPr>
                <w:rFonts w:eastAsia="SimSun"/>
                <w:lang w:eastAsia="zh-CN"/>
              </w:rPr>
              <w:t>5</w:t>
            </w:r>
            <w:r w:rsidRPr="00C22159">
              <w:rPr>
                <w:rFonts w:eastAsia="SimSun"/>
                <w:lang w:eastAsia="zh-CN"/>
              </w:rPr>
              <w:tab/>
              <w:t>Les pouvoirs doivent être déposés au secrétariat de la conférence dès que possible; à cet effet, les États Membres devraient envoyer leurs pouvoirs avant la date d'ouverture de la conférence au Secrétaire général qui les transmet au secrétariat de la conférence dès que celui</w:t>
            </w:r>
            <w:r w:rsidRPr="00C22159">
              <w:rPr>
                <w:rFonts w:eastAsia="SimSun"/>
                <w:lang w:eastAsia="zh-CN"/>
              </w:rPr>
              <w:noBreakHyphen/>
              <w:t>ci est établi. La commission prévue au numéro 68 des Règles générales régissant les conférences, assemblées et réunions de l'Union est chargée de les vérifier; elle présente à la séance plénière un rapport sur ses conclusions dans le délai fixé par celle-ci. En attendant la décision de la séance plénière à ce sujet, toute délégation est habilitée à participer aux travaux et à exercer le droit de vote de l'État Membre concerné.</w:t>
            </w:r>
          </w:p>
        </w:tc>
      </w:tr>
      <w:tr w:rsidR="0097317A" w:rsidRPr="00C22159" w14:paraId="0A5CF37C" w14:textId="77777777" w:rsidTr="001E0ACA">
        <w:trPr>
          <w:cantSplit/>
          <w:jc w:val="center"/>
        </w:trPr>
        <w:tc>
          <w:tcPr>
            <w:tcW w:w="851" w:type="dxa"/>
            <w:tcMar>
              <w:top w:w="108" w:type="dxa"/>
              <w:left w:w="108" w:type="dxa"/>
              <w:bottom w:w="108" w:type="dxa"/>
              <w:right w:w="108" w:type="dxa"/>
            </w:tcMar>
          </w:tcPr>
          <w:p w14:paraId="0ECD1ED5" w14:textId="56AF72CB"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b/>
                <w:bCs/>
                <w:lang w:eastAsia="zh-CN"/>
              </w:rPr>
            </w:pPr>
            <w:r w:rsidRPr="00C22159">
              <w:rPr>
                <w:rFonts w:eastAsia="SimSun"/>
                <w:b/>
                <w:bCs/>
                <w:lang w:eastAsia="zh-CN"/>
              </w:rPr>
              <w:t>335</w:t>
            </w:r>
            <w:r w:rsidR="00B71736" w:rsidRPr="00C22159">
              <w:rPr>
                <w:rFonts w:eastAsia="SimSun"/>
                <w:b/>
                <w:bCs/>
                <w:lang w:eastAsia="zh-CN"/>
              </w:rPr>
              <w:t xml:space="preserve"> </w:t>
            </w:r>
            <w:r w:rsidRPr="00C22159">
              <w:rPr>
                <w:rFonts w:eastAsia="SimSun"/>
                <w:b/>
                <w:bCs/>
                <w:lang w:eastAsia="zh-CN"/>
              </w:rPr>
              <w:br/>
              <w:t>PP-98</w:t>
            </w:r>
          </w:p>
        </w:tc>
        <w:tc>
          <w:tcPr>
            <w:tcW w:w="8360" w:type="dxa"/>
            <w:tcMar>
              <w:top w:w="108" w:type="dxa"/>
              <w:left w:w="108" w:type="dxa"/>
              <w:bottom w:w="108" w:type="dxa"/>
              <w:right w:w="108" w:type="dxa"/>
            </w:tcMar>
          </w:tcPr>
          <w:p w14:paraId="6E248706"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lang w:eastAsia="zh-CN"/>
              </w:rPr>
            </w:pPr>
            <w:r w:rsidRPr="00C22159">
              <w:rPr>
                <w:rFonts w:eastAsia="SimSun"/>
                <w:lang w:eastAsia="zh-CN"/>
              </w:rPr>
              <w:t>6</w:t>
            </w:r>
            <w:r w:rsidRPr="00C22159">
              <w:rPr>
                <w:rFonts w:eastAsia="SimSun"/>
                <w:lang w:eastAsia="zh-CN"/>
              </w:rPr>
              <w:tab/>
              <w:t>En règle générale, les États Membres doivent s'efforcer d'envoyer aux conférences de l'Union leur propre délégation. Toutefois, si pour des raisons exceptionnelles un État Membre ne peut pas envoyer sa propre délégation, il peut donner à la délégation d'un autre État Membre le pouvoir de voter et de signer en son nom. Ce transfert de pouvoir doit faire l'objet d'un acte signé par l'une des autorités citées aux numéros 325 ou 326 ci</w:t>
            </w:r>
            <w:r w:rsidRPr="00C22159">
              <w:rPr>
                <w:rFonts w:eastAsia="SimSun"/>
                <w:lang w:eastAsia="zh-CN"/>
              </w:rPr>
              <w:noBreakHyphen/>
              <w:t>dessus.</w:t>
            </w:r>
          </w:p>
        </w:tc>
      </w:tr>
      <w:tr w:rsidR="0097317A" w:rsidRPr="00C22159" w14:paraId="7CF7B214" w14:textId="77777777" w:rsidTr="001E0ACA">
        <w:trPr>
          <w:cantSplit/>
          <w:jc w:val="center"/>
        </w:trPr>
        <w:tc>
          <w:tcPr>
            <w:tcW w:w="851" w:type="dxa"/>
            <w:tcMar>
              <w:top w:w="108" w:type="dxa"/>
              <w:left w:w="108" w:type="dxa"/>
              <w:bottom w:w="108" w:type="dxa"/>
              <w:right w:w="108" w:type="dxa"/>
            </w:tcMar>
          </w:tcPr>
          <w:p w14:paraId="2AF58ABB"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b/>
                <w:bCs/>
              </w:rPr>
            </w:pPr>
            <w:r w:rsidRPr="00C22159">
              <w:rPr>
                <w:b/>
                <w:bCs/>
              </w:rPr>
              <w:t>336</w:t>
            </w:r>
          </w:p>
        </w:tc>
        <w:tc>
          <w:tcPr>
            <w:tcW w:w="8360" w:type="dxa"/>
            <w:tcMar>
              <w:top w:w="108" w:type="dxa"/>
              <w:left w:w="108" w:type="dxa"/>
              <w:bottom w:w="108" w:type="dxa"/>
              <w:right w:w="108" w:type="dxa"/>
            </w:tcMar>
          </w:tcPr>
          <w:p w14:paraId="28D7E1A1"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 w:rsidRPr="00C22159">
              <w:t>7</w:t>
            </w:r>
            <w:r w:rsidRPr="00C22159">
              <w:tab/>
              <w:t>Une délégation ayant le droit de vote peut donner mandat à une autre délégation ayant le droit de vote d'exercer ce droit au cours d'une ou de plusieurs séances auxquelles il ne lui est pas possible d'assister. En pareil cas, elle doit en informer le président de la conférence en temps utile et par écrit.</w:t>
            </w:r>
          </w:p>
        </w:tc>
      </w:tr>
      <w:tr w:rsidR="0097317A" w:rsidRPr="00C22159" w14:paraId="719B820B" w14:textId="77777777" w:rsidTr="001E0ACA">
        <w:trPr>
          <w:cantSplit/>
          <w:jc w:val="center"/>
        </w:trPr>
        <w:tc>
          <w:tcPr>
            <w:tcW w:w="851" w:type="dxa"/>
            <w:tcMar>
              <w:top w:w="108" w:type="dxa"/>
              <w:left w:w="108" w:type="dxa"/>
              <w:bottom w:w="108" w:type="dxa"/>
              <w:right w:w="108" w:type="dxa"/>
            </w:tcMar>
          </w:tcPr>
          <w:p w14:paraId="4577AC3E"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b/>
                <w:bCs/>
              </w:rPr>
            </w:pPr>
            <w:r w:rsidRPr="00C22159">
              <w:rPr>
                <w:b/>
                <w:bCs/>
              </w:rPr>
              <w:t>337</w:t>
            </w:r>
          </w:p>
        </w:tc>
        <w:tc>
          <w:tcPr>
            <w:tcW w:w="8360" w:type="dxa"/>
            <w:tcMar>
              <w:top w:w="108" w:type="dxa"/>
              <w:left w:w="108" w:type="dxa"/>
              <w:bottom w:w="108" w:type="dxa"/>
              <w:right w:w="108" w:type="dxa"/>
            </w:tcMar>
          </w:tcPr>
          <w:p w14:paraId="1B178D7C"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 w:rsidRPr="00C22159">
              <w:t>8</w:t>
            </w:r>
            <w:r w:rsidRPr="00C22159">
              <w:tab/>
              <w:t>Une délégation ne peut exercer plus d'un vote par procuration.</w:t>
            </w:r>
          </w:p>
        </w:tc>
      </w:tr>
      <w:tr w:rsidR="0097317A" w:rsidRPr="00C22159" w14:paraId="2BF28495" w14:textId="77777777" w:rsidTr="001E0ACA">
        <w:trPr>
          <w:cantSplit/>
          <w:jc w:val="center"/>
        </w:trPr>
        <w:tc>
          <w:tcPr>
            <w:tcW w:w="851" w:type="dxa"/>
            <w:tcMar>
              <w:top w:w="108" w:type="dxa"/>
              <w:left w:w="108" w:type="dxa"/>
              <w:bottom w:w="108" w:type="dxa"/>
              <w:right w:w="108" w:type="dxa"/>
            </w:tcMar>
          </w:tcPr>
          <w:p w14:paraId="75D8E271"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b/>
                <w:bCs/>
              </w:rPr>
            </w:pPr>
            <w:r w:rsidRPr="00C22159">
              <w:rPr>
                <w:b/>
                <w:bCs/>
              </w:rPr>
              <w:t>338</w:t>
            </w:r>
          </w:p>
        </w:tc>
        <w:tc>
          <w:tcPr>
            <w:tcW w:w="8360" w:type="dxa"/>
            <w:tcMar>
              <w:top w:w="108" w:type="dxa"/>
              <w:left w:w="108" w:type="dxa"/>
              <w:bottom w:w="108" w:type="dxa"/>
              <w:right w:w="108" w:type="dxa"/>
            </w:tcMar>
          </w:tcPr>
          <w:p w14:paraId="1C741266"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 w:rsidRPr="00C22159">
              <w:t>9</w:t>
            </w:r>
            <w:r w:rsidRPr="00C22159">
              <w:tab/>
              <w:t>Les pouvoirs et procurations adressés par télégramme ne sont pas acceptables. En revanche, sont acceptées les réponses télégraphiques aux demandes d'éclaircissement du président ou du secrétariat de la conférence concernant les pouvoirs.</w:t>
            </w:r>
          </w:p>
        </w:tc>
      </w:tr>
      <w:tr w:rsidR="0097317A" w:rsidRPr="00C22159" w14:paraId="175BF6FD" w14:textId="77777777" w:rsidTr="001E0ACA">
        <w:trPr>
          <w:cantSplit/>
          <w:jc w:val="center"/>
        </w:trPr>
        <w:tc>
          <w:tcPr>
            <w:tcW w:w="851" w:type="dxa"/>
            <w:tcMar>
              <w:top w:w="108" w:type="dxa"/>
              <w:left w:w="108" w:type="dxa"/>
              <w:bottom w:w="108" w:type="dxa"/>
              <w:right w:w="108" w:type="dxa"/>
            </w:tcMar>
          </w:tcPr>
          <w:p w14:paraId="11D52472" w14:textId="0D42C54D"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b/>
                <w:bCs/>
                <w:lang w:eastAsia="zh-CN"/>
              </w:rPr>
            </w:pPr>
            <w:r w:rsidRPr="00C22159">
              <w:rPr>
                <w:rFonts w:eastAsia="SimSun"/>
                <w:b/>
                <w:bCs/>
                <w:lang w:eastAsia="zh-CN"/>
              </w:rPr>
              <w:t>339</w:t>
            </w:r>
            <w:r w:rsidR="00B71736" w:rsidRPr="00C22159">
              <w:rPr>
                <w:rFonts w:eastAsia="SimSun"/>
                <w:b/>
                <w:bCs/>
                <w:lang w:eastAsia="zh-CN"/>
              </w:rPr>
              <w:t xml:space="preserve"> </w:t>
            </w:r>
            <w:r w:rsidRPr="00C22159">
              <w:rPr>
                <w:rFonts w:eastAsia="SimSun"/>
                <w:b/>
                <w:bCs/>
                <w:lang w:eastAsia="zh-CN"/>
              </w:rPr>
              <w:br/>
              <w:t>PP-98</w:t>
            </w:r>
          </w:p>
        </w:tc>
        <w:tc>
          <w:tcPr>
            <w:tcW w:w="8360" w:type="dxa"/>
            <w:tcMar>
              <w:top w:w="108" w:type="dxa"/>
              <w:left w:w="108" w:type="dxa"/>
              <w:bottom w:w="108" w:type="dxa"/>
              <w:right w:w="108" w:type="dxa"/>
            </w:tcMar>
          </w:tcPr>
          <w:p w14:paraId="38E3D480" w14:textId="77777777" w:rsidR="0097317A" w:rsidRPr="00C22159" w:rsidRDefault="0097317A" w:rsidP="009731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eastAsia="SimSun"/>
                <w:lang w:eastAsia="zh-CN"/>
              </w:rPr>
            </w:pPr>
            <w:r w:rsidRPr="00C22159">
              <w:rPr>
                <w:rFonts w:eastAsia="SimSun"/>
                <w:lang w:eastAsia="zh-CN"/>
              </w:rPr>
              <w:t>10</w:t>
            </w:r>
            <w:r w:rsidRPr="00C22159">
              <w:rPr>
                <w:rFonts w:eastAsia="SimSun"/>
                <w:lang w:eastAsia="zh-CN"/>
              </w:rPr>
              <w:tab/>
              <w:t>Un État Membre ou une entité ou organisation agréée qui se propose d'envoyer une délégation ou des représentants à une assemblée mondiale de normalisation des télécommunications, à une conférence de développement des télécommunications ou à une assemblée des radio</w:t>
            </w:r>
            <w:r w:rsidRPr="00C22159">
              <w:rPr>
                <w:rFonts w:eastAsia="SimSun"/>
                <w:lang w:eastAsia="zh-CN"/>
              </w:rPr>
              <w:softHyphen/>
              <w:t>communications en informe le directeur du Bureau du Secteur concerné, en indiquant le nom et la fonction des membres de la délégation ou des représentants.</w:t>
            </w:r>
          </w:p>
        </w:tc>
      </w:tr>
    </w:tbl>
    <w:p w14:paraId="2C7E82E0" w14:textId="0C6F8513" w:rsidR="0097317A" w:rsidRPr="00C22159" w:rsidRDefault="0097317A">
      <w:pPr>
        <w:tabs>
          <w:tab w:val="clear" w:pos="794"/>
          <w:tab w:val="clear" w:pos="1191"/>
          <w:tab w:val="clear" w:pos="1588"/>
          <w:tab w:val="clear" w:pos="1985"/>
        </w:tabs>
        <w:overflowPunct/>
        <w:autoSpaceDE/>
        <w:autoSpaceDN/>
        <w:adjustRightInd/>
        <w:spacing w:before="0" w:line="240" w:lineRule="auto"/>
        <w:jc w:val="left"/>
        <w:textAlignment w:val="auto"/>
      </w:pPr>
      <w:r w:rsidRPr="00C22159">
        <w:br w:type="page"/>
      </w:r>
    </w:p>
    <w:p w14:paraId="45BB9558" w14:textId="77777777" w:rsidR="0097317A" w:rsidRPr="00C22159" w:rsidRDefault="0097317A" w:rsidP="0097317A">
      <w:pPr>
        <w:keepNext/>
        <w:keepLines/>
        <w:spacing w:before="0"/>
        <w:jc w:val="center"/>
        <w:rPr>
          <w:rFonts w:eastAsia="SimSun"/>
          <w:b/>
          <w:caps/>
          <w:sz w:val="24"/>
        </w:rPr>
      </w:pPr>
      <w:bookmarkStart w:id="8" w:name="Annexe2"/>
      <w:bookmarkEnd w:id="8"/>
      <w:r w:rsidRPr="00C22159">
        <w:rPr>
          <w:rFonts w:eastAsia="SimSun"/>
          <w:b/>
          <w:caps/>
          <w:sz w:val="24"/>
        </w:rPr>
        <w:lastRenderedPageBreak/>
        <w:t>a</w:t>
      </w:r>
      <w:r w:rsidRPr="00C22159">
        <w:rPr>
          <w:rFonts w:eastAsia="SimSun"/>
          <w:b/>
          <w:sz w:val="24"/>
        </w:rPr>
        <w:t>nnexe</w:t>
      </w:r>
      <w:r w:rsidRPr="00C22159">
        <w:rPr>
          <w:rFonts w:eastAsia="SimSun"/>
          <w:b/>
          <w:caps/>
          <w:sz w:val="24"/>
        </w:rPr>
        <w:t xml:space="preserve"> 2</w:t>
      </w:r>
    </w:p>
    <w:p w14:paraId="485D2783" w14:textId="77777777" w:rsidR="0097317A" w:rsidRPr="00C22159" w:rsidRDefault="0097317A" w:rsidP="0097317A">
      <w:pPr>
        <w:keepNext/>
        <w:keepLines/>
        <w:spacing w:before="720" w:after="120" w:line="240" w:lineRule="auto"/>
        <w:jc w:val="center"/>
        <w:rPr>
          <w:rFonts w:asciiTheme="minorHAnsi" w:eastAsia="SimSun" w:hAnsiTheme="minorHAnsi"/>
          <w:b/>
          <w:bCs/>
          <w:sz w:val="24"/>
          <w:szCs w:val="24"/>
        </w:rPr>
      </w:pPr>
      <w:r w:rsidRPr="00C22159">
        <w:rPr>
          <w:rFonts w:asciiTheme="minorHAnsi" w:eastAsia="SimSun" w:hAnsiTheme="minorHAnsi"/>
          <w:b/>
          <w:bCs/>
          <w:sz w:val="24"/>
          <w:szCs w:val="24"/>
        </w:rPr>
        <w:t>MODÈLE D'INSTRUMENT D'ACCRÉDITATION</w:t>
      </w:r>
    </w:p>
    <w:p w14:paraId="38C19E90" w14:textId="77777777" w:rsidR="0097317A" w:rsidRPr="00C22159" w:rsidRDefault="0097317A" w:rsidP="0097317A">
      <w:pPr>
        <w:keepNext/>
        <w:keepLines/>
        <w:spacing w:before="120" w:after="120" w:line="240" w:lineRule="auto"/>
        <w:jc w:val="center"/>
        <w:rPr>
          <w:rFonts w:asciiTheme="minorHAnsi" w:eastAsia="SimSun" w:hAnsiTheme="minorHAnsi"/>
          <w:b/>
          <w:bCs/>
          <w:sz w:val="24"/>
          <w:szCs w:val="24"/>
        </w:rPr>
      </w:pPr>
      <w:r w:rsidRPr="00C22159">
        <w:rPr>
          <w:rFonts w:asciiTheme="minorHAnsi" w:eastAsia="SimSun" w:hAnsiTheme="minorHAnsi"/>
          <w:b/>
          <w:bCs/>
          <w:sz w:val="24"/>
          <w:szCs w:val="24"/>
        </w:rPr>
        <w:t>POUR LES DÉLÉGATIONS PARTICIPANT À LA CONFÉRENCE DE PLÉNIPOTENTIAIRES (PP</w:t>
      </w:r>
      <w:r w:rsidRPr="00C22159">
        <w:rPr>
          <w:rFonts w:asciiTheme="minorHAnsi" w:eastAsia="SimSun" w:hAnsiTheme="minorHAnsi"/>
          <w:b/>
          <w:bCs/>
          <w:sz w:val="24"/>
          <w:szCs w:val="24"/>
        </w:rPr>
        <w:noBreakHyphen/>
        <w:t xml:space="preserve">22) </w:t>
      </w:r>
      <w:r w:rsidRPr="00C22159">
        <w:rPr>
          <w:rFonts w:asciiTheme="minorHAnsi" w:eastAsia="SimSun" w:hAnsiTheme="minorHAnsi"/>
          <w:b/>
          <w:bCs/>
          <w:sz w:val="24"/>
          <w:szCs w:val="24"/>
        </w:rPr>
        <w:br/>
        <w:t>BUCAREST (ROUMANIE), DU 26 SEPTEMBRE AU 14 OCTOBRE 2022</w:t>
      </w:r>
    </w:p>
    <w:p w14:paraId="76ECC935" w14:textId="77777777" w:rsidR="0097317A" w:rsidRPr="00C22159" w:rsidRDefault="0097317A" w:rsidP="0097317A">
      <w:pPr>
        <w:spacing w:before="600" w:after="60" w:line="240" w:lineRule="auto"/>
        <w:ind w:left="-244" w:right="-289"/>
        <w:jc w:val="center"/>
        <w:outlineLvl w:val="4"/>
        <w:rPr>
          <w:rFonts w:eastAsia="SimSun"/>
          <w:szCs w:val="24"/>
          <w:u w:val="single"/>
        </w:rPr>
      </w:pPr>
      <w:r w:rsidRPr="00C22159">
        <w:rPr>
          <w:rFonts w:eastAsia="SimSun"/>
          <w:szCs w:val="24"/>
          <w:u w:val="single"/>
        </w:rPr>
        <w:t>POUVOIRS</w:t>
      </w:r>
    </w:p>
    <w:p w14:paraId="74F000B8" w14:textId="77777777" w:rsidR="0097317A" w:rsidRPr="00C22159" w:rsidRDefault="0097317A" w:rsidP="0097317A">
      <w:pPr>
        <w:spacing w:before="480" w:after="480" w:line="240" w:lineRule="auto"/>
        <w:ind w:left="-245" w:right="-288"/>
        <w:jc w:val="center"/>
        <w:rPr>
          <w:rFonts w:eastAsia="SimSun"/>
          <w:szCs w:val="24"/>
        </w:rPr>
      </w:pPr>
      <w:r w:rsidRPr="00C22159">
        <w:rPr>
          <w:rFonts w:eastAsia="SimSun"/>
          <w:szCs w:val="24"/>
        </w:rPr>
        <w:t>NOM DE L'ÉTAT MEMBRE</w:t>
      </w:r>
    </w:p>
    <w:p w14:paraId="36588676" w14:textId="149905E8" w:rsidR="0097317A" w:rsidRPr="00C22159" w:rsidRDefault="0097317A" w:rsidP="0097317A">
      <w:pPr>
        <w:spacing w:line="240" w:lineRule="auto"/>
        <w:ind w:right="-142"/>
        <w:jc w:val="left"/>
        <w:rPr>
          <w:rFonts w:eastAsia="SimSun"/>
          <w:szCs w:val="24"/>
        </w:rPr>
      </w:pPr>
      <w:r w:rsidRPr="00C22159">
        <w:rPr>
          <w:rFonts w:eastAsia="SimSun"/>
          <w:szCs w:val="24"/>
        </w:rPr>
        <w:t>Nous, _______________________ (</w:t>
      </w:r>
      <w:r w:rsidRPr="00C22159">
        <w:rPr>
          <w:rFonts w:eastAsia="SimSun"/>
          <w:i/>
          <w:iCs/>
          <w:szCs w:val="24"/>
        </w:rPr>
        <w:t>Chef de l'État/Chef du Gouvernement/Ministre des Affaires étrangères</w:t>
      </w:r>
      <w:r w:rsidRPr="00C22159">
        <w:rPr>
          <w:rFonts w:eastAsia="SimSun"/>
          <w:szCs w:val="24"/>
        </w:rPr>
        <w:t>)</w:t>
      </w:r>
      <w:r w:rsidRPr="00C22159">
        <w:rPr>
          <w:rFonts w:eastAsia="SimSun"/>
          <w:position w:val="6"/>
          <w:sz w:val="18"/>
        </w:rPr>
        <w:footnoteReference w:id="1"/>
      </w:r>
      <w:r w:rsidRPr="00C22159">
        <w:rPr>
          <w:rFonts w:eastAsia="SimSun"/>
          <w:szCs w:val="24"/>
        </w:rPr>
        <w:t xml:space="preserve"> ________________________________, certifions par la présente que la délégation de __________________________________ (État Membre) à la Conférence de plénipotentiaires (PP-22), qui se tiendra à Bucarest (Roumanie), du 26 septembre au 14 octobre 2022:</w:t>
      </w:r>
    </w:p>
    <w:p w14:paraId="7D2B1AD4" w14:textId="77777777" w:rsidR="0097317A" w:rsidRPr="00C22159" w:rsidRDefault="0097317A" w:rsidP="0097317A">
      <w:pPr>
        <w:spacing w:before="80"/>
        <w:ind w:left="794" w:hanging="794"/>
        <w:rPr>
          <w:rFonts w:eastAsia="SimSun"/>
          <w:b/>
          <w:bCs/>
        </w:rPr>
      </w:pPr>
      <w:r w:rsidRPr="00C22159">
        <w:rPr>
          <w:rFonts w:eastAsia="SimSun"/>
        </w:rPr>
        <w:t>•</w:t>
      </w:r>
      <w:r w:rsidRPr="00C22159">
        <w:rPr>
          <w:rFonts w:eastAsia="SimSun"/>
        </w:rPr>
        <w:tab/>
        <w:t>a les pleins pouvoirs</w:t>
      </w:r>
      <w:r w:rsidRPr="00C22159">
        <w:rPr>
          <w:rFonts w:eastAsia="SimSun"/>
          <w:position w:val="6"/>
          <w:sz w:val="18"/>
        </w:rPr>
        <w:footnoteReference w:id="2"/>
      </w:r>
      <w:r w:rsidRPr="00C22159">
        <w:rPr>
          <w:rFonts w:eastAsia="SimSun"/>
        </w:rPr>
        <w:t>;</w:t>
      </w:r>
    </w:p>
    <w:p w14:paraId="79B13F88" w14:textId="77777777" w:rsidR="0097317A" w:rsidRPr="00C22159" w:rsidRDefault="0097317A" w:rsidP="0097317A">
      <w:pPr>
        <w:spacing w:before="80"/>
        <w:ind w:left="794" w:hanging="794"/>
        <w:rPr>
          <w:rFonts w:eastAsia="SimSun"/>
        </w:rPr>
      </w:pPr>
      <w:r w:rsidRPr="00C22159">
        <w:rPr>
          <w:rFonts w:eastAsia="SimSun"/>
        </w:rPr>
        <w:t>•</w:t>
      </w:r>
      <w:r w:rsidRPr="00C22159">
        <w:rPr>
          <w:rFonts w:eastAsia="SimSun"/>
        </w:rPr>
        <w:tab/>
        <w:t>est autorisée à représenter son Gouvernement sans restrictions</w:t>
      </w:r>
      <w:r w:rsidRPr="00C22159">
        <w:rPr>
          <w:rFonts w:eastAsia="SimSun"/>
          <w:vertAlign w:val="superscript"/>
        </w:rPr>
        <w:t>2</w:t>
      </w:r>
      <w:r w:rsidRPr="00C22159">
        <w:t>;</w:t>
      </w:r>
    </w:p>
    <w:p w14:paraId="1FDF42D0" w14:textId="77777777" w:rsidR="0097317A" w:rsidRPr="00C22159" w:rsidRDefault="0097317A" w:rsidP="0097317A">
      <w:pPr>
        <w:spacing w:before="80"/>
        <w:ind w:left="794" w:hanging="794"/>
        <w:rPr>
          <w:rFonts w:eastAsia="SimSun"/>
          <w:bCs/>
          <w:vertAlign w:val="superscript"/>
        </w:rPr>
      </w:pPr>
      <w:r w:rsidRPr="00C22159">
        <w:rPr>
          <w:rFonts w:eastAsia="SimSun"/>
        </w:rPr>
        <w:t>•</w:t>
      </w:r>
      <w:r w:rsidRPr="00C22159">
        <w:rPr>
          <w:rFonts w:eastAsia="SimSun"/>
        </w:rPr>
        <w:tab/>
        <w:t>a le droit de signer les Actes finals</w:t>
      </w:r>
      <w:r w:rsidRPr="00C22159">
        <w:rPr>
          <w:rFonts w:eastAsia="SimSun"/>
          <w:vertAlign w:val="superscript"/>
        </w:rPr>
        <w:t>2</w:t>
      </w:r>
      <w:r w:rsidRPr="00C22159">
        <w:rPr>
          <w:rFonts w:eastAsia="SimSun"/>
        </w:rPr>
        <w:t>.</w:t>
      </w:r>
    </w:p>
    <w:p w14:paraId="5312E986" w14:textId="77777777" w:rsidR="0097317A" w:rsidRPr="00C22159" w:rsidRDefault="0097317A" w:rsidP="0097317A">
      <w:pPr>
        <w:spacing w:before="240" w:after="120" w:line="240" w:lineRule="auto"/>
        <w:ind w:left="795" w:right="-142"/>
        <w:jc w:val="left"/>
        <w:rPr>
          <w:rFonts w:eastAsia="SimSun"/>
          <w:szCs w:val="24"/>
        </w:rPr>
      </w:pPr>
      <w:r w:rsidRPr="00C22159">
        <w:rPr>
          <w:rFonts w:eastAsia="SimSun"/>
          <w:szCs w:val="24"/>
        </w:rPr>
        <w:t>Cette délégation est composée de:</w:t>
      </w:r>
    </w:p>
    <w:p w14:paraId="179589DB" w14:textId="77777777" w:rsidR="0097317A" w:rsidRPr="00C22159" w:rsidRDefault="0097317A" w:rsidP="0097317A">
      <w:pPr>
        <w:tabs>
          <w:tab w:val="left" w:pos="142"/>
          <w:tab w:val="center" w:pos="6480"/>
        </w:tabs>
        <w:spacing w:before="0" w:line="240" w:lineRule="auto"/>
        <w:ind w:left="794" w:right="-142"/>
        <w:jc w:val="left"/>
        <w:rPr>
          <w:rFonts w:eastAsia="SimSun"/>
          <w:szCs w:val="24"/>
        </w:rPr>
      </w:pPr>
      <w:r w:rsidRPr="00C22159">
        <w:rPr>
          <w:rFonts w:eastAsia="SimSun"/>
          <w:szCs w:val="24"/>
        </w:rPr>
        <w:t>1)</w:t>
      </w:r>
      <w:r w:rsidRPr="00C22159">
        <w:rPr>
          <w:rFonts w:eastAsia="SimSun"/>
          <w:szCs w:val="24"/>
        </w:rPr>
        <w:tab/>
        <w:t>________________________, Chef de délégation</w:t>
      </w:r>
    </w:p>
    <w:p w14:paraId="5ED657AB" w14:textId="77777777" w:rsidR="0097317A" w:rsidRPr="00C22159" w:rsidRDefault="0097317A" w:rsidP="0097317A">
      <w:pPr>
        <w:tabs>
          <w:tab w:val="left" w:pos="142"/>
          <w:tab w:val="center" w:pos="6480"/>
        </w:tabs>
        <w:spacing w:before="0" w:line="240" w:lineRule="auto"/>
        <w:ind w:left="794" w:right="-142"/>
        <w:jc w:val="left"/>
        <w:rPr>
          <w:rFonts w:eastAsia="SimSun"/>
          <w:szCs w:val="24"/>
        </w:rPr>
      </w:pPr>
      <w:r w:rsidRPr="00C22159">
        <w:rPr>
          <w:rFonts w:eastAsia="SimSun"/>
          <w:szCs w:val="24"/>
        </w:rPr>
        <w:t>2)</w:t>
      </w:r>
      <w:r w:rsidRPr="00C22159">
        <w:rPr>
          <w:rFonts w:eastAsia="SimSun"/>
          <w:szCs w:val="24"/>
        </w:rPr>
        <w:tab/>
        <w:t>________________________, Adjoint au Chef de délégation</w:t>
      </w:r>
    </w:p>
    <w:p w14:paraId="5FEE3567" w14:textId="77777777" w:rsidR="0097317A" w:rsidRPr="00C22159" w:rsidRDefault="0097317A" w:rsidP="0097317A">
      <w:pPr>
        <w:tabs>
          <w:tab w:val="left" w:pos="142"/>
          <w:tab w:val="center" w:pos="6480"/>
        </w:tabs>
        <w:spacing w:before="0" w:line="240" w:lineRule="auto"/>
        <w:ind w:left="794" w:right="-142"/>
        <w:jc w:val="left"/>
        <w:rPr>
          <w:rFonts w:eastAsia="SimSun"/>
          <w:szCs w:val="24"/>
        </w:rPr>
      </w:pPr>
      <w:r w:rsidRPr="00C22159">
        <w:rPr>
          <w:rFonts w:eastAsia="SimSun"/>
          <w:szCs w:val="24"/>
        </w:rPr>
        <w:t>3)</w:t>
      </w:r>
      <w:r w:rsidRPr="00C22159">
        <w:rPr>
          <w:rFonts w:eastAsia="SimSun"/>
          <w:szCs w:val="24"/>
        </w:rPr>
        <w:tab/>
        <w:t>________________________, Délégué</w:t>
      </w:r>
    </w:p>
    <w:p w14:paraId="50839B0A" w14:textId="77777777" w:rsidR="0097317A" w:rsidRPr="00C22159" w:rsidRDefault="0097317A" w:rsidP="0097317A">
      <w:pPr>
        <w:tabs>
          <w:tab w:val="left" w:pos="142"/>
          <w:tab w:val="center" w:pos="6480"/>
        </w:tabs>
        <w:spacing w:before="0" w:line="240" w:lineRule="auto"/>
        <w:ind w:left="794" w:right="-142"/>
        <w:jc w:val="left"/>
        <w:rPr>
          <w:rFonts w:eastAsia="SimSun"/>
          <w:szCs w:val="24"/>
        </w:rPr>
      </w:pPr>
      <w:r w:rsidRPr="00C22159">
        <w:rPr>
          <w:rFonts w:eastAsia="SimSun"/>
          <w:szCs w:val="24"/>
        </w:rPr>
        <w:t>etc.</w:t>
      </w:r>
    </w:p>
    <w:p w14:paraId="63DFBAAD" w14:textId="77777777" w:rsidR="0097317A" w:rsidRPr="00C22159" w:rsidRDefault="0097317A" w:rsidP="0097317A">
      <w:pPr>
        <w:tabs>
          <w:tab w:val="left" w:pos="142"/>
          <w:tab w:val="center" w:pos="6480"/>
        </w:tabs>
        <w:spacing w:before="360" w:line="240" w:lineRule="auto"/>
        <w:ind w:right="-142"/>
        <w:jc w:val="left"/>
        <w:rPr>
          <w:rFonts w:eastAsia="SimSun"/>
          <w:szCs w:val="24"/>
        </w:rPr>
      </w:pPr>
      <w:r w:rsidRPr="00C22159">
        <w:rPr>
          <w:rFonts w:eastAsia="SimSun"/>
          <w:szCs w:val="24"/>
        </w:rPr>
        <w:t>Fait à ___________________, le ___________________2022, par:</w:t>
      </w:r>
    </w:p>
    <w:p w14:paraId="19097C35" w14:textId="77777777" w:rsidR="0097317A" w:rsidRPr="00C22159" w:rsidRDefault="0097317A" w:rsidP="0097317A">
      <w:pPr>
        <w:tabs>
          <w:tab w:val="left" w:pos="851"/>
          <w:tab w:val="center" w:pos="6480"/>
        </w:tabs>
        <w:spacing w:before="960" w:after="960" w:line="240" w:lineRule="auto"/>
        <w:ind w:left="-245" w:right="-142"/>
        <w:jc w:val="right"/>
        <w:rPr>
          <w:rFonts w:eastAsia="SimSun"/>
          <w:szCs w:val="24"/>
        </w:rPr>
      </w:pPr>
      <w:r w:rsidRPr="00C22159">
        <w:rPr>
          <w:rFonts w:eastAsia="SimSun"/>
          <w:szCs w:val="24"/>
        </w:rPr>
        <w:t>_____________________________ (Signature)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8"/>
        <w:gridCol w:w="4493"/>
      </w:tblGrid>
      <w:tr w:rsidR="0097317A" w:rsidRPr="00C22159" w14:paraId="1501F727" w14:textId="77777777" w:rsidTr="001E0ACA">
        <w:tc>
          <w:tcPr>
            <w:tcW w:w="4788" w:type="dxa"/>
            <w:vAlign w:val="center"/>
          </w:tcPr>
          <w:p w14:paraId="1BEEAC50" w14:textId="77777777" w:rsidR="0097317A" w:rsidRPr="00C22159" w:rsidRDefault="0097317A" w:rsidP="0097317A">
            <w:pPr>
              <w:spacing w:line="240" w:lineRule="auto"/>
              <w:ind w:left="-240" w:right="-142"/>
              <w:rPr>
                <w:szCs w:val="24"/>
              </w:rPr>
            </w:pPr>
            <w:r w:rsidRPr="00C22159">
              <w:rPr>
                <w:szCs w:val="24"/>
              </w:rPr>
              <w:t>s</w:t>
            </w:r>
            <w:r w:rsidRPr="00C22159">
              <w:rPr>
                <w:szCs w:val="24"/>
                <w:u w:val="single"/>
              </w:rPr>
              <w:t xml:space="preserve"> </w:t>
            </w:r>
            <w:r w:rsidRPr="00C22159">
              <w:rPr>
                <w:b/>
                <w:szCs w:val="24"/>
                <w:u w:val="single"/>
              </w:rPr>
              <w:t>Sceau officiel</w:t>
            </w:r>
          </w:p>
        </w:tc>
        <w:tc>
          <w:tcPr>
            <w:tcW w:w="4493" w:type="dxa"/>
          </w:tcPr>
          <w:p w14:paraId="2E552F3D" w14:textId="77777777" w:rsidR="0097317A" w:rsidRPr="00C22159" w:rsidRDefault="0097317A" w:rsidP="0097317A">
            <w:pPr>
              <w:tabs>
                <w:tab w:val="left" w:pos="213"/>
              </w:tabs>
              <w:spacing w:line="240" w:lineRule="auto"/>
              <w:ind w:left="-240" w:right="-142"/>
              <w:jc w:val="center"/>
              <w:rPr>
                <w:i/>
                <w:iCs/>
                <w:szCs w:val="24"/>
              </w:rPr>
            </w:pPr>
            <w:r w:rsidRPr="00C22159">
              <w:rPr>
                <w:i/>
                <w:iCs/>
                <w:szCs w:val="24"/>
              </w:rPr>
              <w:t>(Chef de l'État/</w:t>
            </w:r>
            <w:r w:rsidRPr="00C22159">
              <w:rPr>
                <w:i/>
                <w:iCs/>
                <w:szCs w:val="24"/>
              </w:rPr>
              <w:br/>
              <w:t>Chef du Gouvernement/</w:t>
            </w:r>
            <w:r w:rsidRPr="00C22159">
              <w:rPr>
                <w:i/>
                <w:iCs/>
                <w:szCs w:val="24"/>
              </w:rPr>
              <w:br/>
              <w:t>Ministre des Affaires étrangères)</w:t>
            </w:r>
            <w:r w:rsidRPr="00C22159">
              <w:rPr>
                <w:b/>
                <w:vertAlign w:val="superscript"/>
              </w:rPr>
              <w:t>1</w:t>
            </w:r>
          </w:p>
        </w:tc>
      </w:tr>
    </w:tbl>
    <w:p w14:paraId="07734B4B" w14:textId="77777777" w:rsidR="0097317A" w:rsidRPr="00C22159" w:rsidRDefault="0097317A" w:rsidP="00B71736">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4"/>
          <w:szCs w:val="20"/>
        </w:rPr>
      </w:pPr>
    </w:p>
    <w:bookmarkEnd w:id="6"/>
    <w:bookmarkEnd w:id="7"/>
    <w:sectPr w:rsidR="0097317A" w:rsidRPr="00C22159" w:rsidSect="000A249C">
      <w:headerReference w:type="even" r:id="rId16"/>
      <w:headerReference w:type="default" r:id="rId17"/>
      <w:headerReference w:type="first" r:id="rId18"/>
      <w:footerReference w:type="first" r:id="rId19"/>
      <w:pgSz w:w="11907" w:h="16834" w:code="9"/>
      <w:pgMar w:top="1418" w:right="1134" w:bottom="1418" w:left="1134"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9096" w14:textId="77777777" w:rsidR="000A249C" w:rsidRDefault="000A249C">
      <w:r>
        <w:separator/>
      </w:r>
    </w:p>
  </w:endnote>
  <w:endnote w:type="continuationSeparator" w:id="0">
    <w:p w14:paraId="71AD3B61" w14:textId="77777777" w:rsidR="000A249C" w:rsidRDefault="000A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575F" w14:textId="78256F40" w:rsidR="00877C1B" w:rsidRPr="00877C1B" w:rsidRDefault="00877C1B" w:rsidP="00F914DD">
    <w:pPr>
      <w:pStyle w:val="FirstFooter"/>
      <w:spacing w:line="240" w:lineRule="auto"/>
      <w:ind w:left="-397" w:right="-397"/>
      <w:jc w:val="center"/>
      <w:rPr>
        <w:color w:val="3E8EDE"/>
        <w:sz w:val="18"/>
        <w:szCs w:val="18"/>
        <w:lang w:val="fr-CH"/>
      </w:rPr>
    </w:pPr>
    <w:r w:rsidRPr="00877C1B">
      <w:rPr>
        <w:color w:val="3E8EDE"/>
        <w:sz w:val="18"/>
        <w:szCs w:val="18"/>
        <w:lang w:val="fr-CH"/>
      </w:rPr>
      <w:t xml:space="preserve">Union internationale des télécommunications </w:t>
    </w:r>
    <w:r w:rsidRPr="00FB65BC">
      <w:rPr>
        <w:color w:val="3E8EDE"/>
        <w:sz w:val="18"/>
        <w:szCs w:val="18"/>
        <w:lang w:val="fr-CH"/>
      </w:rPr>
      <w:t>•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 xml:space="preserve">1211 </w:t>
    </w:r>
    <w:r w:rsidRPr="00877C1B">
      <w:rPr>
        <w:color w:val="3E8EDE"/>
        <w:sz w:val="18"/>
        <w:szCs w:val="18"/>
        <w:lang w:val="fr-CH"/>
      </w:rPr>
      <w:t xml:space="preserve">Genève </w:t>
    </w:r>
    <w:r w:rsidRPr="00FB65BC">
      <w:rPr>
        <w:color w:val="3E8EDE"/>
        <w:sz w:val="18"/>
        <w:szCs w:val="18"/>
        <w:lang w:val="fr-CH"/>
      </w:rPr>
      <w:t>20</w:t>
    </w:r>
    <w:r>
      <w:rPr>
        <w:color w:val="3E8EDE"/>
        <w:sz w:val="18"/>
        <w:szCs w:val="18"/>
        <w:lang w:val="fr-CH"/>
      </w:rPr>
      <w:t>,</w:t>
    </w:r>
    <w:r w:rsidRPr="00FB65BC">
      <w:rPr>
        <w:color w:val="3E8EDE"/>
        <w:sz w:val="18"/>
        <w:szCs w:val="18"/>
        <w:lang w:val="fr-CH"/>
      </w:rPr>
      <w:t xml:space="preserve"> </w:t>
    </w:r>
    <w:r w:rsidRPr="00877C1B">
      <w:rPr>
        <w:color w:val="3E8EDE"/>
        <w:sz w:val="18"/>
        <w:szCs w:val="18"/>
        <w:lang w:val="fr-CH"/>
      </w:rPr>
      <w:t>Suisse</w:t>
    </w:r>
    <w:r w:rsidRPr="00FB65BC">
      <w:rPr>
        <w:color w:val="3E8EDE"/>
        <w:sz w:val="18"/>
        <w:szCs w:val="18"/>
        <w:lang w:val="fr-CH"/>
      </w:rPr>
      <w:br/>
      <w:t>T</w:t>
    </w:r>
    <w:r>
      <w:rPr>
        <w:color w:val="3E8EDE"/>
        <w:sz w:val="18"/>
        <w:szCs w:val="18"/>
        <w:lang w:val="fr-CH"/>
      </w:rPr>
      <w:t>é</w:t>
    </w:r>
    <w:r w:rsidRPr="00FB65BC">
      <w:rPr>
        <w:color w:val="3E8EDE"/>
        <w:sz w:val="18"/>
        <w:szCs w:val="18"/>
        <w:lang w:val="fr-CH"/>
      </w:rPr>
      <w:t>l</w:t>
    </w:r>
    <w:r w:rsidR="0097317A">
      <w:rPr>
        <w:color w:val="3E8EDE"/>
        <w:sz w:val="18"/>
        <w:szCs w:val="18"/>
        <w:lang w:val="fr-CH"/>
      </w:rPr>
      <w:t>.</w:t>
    </w:r>
    <w:r w:rsidRPr="00FB65BC">
      <w:rPr>
        <w:color w:val="3E8EDE"/>
        <w:sz w:val="18"/>
        <w:szCs w:val="18"/>
        <w:lang w:val="fr-CH"/>
      </w:rPr>
      <w:t xml:space="preserve">: +41 22 730 5111 • Fax: +41 22 733 7256 • </w:t>
    </w:r>
    <w:r w:rsidRPr="00877C1B">
      <w:rPr>
        <w:color w:val="3E8EDE"/>
        <w:sz w:val="18"/>
        <w:szCs w:val="18"/>
        <w:lang w:val="fr-CH"/>
      </w:rPr>
      <w:t>Courriel</w:t>
    </w:r>
    <w:r w:rsidRPr="00FB65BC">
      <w:rPr>
        <w:color w:val="3E8EDE"/>
        <w:sz w:val="18"/>
        <w:szCs w:val="18"/>
        <w:lang w:val="fr-CH"/>
      </w:rPr>
      <w:t xml:space="preserve">: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E3D7" w14:textId="77777777" w:rsidR="000A249C" w:rsidRDefault="000A249C">
      <w:r>
        <w:t>____________________</w:t>
      </w:r>
    </w:p>
  </w:footnote>
  <w:footnote w:type="continuationSeparator" w:id="0">
    <w:p w14:paraId="276F16F0" w14:textId="77777777" w:rsidR="000A249C" w:rsidRDefault="000A249C">
      <w:r>
        <w:continuationSeparator/>
      </w:r>
    </w:p>
  </w:footnote>
  <w:footnote w:id="1">
    <w:p w14:paraId="6D1C3198" w14:textId="77777777" w:rsidR="0097317A" w:rsidRPr="008469A6" w:rsidRDefault="0097317A" w:rsidP="00491081">
      <w:pPr>
        <w:pStyle w:val="FootnoteText"/>
        <w:rPr>
          <w:sz w:val="18"/>
          <w:szCs w:val="18"/>
          <w:lang w:val="fr-CH"/>
        </w:rPr>
      </w:pPr>
      <w:r w:rsidRPr="008469A6">
        <w:rPr>
          <w:rStyle w:val="FootnoteReference"/>
          <w:szCs w:val="18"/>
        </w:rPr>
        <w:footnoteRef/>
      </w:r>
      <w:r w:rsidRPr="008469A6">
        <w:rPr>
          <w:sz w:val="18"/>
          <w:szCs w:val="18"/>
          <w:lang w:val="fr-CH"/>
        </w:rPr>
        <w:tab/>
        <w:t>Supprimer la ou les mentions inutiles.</w:t>
      </w:r>
    </w:p>
  </w:footnote>
  <w:footnote w:id="2">
    <w:p w14:paraId="6DA77AA5" w14:textId="77777777" w:rsidR="0097317A" w:rsidRPr="009D274D" w:rsidRDefault="0097317A" w:rsidP="00972197">
      <w:pPr>
        <w:pStyle w:val="FootnoteText"/>
        <w:rPr>
          <w:sz w:val="18"/>
          <w:szCs w:val="18"/>
          <w:lang w:val="fr-CH"/>
        </w:rPr>
      </w:pPr>
      <w:r w:rsidRPr="008469A6">
        <w:rPr>
          <w:rStyle w:val="FootnoteReference"/>
          <w:szCs w:val="18"/>
        </w:rPr>
        <w:footnoteRef/>
      </w:r>
      <w:r w:rsidRPr="008469A6">
        <w:rPr>
          <w:sz w:val="18"/>
          <w:szCs w:val="18"/>
          <w:lang w:val="fr-CH"/>
        </w:rPr>
        <w:t xml:space="preserve"> </w:t>
      </w:r>
      <w:r w:rsidRPr="008469A6">
        <w:rPr>
          <w:sz w:val="18"/>
          <w:szCs w:val="18"/>
          <w:lang w:val="fr-CH"/>
        </w:rPr>
        <w:tab/>
        <w:t>Conformément aux numéros 328 à 331 de la Convention, l'un au moins de ces critères devrait figurer dans le texte.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sz w:val="18"/>
        <w:szCs w:val="18"/>
      </w:rPr>
      <w:id w:val="-1093086667"/>
      <w:docPartObj>
        <w:docPartGallery w:val="Page Numbers (Top of Page)"/>
        <w:docPartUnique/>
      </w:docPartObj>
    </w:sdtPr>
    <w:sdtEndPr/>
    <w:sdtContent>
      <w:p w14:paraId="32D37226" w14:textId="77777777" w:rsidR="000A249C" w:rsidRPr="004E4D57" w:rsidRDefault="000A249C" w:rsidP="000A249C">
        <w:pPr>
          <w:pStyle w:val="Header"/>
          <w:jc w:val="center"/>
          <w:rPr>
            <w:noProof/>
            <w:sz w:val="18"/>
            <w:szCs w:val="18"/>
          </w:rPr>
        </w:pPr>
        <w:r w:rsidRPr="004E4D57">
          <w:rPr>
            <w:noProof/>
            <w:sz w:val="18"/>
            <w:szCs w:val="18"/>
          </w:rPr>
          <w:fldChar w:fldCharType="begin"/>
        </w:r>
        <w:r w:rsidRPr="004E4D57">
          <w:rPr>
            <w:noProof/>
            <w:sz w:val="18"/>
            <w:szCs w:val="18"/>
          </w:rPr>
          <w:instrText xml:space="preserve"> PAGE   \* MERGEFORMAT </w:instrText>
        </w:r>
        <w:r w:rsidRPr="004E4D57">
          <w:rPr>
            <w:noProof/>
            <w:sz w:val="18"/>
            <w:szCs w:val="18"/>
          </w:rPr>
          <w:fldChar w:fldCharType="separate"/>
        </w:r>
        <w:r>
          <w:rPr>
            <w:noProof/>
            <w:sz w:val="18"/>
            <w:szCs w:val="18"/>
          </w:rPr>
          <w:t>2</w:t>
        </w:r>
        <w:r w:rsidRPr="004E4D57">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5FF5" w14:textId="4EF42751" w:rsidR="008D08FF" w:rsidRPr="000A249C" w:rsidRDefault="008D08FF" w:rsidP="000A249C">
    <w:pPr>
      <w:pStyle w:val="Header"/>
      <w:jc w:val="center"/>
      <w:rPr>
        <w:sz w:val="18"/>
        <w:szCs w:val="18"/>
      </w:rPr>
    </w:pPr>
    <w:r w:rsidRPr="000A249C">
      <w:rPr>
        <w:sz w:val="18"/>
        <w:szCs w:val="18"/>
      </w:rPr>
      <w:fldChar w:fldCharType="begin"/>
    </w:r>
    <w:r w:rsidRPr="000A249C">
      <w:rPr>
        <w:sz w:val="18"/>
        <w:szCs w:val="18"/>
      </w:rPr>
      <w:instrText xml:space="preserve"> PAGE  \* MERGEFORMAT </w:instrText>
    </w:r>
    <w:r w:rsidRPr="000A249C">
      <w:rPr>
        <w:sz w:val="18"/>
        <w:szCs w:val="18"/>
      </w:rPr>
      <w:fldChar w:fldCharType="separate"/>
    </w:r>
    <w:r w:rsidR="00503110">
      <w:rPr>
        <w:noProof/>
        <w:sz w:val="18"/>
        <w:szCs w:val="18"/>
      </w:rPr>
      <w:t>2</w:t>
    </w:r>
    <w:r w:rsidRPr="000A249C">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496F7D" w:rsidRPr="00940351" w14:paraId="6818A9CD" w14:textId="77777777" w:rsidTr="00C40D42">
      <w:tc>
        <w:tcPr>
          <w:tcW w:w="9889" w:type="dxa"/>
        </w:tcPr>
        <w:p w14:paraId="63CA6F31" w14:textId="56A0CFDA" w:rsidR="00496F7D" w:rsidRPr="00940351" w:rsidRDefault="00FE5A18" w:rsidP="00496F7D">
          <w:pPr>
            <w:pStyle w:val="Header"/>
            <w:tabs>
              <w:tab w:val="clear" w:pos="794"/>
              <w:tab w:val="clear" w:pos="4820"/>
            </w:tabs>
            <w:spacing w:line="360" w:lineRule="auto"/>
            <w:jc w:val="center"/>
          </w:pPr>
          <w:r>
            <w:rPr>
              <w:noProof/>
              <w:lang w:eastAsia="fr-FR"/>
            </w:rPr>
            <w:drawing>
              <wp:inline distT="0" distB="0" distL="0" distR="0" wp14:anchorId="7252C1EC" wp14:editId="6BE671DE">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bl>
  <w:p w14:paraId="1537191B" w14:textId="77777777" w:rsidR="008D08FF" w:rsidRPr="00940351" w:rsidRDefault="008D08FF" w:rsidP="00D225E9">
    <w:pPr>
      <w:pStyle w:val="Header"/>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0A249C"/>
    <w:rsid w:val="000032FB"/>
    <w:rsid w:val="00010E30"/>
    <w:rsid w:val="00022CA0"/>
    <w:rsid w:val="00026CF8"/>
    <w:rsid w:val="000479AD"/>
    <w:rsid w:val="00056D73"/>
    <w:rsid w:val="00070258"/>
    <w:rsid w:val="00072C3E"/>
    <w:rsid w:val="0007323C"/>
    <w:rsid w:val="000749F5"/>
    <w:rsid w:val="00075838"/>
    <w:rsid w:val="000773F5"/>
    <w:rsid w:val="0008311E"/>
    <w:rsid w:val="00086D03"/>
    <w:rsid w:val="000A249C"/>
    <w:rsid w:val="000A7051"/>
    <w:rsid w:val="000B1AF2"/>
    <w:rsid w:val="000B7CE2"/>
    <w:rsid w:val="000C03C7"/>
    <w:rsid w:val="000C7554"/>
    <w:rsid w:val="000E3DEE"/>
    <w:rsid w:val="000E4B79"/>
    <w:rsid w:val="000E6878"/>
    <w:rsid w:val="0010107B"/>
    <w:rsid w:val="00103C76"/>
    <w:rsid w:val="0011265F"/>
    <w:rsid w:val="00137EEF"/>
    <w:rsid w:val="001428E7"/>
    <w:rsid w:val="00173FCD"/>
    <w:rsid w:val="00196710"/>
    <w:rsid w:val="00197324"/>
    <w:rsid w:val="00197DCF"/>
    <w:rsid w:val="001A37CA"/>
    <w:rsid w:val="001A696C"/>
    <w:rsid w:val="001B5841"/>
    <w:rsid w:val="001D7070"/>
    <w:rsid w:val="001D7163"/>
    <w:rsid w:val="001E14BE"/>
    <w:rsid w:val="001F5A49"/>
    <w:rsid w:val="00201097"/>
    <w:rsid w:val="00201B6E"/>
    <w:rsid w:val="0023156E"/>
    <w:rsid w:val="00235A29"/>
    <w:rsid w:val="0026128B"/>
    <w:rsid w:val="00276B8B"/>
    <w:rsid w:val="002861E6"/>
    <w:rsid w:val="002C7C91"/>
    <w:rsid w:val="002E0007"/>
    <w:rsid w:val="002F00B0"/>
    <w:rsid w:val="002F0890"/>
    <w:rsid w:val="003169E3"/>
    <w:rsid w:val="003211CE"/>
    <w:rsid w:val="003370B8"/>
    <w:rsid w:val="003476DD"/>
    <w:rsid w:val="003666FF"/>
    <w:rsid w:val="00377FF0"/>
    <w:rsid w:val="00394448"/>
    <w:rsid w:val="003B2BDA"/>
    <w:rsid w:val="003B55EC"/>
    <w:rsid w:val="003C3E6E"/>
    <w:rsid w:val="003C4471"/>
    <w:rsid w:val="003E504F"/>
    <w:rsid w:val="00400F78"/>
    <w:rsid w:val="004326DB"/>
    <w:rsid w:val="0043682E"/>
    <w:rsid w:val="004376DB"/>
    <w:rsid w:val="004504B2"/>
    <w:rsid w:val="00467A97"/>
    <w:rsid w:val="00470881"/>
    <w:rsid w:val="00477689"/>
    <w:rsid w:val="004815EB"/>
    <w:rsid w:val="00496920"/>
    <w:rsid w:val="00496F7D"/>
    <w:rsid w:val="004A5CE7"/>
    <w:rsid w:val="004B5CC4"/>
    <w:rsid w:val="004B6704"/>
    <w:rsid w:val="004B7001"/>
    <w:rsid w:val="004B7C9A"/>
    <w:rsid w:val="004C464F"/>
    <w:rsid w:val="004D1579"/>
    <w:rsid w:val="004E0DC4"/>
    <w:rsid w:val="004E0FB5"/>
    <w:rsid w:val="004E43BB"/>
    <w:rsid w:val="004F178E"/>
    <w:rsid w:val="004F749A"/>
    <w:rsid w:val="00503110"/>
    <w:rsid w:val="00505309"/>
    <w:rsid w:val="00505C93"/>
    <w:rsid w:val="0050789B"/>
    <w:rsid w:val="00543DF8"/>
    <w:rsid w:val="00546101"/>
    <w:rsid w:val="00553DD7"/>
    <w:rsid w:val="0057469A"/>
    <w:rsid w:val="00580814"/>
    <w:rsid w:val="005A03A3"/>
    <w:rsid w:val="005B214C"/>
    <w:rsid w:val="005C043B"/>
    <w:rsid w:val="005E272D"/>
    <w:rsid w:val="005F5168"/>
    <w:rsid w:val="00602D53"/>
    <w:rsid w:val="0062116C"/>
    <w:rsid w:val="00635391"/>
    <w:rsid w:val="00651777"/>
    <w:rsid w:val="006741C3"/>
    <w:rsid w:val="00675C2A"/>
    <w:rsid w:val="00691AA6"/>
    <w:rsid w:val="006950CF"/>
    <w:rsid w:val="006B0590"/>
    <w:rsid w:val="006B49DA"/>
    <w:rsid w:val="00700C3C"/>
    <w:rsid w:val="0070304F"/>
    <w:rsid w:val="007234B1"/>
    <w:rsid w:val="00730B9A"/>
    <w:rsid w:val="00737B9E"/>
    <w:rsid w:val="00757509"/>
    <w:rsid w:val="00757B2B"/>
    <w:rsid w:val="00757EEE"/>
    <w:rsid w:val="007921A7"/>
    <w:rsid w:val="007A4A31"/>
    <w:rsid w:val="007A5B67"/>
    <w:rsid w:val="007B3DB1"/>
    <w:rsid w:val="007D183E"/>
    <w:rsid w:val="007E1A38"/>
    <w:rsid w:val="007E1FBB"/>
    <w:rsid w:val="007E3F13"/>
    <w:rsid w:val="007E6AB2"/>
    <w:rsid w:val="00800012"/>
    <w:rsid w:val="0081513E"/>
    <w:rsid w:val="0083382E"/>
    <w:rsid w:val="0085256B"/>
    <w:rsid w:val="00854131"/>
    <w:rsid w:val="0085652D"/>
    <w:rsid w:val="0087694B"/>
    <w:rsid w:val="00877C1B"/>
    <w:rsid w:val="0088293A"/>
    <w:rsid w:val="00895642"/>
    <w:rsid w:val="008D08FF"/>
    <w:rsid w:val="008D4685"/>
    <w:rsid w:val="008D6DF2"/>
    <w:rsid w:val="008F4F21"/>
    <w:rsid w:val="00904D4A"/>
    <w:rsid w:val="009151BA"/>
    <w:rsid w:val="009277BC"/>
    <w:rsid w:val="00927D57"/>
    <w:rsid w:val="00940351"/>
    <w:rsid w:val="00963D9D"/>
    <w:rsid w:val="00965A23"/>
    <w:rsid w:val="0097317A"/>
    <w:rsid w:val="00980145"/>
    <w:rsid w:val="00981B54"/>
    <w:rsid w:val="009842C3"/>
    <w:rsid w:val="009A6BB6"/>
    <w:rsid w:val="009C161F"/>
    <w:rsid w:val="009E1E13"/>
    <w:rsid w:val="009E2358"/>
    <w:rsid w:val="009E4AEC"/>
    <w:rsid w:val="009E5BD8"/>
    <w:rsid w:val="009E5F24"/>
    <w:rsid w:val="009E681E"/>
    <w:rsid w:val="00A22F9F"/>
    <w:rsid w:val="00A34D6F"/>
    <w:rsid w:val="00A41F91"/>
    <w:rsid w:val="00A5611F"/>
    <w:rsid w:val="00A7494A"/>
    <w:rsid w:val="00A87B47"/>
    <w:rsid w:val="00A95F28"/>
    <w:rsid w:val="00A963DF"/>
    <w:rsid w:val="00AC3896"/>
    <w:rsid w:val="00AC3F9B"/>
    <w:rsid w:val="00AF06E1"/>
    <w:rsid w:val="00AF3325"/>
    <w:rsid w:val="00B015B1"/>
    <w:rsid w:val="00B34CF9"/>
    <w:rsid w:val="00B40BB7"/>
    <w:rsid w:val="00B5497E"/>
    <w:rsid w:val="00B71736"/>
    <w:rsid w:val="00B83793"/>
    <w:rsid w:val="00B90C45"/>
    <w:rsid w:val="00B933BE"/>
    <w:rsid w:val="00BA03DB"/>
    <w:rsid w:val="00BA0A58"/>
    <w:rsid w:val="00BA6C35"/>
    <w:rsid w:val="00BD5CDE"/>
    <w:rsid w:val="00BD7E5E"/>
    <w:rsid w:val="00BE055F"/>
    <w:rsid w:val="00BE6574"/>
    <w:rsid w:val="00BF2810"/>
    <w:rsid w:val="00C07AFF"/>
    <w:rsid w:val="00C17C94"/>
    <w:rsid w:val="00C22159"/>
    <w:rsid w:val="00C43807"/>
    <w:rsid w:val="00C5660B"/>
    <w:rsid w:val="00C57E2C"/>
    <w:rsid w:val="00C608B7"/>
    <w:rsid w:val="00C66F24"/>
    <w:rsid w:val="00C6790A"/>
    <w:rsid w:val="00C9096E"/>
    <w:rsid w:val="00C9291E"/>
    <w:rsid w:val="00CA3F44"/>
    <w:rsid w:val="00CA4E58"/>
    <w:rsid w:val="00CB3771"/>
    <w:rsid w:val="00CB5153"/>
    <w:rsid w:val="00CC051C"/>
    <w:rsid w:val="00CD5625"/>
    <w:rsid w:val="00CE2753"/>
    <w:rsid w:val="00CE685A"/>
    <w:rsid w:val="00D10BA0"/>
    <w:rsid w:val="00D20741"/>
    <w:rsid w:val="00D225E9"/>
    <w:rsid w:val="00D24EB5"/>
    <w:rsid w:val="00D26CFB"/>
    <w:rsid w:val="00D41571"/>
    <w:rsid w:val="00D416A0"/>
    <w:rsid w:val="00D454C4"/>
    <w:rsid w:val="00D47672"/>
    <w:rsid w:val="00D5123C"/>
    <w:rsid w:val="00D55560"/>
    <w:rsid w:val="00D55CE4"/>
    <w:rsid w:val="00D61C5A"/>
    <w:rsid w:val="00D75BB1"/>
    <w:rsid w:val="00DA1ADE"/>
    <w:rsid w:val="00DE66A5"/>
    <w:rsid w:val="00DF2B50"/>
    <w:rsid w:val="00E04C86"/>
    <w:rsid w:val="00E14BA3"/>
    <w:rsid w:val="00E16FFD"/>
    <w:rsid w:val="00E20F30"/>
    <w:rsid w:val="00E21851"/>
    <w:rsid w:val="00E27BBA"/>
    <w:rsid w:val="00E35E8F"/>
    <w:rsid w:val="00E438E8"/>
    <w:rsid w:val="00E4480C"/>
    <w:rsid w:val="00E520E2"/>
    <w:rsid w:val="00E617BA"/>
    <w:rsid w:val="00E64254"/>
    <w:rsid w:val="00EA15B3"/>
    <w:rsid w:val="00EB2358"/>
    <w:rsid w:val="00EB3EB8"/>
    <w:rsid w:val="00EC16FD"/>
    <w:rsid w:val="00EC282E"/>
    <w:rsid w:val="00EC516F"/>
    <w:rsid w:val="00EC69FC"/>
    <w:rsid w:val="00ED1CAF"/>
    <w:rsid w:val="00ED73BA"/>
    <w:rsid w:val="00F468C5"/>
    <w:rsid w:val="00F52F39"/>
    <w:rsid w:val="00F55EF6"/>
    <w:rsid w:val="00F60EDB"/>
    <w:rsid w:val="00F61911"/>
    <w:rsid w:val="00F84C77"/>
    <w:rsid w:val="00F914DD"/>
    <w:rsid w:val="00FA2358"/>
    <w:rsid w:val="00FA2681"/>
    <w:rsid w:val="00FB2592"/>
    <w:rsid w:val="00FB2810"/>
    <w:rsid w:val="00FB347B"/>
    <w:rsid w:val="00FC2947"/>
    <w:rsid w:val="00FE0818"/>
    <w:rsid w:val="00FE5A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617BED"/>
  <w15:docId w15:val="{DDFA12D4-8AE9-4E45-867C-2A6BFFBA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94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0A249C"/>
    <w:pPr>
      <w:overflowPunct/>
      <w:autoSpaceDE/>
      <w:autoSpaceDN/>
      <w:adjustRightInd/>
      <w:spacing w:before="320" w:line="240" w:lineRule="auto"/>
      <w:jc w:val="left"/>
      <w:textAlignment w:val="auto"/>
    </w:pPr>
    <w:rPr>
      <w:rFonts w:ascii="Times New Roman" w:hAnsi="Times New Roman" w:cs="Times New Roman"/>
      <w:sz w:val="24"/>
      <w:szCs w:val="20"/>
      <w:lang w:val="en-GB"/>
    </w:rPr>
  </w:style>
  <w:style w:type="character" w:customStyle="1" w:styleId="NormalaftertitleChar">
    <w:name w:val="Normal after title Char"/>
    <w:link w:val="Normalaftertitle0"/>
    <w:locked/>
    <w:rsid w:val="000A249C"/>
    <w:rPr>
      <w:rFonts w:ascii="Times New Roman" w:hAnsi="Times New Roman" w:cs="Times New Roman"/>
      <w:sz w:val="24"/>
      <w:lang w:val="en-GB" w:eastAsia="en-US"/>
    </w:rPr>
  </w:style>
  <w:style w:type="character" w:customStyle="1" w:styleId="HeaderChar">
    <w:name w:val="Header Char"/>
    <w:basedOn w:val="DefaultParagraphFont"/>
    <w:link w:val="Header"/>
    <w:uiPriority w:val="99"/>
    <w:rsid w:val="000A249C"/>
    <w:rPr>
      <w:sz w:val="22"/>
      <w:szCs w:val="22"/>
      <w:lang w:val="fr-FR" w:eastAsia="en-US"/>
    </w:rPr>
  </w:style>
  <w:style w:type="character" w:customStyle="1" w:styleId="UnresolvedMention1">
    <w:name w:val="Unresolved Mention1"/>
    <w:basedOn w:val="DefaultParagraphFont"/>
    <w:uiPriority w:val="99"/>
    <w:semiHidden/>
    <w:unhideWhenUsed/>
    <w:rsid w:val="00F61911"/>
    <w:rPr>
      <w:color w:val="605E5C"/>
      <w:shd w:val="clear" w:color="auto" w:fill="E1DFDD"/>
    </w:rPr>
  </w:style>
  <w:style w:type="character" w:styleId="FollowedHyperlink">
    <w:name w:val="FollowedHyperlink"/>
    <w:basedOn w:val="DefaultParagraphFont"/>
    <w:semiHidden/>
    <w:unhideWhenUsed/>
    <w:rsid w:val="007A4A31"/>
    <w:rPr>
      <w:color w:val="800080" w:themeColor="followedHyperlink"/>
      <w:u w:val="single"/>
    </w:rPr>
  </w:style>
  <w:style w:type="paragraph" w:styleId="CommentSubject">
    <w:name w:val="annotation subject"/>
    <w:basedOn w:val="CommentText"/>
    <w:next w:val="CommentText"/>
    <w:link w:val="CommentSubjectChar"/>
    <w:semiHidden/>
    <w:unhideWhenUsed/>
    <w:rsid w:val="00DA1ADE"/>
    <w:pPr>
      <w:spacing w:line="240" w:lineRule="auto"/>
    </w:pPr>
    <w:rPr>
      <w:b/>
      <w:bCs/>
      <w:szCs w:val="20"/>
    </w:rPr>
  </w:style>
  <w:style w:type="character" w:customStyle="1" w:styleId="CommentTextChar">
    <w:name w:val="Comment Text Char"/>
    <w:basedOn w:val="DefaultParagraphFont"/>
    <w:link w:val="CommentText"/>
    <w:semiHidden/>
    <w:rsid w:val="00DA1ADE"/>
    <w:rPr>
      <w:szCs w:val="22"/>
      <w:lang w:val="fr-FR" w:eastAsia="en-US"/>
    </w:rPr>
  </w:style>
  <w:style w:type="character" w:customStyle="1" w:styleId="CommentSubjectChar">
    <w:name w:val="Comment Subject Char"/>
    <w:basedOn w:val="CommentTextChar"/>
    <w:link w:val="CommentSubject"/>
    <w:semiHidden/>
    <w:rsid w:val="00DA1ADE"/>
    <w:rPr>
      <w:b/>
      <w:bCs/>
      <w:szCs w:val="22"/>
      <w:lang w:val="fr-FR" w:eastAsia="en-US"/>
    </w:rPr>
  </w:style>
  <w:style w:type="paragraph" w:styleId="Revision">
    <w:name w:val="Revision"/>
    <w:hidden/>
    <w:uiPriority w:val="99"/>
    <w:semiHidden/>
    <w:rsid w:val="00DA1ADE"/>
    <w:rPr>
      <w:sz w:val="22"/>
      <w:szCs w:val="22"/>
      <w:lang w:val="fr-FR" w:eastAsia="en-US"/>
    </w:rPr>
  </w:style>
  <w:style w:type="character" w:styleId="UnresolvedMention">
    <w:name w:val="Unresolved Mention"/>
    <w:basedOn w:val="DefaultParagraphFont"/>
    <w:uiPriority w:val="99"/>
    <w:semiHidden/>
    <w:unhideWhenUsed/>
    <w:rsid w:val="00B71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edentials@itu.int" TargetMode="External"/><Relationship Id="rId13" Type="http://schemas.openxmlformats.org/officeDocument/2006/relationships/hyperlink" Target="https://www.itu.int/pp22/fr/participation/registratio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pp22/fr/participation/credential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p22/fr/participation/credentials/" TargetMode="External"/><Relationship Id="rId5" Type="http://schemas.openxmlformats.org/officeDocument/2006/relationships/webSettings" Target="webSettings.xml"/><Relationship Id="rId15" Type="http://schemas.openxmlformats.org/officeDocument/2006/relationships/hyperlink" Target="mailto:credentials@itu.int" TargetMode="External"/><Relationship Id="rId10" Type="http://schemas.openxmlformats.org/officeDocument/2006/relationships/hyperlink" Target="https://www.itu.int/md/S22-PP-C-0002/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2-SG-CIR-0005/en" TargetMode="External"/><Relationship Id="rId14" Type="http://schemas.openxmlformats.org/officeDocument/2006/relationships/hyperlink" Target="https://www.itu.int/pp22/fr/participation/credential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ITU\Letter-Fax-F.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E43ED-4860-47DA-8E84-546ED688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Letter-Fax-F.dotm</Template>
  <TotalTime>0</TotalTime>
  <Pages>5</Pages>
  <Words>1379</Words>
  <Characters>8177</Characters>
  <Application>Microsoft Office Word</Application>
  <DocSecurity>4</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(French)</vt:lpstr>
      <vt:lpstr>ITU-T Rec. Book 1 Resolutions ITU-T Series A Recommendations:</vt:lpstr>
    </vt:vector>
  </TitlesOfParts>
  <Company>ITU</Company>
  <LinksUpToDate>false</LinksUpToDate>
  <CharactersWithSpaces>9537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(French)</dc:title>
  <dc:creator>Margaret Murphy</dc:creator>
  <cp:lastModifiedBy>Diallo, Maywenn</cp:lastModifiedBy>
  <cp:revision>2</cp:revision>
  <cp:lastPrinted>2010-01-19T09:33:00Z</cp:lastPrinted>
  <dcterms:created xsi:type="dcterms:W3CDTF">2022-07-12T08:51:00Z</dcterms:created>
  <dcterms:modified xsi:type="dcterms:W3CDTF">2022-07-12T08:51:00Z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